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581A" w:rsidRPr="000B581A" w:rsidP="000B581A">
      <w:pPr>
        <w:pStyle w:val="Heading7"/>
        <w:jc w:val="center"/>
        <w:rPr>
          <w:i w:val="0"/>
          <w:iCs w:val="0"/>
          <w:sz w:val="28"/>
          <w:szCs w:val="28"/>
        </w:rPr>
      </w:pPr>
      <w:r w:rsidRPr="000B581A">
        <w:rPr>
          <w:i w:val="0"/>
          <w:iCs w:val="0"/>
          <w:sz w:val="28"/>
          <w:szCs w:val="28"/>
        </w:rPr>
        <w:t>TABUĽKA  ZHODY</w:t>
      </w:r>
    </w:p>
    <w:p w:rsidR="000B581A" w:rsidRPr="006C019A" w:rsidP="000B581A">
      <w:pPr>
        <w:jc w:val="center"/>
        <w:rPr>
          <w:b/>
          <w:bCs/>
          <w:szCs w:val="24"/>
        </w:rPr>
      </w:pPr>
      <w:r>
        <w:rPr>
          <w:b/>
          <w:bCs/>
          <w:sz w:val="28"/>
          <w:szCs w:val="28"/>
        </w:rPr>
        <w:t>návrhu právneho predpisu s právom Európskej únie</w:t>
      </w:r>
    </w:p>
    <w:p w:rsidR="002F2B1C" w:rsidRPr="00D52C0C" w:rsidP="002F2B1C">
      <w:pPr>
        <w:jc w:val="center"/>
        <w:rPr>
          <w:b/>
          <w:bCs/>
          <w:sz w:val="28"/>
          <w:szCs w:val="28"/>
        </w:rPr>
      </w:pPr>
    </w:p>
    <w:p w:rsidR="000E6117" w:rsidRPr="00D52C0C">
      <w:pPr>
        <w:jc w:val="both"/>
        <w:rPr>
          <w:b/>
          <w:sz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748"/>
        <w:gridCol w:w="10172"/>
      </w:tblGrid>
      <w:tr w:rsidTr="000B581A">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Ex>
        <w:trPr>
          <w:trHeight w:val="597"/>
        </w:trPr>
        <w:tc>
          <w:tcPr>
            <w:tcW w:w="4748" w:type="dxa"/>
          </w:tcPr>
          <w:p w:rsidR="000E6117" w:rsidRPr="00D52C0C" w:rsidP="000B581A">
            <w:pPr>
              <w:pStyle w:val="Heading1"/>
              <w:jc w:val="left"/>
              <w:rPr>
                <w:b w:val="0"/>
                <w:sz w:val="20"/>
              </w:rPr>
            </w:pPr>
            <w:r w:rsidR="000B581A">
              <w:t>Smernica</w:t>
            </w:r>
          </w:p>
        </w:tc>
        <w:tc>
          <w:tcPr>
            <w:tcW w:w="10172" w:type="dxa"/>
          </w:tcPr>
          <w:p w:rsidR="000B581A" w:rsidRPr="00DD6E7C" w:rsidP="000B581A">
            <w:pPr>
              <w:pStyle w:val="Heading1"/>
              <w:jc w:val="left"/>
            </w:pPr>
            <w:r>
              <w:t>Právne predpisy Slovenskej republiky</w:t>
            </w:r>
          </w:p>
          <w:p w:rsidR="000E6117" w:rsidRPr="00D52C0C">
            <w:pPr>
              <w:jc w:val="both"/>
              <w:rPr>
                <w:b/>
                <w:sz w:val="20"/>
              </w:rPr>
            </w:pPr>
          </w:p>
        </w:tc>
      </w:tr>
      <w:tr>
        <w:tblPrEx>
          <w:tblW w:w="0" w:type="auto"/>
          <w:tblLayout w:type="fixed"/>
          <w:tblCellMar>
            <w:left w:w="70" w:type="dxa"/>
            <w:right w:w="70" w:type="dxa"/>
          </w:tblCellMar>
          <w:tblLook w:val="0000"/>
        </w:tblPrEx>
        <w:tc>
          <w:tcPr>
            <w:tcW w:w="4748" w:type="dxa"/>
          </w:tcPr>
          <w:p w:rsidR="00EB7638" w:rsidRPr="00D52C0C" w:rsidP="002F2B1C">
            <w:pPr>
              <w:jc w:val="both"/>
              <w:rPr>
                <w:b/>
                <w:sz w:val="20"/>
              </w:rPr>
            </w:pPr>
            <w:r w:rsidRPr="00D52C0C">
              <w:rPr>
                <w:b/>
                <w:sz w:val="20"/>
              </w:rPr>
              <w:t xml:space="preserve">Smernica </w:t>
            </w:r>
            <w:r w:rsidRPr="00D52C0C" w:rsidR="002F2B1C">
              <w:rPr>
                <w:b/>
                <w:sz w:val="20"/>
              </w:rPr>
              <w:t xml:space="preserve">Európskeho parlamentu a Rady </w:t>
            </w:r>
            <w:r w:rsidRPr="00D52C0C" w:rsidR="00960EB0">
              <w:rPr>
                <w:b/>
                <w:sz w:val="20"/>
              </w:rPr>
              <w:t xml:space="preserve">(EÚ) </w:t>
            </w:r>
            <w:r w:rsidRPr="00D52C0C" w:rsidR="002F2B1C">
              <w:rPr>
                <w:b/>
                <w:sz w:val="20"/>
              </w:rPr>
              <w:t>2016</w:t>
            </w:r>
            <w:r w:rsidRPr="00D52C0C">
              <w:rPr>
                <w:b/>
                <w:sz w:val="20"/>
              </w:rPr>
              <w:t>/</w:t>
            </w:r>
            <w:r w:rsidRPr="00D52C0C" w:rsidR="002F2B1C">
              <w:rPr>
                <w:b/>
                <w:sz w:val="20"/>
              </w:rPr>
              <w:t>802</w:t>
            </w:r>
            <w:r w:rsidRPr="00D52C0C" w:rsidR="00960EB0">
              <w:rPr>
                <w:b/>
                <w:sz w:val="20"/>
              </w:rPr>
              <w:t xml:space="preserve"> </w:t>
            </w:r>
            <w:r w:rsidRPr="00D52C0C">
              <w:rPr>
                <w:b/>
                <w:sz w:val="20"/>
              </w:rPr>
              <w:t xml:space="preserve">z </w:t>
            </w:r>
            <w:r w:rsidRPr="00D52C0C" w:rsidR="002F2B1C">
              <w:rPr>
                <w:b/>
                <w:sz w:val="20"/>
              </w:rPr>
              <w:t>11</w:t>
            </w:r>
            <w:r w:rsidRPr="00D52C0C">
              <w:rPr>
                <w:b/>
                <w:sz w:val="20"/>
              </w:rPr>
              <w:t xml:space="preserve">. </w:t>
            </w:r>
            <w:r w:rsidRPr="00D52C0C" w:rsidR="00C0627B">
              <w:rPr>
                <w:b/>
                <w:sz w:val="20"/>
              </w:rPr>
              <w:t>m</w:t>
            </w:r>
            <w:r w:rsidRPr="00D52C0C" w:rsidR="002F2B1C">
              <w:rPr>
                <w:b/>
                <w:sz w:val="20"/>
              </w:rPr>
              <w:t xml:space="preserve">ája 2016 </w:t>
            </w:r>
            <w:r w:rsidRPr="00D52C0C">
              <w:rPr>
                <w:b/>
                <w:sz w:val="20"/>
              </w:rPr>
              <w:t>o znížení obsahu síry v niektorých kvapalných palivách</w:t>
            </w:r>
            <w:r w:rsidRPr="00D52C0C" w:rsidR="002F2B1C">
              <w:rPr>
                <w:b/>
                <w:sz w:val="20"/>
              </w:rPr>
              <w:t xml:space="preserve"> (kodifikované zneni</w:t>
            </w:r>
            <w:r w:rsidRPr="00D52C0C" w:rsidR="002F2B1C">
              <w:rPr>
                <w:b/>
                <w:sz w:val="20"/>
              </w:rPr>
              <w:t>e)</w:t>
            </w:r>
            <w:r w:rsidR="00E6267B">
              <w:rPr>
                <w:b/>
                <w:sz w:val="20"/>
              </w:rPr>
              <w:t xml:space="preserve"> (</w:t>
            </w:r>
            <w:r w:rsidRPr="00E6267B" w:rsidR="00E6267B">
              <w:rPr>
                <w:b/>
                <w:sz w:val="20"/>
              </w:rPr>
              <w:t>Ú. v. EÚ L 132, 21.5.2016)</w:t>
            </w:r>
          </w:p>
        </w:tc>
        <w:tc>
          <w:tcPr>
            <w:tcW w:w="10172" w:type="dxa"/>
          </w:tcPr>
          <w:p w:rsidR="001D153C" w:rsidP="00F965BD">
            <w:pPr>
              <w:rPr>
                <w:b/>
                <w:sz w:val="20"/>
              </w:rPr>
            </w:pPr>
            <w:r w:rsidRPr="00926842" w:rsidR="00926842">
              <w:rPr>
                <w:b/>
                <w:sz w:val="20"/>
              </w:rPr>
              <w:t xml:space="preserve">Tézy návrhu </w:t>
            </w:r>
            <w:r w:rsidRPr="00D52C0C" w:rsidR="004F2084">
              <w:rPr>
                <w:b/>
                <w:sz w:val="20"/>
              </w:rPr>
              <w:t>vyhlášky Ministerstva životného prostredia Slovenskej republiky</w:t>
            </w:r>
            <w:r w:rsidR="005A1024">
              <w:rPr>
                <w:b/>
                <w:sz w:val="20"/>
              </w:rPr>
              <w:t xml:space="preserve"> o kvalite palív</w:t>
            </w:r>
            <w:r w:rsidRPr="00D52C0C" w:rsidR="004F2084">
              <w:rPr>
                <w:b/>
                <w:sz w:val="20"/>
              </w:rPr>
              <w:t xml:space="preserve"> (NV)</w:t>
            </w:r>
          </w:p>
          <w:p w:rsidR="003D2BDA" w:rsidP="003D2BDA">
            <w:pPr>
              <w:rPr>
                <w:b/>
                <w:sz w:val="20"/>
              </w:rPr>
            </w:pPr>
          </w:p>
          <w:p w:rsidR="002E49AC" w:rsidRPr="002E49AC" w:rsidP="002E49AC">
            <w:pPr>
              <w:jc w:val="both"/>
              <w:rPr>
                <w:b/>
                <w:sz w:val="20"/>
              </w:rPr>
            </w:pPr>
            <w:r w:rsidRPr="00926842" w:rsidR="00926842">
              <w:rPr>
                <w:b/>
                <w:sz w:val="20"/>
              </w:rPr>
              <w:t xml:space="preserve">Tézy návrhu </w:t>
            </w:r>
            <w:r w:rsidRPr="002E49AC">
              <w:rPr>
                <w:b/>
                <w:sz w:val="20"/>
              </w:rPr>
              <w:t>vyhlášky Ministerstva životného prostredia Slovenskej republiky, ktorou sa ustanovujú informácie podávané Európskej komisii a požiadavky na vypracovanie národných emisných inventúr (NV1)</w:t>
            </w:r>
          </w:p>
          <w:p w:rsidR="003D2BDA" w:rsidRPr="00D52C0C" w:rsidP="00F965BD">
            <w:pPr>
              <w:rPr>
                <w:b/>
                <w:sz w:val="20"/>
              </w:rPr>
            </w:pPr>
          </w:p>
          <w:p w:rsidR="000E6117" w:rsidP="005F1C4D">
            <w:pPr>
              <w:pStyle w:val="BodyText20"/>
              <w:rPr>
                <w:b/>
                <w:sz w:val="20"/>
              </w:rPr>
            </w:pPr>
            <w:r w:rsidRPr="005F1C4D" w:rsidR="005F1C4D">
              <w:rPr>
                <w:b/>
                <w:sz w:val="20"/>
              </w:rPr>
              <w:t>Návrh zákona o ochrane ovzdušia a o zmene a doplnení niektorých zákonov (NZ)</w:t>
            </w:r>
          </w:p>
          <w:p w:rsidR="00B23EBD" w:rsidP="005F1C4D">
            <w:pPr>
              <w:pStyle w:val="BodyText20"/>
              <w:rPr>
                <w:b/>
                <w:sz w:val="20"/>
              </w:rPr>
            </w:pPr>
          </w:p>
          <w:p w:rsidR="00B23EBD" w:rsidRPr="00D52C0C" w:rsidP="005F1C4D">
            <w:pPr>
              <w:pStyle w:val="BodyText20"/>
              <w:rPr>
                <w:b/>
                <w:sz w:val="20"/>
              </w:rPr>
            </w:pPr>
            <w:r>
              <w:rPr>
                <w:b/>
                <w:sz w:val="20"/>
              </w:rPr>
              <w:t>Zákon č. 435/2000 Z. z. o námornej plavbe v znení neskorších predpisov (Z 435)</w:t>
            </w:r>
          </w:p>
        </w:tc>
      </w:tr>
    </w:tbl>
    <w:p w:rsidR="000E6117" w:rsidRPr="00D52C0C">
      <w:pPr>
        <w:jc w:val="both"/>
        <w:rPr>
          <w:sz w:val="20"/>
        </w:rPr>
      </w:pPr>
    </w:p>
    <w:tbl>
      <w:tblPr>
        <w:tblStyle w:val="TableNormal"/>
        <w:tblW w:w="14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779"/>
        <w:gridCol w:w="4536"/>
        <w:gridCol w:w="851"/>
        <w:gridCol w:w="850"/>
        <w:gridCol w:w="851"/>
        <w:gridCol w:w="4961"/>
        <w:gridCol w:w="709"/>
        <w:gridCol w:w="1417"/>
      </w:tblGrid>
      <w:tr w:rsidTr="000B581A">
        <w:tblPrEx>
          <w:tblW w:w="14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Ex>
        <w:tc>
          <w:tcPr>
            <w:tcW w:w="779" w:type="dxa"/>
          </w:tcPr>
          <w:p w:rsidR="003060AB" w:rsidRPr="00D52C0C">
            <w:pPr>
              <w:jc w:val="both"/>
              <w:rPr>
                <w:sz w:val="20"/>
              </w:rPr>
            </w:pPr>
            <w:r w:rsidRPr="00D52C0C">
              <w:rPr>
                <w:sz w:val="20"/>
              </w:rPr>
              <w:t>1</w:t>
            </w:r>
          </w:p>
        </w:tc>
        <w:tc>
          <w:tcPr>
            <w:tcW w:w="4536" w:type="dxa"/>
          </w:tcPr>
          <w:p w:rsidR="003060AB" w:rsidRPr="00D52C0C" w:rsidP="00C65331">
            <w:pPr>
              <w:jc w:val="both"/>
              <w:rPr>
                <w:sz w:val="20"/>
              </w:rPr>
            </w:pPr>
            <w:r w:rsidRPr="00D52C0C">
              <w:rPr>
                <w:sz w:val="20"/>
              </w:rPr>
              <w:t>2</w:t>
            </w:r>
          </w:p>
        </w:tc>
        <w:tc>
          <w:tcPr>
            <w:tcW w:w="851" w:type="dxa"/>
          </w:tcPr>
          <w:p w:rsidR="003060AB" w:rsidRPr="00D52C0C">
            <w:pPr>
              <w:jc w:val="both"/>
              <w:rPr>
                <w:sz w:val="20"/>
              </w:rPr>
            </w:pPr>
            <w:r w:rsidRPr="00D52C0C">
              <w:rPr>
                <w:sz w:val="20"/>
              </w:rPr>
              <w:t>3</w:t>
            </w:r>
          </w:p>
        </w:tc>
        <w:tc>
          <w:tcPr>
            <w:tcW w:w="850" w:type="dxa"/>
          </w:tcPr>
          <w:p w:rsidR="003060AB" w:rsidRPr="00D52C0C">
            <w:pPr>
              <w:jc w:val="both"/>
              <w:rPr>
                <w:sz w:val="20"/>
              </w:rPr>
            </w:pPr>
            <w:r w:rsidRPr="00D52C0C">
              <w:rPr>
                <w:sz w:val="20"/>
              </w:rPr>
              <w:t>4</w:t>
            </w:r>
          </w:p>
        </w:tc>
        <w:tc>
          <w:tcPr>
            <w:tcW w:w="851" w:type="dxa"/>
          </w:tcPr>
          <w:p w:rsidR="003060AB" w:rsidRPr="00D52C0C">
            <w:pPr>
              <w:jc w:val="both"/>
              <w:rPr>
                <w:sz w:val="20"/>
              </w:rPr>
            </w:pPr>
            <w:r w:rsidRPr="00D52C0C">
              <w:rPr>
                <w:sz w:val="20"/>
              </w:rPr>
              <w:t>5</w:t>
            </w:r>
          </w:p>
        </w:tc>
        <w:tc>
          <w:tcPr>
            <w:tcW w:w="4961" w:type="dxa"/>
          </w:tcPr>
          <w:p w:rsidR="003060AB" w:rsidRPr="00964863">
            <w:pPr>
              <w:jc w:val="both"/>
              <w:rPr>
                <w:sz w:val="20"/>
              </w:rPr>
            </w:pPr>
            <w:r w:rsidRPr="00964863">
              <w:rPr>
                <w:sz w:val="20"/>
              </w:rPr>
              <w:t>6</w:t>
            </w:r>
          </w:p>
        </w:tc>
        <w:tc>
          <w:tcPr>
            <w:tcW w:w="709" w:type="dxa"/>
          </w:tcPr>
          <w:p w:rsidR="003060AB" w:rsidRPr="00D52C0C">
            <w:pPr>
              <w:jc w:val="both"/>
              <w:rPr>
                <w:sz w:val="20"/>
              </w:rPr>
            </w:pPr>
            <w:r w:rsidRPr="00D52C0C">
              <w:rPr>
                <w:sz w:val="20"/>
              </w:rPr>
              <w:t>7</w:t>
            </w:r>
          </w:p>
        </w:tc>
        <w:tc>
          <w:tcPr>
            <w:tcW w:w="1417" w:type="dxa"/>
          </w:tcPr>
          <w:p w:rsidR="003060AB" w:rsidRPr="00D52C0C">
            <w:pPr>
              <w:jc w:val="both"/>
              <w:rPr>
                <w:sz w:val="20"/>
              </w:rPr>
            </w:pPr>
            <w:r w:rsidRPr="00D52C0C">
              <w:rPr>
                <w:sz w:val="20"/>
              </w:rPr>
              <w:t>8</w:t>
            </w:r>
          </w:p>
        </w:tc>
      </w:tr>
      <w:tr w:rsidTr="000B581A">
        <w:tblPrEx>
          <w:tblW w:w="14954" w:type="dxa"/>
          <w:tblLayout w:type="fixed"/>
          <w:tblCellMar>
            <w:left w:w="70" w:type="dxa"/>
            <w:right w:w="70" w:type="dxa"/>
          </w:tblCellMar>
          <w:tblLook w:val="0000"/>
        </w:tblPrEx>
        <w:trPr>
          <w:trHeight w:val="552"/>
        </w:trPr>
        <w:tc>
          <w:tcPr>
            <w:tcW w:w="779" w:type="dxa"/>
            <w:tcBorders>
              <w:bottom w:val="single" w:sz="4" w:space="0" w:color="auto"/>
            </w:tcBorders>
            <w:vAlign w:val="center"/>
          </w:tcPr>
          <w:p w:rsidR="000B581A" w:rsidRPr="000B581A" w:rsidP="000B581A">
            <w:pPr>
              <w:jc w:val="center"/>
              <w:rPr>
                <w:sz w:val="20"/>
              </w:rPr>
            </w:pPr>
            <w:r w:rsidRPr="000B581A">
              <w:rPr>
                <w:b/>
                <w:sz w:val="20"/>
              </w:rPr>
              <w:t>Článok</w:t>
            </w:r>
          </w:p>
        </w:tc>
        <w:tc>
          <w:tcPr>
            <w:tcW w:w="4536" w:type="dxa"/>
            <w:tcBorders>
              <w:bottom w:val="single" w:sz="4" w:space="0" w:color="auto"/>
            </w:tcBorders>
            <w:vAlign w:val="center"/>
          </w:tcPr>
          <w:p w:rsidR="000B581A" w:rsidRPr="000B581A" w:rsidP="000B581A">
            <w:pPr>
              <w:jc w:val="center"/>
              <w:rPr>
                <w:sz w:val="20"/>
              </w:rPr>
            </w:pPr>
            <w:r w:rsidRPr="000B581A">
              <w:rPr>
                <w:b/>
                <w:sz w:val="20"/>
              </w:rPr>
              <w:t>Text</w:t>
            </w:r>
          </w:p>
        </w:tc>
        <w:tc>
          <w:tcPr>
            <w:tcW w:w="851" w:type="dxa"/>
            <w:tcBorders>
              <w:bottom w:val="single" w:sz="4" w:space="0" w:color="auto"/>
            </w:tcBorders>
            <w:vAlign w:val="center"/>
          </w:tcPr>
          <w:p w:rsidR="000B581A" w:rsidRPr="000B581A" w:rsidP="000B581A">
            <w:pPr>
              <w:jc w:val="center"/>
              <w:rPr>
                <w:b/>
                <w:sz w:val="20"/>
              </w:rPr>
            </w:pPr>
            <w:r w:rsidRPr="000B581A">
              <w:rPr>
                <w:b/>
                <w:sz w:val="20"/>
              </w:rPr>
              <w:t>Spôsob trans-pozície</w:t>
            </w:r>
          </w:p>
        </w:tc>
        <w:tc>
          <w:tcPr>
            <w:tcW w:w="850" w:type="dxa"/>
            <w:tcBorders>
              <w:bottom w:val="single" w:sz="4" w:space="0" w:color="auto"/>
            </w:tcBorders>
          </w:tcPr>
          <w:p w:rsidR="000B581A" w:rsidRPr="000B581A" w:rsidP="000B581A">
            <w:pPr>
              <w:jc w:val="center"/>
              <w:rPr>
                <w:b/>
                <w:sz w:val="20"/>
              </w:rPr>
            </w:pPr>
          </w:p>
          <w:p w:rsidR="000B581A" w:rsidRPr="000B581A" w:rsidP="000B581A">
            <w:pPr>
              <w:jc w:val="center"/>
              <w:rPr>
                <w:b/>
                <w:sz w:val="20"/>
              </w:rPr>
            </w:pPr>
            <w:r w:rsidRPr="000B581A">
              <w:rPr>
                <w:b/>
                <w:sz w:val="20"/>
              </w:rPr>
              <w:t>Číslo</w:t>
            </w:r>
          </w:p>
        </w:tc>
        <w:tc>
          <w:tcPr>
            <w:tcW w:w="851" w:type="dxa"/>
            <w:tcBorders>
              <w:bottom w:val="single" w:sz="4" w:space="0" w:color="auto"/>
            </w:tcBorders>
            <w:vAlign w:val="center"/>
          </w:tcPr>
          <w:p w:rsidR="000B581A" w:rsidRPr="000B581A" w:rsidP="000B581A">
            <w:pPr>
              <w:jc w:val="center"/>
              <w:rPr>
                <w:b/>
                <w:sz w:val="20"/>
              </w:rPr>
            </w:pPr>
            <w:r w:rsidRPr="000B581A">
              <w:rPr>
                <w:b/>
                <w:sz w:val="20"/>
              </w:rPr>
              <w:t>Článok</w:t>
            </w:r>
          </w:p>
        </w:tc>
        <w:tc>
          <w:tcPr>
            <w:tcW w:w="4961" w:type="dxa"/>
            <w:tcBorders>
              <w:bottom w:val="single" w:sz="4" w:space="0" w:color="auto"/>
            </w:tcBorders>
            <w:vAlign w:val="center"/>
          </w:tcPr>
          <w:p w:rsidR="000B581A" w:rsidRPr="000B581A" w:rsidP="000B581A">
            <w:pPr>
              <w:jc w:val="center"/>
              <w:rPr>
                <w:b/>
                <w:sz w:val="20"/>
              </w:rPr>
            </w:pPr>
            <w:r w:rsidRPr="000B581A">
              <w:rPr>
                <w:b/>
                <w:sz w:val="20"/>
              </w:rPr>
              <w:t xml:space="preserve">Text </w:t>
            </w:r>
          </w:p>
        </w:tc>
        <w:tc>
          <w:tcPr>
            <w:tcW w:w="709" w:type="dxa"/>
            <w:tcBorders>
              <w:bottom w:val="single" w:sz="4" w:space="0" w:color="auto"/>
            </w:tcBorders>
            <w:vAlign w:val="center"/>
          </w:tcPr>
          <w:p w:rsidR="000B581A" w:rsidRPr="000B581A" w:rsidP="000B581A">
            <w:pPr>
              <w:jc w:val="center"/>
              <w:rPr>
                <w:sz w:val="20"/>
              </w:rPr>
            </w:pPr>
            <w:r w:rsidRPr="000B581A">
              <w:rPr>
                <w:b/>
                <w:sz w:val="20"/>
              </w:rPr>
              <w:t>Zhoda</w:t>
            </w:r>
          </w:p>
        </w:tc>
        <w:tc>
          <w:tcPr>
            <w:tcW w:w="1417" w:type="dxa"/>
            <w:tcBorders>
              <w:bottom w:val="single" w:sz="4" w:space="0" w:color="auto"/>
            </w:tcBorders>
            <w:vAlign w:val="center"/>
          </w:tcPr>
          <w:p w:rsidR="000B581A" w:rsidRPr="000B581A" w:rsidP="000B581A">
            <w:pPr>
              <w:jc w:val="center"/>
              <w:rPr>
                <w:b/>
                <w:sz w:val="20"/>
              </w:rPr>
            </w:pPr>
            <w:r w:rsidRPr="000B581A">
              <w:rPr>
                <w:b/>
                <w:sz w:val="20"/>
              </w:rPr>
              <w:t>Poznámky</w:t>
            </w:r>
          </w:p>
        </w:tc>
      </w:tr>
      <w:tr w:rsidTr="000B581A">
        <w:tblPrEx>
          <w:tblW w:w="14954" w:type="dxa"/>
          <w:tblLayout w:type="fixed"/>
          <w:tblCellMar>
            <w:left w:w="70" w:type="dxa"/>
            <w:right w:w="70" w:type="dxa"/>
          </w:tblCellMar>
          <w:tblLook w:val="0000"/>
        </w:tblPrEx>
        <w:trPr>
          <w:trHeight w:val="552"/>
        </w:trPr>
        <w:tc>
          <w:tcPr>
            <w:tcW w:w="779" w:type="dxa"/>
            <w:tcBorders>
              <w:bottom w:val="single" w:sz="4" w:space="0" w:color="auto"/>
            </w:tcBorders>
          </w:tcPr>
          <w:p w:rsidR="00964863" w:rsidRPr="00D52C0C" w:rsidP="00964863">
            <w:pPr>
              <w:jc w:val="both"/>
              <w:rPr>
                <w:sz w:val="20"/>
              </w:rPr>
            </w:pPr>
            <w:r w:rsidRPr="00D52C0C">
              <w:rPr>
                <w:sz w:val="20"/>
              </w:rPr>
              <w:t>Č1</w:t>
            </w:r>
          </w:p>
          <w:p w:rsidR="00964863" w:rsidRPr="00D52C0C" w:rsidP="00964863">
            <w:pPr>
              <w:jc w:val="both"/>
              <w:rPr>
                <w:sz w:val="20"/>
              </w:rPr>
            </w:pPr>
            <w:r w:rsidRPr="00D52C0C">
              <w:rPr>
                <w:sz w:val="20"/>
              </w:rPr>
              <w:t>O1</w:t>
            </w:r>
          </w:p>
        </w:tc>
        <w:tc>
          <w:tcPr>
            <w:tcW w:w="4536" w:type="dxa"/>
            <w:tcBorders>
              <w:bottom w:val="single" w:sz="4" w:space="0" w:color="auto"/>
            </w:tcBorders>
          </w:tcPr>
          <w:p w:rsidR="00964863" w:rsidRPr="00D52C0C" w:rsidP="00964863">
            <w:pPr>
              <w:pStyle w:val="Heading2"/>
              <w:jc w:val="both"/>
              <w:rPr>
                <w:rFonts w:ascii="Times New Roman" w:hAnsi="Times New Roman"/>
                <w:b w:val="0"/>
                <w:color w:val="231F20"/>
                <w:spacing w:val="0"/>
                <w:sz w:val="20"/>
                <w:lang w:eastAsia="sk-SK"/>
              </w:rPr>
            </w:pPr>
            <w:r w:rsidRPr="00D52C0C">
              <w:rPr>
                <w:rFonts w:ascii="Times New Roman" w:hAnsi="Times New Roman"/>
                <w:b w:val="0"/>
                <w:color w:val="231F20"/>
                <w:spacing w:val="0"/>
                <w:sz w:val="20"/>
                <w:lang w:eastAsia="sk-SK"/>
              </w:rPr>
              <w:t>Článok 1</w:t>
            </w:r>
          </w:p>
          <w:p w:rsidR="00964863" w:rsidRPr="00D52C0C" w:rsidP="00964863">
            <w:pPr>
              <w:autoSpaceDE w:val="0"/>
              <w:autoSpaceDN w:val="0"/>
              <w:adjustRightInd w:val="0"/>
              <w:jc w:val="both"/>
              <w:rPr>
                <w:color w:val="231F20"/>
                <w:sz w:val="20"/>
                <w:lang w:eastAsia="sk-SK"/>
              </w:rPr>
            </w:pPr>
            <w:r w:rsidRPr="00D52C0C">
              <w:rPr>
                <w:color w:val="231F20"/>
                <w:sz w:val="20"/>
                <w:lang w:eastAsia="sk-SK"/>
              </w:rPr>
              <w:t>Účel a rozsah</w:t>
            </w:r>
          </w:p>
          <w:p w:rsidR="00964863" w:rsidRPr="00D52C0C" w:rsidP="00964863">
            <w:pPr>
              <w:jc w:val="both"/>
              <w:rPr>
                <w:sz w:val="20"/>
              </w:rPr>
            </w:pPr>
            <w:r w:rsidRPr="00D52C0C">
              <w:rPr>
                <w:color w:val="231F20"/>
                <w:sz w:val="20"/>
                <w:lang w:eastAsia="sk-SK"/>
              </w:rPr>
              <w:t>1. Cieľom tejto smernice je znížiť emisie oxidu siričitého vznikajúce spaľovaním určitých typov kvapalných palív a tým obmedziť škodlivé účinky týchto emisií na ľudí a životné prostredie.</w:t>
            </w:r>
          </w:p>
        </w:tc>
        <w:tc>
          <w:tcPr>
            <w:tcW w:w="851" w:type="dxa"/>
            <w:tcBorders>
              <w:bottom w:val="single" w:sz="4" w:space="0" w:color="auto"/>
            </w:tcBorders>
          </w:tcPr>
          <w:p w:rsidR="00964863" w:rsidRPr="00D52C0C" w:rsidP="00964863">
            <w:pPr>
              <w:jc w:val="both"/>
              <w:rPr>
                <w:sz w:val="20"/>
              </w:rPr>
            </w:pPr>
            <w:r w:rsidRPr="00D52C0C">
              <w:rPr>
                <w:sz w:val="20"/>
              </w:rPr>
              <w:t>N</w:t>
            </w:r>
          </w:p>
        </w:tc>
        <w:tc>
          <w:tcPr>
            <w:tcW w:w="850" w:type="dxa"/>
            <w:tcBorders>
              <w:bottom w:val="single" w:sz="4" w:space="0" w:color="auto"/>
            </w:tcBorders>
          </w:tcPr>
          <w:p w:rsidR="00964863" w:rsidRPr="00D52C0C" w:rsidP="00964863">
            <w:pPr>
              <w:jc w:val="both"/>
              <w:rPr>
                <w:sz w:val="20"/>
              </w:rPr>
            </w:pPr>
            <w:r w:rsidRPr="00D52C0C">
              <w:rPr>
                <w:sz w:val="20"/>
              </w:rPr>
              <w:t>NV</w:t>
            </w:r>
          </w:p>
        </w:tc>
        <w:tc>
          <w:tcPr>
            <w:tcW w:w="851" w:type="dxa"/>
            <w:tcBorders>
              <w:bottom w:val="single" w:sz="4" w:space="0" w:color="auto"/>
            </w:tcBorders>
          </w:tcPr>
          <w:p w:rsidR="00964863" w:rsidP="00964863">
            <w:pPr>
              <w:pStyle w:val="BodyText21"/>
              <w:spacing w:before="0" w:line="240" w:lineRule="auto"/>
            </w:pPr>
            <w:r w:rsidRPr="00D52C0C">
              <w:t>§1</w:t>
            </w:r>
          </w:p>
          <w:p w:rsidR="00027385" w:rsidRPr="00D52C0C" w:rsidP="00964863">
            <w:pPr>
              <w:pStyle w:val="BodyText21"/>
              <w:spacing w:before="0" w:line="240" w:lineRule="auto"/>
            </w:pPr>
            <w:r>
              <w:t>O1</w:t>
            </w:r>
          </w:p>
          <w:p w:rsidR="00964863" w:rsidRPr="00D52C0C" w:rsidP="00964863">
            <w:pPr>
              <w:pStyle w:val="BodyText21"/>
              <w:spacing w:before="0" w:line="240" w:lineRule="auto"/>
            </w:pPr>
            <w:r w:rsidRPr="00D52C0C">
              <w:t>Pa</w:t>
            </w:r>
          </w:p>
        </w:tc>
        <w:tc>
          <w:tcPr>
            <w:tcW w:w="4961" w:type="dxa"/>
            <w:tcBorders>
              <w:bottom w:val="single" w:sz="4" w:space="0" w:color="auto"/>
            </w:tcBorders>
          </w:tcPr>
          <w:p w:rsidR="000246DD" w:rsidRPr="000246DD" w:rsidP="000246DD">
            <w:pPr>
              <w:tabs>
                <w:tab w:val="left" w:pos="851"/>
              </w:tabs>
              <w:spacing w:after="120"/>
              <w:jc w:val="both"/>
              <w:rPr>
                <w:b/>
                <w:sz w:val="20"/>
                <w:lang w:eastAsia="sk-SK"/>
              </w:rPr>
            </w:pPr>
            <w:r w:rsidRPr="000246DD">
              <w:rPr>
                <w:b/>
                <w:sz w:val="20"/>
                <w:lang w:eastAsia="sk-SK"/>
              </w:rPr>
              <w:t>§ 1</w:t>
            </w:r>
          </w:p>
          <w:p w:rsidR="000246DD" w:rsidRPr="000246DD" w:rsidP="000246DD">
            <w:pPr>
              <w:tabs>
                <w:tab w:val="left" w:pos="851"/>
              </w:tabs>
              <w:spacing w:after="120"/>
              <w:jc w:val="both"/>
              <w:rPr>
                <w:b/>
                <w:sz w:val="20"/>
                <w:lang w:eastAsia="sk-SK"/>
              </w:rPr>
            </w:pPr>
            <w:r w:rsidRPr="000246DD">
              <w:rPr>
                <w:b/>
                <w:sz w:val="20"/>
                <w:lang w:eastAsia="sk-SK"/>
              </w:rPr>
              <w:t>Predmet vyhlášky</w:t>
            </w:r>
          </w:p>
          <w:p w:rsidR="00964863" w:rsidRPr="00A755D5" w:rsidP="00964863">
            <w:pPr>
              <w:spacing w:after="120"/>
              <w:rPr>
                <w:sz w:val="20"/>
                <w:lang w:eastAsia="sk-SK"/>
              </w:rPr>
            </w:pPr>
            <w:r w:rsidR="000246DD">
              <w:rPr>
                <w:sz w:val="20"/>
                <w:lang w:eastAsia="sk-SK"/>
              </w:rPr>
              <w:t xml:space="preserve">(1) </w:t>
            </w:r>
            <w:r w:rsidRPr="00A755D5">
              <w:rPr>
                <w:sz w:val="20"/>
                <w:lang w:eastAsia="sk-SK"/>
              </w:rPr>
              <w:t>Táto vyhláška ustanovuje požiadavky na</w:t>
            </w:r>
          </w:p>
          <w:p w:rsidR="00964863" w:rsidRPr="00A755D5" w:rsidP="00443B05">
            <w:pPr>
              <w:keepNext/>
              <w:numPr>
                <w:ilvl w:val="0"/>
                <w:numId w:val="5"/>
              </w:numPr>
              <w:spacing w:before="60" w:after="60"/>
              <w:jc w:val="both"/>
              <w:rPr>
                <w:sz w:val="20"/>
                <w:lang w:eastAsia="sk-SK"/>
              </w:rPr>
            </w:pPr>
            <w:r w:rsidRPr="00A755D5">
              <w:rPr>
                <w:sz w:val="20"/>
                <w:lang w:eastAsia="sk-SK"/>
              </w:rPr>
              <w:t>kvalitu</w:t>
            </w:r>
          </w:p>
          <w:p w:rsidR="00964863" w:rsidRPr="000246DD" w:rsidP="00964863">
            <w:pPr>
              <w:pStyle w:val="ListParagraph"/>
              <w:spacing w:after="120" w:line="240" w:lineRule="auto"/>
              <w:ind w:left="636" w:hanging="279"/>
              <w:contextualSpacing w:val="0"/>
              <w:jc w:val="both"/>
              <w:rPr>
                <w:rFonts w:ascii="Times New Roman" w:eastAsia="Times New Roman" w:hAnsi="Times New Roman"/>
                <w:sz w:val="20"/>
                <w:szCs w:val="20"/>
                <w:lang w:eastAsia="sk-SK"/>
              </w:rPr>
            </w:pPr>
            <w:r w:rsidRPr="000246DD">
              <w:rPr>
                <w:rFonts w:ascii="Times New Roman" w:eastAsia="Times New Roman" w:hAnsi="Times New Roman"/>
                <w:sz w:val="20"/>
                <w:szCs w:val="20"/>
                <w:lang w:eastAsia="sk-SK"/>
              </w:rPr>
              <w:t>1. tuhých fosílnych palív a palív z nich vyrobených (ďalej len „tuhé fosílne palivo“), ktoré sú určené na spaľovanie v spaľovacích zariadeniach s m</w:t>
            </w:r>
            <w:r w:rsidRPr="000246DD">
              <w:rPr>
                <w:rFonts w:ascii="Times New Roman" w:eastAsia="Times New Roman" w:hAnsi="Times New Roman"/>
                <w:sz w:val="20"/>
                <w:szCs w:val="20"/>
                <w:lang w:eastAsia="sk-SK"/>
              </w:rPr>
              <w:t>enovitým tepelným príkonom do 0,3 MW,</w:t>
            </w:r>
            <w:r w:rsidRPr="000246DD" w:rsidR="000246DD">
              <w:rPr>
                <w:rFonts w:ascii="Times New Roman" w:eastAsia="Times New Roman" w:hAnsi="Times New Roman"/>
                <w:sz w:val="20"/>
                <w:szCs w:val="20"/>
                <w:vertAlign w:val="superscript"/>
                <w:lang w:eastAsia="sk-SK"/>
              </w:rPr>
              <w:t>1</w:t>
            </w:r>
            <w:r w:rsidR="000246DD">
              <w:rPr>
                <w:rFonts w:ascii="Times New Roman" w:eastAsia="Times New Roman" w:hAnsi="Times New Roman"/>
                <w:sz w:val="20"/>
                <w:szCs w:val="20"/>
                <w:lang w:eastAsia="sk-SK"/>
              </w:rPr>
              <w:t>)</w:t>
            </w:r>
          </w:p>
          <w:p w:rsidR="00964863" w:rsidRPr="000246DD" w:rsidP="00964863">
            <w:pPr>
              <w:pStyle w:val="ListParagraph"/>
              <w:spacing w:after="120" w:line="240" w:lineRule="auto"/>
              <w:ind w:left="636" w:hanging="279"/>
              <w:contextualSpacing w:val="0"/>
              <w:jc w:val="both"/>
              <w:rPr>
                <w:rFonts w:ascii="Times New Roman" w:eastAsia="Times New Roman" w:hAnsi="Times New Roman"/>
                <w:sz w:val="20"/>
                <w:szCs w:val="20"/>
                <w:lang w:eastAsia="sk-SK"/>
              </w:rPr>
            </w:pPr>
            <w:r w:rsidRPr="000246DD">
              <w:rPr>
                <w:rFonts w:ascii="Times New Roman" w:eastAsia="Times New Roman" w:hAnsi="Times New Roman"/>
                <w:sz w:val="20"/>
                <w:szCs w:val="20"/>
                <w:lang w:eastAsia="sk-SK"/>
              </w:rPr>
              <w:t>2. kvapalných ropných pal</w:t>
            </w:r>
            <w:r w:rsidR="000246DD">
              <w:rPr>
                <w:rFonts w:ascii="Times New Roman" w:eastAsia="Times New Roman" w:hAnsi="Times New Roman"/>
                <w:sz w:val="20"/>
                <w:szCs w:val="20"/>
                <w:lang w:eastAsia="sk-SK"/>
              </w:rPr>
              <w:t>ív uvedených v § 2 písm. a) a</w:t>
            </w:r>
            <w:r w:rsidRPr="000246DD">
              <w:rPr>
                <w:rFonts w:ascii="Times New Roman" w:eastAsia="Times New Roman" w:hAnsi="Times New Roman"/>
                <w:sz w:val="20"/>
                <w:szCs w:val="20"/>
                <w:lang w:eastAsia="sk-SK"/>
              </w:rPr>
              <w:t xml:space="preserve"> b) (ďalej len „vykurovací olej“), ktoré sú určené na spaľovanie v stacionárnych zdrojoch znečisťovania ovzdušia (ďalej len „stacionárny zdroj“),    </w:t>
            </w:r>
          </w:p>
          <w:p w:rsidR="00964863" w:rsidRPr="000246DD" w:rsidP="00964863">
            <w:pPr>
              <w:pStyle w:val="ListParagraph"/>
              <w:spacing w:after="120" w:line="240" w:lineRule="auto"/>
              <w:ind w:left="636" w:hanging="279"/>
              <w:contextualSpacing w:val="0"/>
              <w:jc w:val="both"/>
              <w:rPr>
                <w:rFonts w:ascii="Times New Roman" w:eastAsia="Times New Roman" w:hAnsi="Times New Roman"/>
                <w:sz w:val="20"/>
                <w:szCs w:val="20"/>
                <w:lang w:eastAsia="sk-SK"/>
              </w:rPr>
            </w:pPr>
            <w:r w:rsidRPr="000246DD">
              <w:rPr>
                <w:rFonts w:ascii="Times New Roman" w:eastAsia="Times New Roman" w:hAnsi="Times New Roman"/>
                <w:sz w:val="20"/>
                <w:szCs w:val="20"/>
                <w:lang w:eastAsia="sk-SK"/>
              </w:rPr>
              <w:t>3. kvapalných a plynných palív uvedených v § 2 písm. c) až k) (ďalej len „motorové palivo“), ktoré sú určené na spaľovanie v spaľovacích motoroch stacionárnych zdrojov</w:t>
            </w:r>
            <w:r w:rsidRPr="000246DD" w:rsidR="000246DD">
              <w:rPr>
                <w:rFonts w:ascii="Times New Roman" w:eastAsia="Times New Roman" w:hAnsi="Times New Roman"/>
                <w:sz w:val="20"/>
                <w:szCs w:val="20"/>
                <w:vertAlign w:val="superscript"/>
                <w:lang w:eastAsia="sk-SK"/>
              </w:rPr>
              <w:t>2</w:t>
            </w:r>
            <w:r w:rsidR="000246DD">
              <w:rPr>
                <w:rFonts w:ascii="Times New Roman" w:eastAsia="Times New Roman" w:hAnsi="Times New Roman"/>
                <w:sz w:val="20"/>
                <w:szCs w:val="20"/>
                <w:lang w:eastAsia="sk-SK"/>
              </w:rPr>
              <w:t>)</w:t>
            </w:r>
            <w:r w:rsidRPr="000246DD">
              <w:rPr>
                <w:rFonts w:ascii="Times New Roman" w:eastAsia="Times New Roman" w:hAnsi="Times New Roman"/>
                <w:sz w:val="20"/>
                <w:szCs w:val="20"/>
                <w:lang w:eastAsia="sk-SK"/>
              </w:rPr>
              <w:t xml:space="preserve"> alebo v spaľovacích motoroch, alebo iných hnacích motoroch mobilných zdrojov znečisťovania ovzdušia (ďalej len “mobilný zdroj“),    </w:t>
            </w:r>
          </w:p>
          <w:p w:rsidR="00964863" w:rsidRPr="000246DD" w:rsidP="00964863">
            <w:pPr>
              <w:pStyle w:val="ListParagraph"/>
              <w:spacing w:after="120" w:line="240" w:lineRule="auto"/>
              <w:ind w:left="636" w:hanging="279"/>
              <w:contextualSpacing w:val="0"/>
              <w:jc w:val="both"/>
              <w:rPr>
                <w:rFonts w:ascii="Times New Roman" w:eastAsia="Times New Roman" w:hAnsi="Times New Roman"/>
                <w:sz w:val="20"/>
                <w:szCs w:val="20"/>
                <w:lang w:eastAsia="sk-SK"/>
              </w:rPr>
            </w:pPr>
            <w:r w:rsidRPr="000246DD">
              <w:rPr>
                <w:rFonts w:ascii="Times New Roman" w:eastAsia="Times New Roman" w:hAnsi="Times New Roman"/>
                <w:sz w:val="20"/>
                <w:szCs w:val="20"/>
                <w:lang w:eastAsia="sk-SK"/>
              </w:rPr>
              <w:t>4. plynných palív určených pre stacionárne zdroje,</w:t>
            </w:r>
          </w:p>
          <w:p w:rsidR="000246DD" w:rsidP="000246DD">
            <w:pPr>
              <w:pStyle w:val="ListParagraph"/>
              <w:spacing w:after="120" w:line="240" w:lineRule="auto"/>
              <w:ind w:left="636" w:hanging="279"/>
              <w:contextualSpacing w:val="0"/>
              <w:jc w:val="both"/>
              <w:rPr>
                <w:rFonts w:ascii="Times New Roman" w:eastAsia="Times New Roman" w:hAnsi="Times New Roman"/>
                <w:sz w:val="20"/>
                <w:szCs w:val="20"/>
                <w:lang w:eastAsia="sk-SK"/>
              </w:rPr>
            </w:pPr>
            <w:r w:rsidRPr="000246DD" w:rsidR="00964863">
              <w:rPr>
                <w:rFonts w:ascii="Times New Roman" w:eastAsia="Times New Roman" w:hAnsi="Times New Roman"/>
                <w:sz w:val="20"/>
                <w:szCs w:val="20"/>
                <w:lang w:eastAsia="sk-SK"/>
              </w:rPr>
              <w:t>5. palív vyrobených z odpadov,</w:t>
            </w:r>
            <w:r w:rsidRPr="000246DD">
              <w:rPr>
                <w:rFonts w:ascii="Times New Roman" w:eastAsia="Times New Roman" w:hAnsi="Times New Roman"/>
                <w:sz w:val="20"/>
                <w:szCs w:val="20"/>
                <w:vertAlign w:val="superscript"/>
                <w:lang w:eastAsia="sk-SK"/>
              </w:rPr>
              <w:t>3</w:t>
            </w:r>
            <w:r>
              <w:rPr>
                <w:rFonts w:ascii="Times New Roman" w:eastAsia="Times New Roman" w:hAnsi="Times New Roman"/>
                <w:sz w:val="20"/>
                <w:szCs w:val="20"/>
                <w:lang w:eastAsia="sk-SK"/>
              </w:rPr>
              <w:t>)</w:t>
            </w:r>
          </w:p>
          <w:p w:rsidR="000246DD" w:rsidP="000246DD">
            <w:pPr>
              <w:spacing w:line="240" w:lineRule="atLeast"/>
              <w:ind w:left="-44" w:firstLine="44"/>
              <w:jc w:val="both"/>
            </w:pPr>
            <w:r>
              <w:rPr>
                <w:noProof/>
              </w:rPr>
              <w:pict>
                <v:shapetype id="_x0000_t32" coordsize="21600,21600" o:spt="32" o:oned="t" path="m,l21600,21600e" filled="f">
                  <v:path arrowok="t" fillok="f" o:connecttype="none"/>
                  <o:lock v:ext="edit" shapetype="t"/>
                </v:shapetype>
                <v:shape id="_x0000_s1025" type="#_x0000_t32" style="width:58.2pt;height:0;margin-top:5.4pt;margin-left:0.1pt;position:absolute;z-index:251658240" o:connectortype="straight"/>
              </w:pict>
            </w:r>
          </w:p>
          <w:p w:rsidR="000246DD" w:rsidP="000246DD">
            <w:pPr>
              <w:pStyle w:val="FootnoteText"/>
              <w:jc w:val="both"/>
              <w:rPr>
                <w:sz w:val="18"/>
                <w:szCs w:val="18"/>
              </w:rPr>
            </w:pPr>
            <w:r>
              <w:rPr>
                <w:sz w:val="18"/>
                <w:szCs w:val="18"/>
                <w:vertAlign w:val="superscript"/>
              </w:rPr>
              <w:t>1</w:t>
            </w:r>
            <w:r>
              <w:rPr>
                <w:sz w:val="18"/>
                <w:szCs w:val="18"/>
              </w:rPr>
              <w:t xml:space="preserve">) </w:t>
            </w:r>
            <w:r w:rsidRPr="000246DD">
              <w:rPr>
                <w:sz w:val="18"/>
                <w:szCs w:val="18"/>
              </w:rPr>
              <w:t>Vyhláška Ministerstva životného prostredia Slovenskej republiky č. ... /2022 Z. z. o požiadavkách na stacionárne zdroje</w:t>
            </w:r>
            <w:r w:rsidRPr="00E17F15">
              <w:rPr>
                <w:sz w:val="18"/>
                <w:szCs w:val="18"/>
              </w:rPr>
              <w:t xml:space="preserve">. </w:t>
            </w:r>
          </w:p>
          <w:p w:rsidR="000246DD" w:rsidP="000246DD">
            <w:pPr>
              <w:pStyle w:val="FootnoteText"/>
              <w:jc w:val="both"/>
              <w:rPr>
                <w:sz w:val="18"/>
                <w:szCs w:val="18"/>
              </w:rPr>
            </w:pPr>
            <w:r>
              <w:rPr>
                <w:sz w:val="18"/>
                <w:szCs w:val="18"/>
                <w:vertAlign w:val="superscript"/>
              </w:rPr>
              <w:t>2</w:t>
            </w:r>
            <w:r w:rsidRPr="00E17F15">
              <w:rPr>
                <w:sz w:val="18"/>
                <w:szCs w:val="18"/>
              </w:rPr>
              <w:t xml:space="preserve">) </w:t>
            </w:r>
            <w:r w:rsidRPr="000246DD">
              <w:rPr>
                <w:sz w:val="18"/>
                <w:szCs w:val="18"/>
              </w:rPr>
              <w:t>Vyhláška Ministerstva životného prostredia Slovenskej republiky č. ... /2022 Z. z. o požiadavkách na stacionárne zdroje</w:t>
            </w:r>
            <w:r w:rsidRPr="00E17F15">
              <w:rPr>
                <w:sz w:val="18"/>
                <w:szCs w:val="18"/>
              </w:rPr>
              <w:t>.</w:t>
            </w:r>
          </w:p>
          <w:p w:rsidR="000246DD" w:rsidRPr="000246DD" w:rsidP="000246DD">
            <w:pPr>
              <w:pStyle w:val="FootnoteText"/>
              <w:jc w:val="both"/>
              <w:rPr>
                <w:sz w:val="20"/>
                <w:lang w:eastAsia="sk-SK"/>
              </w:rPr>
            </w:pPr>
            <w:r>
              <w:rPr>
                <w:sz w:val="18"/>
                <w:szCs w:val="18"/>
                <w:vertAlign w:val="superscript"/>
              </w:rPr>
              <w:t>3</w:t>
            </w:r>
            <w:r w:rsidRPr="00E17F15">
              <w:rPr>
                <w:sz w:val="18"/>
                <w:szCs w:val="18"/>
              </w:rPr>
              <w:t xml:space="preserve">) </w:t>
            </w:r>
            <w:r w:rsidRPr="000246DD">
              <w:rPr>
                <w:sz w:val="18"/>
                <w:szCs w:val="18"/>
              </w:rPr>
              <w:t>§ 2 ods. 1 zákona č. 79/2015 Z. z o odpadoch a o zmene a doplnení niektorých zákonov</w:t>
            </w:r>
            <w:r w:rsidRPr="00E17F15">
              <w:rPr>
                <w:sz w:val="18"/>
                <w:szCs w:val="18"/>
              </w:rPr>
              <w:t xml:space="preserve">. </w:t>
            </w:r>
          </w:p>
        </w:tc>
        <w:tc>
          <w:tcPr>
            <w:tcW w:w="709" w:type="dxa"/>
            <w:tcBorders>
              <w:bottom w:val="single" w:sz="4" w:space="0" w:color="auto"/>
            </w:tcBorders>
          </w:tcPr>
          <w:p w:rsidR="00964863" w:rsidRPr="00D52C0C" w:rsidP="00964863">
            <w:pPr>
              <w:jc w:val="both"/>
              <w:rPr>
                <w:sz w:val="20"/>
              </w:rPr>
            </w:pPr>
            <w:r w:rsidRPr="00D52C0C">
              <w:rPr>
                <w:sz w:val="20"/>
              </w:rPr>
              <w:t>Ú</w:t>
            </w:r>
          </w:p>
        </w:tc>
        <w:tc>
          <w:tcPr>
            <w:tcW w:w="1417" w:type="dxa"/>
            <w:tcBorders>
              <w:bottom w:val="single" w:sz="4" w:space="0" w:color="auto"/>
            </w:tcBorders>
          </w:tcPr>
          <w:p w:rsidR="00964863" w:rsidRPr="00D52C0C" w:rsidP="00964863">
            <w:pPr>
              <w:jc w:val="both"/>
              <w:rPr>
                <w:sz w:val="20"/>
              </w:rPr>
            </w:pPr>
          </w:p>
        </w:tc>
      </w:tr>
      <w:tr w:rsidTr="000B581A">
        <w:tblPrEx>
          <w:tblW w:w="14954" w:type="dxa"/>
          <w:tblLayout w:type="fixed"/>
          <w:tblCellMar>
            <w:left w:w="70" w:type="dxa"/>
            <w:right w:w="70" w:type="dxa"/>
          </w:tblCellMar>
          <w:tblLook w:val="0000"/>
        </w:tblPrEx>
        <w:trPr>
          <w:trHeight w:val="1371"/>
        </w:trPr>
        <w:tc>
          <w:tcPr>
            <w:tcW w:w="779" w:type="dxa"/>
            <w:tcBorders>
              <w:top w:val="single" w:sz="4" w:space="0" w:color="auto"/>
              <w:bottom w:val="single" w:sz="4" w:space="0" w:color="auto"/>
            </w:tcBorders>
          </w:tcPr>
          <w:p w:rsidR="00980C15" w:rsidRPr="00D52C0C">
            <w:pPr>
              <w:jc w:val="both"/>
              <w:rPr>
                <w:sz w:val="20"/>
              </w:rPr>
            </w:pPr>
            <w:r w:rsidRPr="00D52C0C">
              <w:rPr>
                <w:sz w:val="20"/>
              </w:rPr>
              <w:t>Č1</w:t>
            </w:r>
          </w:p>
          <w:p w:rsidR="00980C15" w:rsidRPr="00D52C0C">
            <w:pPr>
              <w:jc w:val="both"/>
              <w:rPr>
                <w:sz w:val="20"/>
              </w:rPr>
            </w:pPr>
            <w:r w:rsidRPr="00D52C0C">
              <w:rPr>
                <w:sz w:val="20"/>
              </w:rPr>
              <w:t>O2</w:t>
            </w:r>
          </w:p>
        </w:tc>
        <w:tc>
          <w:tcPr>
            <w:tcW w:w="4536" w:type="dxa"/>
            <w:tcBorders>
              <w:top w:val="single" w:sz="4" w:space="0" w:color="auto"/>
              <w:bottom w:val="single" w:sz="4" w:space="0" w:color="auto"/>
            </w:tcBorders>
          </w:tcPr>
          <w:p w:rsidR="00C65331" w:rsidRPr="00D52C0C" w:rsidP="00C65331">
            <w:pPr>
              <w:pStyle w:val="CM4"/>
              <w:spacing w:before="60" w:after="60"/>
              <w:jc w:val="both"/>
              <w:rPr>
                <w:sz w:val="20"/>
                <w:szCs w:val="20"/>
              </w:rPr>
            </w:pPr>
            <w:r w:rsidRPr="00D52C0C">
              <w:rPr>
                <w:sz w:val="20"/>
                <w:szCs w:val="20"/>
              </w:rPr>
              <w:t xml:space="preserve">2. Zníženie emisií oxidu siričitého vznikajúcich spaľovaním niektorých kvapalných palív vyrábaných z ropy sa dosahuje zavedením maximálnych hodnôt obsahu síry v týchto palivách ako podmienky ich používania na území členských štátov, v ich výsostných vodách, vo výlučných hospodárskych zónach alebo v zónach kontroly znečisťovania. </w:t>
            </w:r>
          </w:p>
          <w:p w:rsidR="00DE15CC" w:rsidRPr="00D52C0C" w:rsidP="00C65331">
            <w:pPr>
              <w:pStyle w:val="CM4"/>
              <w:spacing w:before="60" w:after="60"/>
              <w:jc w:val="both"/>
              <w:rPr>
                <w:sz w:val="20"/>
                <w:szCs w:val="20"/>
              </w:rPr>
            </w:pPr>
          </w:p>
          <w:p w:rsidR="00DE15CC" w:rsidP="00C65331">
            <w:pPr>
              <w:pStyle w:val="CM4"/>
              <w:spacing w:before="60" w:after="60"/>
              <w:jc w:val="both"/>
              <w:rPr>
                <w:sz w:val="20"/>
                <w:szCs w:val="20"/>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E54ACB" w:rsidP="00E54ACB">
            <w:pPr>
              <w:rPr>
                <w:lang w:eastAsia="sk-SK"/>
              </w:rPr>
            </w:pPr>
          </w:p>
          <w:p w:rsidR="00140EF9" w:rsidP="00E54ACB">
            <w:pPr>
              <w:rPr>
                <w:lang w:eastAsia="sk-SK"/>
              </w:rPr>
            </w:pPr>
          </w:p>
          <w:p w:rsidR="00140EF9" w:rsidP="00E54ACB">
            <w:pPr>
              <w:rPr>
                <w:lang w:eastAsia="sk-SK"/>
              </w:rPr>
            </w:pPr>
          </w:p>
          <w:p w:rsidR="00140EF9" w:rsidP="00E54ACB">
            <w:pPr>
              <w:rPr>
                <w:lang w:eastAsia="sk-SK"/>
              </w:rPr>
            </w:pPr>
          </w:p>
          <w:p w:rsidR="00140EF9" w:rsidP="00E54ACB">
            <w:pPr>
              <w:rPr>
                <w:lang w:eastAsia="sk-SK"/>
              </w:rPr>
            </w:pPr>
          </w:p>
          <w:p w:rsidR="00140EF9" w:rsidP="00E54ACB">
            <w:pPr>
              <w:rPr>
                <w:lang w:eastAsia="sk-SK"/>
              </w:rPr>
            </w:pPr>
          </w:p>
          <w:p w:rsidR="00140EF9" w:rsidP="00E54ACB">
            <w:pPr>
              <w:rPr>
                <w:lang w:eastAsia="sk-SK"/>
              </w:rPr>
            </w:pPr>
          </w:p>
          <w:p w:rsidR="00140EF9" w:rsidP="00E54ACB">
            <w:pPr>
              <w:rPr>
                <w:lang w:eastAsia="sk-SK"/>
              </w:rPr>
            </w:pPr>
          </w:p>
          <w:p w:rsidR="00103D5F" w:rsidP="00E54ACB">
            <w:pPr>
              <w:rPr>
                <w:lang w:eastAsia="sk-SK"/>
              </w:rPr>
            </w:pPr>
          </w:p>
          <w:p w:rsidR="00103D5F" w:rsidP="00E54ACB">
            <w:pPr>
              <w:rPr>
                <w:lang w:eastAsia="sk-SK"/>
              </w:rPr>
            </w:pPr>
          </w:p>
          <w:p w:rsidR="00103D5F" w:rsidP="00E54ACB">
            <w:pPr>
              <w:rPr>
                <w:lang w:eastAsia="sk-SK"/>
              </w:rPr>
            </w:pPr>
          </w:p>
          <w:p w:rsidR="00103D5F" w:rsidP="00E54ACB">
            <w:pPr>
              <w:rPr>
                <w:lang w:eastAsia="sk-SK"/>
              </w:rPr>
            </w:pPr>
          </w:p>
          <w:p w:rsidR="00103D5F" w:rsidP="00E54ACB">
            <w:pPr>
              <w:rPr>
                <w:lang w:eastAsia="sk-SK"/>
              </w:rPr>
            </w:pPr>
          </w:p>
          <w:p w:rsidR="00103D5F" w:rsidP="00E54ACB">
            <w:pPr>
              <w:rPr>
                <w:lang w:eastAsia="sk-SK"/>
              </w:rPr>
            </w:pPr>
          </w:p>
          <w:p w:rsidR="00E54ACB" w:rsidRPr="00E54ACB" w:rsidP="00E54ACB">
            <w:pPr>
              <w:rPr>
                <w:lang w:eastAsia="sk-SK"/>
              </w:rPr>
            </w:pPr>
          </w:p>
          <w:p w:rsidR="00C65331" w:rsidRPr="00D52C0C" w:rsidP="00C65331">
            <w:pPr>
              <w:pStyle w:val="CM4"/>
              <w:spacing w:before="60" w:after="60"/>
              <w:jc w:val="both"/>
              <w:rPr>
                <w:sz w:val="20"/>
                <w:szCs w:val="20"/>
              </w:rPr>
            </w:pPr>
            <w:r w:rsidRPr="00D52C0C">
              <w:rPr>
                <w:sz w:val="20"/>
                <w:szCs w:val="20"/>
              </w:rPr>
              <w:t xml:space="preserve">Obmedzenia obsahu síry v niektorých kvapalných palivách vyrábaných z ropy, stanovené v tejto smernici, sa však nevzťahujú na: </w:t>
            </w:r>
          </w:p>
          <w:p w:rsidR="00C65331" w:rsidRPr="006F4FE5" w:rsidP="00C65331">
            <w:pPr>
              <w:pStyle w:val="CM4"/>
              <w:spacing w:before="60" w:after="60"/>
              <w:jc w:val="both"/>
              <w:rPr>
                <w:sz w:val="20"/>
                <w:szCs w:val="20"/>
              </w:rPr>
            </w:pPr>
            <w:r w:rsidRPr="006F4FE5">
              <w:rPr>
                <w:sz w:val="20"/>
                <w:szCs w:val="20"/>
              </w:rPr>
              <w:t xml:space="preserve">a) palivá určené na výskum a testovanie; </w:t>
            </w:r>
          </w:p>
          <w:p w:rsidR="00C65331" w:rsidRPr="006F4FE5" w:rsidP="00C65331">
            <w:pPr>
              <w:pStyle w:val="CM4"/>
              <w:spacing w:before="60" w:after="60"/>
              <w:jc w:val="both"/>
              <w:rPr>
                <w:sz w:val="20"/>
                <w:szCs w:val="20"/>
              </w:rPr>
            </w:pPr>
            <w:r w:rsidRPr="006F4FE5">
              <w:rPr>
                <w:sz w:val="20"/>
                <w:szCs w:val="20"/>
              </w:rPr>
              <w:t xml:space="preserve">b) palivá určené na spracovanie pred ich konečným spálením; </w:t>
            </w:r>
          </w:p>
          <w:p w:rsidR="00C65331" w:rsidP="00C65331">
            <w:pPr>
              <w:pStyle w:val="CM4"/>
              <w:spacing w:before="60" w:after="60"/>
              <w:jc w:val="both"/>
              <w:rPr>
                <w:sz w:val="20"/>
                <w:szCs w:val="20"/>
              </w:rPr>
            </w:pPr>
            <w:r w:rsidRPr="006F4FE5">
              <w:rPr>
                <w:sz w:val="20"/>
                <w:szCs w:val="20"/>
              </w:rPr>
              <w:t>c) palivá určené na spracovanie v rafinérskom priemysle;</w:t>
            </w:r>
            <w:r w:rsidRPr="00D52C0C">
              <w:rPr>
                <w:sz w:val="20"/>
                <w:szCs w:val="20"/>
              </w:rPr>
              <w:t xml:space="preserve"> </w:t>
            </w:r>
          </w:p>
          <w:p w:rsidR="00103D5F" w:rsidP="00103D5F">
            <w:pPr>
              <w:rPr>
                <w:lang w:eastAsia="sk-SK"/>
              </w:rPr>
            </w:pPr>
          </w:p>
          <w:p w:rsidR="00103D5F" w:rsidP="00103D5F">
            <w:pPr>
              <w:rPr>
                <w:lang w:eastAsia="sk-SK"/>
              </w:rPr>
            </w:pPr>
          </w:p>
          <w:p w:rsidR="00103D5F" w:rsidP="00103D5F">
            <w:pPr>
              <w:rPr>
                <w:lang w:eastAsia="sk-SK"/>
              </w:rPr>
            </w:pPr>
          </w:p>
          <w:p w:rsidR="00103D5F" w:rsidP="00103D5F">
            <w:pPr>
              <w:rPr>
                <w:lang w:eastAsia="sk-SK"/>
              </w:rPr>
            </w:pPr>
          </w:p>
          <w:p w:rsidR="00103D5F" w:rsidP="00103D5F">
            <w:pPr>
              <w:rPr>
                <w:lang w:eastAsia="sk-SK"/>
              </w:rPr>
            </w:pPr>
          </w:p>
          <w:p w:rsidR="00103D5F" w:rsidP="00103D5F">
            <w:pPr>
              <w:rPr>
                <w:lang w:eastAsia="sk-SK"/>
              </w:rPr>
            </w:pPr>
          </w:p>
          <w:p w:rsidR="00103D5F" w:rsidRPr="00103D5F" w:rsidP="00103D5F">
            <w:pPr>
              <w:rPr>
                <w:lang w:eastAsia="sk-SK"/>
              </w:rPr>
            </w:pPr>
          </w:p>
          <w:p w:rsidR="00C65331" w:rsidRPr="00D52C0C" w:rsidP="00C65331">
            <w:pPr>
              <w:pStyle w:val="CM4"/>
              <w:spacing w:before="60" w:after="60"/>
              <w:jc w:val="both"/>
              <w:rPr>
                <w:sz w:val="20"/>
                <w:szCs w:val="20"/>
              </w:rPr>
            </w:pPr>
            <w:r w:rsidRPr="00D52C0C">
              <w:rPr>
                <w:sz w:val="20"/>
                <w:szCs w:val="20"/>
              </w:rPr>
              <w:t>d) palivá používané a uvedené na trh v najvzdialenejších regiónoch Spoločenstva za predpokladu, že príslušné členské štáty zabezpečia, aby s</w:t>
            </w:r>
            <w:r w:rsidRPr="00D52C0C">
              <w:rPr>
                <w:sz w:val="20"/>
                <w:szCs w:val="20"/>
              </w:rPr>
              <w:t xml:space="preserve">a v týchto regiónoch: </w:t>
            </w:r>
          </w:p>
          <w:p w:rsidR="00C65331" w:rsidRPr="00D52C0C" w:rsidP="00C65331">
            <w:pPr>
              <w:pStyle w:val="CM4"/>
              <w:spacing w:before="60" w:after="60"/>
              <w:jc w:val="both"/>
              <w:rPr>
                <w:sz w:val="20"/>
                <w:szCs w:val="20"/>
              </w:rPr>
            </w:pPr>
            <w:r w:rsidRPr="00D52C0C" w:rsidR="00DE15CC">
              <w:rPr>
                <w:sz w:val="20"/>
                <w:szCs w:val="20"/>
              </w:rPr>
              <w:t>-</w:t>
            </w:r>
            <w:r w:rsidRPr="00D52C0C">
              <w:rPr>
                <w:sz w:val="20"/>
                <w:szCs w:val="20"/>
              </w:rPr>
              <w:t xml:space="preserve"> dodržiavali normy kvality ovzdušia, </w:t>
            </w:r>
          </w:p>
          <w:p w:rsidR="00C65331" w:rsidP="00C65331">
            <w:pPr>
              <w:pStyle w:val="CM4"/>
              <w:spacing w:before="60" w:after="60"/>
              <w:jc w:val="both"/>
              <w:rPr>
                <w:sz w:val="20"/>
                <w:szCs w:val="20"/>
              </w:rPr>
            </w:pPr>
            <w:r w:rsidRPr="00D52C0C" w:rsidR="00DE15CC">
              <w:rPr>
                <w:sz w:val="20"/>
                <w:szCs w:val="20"/>
              </w:rPr>
              <w:t>-</w:t>
            </w:r>
            <w:r w:rsidRPr="00D52C0C">
              <w:rPr>
                <w:sz w:val="20"/>
                <w:szCs w:val="20"/>
              </w:rPr>
              <w:t xml:space="preserve"> nepoužívali ťažké vykurovacie oleje, ktorých obsah síry presahuje 3 % hmotnostné; </w:t>
            </w:r>
          </w:p>
          <w:p w:rsidR="001D04AB" w:rsidP="001D04AB">
            <w:pPr>
              <w:rPr>
                <w:lang w:eastAsia="sk-SK"/>
              </w:rPr>
            </w:pPr>
          </w:p>
          <w:p w:rsidR="001D04AB" w:rsidP="001D04AB">
            <w:pPr>
              <w:rPr>
                <w:lang w:eastAsia="sk-SK"/>
              </w:rPr>
            </w:pPr>
          </w:p>
          <w:p w:rsidR="001D04AB" w:rsidRPr="001D04AB" w:rsidP="001D04AB">
            <w:pPr>
              <w:rPr>
                <w:lang w:eastAsia="sk-SK"/>
              </w:rPr>
            </w:pPr>
          </w:p>
          <w:p w:rsidR="00C65331" w:rsidP="00C65331">
            <w:pPr>
              <w:pStyle w:val="CM4"/>
              <w:spacing w:before="60" w:after="60"/>
              <w:jc w:val="both"/>
              <w:rPr>
                <w:sz w:val="20"/>
                <w:szCs w:val="20"/>
              </w:rPr>
            </w:pPr>
            <w:r w:rsidRPr="00D52C0C">
              <w:rPr>
                <w:sz w:val="20"/>
                <w:szCs w:val="20"/>
              </w:rPr>
              <w:t xml:space="preserve">e) palivá, ktoré používajú vojenské lode a iné vojenské plavidlá. Každý členský štát sa však snaží zabezpečiť prijatím vhodných opatrení neobmedzujúcich prevádzku alebo akcieschopnosť takýchto lodí, aby sa tieto lode prevádzkovali v súlade s touto smernicou, pokiaľ je to primerané a praktické; </w:t>
            </w:r>
          </w:p>
          <w:p w:rsidR="001D04AB" w:rsidP="001D04AB">
            <w:pPr>
              <w:rPr>
                <w:lang w:eastAsia="sk-SK"/>
              </w:rPr>
            </w:pPr>
          </w:p>
          <w:p w:rsidR="001D04AB" w:rsidP="001D04AB">
            <w:pPr>
              <w:rPr>
                <w:lang w:eastAsia="sk-SK"/>
              </w:rPr>
            </w:pPr>
          </w:p>
          <w:p w:rsidR="001D04AB" w:rsidRPr="001D04AB" w:rsidP="001D04AB">
            <w:pPr>
              <w:rPr>
                <w:lang w:eastAsia="sk-SK"/>
              </w:rPr>
            </w:pPr>
          </w:p>
          <w:p w:rsidR="00C65331" w:rsidRPr="00D52C0C" w:rsidP="00C65331">
            <w:pPr>
              <w:pStyle w:val="CM4"/>
              <w:spacing w:before="60" w:after="60"/>
              <w:jc w:val="both"/>
              <w:rPr>
                <w:sz w:val="20"/>
                <w:szCs w:val="20"/>
              </w:rPr>
            </w:pPr>
            <w:r w:rsidRPr="00D52C0C">
              <w:rPr>
                <w:sz w:val="20"/>
                <w:szCs w:val="20"/>
              </w:rPr>
              <w:t xml:space="preserve">f) akékoľvek použitie palív v plavidle, potrebné na osobitný účel zaistenia bezpečnosti lode alebo záchrany života na mori; </w:t>
            </w:r>
          </w:p>
          <w:p w:rsidR="00C65331" w:rsidP="00C65331">
            <w:pPr>
              <w:pStyle w:val="CM4"/>
              <w:spacing w:before="60" w:after="60"/>
              <w:jc w:val="both"/>
              <w:rPr>
                <w:sz w:val="20"/>
                <w:szCs w:val="20"/>
              </w:rPr>
            </w:pPr>
            <w:r w:rsidRPr="00D52C0C">
              <w:rPr>
                <w:sz w:val="20"/>
                <w:szCs w:val="20"/>
              </w:rPr>
              <w:t xml:space="preserve">g) akékoľvek použitie palív na lodi, vynútené poškodením lode alebo jej zariadenia, ak sa po vzniku škody uskutočňujú všetky primerané opatrenia na vylúčenie alebo minimalizovanie nadmerných emisií a ak sa čo najskôr prijmú opatrenia na odstránenie škody. Toto ustanovenie sa neuplatňuje v prípade, ak vlastník alebo veliteľ lode spôsobili škodu úmyselne alebo z nedbanlivosti; </w:t>
            </w:r>
          </w:p>
          <w:p w:rsidR="001D04AB" w:rsidRPr="001D04AB" w:rsidP="001D04AB">
            <w:pPr>
              <w:rPr>
                <w:lang w:eastAsia="sk-SK"/>
              </w:rPr>
            </w:pPr>
          </w:p>
          <w:p w:rsidR="00C65331" w:rsidRPr="00D52C0C" w:rsidP="00C65331">
            <w:pPr>
              <w:autoSpaceDE w:val="0"/>
              <w:autoSpaceDN w:val="0"/>
              <w:adjustRightInd w:val="0"/>
              <w:jc w:val="both"/>
              <w:rPr>
                <w:color w:val="231F20"/>
                <w:sz w:val="20"/>
                <w:lang w:eastAsia="sk-SK"/>
              </w:rPr>
            </w:pPr>
            <w:r w:rsidRPr="00D52C0C">
              <w:rPr>
                <w:sz w:val="20"/>
                <w:lang w:eastAsia="sk-SK"/>
              </w:rPr>
              <w:t>h) bez toho, aby bol dotknutý článok 3a, palivá používané na palubách plavidiel, ktoré používajú metódy znižovania emisií v súlade s článkami 4c a 4e.</w:t>
            </w:r>
          </w:p>
        </w:tc>
        <w:tc>
          <w:tcPr>
            <w:tcW w:w="851" w:type="dxa"/>
            <w:tcBorders>
              <w:top w:val="single" w:sz="4" w:space="0" w:color="auto"/>
              <w:bottom w:val="single" w:sz="4" w:space="0" w:color="auto"/>
            </w:tcBorders>
          </w:tcPr>
          <w:p w:rsidR="003060AB" w:rsidRPr="00D52C0C">
            <w:pPr>
              <w:jc w:val="both"/>
              <w:rPr>
                <w:sz w:val="20"/>
              </w:rPr>
            </w:pPr>
            <w:r w:rsidRPr="00D52C0C">
              <w:rPr>
                <w:sz w:val="20"/>
              </w:rPr>
              <w:t>N</w:t>
            </w:r>
          </w:p>
        </w:tc>
        <w:tc>
          <w:tcPr>
            <w:tcW w:w="850" w:type="dxa"/>
            <w:tcBorders>
              <w:top w:val="single" w:sz="4" w:space="0" w:color="auto"/>
              <w:bottom w:val="single" w:sz="4" w:space="0" w:color="auto"/>
            </w:tcBorders>
          </w:tcPr>
          <w:p w:rsidR="003060AB" w:rsidRPr="00D52C0C">
            <w:pPr>
              <w:jc w:val="both"/>
              <w:rPr>
                <w:sz w:val="20"/>
              </w:rPr>
            </w:pPr>
            <w:r w:rsidRPr="00D52C0C" w:rsidR="004F2084">
              <w:rPr>
                <w:sz w:val="20"/>
              </w:rPr>
              <w:t>NV</w:t>
            </w:r>
          </w:p>
        </w:tc>
        <w:tc>
          <w:tcPr>
            <w:tcW w:w="851" w:type="dxa"/>
            <w:tcBorders>
              <w:top w:val="single" w:sz="4" w:space="0" w:color="auto"/>
              <w:bottom w:val="single" w:sz="4" w:space="0" w:color="auto"/>
            </w:tcBorders>
          </w:tcPr>
          <w:p w:rsidR="003060AB" w:rsidP="003060AB">
            <w:pPr>
              <w:pStyle w:val="BodyText21"/>
              <w:spacing w:before="0"/>
            </w:pPr>
            <w:r w:rsidRPr="00D52C0C" w:rsidR="00D815CD">
              <w:t>§4</w:t>
            </w:r>
          </w:p>
          <w:p w:rsidR="00140EF9" w:rsidP="003060AB">
            <w:pPr>
              <w:pStyle w:val="BodyText21"/>
              <w:spacing w:before="0"/>
            </w:pPr>
          </w:p>
          <w:p w:rsidR="00140EF9" w:rsidP="003060AB">
            <w:pPr>
              <w:pStyle w:val="BodyText21"/>
              <w:spacing w:before="0"/>
            </w:pPr>
          </w:p>
          <w:p w:rsidR="00D815CD" w:rsidRPr="00D52C0C" w:rsidP="003060AB">
            <w:pPr>
              <w:pStyle w:val="BodyText21"/>
              <w:spacing w:before="0"/>
            </w:pPr>
            <w:r w:rsidRPr="00D52C0C">
              <w:t>O1</w:t>
            </w:r>
          </w:p>
          <w:p w:rsidR="00685CEC" w:rsidRPr="00D52C0C" w:rsidP="00685CEC">
            <w:pPr>
              <w:pStyle w:val="BodyText21"/>
            </w:pPr>
          </w:p>
          <w:p w:rsidR="00685CEC" w:rsidP="00685CEC">
            <w:pPr>
              <w:pStyle w:val="BodyText21"/>
              <w:spacing w:before="0"/>
            </w:pPr>
            <w:r w:rsidRPr="00D52C0C">
              <w:t>O2</w:t>
            </w:r>
          </w:p>
          <w:p w:rsidR="00E54ACB" w:rsidP="00685CEC">
            <w:pPr>
              <w:pStyle w:val="BodyText21"/>
              <w:spacing w:before="0"/>
            </w:pPr>
          </w:p>
          <w:p w:rsidR="00E54ACB" w:rsidRPr="00D52C0C" w:rsidP="00685CEC">
            <w:pPr>
              <w:pStyle w:val="BodyText21"/>
              <w:spacing w:before="0"/>
            </w:pPr>
            <w:r>
              <w:t>O3</w:t>
            </w: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E54ACB" w:rsidP="00BC5CE9">
            <w:pPr>
              <w:pStyle w:val="BodyText21"/>
            </w:pPr>
          </w:p>
          <w:p w:rsidR="00140EF9" w:rsidP="00BC5CE9">
            <w:pPr>
              <w:pStyle w:val="BodyText21"/>
            </w:pPr>
          </w:p>
          <w:p w:rsidR="00140EF9" w:rsidP="00BC5CE9">
            <w:pPr>
              <w:pStyle w:val="BodyText21"/>
            </w:pPr>
          </w:p>
          <w:p w:rsidR="00140EF9" w:rsidP="00BC5CE9">
            <w:pPr>
              <w:pStyle w:val="BodyText21"/>
            </w:pPr>
          </w:p>
          <w:p w:rsidR="00140EF9" w:rsidP="00BC5CE9">
            <w:pPr>
              <w:pStyle w:val="BodyText21"/>
            </w:pPr>
          </w:p>
          <w:p w:rsidR="00140EF9" w:rsidP="00BC5CE9">
            <w:pPr>
              <w:pStyle w:val="BodyText21"/>
            </w:pPr>
          </w:p>
          <w:p w:rsidR="00140EF9" w:rsidP="00BC5CE9">
            <w:pPr>
              <w:pStyle w:val="BodyText21"/>
            </w:pPr>
          </w:p>
          <w:p w:rsidR="00140EF9" w:rsidP="00BC5CE9">
            <w:pPr>
              <w:pStyle w:val="BodyText21"/>
            </w:pPr>
          </w:p>
          <w:p w:rsidR="00685CEC" w:rsidRPr="00D52C0C" w:rsidP="00BC5CE9">
            <w:pPr>
              <w:pStyle w:val="BodyText21"/>
            </w:pPr>
            <w:r w:rsidR="00E54ACB">
              <w:t>§6</w:t>
            </w:r>
          </w:p>
          <w:p w:rsidR="00685CEC" w:rsidRPr="00D52C0C" w:rsidP="00685CEC">
            <w:pPr>
              <w:pStyle w:val="BodyText21"/>
              <w:spacing w:before="0"/>
            </w:pPr>
            <w:r w:rsidRPr="00D52C0C" w:rsidR="00B963E2">
              <w:t>O3</w:t>
            </w:r>
          </w:p>
          <w:p w:rsidR="00685CEC" w:rsidRPr="00D52C0C" w:rsidP="00685CEC">
            <w:pPr>
              <w:pStyle w:val="BodyText21"/>
              <w:spacing w:before="0"/>
            </w:pPr>
          </w:p>
          <w:p w:rsidR="00BC5CE9" w:rsidP="00685CEC">
            <w:pPr>
              <w:pStyle w:val="BodyText21"/>
              <w:spacing w:before="0"/>
            </w:pPr>
          </w:p>
          <w:p w:rsidR="00103D5F" w:rsidP="00685CEC">
            <w:pPr>
              <w:pStyle w:val="BodyText21"/>
              <w:spacing w:before="0"/>
            </w:pPr>
          </w:p>
          <w:p w:rsidR="000624DA" w:rsidP="00685CEC">
            <w:pPr>
              <w:pStyle w:val="BodyText21"/>
              <w:spacing w:before="0"/>
            </w:pPr>
          </w:p>
          <w:p w:rsidR="00685CEC" w:rsidRPr="00D52C0C" w:rsidP="00685CEC">
            <w:pPr>
              <w:pStyle w:val="BodyText21"/>
              <w:spacing w:before="0"/>
            </w:pPr>
            <w:r w:rsidR="00027385">
              <w:t>§1</w:t>
            </w:r>
          </w:p>
          <w:p w:rsidR="00685CEC" w:rsidP="00685CEC">
            <w:pPr>
              <w:pStyle w:val="BodyText21"/>
              <w:spacing w:before="0"/>
            </w:pPr>
            <w:r w:rsidR="00027385">
              <w:t>O2</w:t>
            </w:r>
          </w:p>
          <w:p w:rsidR="00027385" w:rsidP="00685CEC">
            <w:pPr>
              <w:pStyle w:val="BodyText21"/>
              <w:spacing w:before="0"/>
            </w:pPr>
          </w:p>
          <w:p w:rsidR="00027385" w:rsidP="00685CEC">
            <w:pPr>
              <w:pStyle w:val="BodyText21"/>
              <w:spacing w:before="0"/>
            </w:pPr>
          </w:p>
          <w:p w:rsidR="00027385" w:rsidP="00685CEC">
            <w:pPr>
              <w:pStyle w:val="BodyText21"/>
              <w:spacing w:before="0"/>
            </w:pPr>
          </w:p>
          <w:p w:rsidR="00027385" w:rsidP="00685CEC">
            <w:pPr>
              <w:pStyle w:val="BodyText21"/>
              <w:spacing w:before="0"/>
            </w:pPr>
          </w:p>
          <w:p w:rsidR="00027385" w:rsidP="00685CEC">
            <w:pPr>
              <w:pStyle w:val="BodyText21"/>
              <w:spacing w:before="0"/>
            </w:pPr>
          </w:p>
          <w:p w:rsidR="00027385" w:rsidP="00685CEC">
            <w:pPr>
              <w:pStyle w:val="BodyText21"/>
              <w:spacing w:before="0"/>
            </w:pPr>
          </w:p>
          <w:p w:rsidR="003D7B57" w:rsidP="00685CEC">
            <w:pPr>
              <w:pStyle w:val="BodyText21"/>
              <w:spacing w:before="0"/>
            </w:pPr>
          </w:p>
          <w:p w:rsidR="00103D5F" w:rsidP="00685CEC">
            <w:pPr>
              <w:pStyle w:val="BodyText21"/>
              <w:spacing w:before="0"/>
            </w:pPr>
          </w:p>
          <w:p w:rsidR="00103D5F" w:rsidP="00685CEC">
            <w:pPr>
              <w:pStyle w:val="BodyText21"/>
              <w:spacing w:before="0"/>
            </w:pPr>
          </w:p>
          <w:p w:rsidR="00027385" w:rsidP="00685CEC">
            <w:pPr>
              <w:pStyle w:val="BodyText21"/>
              <w:spacing w:before="0"/>
            </w:pPr>
          </w:p>
          <w:p w:rsidR="00027385" w:rsidP="00685CEC">
            <w:pPr>
              <w:pStyle w:val="BodyText21"/>
              <w:spacing w:before="0"/>
            </w:pPr>
            <w:r>
              <w:t>§6</w:t>
            </w:r>
          </w:p>
          <w:p w:rsidR="00027385" w:rsidP="00685CEC">
            <w:pPr>
              <w:pStyle w:val="BodyText21"/>
              <w:spacing w:before="0"/>
            </w:pPr>
            <w:r>
              <w:t>O8</w:t>
            </w:r>
          </w:p>
          <w:p w:rsidR="002E0AD4" w:rsidP="00685CEC">
            <w:pPr>
              <w:pStyle w:val="BodyText21"/>
              <w:spacing w:before="0"/>
            </w:pPr>
          </w:p>
          <w:p w:rsidR="002E0AD4" w:rsidP="00685CEC">
            <w:pPr>
              <w:pStyle w:val="BodyText21"/>
              <w:spacing w:before="0"/>
            </w:pPr>
          </w:p>
          <w:p w:rsidR="002E0AD4" w:rsidP="00685CEC">
            <w:pPr>
              <w:pStyle w:val="BodyText21"/>
              <w:spacing w:before="0"/>
            </w:pPr>
          </w:p>
          <w:p w:rsidR="002E0AD4" w:rsidP="00685CEC">
            <w:pPr>
              <w:pStyle w:val="BodyText21"/>
              <w:spacing w:before="0"/>
            </w:pPr>
          </w:p>
          <w:p w:rsidR="00027385" w:rsidP="00685CEC">
            <w:pPr>
              <w:pStyle w:val="BodyText21"/>
              <w:spacing w:before="0"/>
            </w:pPr>
            <w:r>
              <w:t>Pd</w:t>
            </w:r>
          </w:p>
          <w:p w:rsidR="00027385" w:rsidP="00685CEC">
            <w:pPr>
              <w:pStyle w:val="BodyText21"/>
              <w:spacing w:before="0"/>
            </w:pPr>
          </w:p>
          <w:p w:rsidR="00027385" w:rsidP="00685CEC">
            <w:pPr>
              <w:pStyle w:val="BodyText21"/>
              <w:spacing w:before="0"/>
            </w:pPr>
          </w:p>
          <w:p w:rsidR="00027385" w:rsidP="00685CEC">
            <w:pPr>
              <w:pStyle w:val="BodyText21"/>
              <w:spacing w:before="0"/>
            </w:pPr>
          </w:p>
          <w:p w:rsidR="00027385" w:rsidP="00685CEC">
            <w:pPr>
              <w:pStyle w:val="BodyText21"/>
              <w:spacing w:before="0"/>
            </w:pPr>
          </w:p>
          <w:p w:rsidR="00103D5F" w:rsidP="00685CEC">
            <w:pPr>
              <w:pStyle w:val="BodyText21"/>
              <w:spacing w:before="0"/>
            </w:pPr>
          </w:p>
          <w:p w:rsidR="00103D5F" w:rsidP="00685CEC">
            <w:pPr>
              <w:pStyle w:val="BodyText21"/>
              <w:spacing w:before="0"/>
            </w:pPr>
          </w:p>
          <w:p w:rsidR="001D04AB" w:rsidP="00685CEC">
            <w:pPr>
              <w:pStyle w:val="BodyText21"/>
              <w:spacing w:before="0"/>
            </w:pPr>
          </w:p>
          <w:p w:rsidR="001D04AB" w:rsidP="00685CEC">
            <w:pPr>
              <w:pStyle w:val="BodyText21"/>
              <w:spacing w:before="0"/>
            </w:pPr>
          </w:p>
          <w:p w:rsidR="00103D5F" w:rsidP="00685CEC">
            <w:pPr>
              <w:pStyle w:val="BodyText21"/>
              <w:spacing w:before="0"/>
            </w:pPr>
          </w:p>
          <w:p w:rsidR="00027385" w:rsidP="00685CEC">
            <w:pPr>
              <w:pStyle w:val="BodyText21"/>
              <w:spacing w:before="0"/>
            </w:pPr>
          </w:p>
          <w:p w:rsidR="00027385" w:rsidP="00685CEC">
            <w:pPr>
              <w:pStyle w:val="BodyText21"/>
              <w:spacing w:before="0"/>
            </w:pPr>
            <w:r>
              <w:t>Pe</w:t>
            </w:r>
          </w:p>
          <w:p w:rsidR="006F4FE5" w:rsidP="00685CEC">
            <w:pPr>
              <w:pStyle w:val="BodyText21"/>
              <w:spacing w:before="0"/>
            </w:pPr>
          </w:p>
          <w:p w:rsidR="006F4FE5" w:rsidP="00685CEC">
            <w:pPr>
              <w:pStyle w:val="BodyText21"/>
              <w:spacing w:before="0"/>
            </w:pPr>
          </w:p>
          <w:p w:rsidR="006F4FE5" w:rsidP="00685CEC">
            <w:pPr>
              <w:pStyle w:val="BodyText21"/>
              <w:spacing w:before="0"/>
            </w:pPr>
          </w:p>
          <w:p w:rsidR="006F4FE5" w:rsidP="00685CEC">
            <w:pPr>
              <w:pStyle w:val="BodyText21"/>
              <w:spacing w:before="0"/>
            </w:pPr>
          </w:p>
          <w:p w:rsidR="006F4FE5" w:rsidP="00685CEC">
            <w:pPr>
              <w:pStyle w:val="BodyText21"/>
              <w:spacing w:before="0"/>
            </w:pPr>
          </w:p>
          <w:p w:rsidR="004A531C" w:rsidP="00685CEC">
            <w:pPr>
              <w:pStyle w:val="BodyText21"/>
              <w:spacing w:before="0"/>
            </w:pPr>
          </w:p>
          <w:p w:rsidR="006F4FE5" w:rsidP="00685CEC">
            <w:pPr>
              <w:pStyle w:val="BodyText21"/>
              <w:spacing w:before="0"/>
            </w:pPr>
          </w:p>
          <w:p w:rsidR="001D04AB" w:rsidP="00685CEC">
            <w:pPr>
              <w:pStyle w:val="BodyText21"/>
              <w:spacing w:before="0"/>
            </w:pPr>
          </w:p>
          <w:p w:rsidR="006F4FE5" w:rsidP="00685CEC">
            <w:pPr>
              <w:pStyle w:val="BodyText21"/>
              <w:spacing w:before="0"/>
            </w:pPr>
          </w:p>
          <w:p w:rsidR="006F4FE5" w:rsidP="00685CEC">
            <w:pPr>
              <w:pStyle w:val="BodyText21"/>
              <w:spacing w:before="0"/>
            </w:pPr>
            <w:r>
              <w:t>Pc</w:t>
            </w: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P="00685CEC">
            <w:pPr>
              <w:pStyle w:val="BodyText21"/>
              <w:spacing w:before="0"/>
            </w:pPr>
          </w:p>
          <w:p w:rsidR="001D04AB" w:rsidRPr="00D52C0C" w:rsidP="00685CEC">
            <w:pPr>
              <w:pStyle w:val="BodyText21"/>
              <w:spacing w:before="0"/>
            </w:pPr>
            <w:r>
              <w:t>Pf</w:t>
            </w:r>
          </w:p>
        </w:tc>
        <w:tc>
          <w:tcPr>
            <w:tcW w:w="4961" w:type="dxa"/>
            <w:tcBorders>
              <w:top w:val="single" w:sz="4" w:space="0" w:color="auto"/>
              <w:bottom w:val="single" w:sz="4" w:space="0" w:color="auto"/>
            </w:tcBorders>
          </w:tcPr>
          <w:p w:rsidR="00140EF9" w:rsidRPr="00140EF9" w:rsidP="00140EF9">
            <w:pPr>
              <w:tabs>
                <w:tab w:val="left" w:pos="851"/>
              </w:tabs>
              <w:spacing w:after="120"/>
              <w:jc w:val="both"/>
              <w:rPr>
                <w:b/>
                <w:sz w:val="20"/>
                <w:lang w:eastAsia="sk-SK"/>
              </w:rPr>
            </w:pPr>
            <w:r w:rsidRPr="00140EF9" w:rsidR="00DE15CC">
              <w:rPr>
                <w:b/>
                <w:sz w:val="20"/>
                <w:lang w:eastAsia="sk-SK"/>
              </w:rPr>
              <w:t xml:space="preserve"> </w:t>
            </w:r>
            <w:r w:rsidRPr="00140EF9">
              <w:rPr>
                <w:b/>
                <w:sz w:val="20"/>
                <w:lang w:eastAsia="sk-SK"/>
              </w:rPr>
              <w:t>§ 4</w:t>
            </w:r>
          </w:p>
          <w:p w:rsidR="00140EF9" w:rsidRPr="00140EF9" w:rsidP="00140EF9">
            <w:pPr>
              <w:tabs>
                <w:tab w:val="left" w:pos="851"/>
              </w:tabs>
              <w:spacing w:after="120"/>
              <w:jc w:val="both"/>
              <w:rPr>
                <w:b/>
                <w:sz w:val="20"/>
                <w:lang w:eastAsia="sk-SK"/>
              </w:rPr>
            </w:pPr>
            <w:r w:rsidRPr="00140EF9">
              <w:rPr>
                <w:b/>
                <w:sz w:val="20"/>
                <w:lang w:eastAsia="sk-SK"/>
              </w:rPr>
              <w:t>Vykurovacie oleje</w:t>
            </w:r>
          </w:p>
          <w:p w:rsidR="00B84BC0" w:rsidRPr="003D7B57" w:rsidP="00140EF9">
            <w:pPr>
              <w:pStyle w:val="odsek1"/>
            </w:pPr>
            <w:r w:rsidRPr="003D7B57" w:rsidR="00140EF9">
              <w:t xml:space="preserve"> </w:t>
            </w:r>
            <w:r w:rsidRPr="003D7B57" w:rsidR="00DE15CC">
              <w:t xml:space="preserve">(1) </w:t>
            </w:r>
            <w:r w:rsidRPr="003D7B57">
              <w:t>Vykurovací plynový olej nesmie obsahovať viac síry ako 0,1 % hmotnosti.</w:t>
            </w:r>
          </w:p>
          <w:p w:rsidR="00E54ACB" w:rsidRPr="003D7B57" w:rsidP="000C7FA1">
            <w:pPr>
              <w:pStyle w:val="odsek1"/>
            </w:pPr>
            <w:r w:rsidRPr="003D7B57" w:rsidR="00B84BC0">
              <w:t xml:space="preserve"> </w:t>
            </w:r>
            <w:r w:rsidRPr="003D7B57" w:rsidR="00DE15CC">
              <w:t xml:space="preserve">(2) </w:t>
            </w:r>
            <w:r w:rsidRPr="003D7B57" w:rsidR="00B84BC0">
              <w:t>Ťažký vykurovací olej nesmie obsahovať viac síry ako 1 % hmotnosti, okrem výnimky podľa odseku 3.</w:t>
            </w:r>
          </w:p>
          <w:p w:rsidR="00E54ACB" w:rsidRPr="003D7B57" w:rsidP="00140EF9">
            <w:pPr>
              <w:tabs>
                <w:tab w:val="left" w:pos="851"/>
              </w:tabs>
              <w:spacing w:after="120" w:line="276" w:lineRule="auto"/>
              <w:jc w:val="both"/>
              <w:rPr>
                <w:color w:val="231F20"/>
                <w:sz w:val="20"/>
                <w:lang w:eastAsia="sk-SK"/>
              </w:rPr>
            </w:pPr>
            <w:r w:rsidRPr="003D7B57" w:rsidR="00DE15CC">
              <w:rPr>
                <w:color w:val="231F20"/>
                <w:sz w:val="20"/>
                <w:lang w:eastAsia="sk-SK"/>
              </w:rPr>
              <w:t xml:space="preserve">(3) </w:t>
            </w:r>
            <w:r w:rsidRPr="003D7B57">
              <w:rPr>
                <w:color w:val="231F20"/>
                <w:sz w:val="20"/>
                <w:lang w:eastAsia="sk-SK"/>
              </w:rPr>
              <w:t xml:space="preserve">Ťažký vykurovací olej môže mať obsah síry viac ako 1 %, najviac však 3 % hmotnosti, ak je určený na spaľovanie v technologickom celku, ktorým je  </w:t>
            </w:r>
          </w:p>
          <w:p w:rsidR="00E54ACB" w:rsidRPr="003D7B57" w:rsidP="00443B05">
            <w:pPr>
              <w:pStyle w:val="ListParagraph"/>
              <w:numPr>
                <w:ilvl w:val="0"/>
                <w:numId w:val="10"/>
              </w:numPr>
              <w:tabs>
                <w:tab w:val="left" w:pos="851"/>
              </w:tabs>
              <w:spacing w:after="120"/>
              <w:jc w:val="both"/>
              <w:rPr>
                <w:rFonts w:ascii="Times New Roman" w:hAnsi="Times New Roman"/>
                <w:sz w:val="20"/>
                <w:szCs w:val="20"/>
              </w:rPr>
            </w:pPr>
            <w:r w:rsidRPr="003D7B57">
              <w:rPr>
                <w:rFonts w:ascii="Times New Roman" w:hAnsi="Times New Roman"/>
                <w:sz w:val="20"/>
                <w:szCs w:val="20"/>
              </w:rPr>
              <w:t>veľké spaľovacie zariadenie, ktoré uplatňuje emisný limit pre oxid siričitý podľa osobitného predpisu,</w:t>
            </w:r>
            <w:r w:rsidR="00140EF9">
              <w:rPr>
                <w:rFonts w:ascii="Times New Roman" w:hAnsi="Times New Roman"/>
                <w:sz w:val="20"/>
                <w:szCs w:val="20"/>
                <w:vertAlign w:val="superscript"/>
              </w:rPr>
              <w:t>19</w:t>
            </w:r>
            <w:r w:rsidRPr="00140EF9" w:rsidR="00140EF9">
              <w:rPr>
                <w:rFonts w:ascii="Times New Roman" w:hAnsi="Times New Roman"/>
                <w:sz w:val="20"/>
                <w:szCs w:val="20"/>
              </w:rPr>
              <w:t>)</w:t>
            </w:r>
            <w:r w:rsidRPr="003D7B57">
              <w:rPr>
                <w:rFonts w:ascii="Times New Roman" w:hAnsi="Times New Roman"/>
                <w:sz w:val="20"/>
                <w:szCs w:val="20"/>
              </w:rPr>
              <w:t xml:space="preserve"> alebo v prípade, keď sa v súlade s osobitným predpisom neuplatňujú ustanovené hodnoty emisných limitov, ktorých priemerná mesačná hodnota emisií oxidu siričitého neprekročí hodnotu 1 700 mg/m</w:t>
            </w:r>
            <w:r w:rsidRPr="003D7B57">
              <w:rPr>
                <w:rFonts w:ascii="Times New Roman" w:hAnsi="Times New Roman"/>
                <w:sz w:val="20"/>
                <w:szCs w:val="20"/>
                <w:vertAlign w:val="superscript"/>
              </w:rPr>
              <w:t>3</w:t>
            </w:r>
            <w:r w:rsidRPr="003D7B57">
              <w:rPr>
                <w:rFonts w:ascii="Times New Roman" w:hAnsi="Times New Roman"/>
                <w:sz w:val="20"/>
                <w:szCs w:val="20"/>
              </w:rPr>
              <w:t xml:space="preserve"> po prepočte na štandardné stavové podmienky, suchý plyn a referenčný obsah kyslíka 3 % objemu,</w:t>
            </w:r>
          </w:p>
          <w:p w:rsidR="00E54ACB" w:rsidRPr="003D7B57" w:rsidP="00443B05">
            <w:pPr>
              <w:pStyle w:val="ListParagraph"/>
              <w:numPr>
                <w:ilvl w:val="0"/>
                <w:numId w:val="10"/>
              </w:numPr>
              <w:tabs>
                <w:tab w:val="left" w:pos="851"/>
              </w:tabs>
              <w:spacing w:after="120"/>
              <w:jc w:val="both"/>
              <w:rPr>
                <w:rFonts w:ascii="Times New Roman" w:hAnsi="Times New Roman"/>
                <w:sz w:val="20"/>
                <w:szCs w:val="20"/>
              </w:rPr>
            </w:pPr>
            <w:r w:rsidRPr="003D7B57">
              <w:rPr>
                <w:rFonts w:ascii="Times New Roman" w:hAnsi="Times New Roman"/>
                <w:sz w:val="20"/>
                <w:szCs w:val="20"/>
              </w:rPr>
              <w:t>iné spaľovacie zariadenie ako uvedené v písmene a), ktoré uplatňuje emisný limit pre oxid siričitý podľa osobitného predpisu,</w:t>
            </w:r>
            <w:r w:rsidR="00140EF9">
              <w:rPr>
                <w:rFonts w:ascii="Times New Roman" w:hAnsi="Times New Roman"/>
                <w:sz w:val="20"/>
                <w:szCs w:val="20"/>
                <w:vertAlign w:val="superscript"/>
              </w:rPr>
              <w:t>20</w:t>
            </w:r>
            <w:r w:rsidRPr="00140EF9" w:rsidR="00140EF9">
              <w:rPr>
                <w:rFonts w:ascii="Times New Roman" w:hAnsi="Times New Roman"/>
                <w:sz w:val="20"/>
                <w:szCs w:val="20"/>
              </w:rPr>
              <w:t>)</w:t>
            </w:r>
            <w:r w:rsidRPr="003D7B57">
              <w:rPr>
                <w:rFonts w:ascii="Times New Roman" w:hAnsi="Times New Roman"/>
                <w:sz w:val="20"/>
                <w:szCs w:val="20"/>
              </w:rPr>
              <w:t xml:space="preserve"> ktorých priemerná mesačná hodnota emisií oxidu siričitého neprekročí hodnotu 1 700 mg/m</w:t>
            </w:r>
            <w:r w:rsidRPr="003D7B57">
              <w:rPr>
                <w:rFonts w:ascii="Times New Roman" w:hAnsi="Times New Roman"/>
                <w:sz w:val="20"/>
                <w:szCs w:val="20"/>
                <w:vertAlign w:val="superscript"/>
              </w:rPr>
              <w:t>3</w:t>
            </w:r>
            <w:r w:rsidRPr="003D7B57">
              <w:rPr>
                <w:rFonts w:ascii="Times New Roman" w:hAnsi="Times New Roman"/>
                <w:sz w:val="20"/>
                <w:szCs w:val="20"/>
              </w:rPr>
              <w:t xml:space="preserve"> po prepočte na štandardné stavové podmienky, suchý plyn a referenčný obsah kyslíka 3 % objemu,</w:t>
            </w:r>
          </w:p>
          <w:p w:rsidR="00E54ACB" w:rsidP="00443B05">
            <w:pPr>
              <w:pStyle w:val="ListParagraph"/>
              <w:numPr>
                <w:ilvl w:val="0"/>
                <w:numId w:val="10"/>
              </w:numPr>
              <w:tabs>
                <w:tab w:val="left" w:pos="851"/>
              </w:tabs>
              <w:spacing w:after="120"/>
              <w:jc w:val="both"/>
              <w:rPr>
                <w:rFonts w:ascii="Times New Roman" w:hAnsi="Times New Roman"/>
                <w:sz w:val="20"/>
                <w:szCs w:val="20"/>
              </w:rPr>
            </w:pPr>
            <w:r w:rsidRPr="003D7B57">
              <w:rPr>
                <w:rFonts w:ascii="Times New Roman" w:hAnsi="Times New Roman"/>
                <w:sz w:val="20"/>
                <w:szCs w:val="20"/>
              </w:rPr>
              <w:t>zariadenie v rafinérii, ktoré uplatňuje emisný limit pre oxid siričitý podľa osobitného predpisu,</w:t>
            </w:r>
            <w:r w:rsidR="00140EF9">
              <w:rPr>
                <w:rFonts w:ascii="Times New Roman" w:hAnsi="Times New Roman"/>
                <w:sz w:val="20"/>
                <w:szCs w:val="20"/>
                <w:vertAlign w:val="superscript"/>
              </w:rPr>
              <w:t>21</w:t>
            </w:r>
            <w:r w:rsidRPr="00140EF9" w:rsidR="00140EF9">
              <w:rPr>
                <w:rFonts w:ascii="Times New Roman" w:hAnsi="Times New Roman"/>
                <w:sz w:val="20"/>
                <w:szCs w:val="20"/>
              </w:rPr>
              <w:t>)</w:t>
            </w:r>
            <w:r w:rsidRPr="003D7B57">
              <w:rPr>
                <w:rFonts w:ascii="Times New Roman" w:hAnsi="Times New Roman"/>
                <w:sz w:val="20"/>
                <w:szCs w:val="20"/>
              </w:rPr>
              <w:t xml:space="preserve"> ktorých priemerná mesačná hodnota emisií oxidu siričitého zo všetkých zariadení rafinérie, okrem zariadení podľa písmena a), plynových turbín a plynových motorov, bez ohľadu na druh paliva alebo kombináciu palív, neprekročí hodnotu 1 700 mg/m</w:t>
            </w:r>
            <w:r w:rsidRPr="003D7B57">
              <w:rPr>
                <w:rFonts w:ascii="Times New Roman" w:hAnsi="Times New Roman"/>
                <w:sz w:val="20"/>
                <w:szCs w:val="20"/>
                <w:vertAlign w:val="superscript"/>
              </w:rPr>
              <w:t>3</w:t>
            </w:r>
            <w:r w:rsidRPr="003D7B57">
              <w:rPr>
                <w:rFonts w:ascii="Times New Roman" w:hAnsi="Times New Roman"/>
                <w:sz w:val="20"/>
                <w:szCs w:val="20"/>
              </w:rPr>
              <w:t xml:space="preserve"> po prepočte na štandardné stavové podmienky, suchý plyn a referenčný obsah kyslíka 3 % objemu.    </w:t>
            </w:r>
          </w:p>
          <w:p w:rsidR="00140EF9" w:rsidP="00140EF9">
            <w:pPr>
              <w:spacing w:line="240" w:lineRule="atLeast"/>
              <w:ind w:left="-44" w:firstLine="44"/>
              <w:jc w:val="both"/>
            </w:pPr>
            <w:r>
              <w:rPr>
                <w:noProof/>
              </w:rPr>
              <w:pict>
                <v:shape id="_x0000_s1026" type="#_x0000_t32" style="width:58.2pt;height:0;margin-top:5.4pt;margin-left:0.1pt;position:absolute;z-index:251659264" o:connectortype="straight"/>
              </w:pict>
            </w:r>
          </w:p>
          <w:p w:rsidR="00140EF9" w:rsidP="00140EF9">
            <w:pPr>
              <w:pStyle w:val="FootnoteText"/>
              <w:jc w:val="both"/>
              <w:rPr>
                <w:sz w:val="18"/>
                <w:szCs w:val="18"/>
              </w:rPr>
            </w:pPr>
            <w:r>
              <w:rPr>
                <w:sz w:val="18"/>
                <w:szCs w:val="18"/>
                <w:vertAlign w:val="superscript"/>
              </w:rPr>
              <w:t>19</w:t>
            </w:r>
            <w:r>
              <w:rPr>
                <w:sz w:val="18"/>
                <w:szCs w:val="18"/>
              </w:rPr>
              <w:t xml:space="preserve">) </w:t>
            </w:r>
            <w:r w:rsidRPr="00140EF9">
              <w:rPr>
                <w:sz w:val="18"/>
                <w:szCs w:val="18"/>
              </w:rPr>
              <w:t>Vyhláška Ministerstva životného prostredia Slovenskej republiky č. ... /2022 Z. z. o požiadavkách na stacionárne zdroje</w:t>
            </w:r>
            <w:r w:rsidRPr="00E17F15">
              <w:rPr>
                <w:sz w:val="18"/>
                <w:szCs w:val="18"/>
              </w:rPr>
              <w:t xml:space="preserve">. </w:t>
            </w:r>
          </w:p>
          <w:p w:rsidR="00140EF9" w:rsidP="00140EF9">
            <w:pPr>
              <w:pStyle w:val="FootnoteText"/>
              <w:jc w:val="both"/>
              <w:rPr>
                <w:sz w:val="18"/>
                <w:szCs w:val="18"/>
              </w:rPr>
            </w:pPr>
            <w:r>
              <w:rPr>
                <w:sz w:val="18"/>
                <w:szCs w:val="18"/>
                <w:vertAlign w:val="superscript"/>
              </w:rPr>
              <w:t>20</w:t>
            </w:r>
            <w:r w:rsidRPr="00E17F15">
              <w:rPr>
                <w:sz w:val="18"/>
                <w:szCs w:val="18"/>
              </w:rPr>
              <w:t xml:space="preserve">) </w:t>
            </w:r>
            <w:r w:rsidRPr="000246DD">
              <w:rPr>
                <w:sz w:val="18"/>
                <w:szCs w:val="18"/>
              </w:rPr>
              <w:t>Vyhláška Ministerstva životného prostredia Slovenskej republiky č. ... /2022 Z. z. o požiadavkách na stacionárne zdroje</w:t>
            </w:r>
            <w:r w:rsidRPr="00E17F15">
              <w:rPr>
                <w:sz w:val="18"/>
                <w:szCs w:val="18"/>
              </w:rPr>
              <w:t>.</w:t>
            </w:r>
          </w:p>
          <w:p w:rsidR="00140EF9" w:rsidP="00140EF9">
            <w:pPr>
              <w:pStyle w:val="ListParagraph"/>
              <w:tabs>
                <w:tab w:val="left" w:pos="851"/>
              </w:tabs>
              <w:spacing w:after="120"/>
              <w:ind w:left="0"/>
              <w:jc w:val="both"/>
              <w:rPr>
                <w:sz w:val="18"/>
                <w:szCs w:val="18"/>
              </w:rPr>
            </w:pPr>
            <w:r>
              <w:rPr>
                <w:sz w:val="18"/>
                <w:szCs w:val="18"/>
                <w:vertAlign w:val="superscript"/>
              </w:rPr>
              <w:t>21</w:t>
            </w:r>
            <w:r w:rsidRPr="00E17F15">
              <w:rPr>
                <w:sz w:val="18"/>
                <w:szCs w:val="18"/>
              </w:rPr>
              <w:t xml:space="preserve">) </w:t>
            </w:r>
            <w:r w:rsidRPr="000246DD">
              <w:rPr>
                <w:sz w:val="18"/>
                <w:szCs w:val="18"/>
              </w:rPr>
              <w:t>Vyhláška Ministerstva životného prostredia Slovenskej republiky č. ... /2022 Z. z. o požiadavkách na stacionárne zdroje</w:t>
            </w:r>
            <w:r w:rsidRPr="00E17F15">
              <w:rPr>
                <w:sz w:val="18"/>
                <w:szCs w:val="18"/>
              </w:rPr>
              <w:t>.</w:t>
            </w:r>
          </w:p>
          <w:p w:rsidR="00103D5F" w:rsidRPr="003D7B57" w:rsidP="00140EF9">
            <w:pPr>
              <w:pStyle w:val="ListParagraph"/>
              <w:tabs>
                <w:tab w:val="left" w:pos="851"/>
              </w:tabs>
              <w:spacing w:after="120"/>
              <w:ind w:left="0"/>
              <w:jc w:val="both"/>
              <w:rPr>
                <w:rFonts w:ascii="Times New Roman" w:hAnsi="Times New Roman"/>
                <w:sz w:val="20"/>
                <w:szCs w:val="20"/>
              </w:rPr>
            </w:pPr>
          </w:p>
          <w:p w:rsidR="00103D5F" w:rsidRPr="00103D5F" w:rsidP="00103D5F">
            <w:pPr>
              <w:tabs>
                <w:tab w:val="left" w:pos="851"/>
              </w:tabs>
              <w:spacing w:after="120"/>
              <w:jc w:val="both"/>
              <w:rPr>
                <w:b/>
                <w:sz w:val="20"/>
                <w:lang w:eastAsia="sk-SK"/>
              </w:rPr>
            </w:pPr>
            <w:r w:rsidRPr="00103D5F">
              <w:rPr>
                <w:b/>
                <w:sz w:val="20"/>
                <w:lang w:eastAsia="sk-SK"/>
              </w:rPr>
              <w:t>§ 6</w:t>
            </w:r>
          </w:p>
          <w:p w:rsidR="00103D5F" w:rsidRPr="00103D5F" w:rsidP="00103D5F">
            <w:pPr>
              <w:tabs>
                <w:tab w:val="left" w:pos="851"/>
              </w:tabs>
              <w:spacing w:after="120"/>
              <w:jc w:val="both"/>
              <w:rPr>
                <w:b/>
                <w:sz w:val="20"/>
                <w:lang w:eastAsia="sk-SK"/>
              </w:rPr>
            </w:pPr>
            <w:r w:rsidRPr="00103D5F">
              <w:rPr>
                <w:b/>
                <w:sz w:val="20"/>
                <w:lang w:eastAsia="sk-SK"/>
              </w:rPr>
              <w:t>Lodné palivá</w:t>
            </w:r>
          </w:p>
          <w:p w:rsidR="00DE15CC" w:rsidRPr="003D7B57" w:rsidP="00103D5F">
            <w:pPr>
              <w:tabs>
                <w:tab w:val="left" w:pos="851"/>
              </w:tabs>
              <w:spacing w:after="120" w:line="276" w:lineRule="auto"/>
              <w:jc w:val="both"/>
              <w:rPr>
                <w:color w:val="231F20"/>
                <w:sz w:val="20"/>
                <w:lang w:eastAsia="sk-SK"/>
              </w:rPr>
            </w:pPr>
            <w:r w:rsidRPr="003D7B57" w:rsidR="00103D5F">
              <w:rPr>
                <w:color w:val="231F20"/>
                <w:sz w:val="20"/>
                <w:lang w:eastAsia="sk-SK"/>
              </w:rPr>
              <w:t xml:space="preserve"> </w:t>
            </w:r>
            <w:r w:rsidRPr="003D7B57" w:rsidR="00E54ACB">
              <w:rPr>
                <w:color w:val="231F20"/>
                <w:sz w:val="20"/>
                <w:lang w:eastAsia="sk-SK"/>
              </w:rPr>
              <w:t xml:space="preserve">(3) </w:t>
            </w:r>
            <w:r w:rsidRPr="003D7B57" w:rsidR="003E2826">
              <w:rPr>
                <w:color w:val="231F20"/>
                <w:sz w:val="20"/>
                <w:lang w:eastAsia="sk-SK"/>
              </w:rPr>
              <w:t xml:space="preserve">Lodné palivo </w:t>
            </w:r>
            <w:r w:rsidRPr="003D7B57" w:rsidR="00E54ACB">
              <w:rPr>
                <w:color w:val="231F20"/>
                <w:sz w:val="20"/>
                <w:lang w:eastAsia="sk-SK"/>
              </w:rPr>
              <w:t xml:space="preserve">používané na území Slovenskej republiky </w:t>
            </w:r>
            <w:r w:rsidRPr="003D7B57" w:rsidR="003E2826">
              <w:rPr>
                <w:color w:val="231F20"/>
                <w:sz w:val="20"/>
                <w:lang w:eastAsia="sk-SK"/>
              </w:rPr>
              <w:t xml:space="preserve">nesmie obsahovať </w:t>
            </w:r>
            <w:r w:rsidRPr="003D7B57" w:rsidR="00E54ACB">
              <w:rPr>
                <w:color w:val="231F20"/>
                <w:sz w:val="20"/>
                <w:lang w:eastAsia="sk-SK"/>
              </w:rPr>
              <w:t>viac síry ako 3,5 % hmotnosti.</w:t>
            </w:r>
          </w:p>
          <w:p w:rsidR="00103D5F" w:rsidRPr="000246DD" w:rsidP="00103D5F">
            <w:pPr>
              <w:tabs>
                <w:tab w:val="left" w:pos="851"/>
              </w:tabs>
              <w:spacing w:after="120"/>
              <w:jc w:val="both"/>
              <w:rPr>
                <w:b/>
                <w:sz w:val="20"/>
                <w:lang w:eastAsia="sk-SK"/>
              </w:rPr>
            </w:pPr>
            <w:r w:rsidRPr="000246DD">
              <w:rPr>
                <w:b/>
                <w:sz w:val="20"/>
                <w:lang w:eastAsia="sk-SK"/>
              </w:rPr>
              <w:t>§ 1</w:t>
            </w:r>
          </w:p>
          <w:p w:rsidR="00103D5F" w:rsidRPr="000246DD" w:rsidP="00103D5F">
            <w:pPr>
              <w:tabs>
                <w:tab w:val="left" w:pos="851"/>
              </w:tabs>
              <w:spacing w:after="120"/>
              <w:jc w:val="both"/>
              <w:rPr>
                <w:b/>
                <w:sz w:val="20"/>
                <w:lang w:eastAsia="sk-SK"/>
              </w:rPr>
            </w:pPr>
            <w:r w:rsidRPr="000246DD">
              <w:rPr>
                <w:b/>
                <w:sz w:val="20"/>
                <w:lang w:eastAsia="sk-SK"/>
              </w:rPr>
              <w:t>Predmet vyhlášky</w:t>
            </w:r>
          </w:p>
          <w:p w:rsidR="00D316C0" w:rsidRPr="003D7B57" w:rsidP="00D316C0">
            <w:pPr>
              <w:pStyle w:val="ListParagraph"/>
              <w:tabs>
                <w:tab w:val="left" w:pos="851"/>
                <w:tab w:val="left" w:pos="1276"/>
              </w:tabs>
              <w:spacing w:after="120" w:line="240" w:lineRule="auto"/>
              <w:ind w:left="0"/>
              <w:contextualSpacing w:val="0"/>
              <w:jc w:val="both"/>
              <w:rPr>
                <w:rFonts w:ascii="Times New Roman" w:eastAsia="Times New Roman" w:hAnsi="Times New Roman"/>
                <w:color w:val="231F20"/>
                <w:sz w:val="20"/>
                <w:szCs w:val="20"/>
                <w:lang w:eastAsia="sk-SK"/>
              </w:rPr>
            </w:pPr>
            <w:r w:rsidRPr="003D7B57">
              <w:rPr>
                <w:rFonts w:ascii="Times New Roman" w:eastAsia="Times New Roman" w:hAnsi="Times New Roman"/>
                <w:color w:val="231F20"/>
                <w:sz w:val="20"/>
                <w:szCs w:val="20"/>
                <w:lang w:eastAsia="sk-SK"/>
              </w:rPr>
              <w:t>(</w:t>
            </w:r>
            <w:r w:rsidRPr="003D7B57" w:rsidR="00027385">
              <w:rPr>
                <w:rFonts w:ascii="Times New Roman" w:eastAsia="Times New Roman" w:hAnsi="Times New Roman"/>
                <w:color w:val="231F20"/>
                <w:sz w:val="20"/>
                <w:szCs w:val="20"/>
                <w:lang w:eastAsia="sk-SK"/>
              </w:rPr>
              <w:t>2</w:t>
            </w:r>
            <w:r w:rsidRPr="003D7B57">
              <w:rPr>
                <w:rFonts w:ascii="Times New Roman" w:eastAsia="Times New Roman" w:hAnsi="Times New Roman"/>
                <w:color w:val="231F20"/>
                <w:sz w:val="20"/>
                <w:szCs w:val="20"/>
                <w:lang w:eastAsia="sk-SK"/>
              </w:rPr>
              <w:t xml:space="preserve">) Táto vyhláška sa nevzťahuje na palivo </w:t>
            </w:r>
            <w:r w:rsidR="00103D5F">
              <w:rPr>
                <w:rFonts w:ascii="Times New Roman" w:eastAsia="Times New Roman" w:hAnsi="Times New Roman"/>
                <w:color w:val="231F20"/>
                <w:sz w:val="20"/>
                <w:szCs w:val="20"/>
                <w:lang w:eastAsia="sk-SK"/>
              </w:rPr>
              <w:t xml:space="preserve">určené na </w:t>
            </w:r>
          </w:p>
          <w:p w:rsidR="003E2826" w:rsidRPr="003D7B57" w:rsidP="00443B05">
            <w:pPr>
              <w:keepNext/>
              <w:numPr>
                <w:ilvl w:val="1"/>
                <w:numId w:val="6"/>
              </w:numPr>
              <w:tabs>
                <w:tab w:val="num" w:pos="360"/>
                <w:tab w:val="clear" w:pos="1437"/>
              </w:tabs>
              <w:spacing w:before="60" w:after="60"/>
              <w:ind w:left="360" w:hanging="360"/>
              <w:jc w:val="both"/>
              <w:rPr>
                <w:color w:val="231F20"/>
                <w:sz w:val="20"/>
                <w:lang w:eastAsia="sk-SK"/>
              </w:rPr>
            </w:pPr>
            <w:r w:rsidRPr="003D7B57">
              <w:rPr>
                <w:color w:val="231F20"/>
                <w:sz w:val="20"/>
                <w:lang w:eastAsia="sk-SK"/>
              </w:rPr>
              <w:t>výskum a testov</w:t>
            </w:r>
            <w:r w:rsidRPr="003D7B57">
              <w:rPr>
                <w:color w:val="231F20"/>
                <w:sz w:val="20"/>
                <w:lang w:eastAsia="sk-SK"/>
              </w:rPr>
              <w:t xml:space="preserve">anie; </w:t>
            </w:r>
            <w:r w:rsidRPr="003D7B57" w:rsidR="00027385">
              <w:rPr>
                <w:color w:val="231F20"/>
                <w:sz w:val="20"/>
                <w:lang w:eastAsia="sk-SK"/>
              </w:rPr>
              <w:t>pričom t</w:t>
            </w:r>
            <w:r w:rsidRPr="003D7B57">
              <w:rPr>
                <w:color w:val="231F20"/>
                <w:sz w:val="20"/>
                <w:lang w:eastAsia="sk-SK"/>
              </w:rPr>
              <w:t>akéto palivá nemôžu byť komerčne predávané ani d</w:t>
            </w:r>
            <w:r w:rsidRPr="003D7B57" w:rsidR="00027385">
              <w:rPr>
                <w:color w:val="231F20"/>
                <w:sz w:val="20"/>
                <w:lang w:eastAsia="sk-SK"/>
              </w:rPr>
              <w:t>ané do daňového voľného obehu, ani používané s cieľom výroby energie na vlastnú potrebu alebo podnikateľskú činnosť,</w:t>
            </w:r>
          </w:p>
          <w:p w:rsidR="003E2826" w:rsidRPr="003D7B57" w:rsidP="00443B05">
            <w:pPr>
              <w:keepNext/>
              <w:numPr>
                <w:ilvl w:val="1"/>
                <w:numId w:val="6"/>
              </w:numPr>
              <w:tabs>
                <w:tab w:val="num" w:pos="360"/>
                <w:tab w:val="clear" w:pos="1437"/>
              </w:tabs>
              <w:spacing w:before="60" w:after="60"/>
              <w:ind w:left="360" w:hanging="360"/>
              <w:jc w:val="both"/>
              <w:rPr>
                <w:color w:val="231F20"/>
                <w:sz w:val="20"/>
                <w:lang w:eastAsia="sk-SK"/>
              </w:rPr>
            </w:pPr>
            <w:r w:rsidRPr="003D7B57">
              <w:rPr>
                <w:color w:val="231F20"/>
                <w:sz w:val="20"/>
                <w:lang w:eastAsia="sk-SK"/>
              </w:rPr>
              <w:t xml:space="preserve">spracovanie pred ich konečným spálením,   </w:t>
            </w:r>
          </w:p>
          <w:p w:rsidR="003E2826" w:rsidP="00443B05">
            <w:pPr>
              <w:keepNext/>
              <w:numPr>
                <w:ilvl w:val="1"/>
                <w:numId w:val="6"/>
              </w:numPr>
              <w:tabs>
                <w:tab w:val="num" w:pos="360"/>
                <w:tab w:val="clear" w:pos="1437"/>
              </w:tabs>
              <w:spacing w:before="60" w:after="60"/>
              <w:ind w:left="360" w:hanging="360"/>
              <w:jc w:val="both"/>
              <w:rPr>
                <w:color w:val="231F20"/>
                <w:sz w:val="20"/>
                <w:lang w:eastAsia="sk-SK"/>
              </w:rPr>
            </w:pPr>
            <w:r w:rsidRPr="003D7B57">
              <w:rPr>
                <w:color w:val="231F20"/>
                <w:sz w:val="20"/>
                <w:lang w:eastAsia="sk-SK"/>
              </w:rPr>
              <w:t>spracovanie v rafinérskom priemysl</w:t>
            </w:r>
            <w:r w:rsidRPr="003D7B57">
              <w:rPr>
                <w:color w:val="231F20"/>
                <w:sz w:val="20"/>
                <w:lang w:eastAsia="sk-SK"/>
              </w:rPr>
              <w:t xml:space="preserve">e,   </w:t>
            </w:r>
          </w:p>
          <w:p w:rsidR="00103D5F" w:rsidRPr="00103D5F" w:rsidP="00103D5F">
            <w:pPr>
              <w:tabs>
                <w:tab w:val="left" w:pos="851"/>
              </w:tabs>
              <w:spacing w:after="120"/>
              <w:jc w:val="both"/>
              <w:rPr>
                <w:b/>
                <w:sz w:val="20"/>
                <w:lang w:eastAsia="sk-SK"/>
              </w:rPr>
            </w:pPr>
            <w:r w:rsidRPr="00103D5F">
              <w:rPr>
                <w:b/>
                <w:sz w:val="20"/>
                <w:lang w:eastAsia="sk-SK"/>
              </w:rPr>
              <w:t>§ 6</w:t>
            </w:r>
          </w:p>
          <w:p w:rsidR="00103D5F" w:rsidRPr="00103D5F" w:rsidP="00103D5F">
            <w:pPr>
              <w:tabs>
                <w:tab w:val="left" w:pos="851"/>
              </w:tabs>
              <w:spacing w:after="120"/>
              <w:jc w:val="both"/>
              <w:rPr>
                <w:b/>
                <w:sz w:val="20"/>
                <w:lang w:eastAsia="sk-SK"/>
              </w:rPr>
            </w:pPr>
            <w:r w:rsidRPr="00103D5F">
              <w:rPr>
                <w:b/>
                <w:sz w:val="20"/>
                <w:lang w:eastAsia="sk-SK"/>
              </w:rPr>
              <w:t>Lodné palivá</w:t>
            </w:r>
          </w:p>
          <w:p w:rsidR="00103D5F" w:rsidRPr="003D7B57" w:rsidP="00103D5F">
            <w:pPr>
              <w:pStyle w:val="ListParagraph"/>
              <w:tabs>
                <w:tab w:val="left" w:pos="851"/>
              </w:tabs>
              <w:spacing w:after="120"/>
              <w:ind w:left="0"/>
              <w:jc w:val="both"/>
              <w:rPr>
                <w:color w:val="231F20"/>
                <w:sz w:val="20"/>
                <w:lang w:eastAsia="sk-SK"/>
              </w:rPr>
            </w:pPr>
            <w:r w:rsidRPr="00103D5F">
              <w:rPr>
                <w:rFonts w:ascii="Times New Roman" w:hAnsi="Times New Roman"/>
                <w:color w:val="231F20"/>
                <w:sz w:val="20"/>
                <w:lang w:eastAsia="sk-SK"/>
              </w:rPr>
              <w:t xml:space="preserve">(8) Požiadavky na obsah síry v lodných palivách podľa odsekov 3 až 7 sa nevzťahujú </w:t>
            </w:r>
          </w:p>
          <w:p w:rsidR="00027385" w:rsidRPr="001D04AB" w:rsidP="00443B05">
            <w:pPr>
              <w:pStyle w:val="ListParagraph"/>
              <w:numPr>
                <w:ilvl w:val="1"/>
                <w:numId w:val="6"/>
              </w:numPr>
              <w:tabs>
                <w:tab w:val="num" w:pos="350"/>
                <w:tab w:val="left" w:pos="851"/>
                <w:tab w:val="clear" w:pos="1437"/>
              </w:tabs>
              <w:spacing w:after="120" w:line="240" w:lineRule="auto"/>
              <w:ind w:left="350" w:hanging="350"/>
              <w:contextualSpacing w:val="0"/>
              <w:jc w:val="both"/>
            </w:pPr>
            <w:r w:rsidR="00103D5F">
              <w:rPr>
                <w:rFonts w:ascii="Times New Roman" w:hAnsi="Times New Roman"/>
                <w:color w:val="231F20"/>
                <w:sz w:val="20"/>
                <w:lang w:eastAsia="sk-SK"/>
              </w:rPr>
              <w:t xml:space="preserve">na lodné palivá </w:t>
            </w:r>
            <w:r w:rsidRPr="003D7B57">
              <w:rPr>
                <w:rFonts w:ascii="Times New Roman" w:hAnsi="Times New Roman"/>
                <w:color w:val="231F20"/>
                <w:sz w:val="20"/>
                <w:lang w:eastAsia="sk-SK"/>
              </w:rPr>
              <w:t xml:space="preserve">používané a uvedené na trh v najvzdialenejších regiónoch </w:t>
            </w:r>
            <w:r w:rsidRPr="003D7B57">
              <w:rPr>
                <w:rFonts w:ascii="Times New Roman" w:hAnsi="Times New Roman"/>
                <w:color w:val="231F20"/>
                <w:sz w:val="20"/>
                <w:szCs w:val="20"/>
                <w:lang w:eastAsia="sk-SK"/>
              </w:rPr>
              <w:t>Európskej únie za predpokladu, že bude zabezpečené, aby sa v týchto regiónoch dodržiavali normy kvality ovzdušia a  nepoužívali ťažké vykurovacie oleje, ktorých obsah síry presahuje 3 % hmotnosti</w:t>
            </w:r>
            <w:r w:rsidRPr="003D7B57">
              <w:rPr>
                <w:rFonts w:ascii="Times New Roman" w:hAnsi="Times New Roman"/>
                <w:sz w:val="20"/>
                <w:szCs w:val="20"/>
              </w:rPr>
              <w:t>; najvzdialenejšími regiónmi Európskej únie Guadeloupe, Francúzska Guayana, Martinik, Réunion, Svätý Bartolomej, Svätý Martin, Azory, Mad</w:t>
            </w:r>
            <w:r w:rsidRPr="003D7B57">
              <w:rPr>
                <w:rFonts w:ascii="Times New Roman" w:hAnsi="Times New Roman"/>
                <w:sz w:val="20"/>
                <w:szCs w:val="20"/>
              </w:rPr>
              <w:t>eira a Kanárske ostrovy,</w:t>
            </w:r>
            <w:r w:rsidR="001D04AB">
              <w:rPr>
                <w:rFonts w:ascii="Times New Roman" w:hAnsi="Times New Roman"/>
                <w:sz w:val="20"/>
                <w:szCs w:val="20"/>
                <w:vertAlign w:val="superscript"/>
              </w:rPr>
              <w:t>26</w:t>
            </w:r>
            <w:r w:rsidRPr="001D04AB" w:rsidR="001D04AB">
              <w:rPr>
                <w:rFonts w:ascii="Times New Roman" w:hAnsi="Times New Roman"/>
                <w:sz w:val="20"/>
                <w:szCs w:val="20"/>
              </w:rPr>
              <w:t>)</w:t>
            </w:r>
          </w:p>
          <w:p w:rsidR="001D04AB" w:rsidP="001D04AB">
            <w:pPr>
              <w:spacing w:line="240" w:lineRule="atLeast"/>
              <w:ind w:left="-44" w:firstLine="44"/>
              <w:jc w:val="both"/>
            </w:pPr>
            <w:r>
              <w:rPr>
                <w:noProof/>
              </w:rPr>
              <w:pict>
                <v:shape id="_x0000_s1027" type="#_x0000_t32" style="width:58.2pt;height:0;margin-top:5.4pt;margin-left:0.1pt;position:absolute;z-index:251660288" o:connectortype="straight"/>
              </w:pict>
            </w:r>
          </w:p>
          <w:p w:rsidR="001D04AB" w:rsidRPr="003D7B57" w:rsidP="001D04AB">
            <w:pPr>
              <w:pStyle w:val="FootnoteText"/>
              <w:jc w:val="both"/>
            </w:pPr>
            <w:r>
              <w:rPr>
                <w:sz w:val="18"/>
                <w:szCs w:val="18"/>
                <w:vertAlign w:val="superscript"/>
              </w:rPr>
              <w:t>26</w:t>
            </w:r>
            <w:r>
              <w:rPr>
                <w:sz w:val="18"/>
                <w:szCs w:val="18"/>
              </w:rPr>
              <w:t xml:space="preserve">) </w:t>
            </w:r>
            <w:r w:rsidRPr="001D04AB">
              <w:rPr>
                <w:sz w:val="18"/>
                <w:szCs w:val="18"/>
              </w:rPr>
              <w:t>čl. 349 a 355 Zmluvy o fungovaní Európskej únie.</w:t>
            </w:r>
          </w:p>
          <w:p w:rsidR="00027385" w:rsidP="00443B05">
            <w:pPr>
              <w:keepNext/>
              <w:numPr>
                <w:ilvl w:val="1"/>
                <w:numId w:val="6"/>
              </w:numPr>
              <w:tabs>
                <w:tab w:val="num" w:pos="360"/>
                <w:tab w:val="clear" w:pos="1437"/>
              </w:tabs>
              <w:spacing w:before="60" w:after="60"/>
              <w:ind w:left="360" w:hanging="360"/>
              <w:jc w:val="both"/>
              <w:rPr>
                <w:color w:val="231F20"/>
                <w:sz w:val="20"/>
                <w:lang w:eastAsia="sk-SK"/>
              </w:rPr>
            </w:pPr>
            <w:r w:rsidRPr="003D7B57" w:rsidR="006F4FE5">
              <w:rPr>
                <w:color w:val="231F20"/>
                <w:sz w:val="20"/>
                <w:lang w:eastAsia="sk-SK"/>
              </w:rPr>
              <w:t>používané vojnovými loďami a inými vojenskými plavidlami; vojnovou loďou je plavidlo patriace ozbrojeným silám štátu, ktoré nesie vonkajšie znaky, podľa ktorých možno rozlíšiť štátnu príslušnosť tohto plavidla, pod velením dôstojníka povereného vládou štátu, ktorého meno a priezvisko sa nachádza v zozname dôstojníkov alebo v rovnocennom zápise, s posádkou podliehajúcou vojenskej disciplíne,</w:t>
            </w:r>
          </w:p>
          <w:p w:rsidR="004A531C" w:rsidP="004A531C">
            <w:pPr>
              <w:keepNext/>
              <w:spacing w:before="60" w:after="60"/>
              <w:ind w:left="360"/>
              <w:jc w:val="both"/>
              <w:rPr>
                <w:color w:val="231F20"/>
                <w:sz w:val="20"/>
                <w:lang w:eastAsia="sk-SK"/>
              </w:rPr>
            </w:pPr>
          </w:p>
          <w:p w:rsidR="003E2826" w:rsidP="006F4FE5">
            <w:pPr>
              <w:keepNext/>
              <w:spacing w:before="60" w:after="60"/>
              <w:ind w:left="360" w:hanging="360"/>
              <w:jc w:val="both"/>
              <w:rPr>
                <w:color w:val="231F20"/>
                <w:sz w:val="20"/>
                <w:lang w:eastAsia="sk-SK"/>
              </w:rPr>
            </w:pPr>
            <w:r w:rsidRPr="003D7B57" w:rsidR="006F4FE5">
              <w:rPr>
                <w:color w:val="231F20"/>
                <w:sz w:val="20"/>
                <w:lang w:eastAsia="sk-SK"/>
              </w:rPr>
              <w:t>c</w:t>
            </w:r>
            <w:r w:rsidR="001D04AB">
              <w:rPr>
                <w:color w:val="231F20"/>
                <w:sz w:val="20"/>
                <w:lang w:eastAsia="sk-SK"/>
              </w:rPr>
              <w:t xml:space="preserve">)  </w:t>
            </w:r>
            <w:r w:rsidRPr="003D7B57">
              <w:rPr>
                <w:color w:val="231F20"/>
                <w:sz w:val="20"/>
                <w:lang w:eastAsia="sk-SK"/>
              </w:rPr>
              <w:t>používané v plavidle na zaistenie bezpečnosti lode alebo na záchranu života ľudí alebo používané na odstránenie poškodenia lode alebo jej zariadení, ak sa po vzniku škody vykonajú opatrenia na vylúčenie alebo minimalizovanie nadmerných emisií a ak sa prijmú opatrenia na odstránenie ško</w:t>
            </w:r>
            <w:r w:rsidRPr="003D7B57">
              <w:rPr>
                <w:color w:val="231F20"/>
                <w:sz w:val="20"/>
                <w:lang w:eastAsia="sk-SK"/>
              </w:rPr>
              <w:t xml:space="preserve">dy; to neplatí, ak sa škoda spôsobí úmyselne alebo z nedbanlivosti,  </w:t>
            </w:r>
          </w:p>
          <w:p w:rsidR="001D04AB" w:rsidP="006F4FE5">
            <w:pPr>
              <w:keepNext/>
              <w:spacing w:before="60" w:after="60"/>
              <w:ind w:left="360" w:hanging="360"/>
              <w:jc w:val="both"/>
              <w:rPr>
                <w:color w:val="231F20"/>
                <w:sz w:val="20"/>
                <w:lang w:eastAsia="sk-SK"/>
              </w:rPr>
            </w:pPr>
          </w:p>
          <w:p w:rsidR="001D04AB" w:rsidP="006F4FE5">
            <w:pPr>
              <w:keepNext/>
              <w:spacing w:before="60" w:after="60"/>
              <w:ind w:left="360" w:hanging="360"/>
              <w:jc w:val="both"/>
              <w:rPr>
                <w:color w:val="231F20"/>
                <w:sz w:val="20"/>
                <w:lang w:eastAsia="sk-SK"/>
              </w:rPr>
            </w:pPr>
          </w:p>
          <w:p w:rsidR="001D04AB" w:rsidRPr="003D7B57" w:rsidP="006F4FE5">
            <w:pPr>
              <w:keepNext/>
              <w:spacing w:before="60" w:after="60"/>
              <w:ind w:left="360" w:hanging="360"/>
              <w:jc w:val="both"/>
              <w:rPr>
                <w:color w:val="231F20"/>
                <w:sz w:val="20"/>
                <w:lang w:eastAsia="sk-SK"/>
              </w:rPr>
            </w:pPr>
          </w:p>
          <w:p w:rsidR="003D7B57" w:rsidRPr="003D7B57" w:rsidP="001D04AB">
            <w:pPr>
              <w:keepNext/>
              <w:spacing w:before="60" w:after="60"/>
              <w:ind w:left="208" w:hanging="208"/>
              <w:jc w:val="both"/>
              <w:rPr>
                <w:color w:val="231F20"/>
                <w:sz w:val="20"/>
                <w:lang w:eastAsia="sk-SK"/>
              </w:rPr>
            </w:pPr>
            <w:r w:rsidR="001D04AB">
              <w:rPr>
                <w:color w:val="231F20"/>
                <w:sz w:val="20"/>
                <w:lang w:eastAsia="sk-SK"/>
              </w:rPr>
              <w:t xml:space="preserve">f) </w:t>
            </w:r>
            <w:r w:rsidRPr="003D7B57">
              <w:rPr>
                <w:color w:val="231F20"/>
                <w:sz w:val="20"/>
                <w:lang w:eastAsia="sk-SK"/>
              </w:rPr>
              <w:t>používané na palubách námorných lodí plaviacich sa v prístavoch, výsostných vodách, výlučných hospodárskych zónach a v zónach kontroly znečisťovania, ktoré používajú metódy znižovania emisií za podmienok uvedených v prílohe č. 3 v uzatvorenom režime, bez t</w:t>
            </w:r>
            <w:r>
              <w:rPr>
                <w:color w:val="231F20"/>
                <w:sz w:val="20"/>
                <w:lang w:eastAsia="sk-SK"/>
              </w:rPr>
              <w:t>oho, aby bol dotknutý odsek 3.</w:t>
            </w:r>
          </w:p>
          <w:p w:rsidR="00685CEC" w:rsidRPr="003D7B57" w:rsidP="008D2E6C">
            <w:pPr>
              <w:pStyle w:val="List"/>
              <w:ind w:left="0" w:firstLine="0"/>
              <w:jc w:val="both"/>
              <w:rPr>
                <w:color w:val="231F20"/>
                <w:sz w:val="20"/>
                <w:lang w:eastAsia="sk-SK"/>
              </w:rPr>
            </w:pPr>
          </w:p>
        </w:tc>
        <w:tc>
          <w:tcPr>
            <w:tcW w:w="709" w:type="dxa"/>
            <w:tcBorders>
              <w:top w:val="single" w:sz="4" w:space="0" w:color="auto"/>
              <w:bottom w:val="single" w:sz="4" w:space="0" w:color="auto"/>
            </w:tcBorders>
          </w:tcPr>
          <w:p w:rsidR="00892BCE" w:rsidRPr="00D52C0C">
            <w:pPr>
              <w:jc w:val="both"/>
              <w:rPr>
                <w:sz w:val="20"/>
              </w:rPr>
            </w:pPr>
            <w:r w:rsidRPr="00D52C0C" w:rsidR="0055211E">
              <w:rPr>
                <w:sz w:val="20"/>
              </w:rPr>
              <w:t>Ú</w:t>
            </w:r>
          </w:p>
        </w:tc>
        <w:tc>
          <w:tcPr>
            <w:tcW w:w="1417" w:type="dxa"/>
            <w:tcBorders>
              <w:top w:val="single" w:sz="4" w:space="0" w:color="auto"/>
              <w:bottom w:val="single" w:sz="4" w:space="0" w:color="auto"/>
            </w:tcBorders>
          </w:tcPr>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8D2E6C" w:rsidRPr="00D52C0C">
            <w:pPr>
              <w:jc w:val="both"/>
              <w:rPr>
                <w:sz w:val="20"/>
              </w:rPr>
            </w:pPr>
          </w:p>
          <w:p w:rsidR="0015612A" w:rsidRPr="00D52C0C">
            <w:pPr>
              <w:jc w:val="both"/>
              <w:rPr>
                <w:sz w:val="20"/>
              </w:rPr>
            </w:pPr>
          </w:p>
        </w:tc>
      </w:tr>
      <w:tr w:rsidTr="000B581A">
        <w:tblPrEx>
          <w:tblW w:w="14954" w:type="dxa"/>
          <w:tblLayout w:type="fixed"/>
          <w:tblCellMar>
            <w:left w:w="70" w:type="dxa"/>
            <w:right w:w="70" w:type="dxa"/>
          </w:tblCellMar>
          <w:tblLook w:val="0000"/>
        </w:tblPrEx>
        <w:trPr>
          <w:trHeight w:val="983"/>
        </w:trPr>
        <w:tc>
          <w:tcPr>
            <w:tcW w:w="779" w:type="dxa"/>
            <w:tcBorders>
              <w:top w:val="single" w:sz="4" w:space="0" w:color="auto"/>
              <w:bottom w:val="single" w:sz="4" w:space="0" w:color="auto"/>
            </w:tcBorders>
          </w:tcPr>
          <w:p w:rsidR="003060AB" w:rsidRPr="00D52C0C">
            <w:pPr>
              <w:jc w:val="both"/>
              <w:rPr>
                <w:sz w:val="20"/>
              </w:rPr>
            </w:pPr>
            <w:r w:rsidRPr="00D52C0C" w:rsidR="00AB011F">
              <w:rPr>
                <w:sz w:val="20"/>
              </w:rPr>
              <w:t>Č</w:t>
            </w:r>
            <w:r w:rsidRPr="00D52C0C">
              <w:rPr>
                <w:sz w:val="20"/>
              </w:rPr>
              <w:t>2</w:t>
            </w:r>
          </w:p>
          <w:p w:rsidR="00AB011F" w:rsidRPr="00D52C0C">
            <w:pPr>
              <w:jc w:val="both"/>
              <w:rPr>
                <w:sz w:val="20"/>
              </w:rPr>
            </w:pPr>
            <w:r w:rsidRPr="00D52C0C" w:rsidR="00A1472D">
              <w:rPr>
                <w:sz w:val="20"/>
              </w:rPr>
              <w:t>Pa</w:t>
            </w:r>
          </w:p>
        </w:tc>
        <w:tc>
          <w:tcPr>
            <w:tcW w:w="4536" w:type="dxa"/>
            <w:tcBorders>
              <w:top w:val="single" w:sz="4" w:space="0" w:color="auto"/>
              <w:bottom w:val="single" w:sz="4" w:space="0" w:color="auto"/>
            </w:tcBorders>
          </w:tcPr>
          <w:p w:rsidR="003060AB" w:rsidRPr="00D52C0C" w:rsidP="00C65331">
            <w:pPr>
              <w:pStyle w:val="Heading8"/>
              <w:jc w:val="both"/>
              <w:rPr>
                <w:rFonts w:ascii="TimesNewRoman" w:hAnsi="TimesNewRoman" w:cs="TimesNewRoman"/>
                <w:i w:val="0"/>
                <w:iCs w:val="0"/>
                <w:color w:val="231F20"/>
                <w:lang w:eastAsia="sk-SK"/>
              </w:rPr>
            </w:pPr>
            <w:r w:rsidRPr="00D52C0C">
              <w:rPr>
                <w:rFonts w:ascii="TimesNewRoman" w:hAnsi="TimesNewRoman" w:cs="TimesNewRoman"/>
                <w:i w:val="0"/>
                <w:iCs w:val="0"/>
                <w:color w:val="231F20"/>
                <w:lang w:eastAsia="sk-SK"/>
              </w:rPr>
              <w:t>Článok 2</w:t>
            </w:r>
          </w:p>
          <w:p w:rsidR="003060AB" w:rsidRPr="00D52C0C" w:rsidP="00C65331">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Definície</w:t>
            </w:r>
          </w:p>
          <w:p w:rsidR="003060AB" w:rsidRPr="00D52C0C" w:rsidP="00C65331">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Na účely tejto smernice</w:t>
            </w:r>
            <w:r w:rsidRPr="00D52C0C" w:rsidR="00A1472D">
              <w:rPr>
                <w:rFonts w:ascii="TimesNewRoman" w:hAnsi="TimesNewRoman" w:cs="TimesNewRoman"/>
                <w:color w:val="231F20"/>
                <w:sz w:val="20"/>
                <w:lang w:eastAsia="sk-SK"/>
              </w:rPr>
              <w:t xml:space="preserve"> sa uplatňujú tieto vymedzenia pojmov</w:t>
            </w:r>
            <w:r w:rsidRPr="00D52C0C">
              <w:rPr>
                <w:rFonts w:ascii="TimesNewRoman" w:hAnsi="TimesNewRoman" w:cs="TimesNewRoman"/>
                <w:color w:val="231F20"/>
                <w:sz w:val="20"/>
                <w:lang w:eastAsia="sk-SK"/>
              </w:rPr>
              <w:t>:</w:t>
            </w:r>
          </w:p>
          <w:p w:rsidR="00C65331" w:rsidRPr="00D52C0C" w:rsidP="00C65331">
            <w:pPr>
              <w:pStyle w:val="CM4"/>
              <w:spacing w:before="60" w:after="60"/>
              <w:jc w:val="both"/>
              <w:rPr>
                <w:rFonts w:ascii="TimesNewRoman" w:hAnsi="TimesNewRoman" w:cs="TimesNewRoman"/>
                <w:color w:val="231F20"/>
                <w:sz w:val="20"/>
                <w:szCs w:val="20"/>
              </w:rPr>
            </w:pPr>
            <w:r w:rsidRPr="00D52C0C" w:rsidR="00A1472D">
              <w:rPr>
                <w:rFonts w:ascii="TimesNewRoman" w:hAnsi="TimesNewRoman" w:cs="TimesNewRoman"/>
                <w:color w:val="231F20"/>
                <w:sz w:val="20"/>
                <w:szCs w:val="20"/>
              </w:rPr>
              <w:t>a)</w:t>
            </w:r>
            <w:r w:rsidRPr="00D52C0C">
              <w:rPr>
                <w:rFonts w:ascii="TimesNewRoman" w:hAnsi="TimesNewRoman" w:cs="TimesNewRoman"/>
                <w:color w:val="231F20"/>
                <w:sz w:val="20"/>
                <w:szCs w:val="20"/>
              </w:rPr>
              <w:t xml:space="preserve"> </w:t>
            </w:r>
            <w:r w:rsidRPr="00D52C0C" w:rsidR="00A1472D">
              <w:rPr>
                <w:rFonts w:ascii="TimesNewRoman" w:hAnsi="TimesNewRoman" w:cs="TimesNewRoman"/>
                <w:color w:val="231F20"/>
                <w:sz w:val="20"/>
                <w:szCs w:val="20"/>
              </w:rPr>
              <w:t>„</w:t>
            </w:r>
            <w:r w:rsidRPr="00D52C0C">
              <w:rPr>
                <w:rFonts w:ascii="TimesNewRoman" w:hAnsi="TimesNewRoman" w:cs="TimesNewRoman"/>
                <w:color w:val="231F20"/>
                <w:sz w:val="20"/>
                <w:szCs w:val="20"/>
              </w:rPr>
              <w:t>ťažký vykurovací olej</w:t>
            </w:r>
            <w:r w:rsidRPr="00D52C0C" w:rsidR="00A1472D">
              <w:rPr>
                <w:rFonts w:ascii="TimesNewRoman" w:hAnsi="TimesNewRoman" w:cs="TimesNewRoman"/>
                <w:color w:val="231F20"/>
                <w:sz w:val="20"/>
                <w:szCs w:val="20"/>
              </w:rPr>
              <w:t>“</w:t>
            </w:r>
            <w:r w:rsidRPr="00D52C0C">
              <w:rPr>
                <w:rFonts w:ascii="TimesNewRoman" w:hAnsi="TimesNewRoman" w:cs="TimesNewRoman"/>
                <w:color w:val="231F20"/>
                <w:sz w:val="20"/>
                <w:szCs w:val="20"/>
              </w:rPr>
              <w:t xml:space="preserve"> </w:t>
            </w:r>
            <w:r w:rsidRPr="00D52C0C" w:rsidR="00A1472D">
              <w:rPr>
                <w:rFonts w:ascii="TimesNewRoman" w:hAnsi="TimesNewRoman" w:cs="TimesNewRoman"/>
                <w:color w:val="231F20"/>
                <w:sz w:val="20"/>
                <w:szCs w:val="20"/>
              </w:rPr>
              <w:t>je</w:t>
            </w:r>
            <w:r w:rsidRPr="00D52C0C">
              <w:rPr>
                <w:rFonts w:ascii="TimesNewRoman" w:hAnsi="TimesNewRoman" w:cs="TimesNewRoman"/>
                <w:color w:val="231F20"/>
                <w:sz w:val="20"/>
                <w:szCs w:val="20"/>
              </w:rPr>
              <w:t xml:space="preserve">: </w:t>
            </w:r>
          </w:p>
          <w:p w:rsidR="00C65331" w:rsidRPr="00D52C0C" w:rsidP="00C65331">
            <w:pPr>
              <w:pStyle w:val="CM4"/>
              <w:spacing w:before="60" w:after="60"/>
              <w:jc w:val="both"/>
              <w:rPr>
                <w:rFonts w:ascii="TimesNewRoman" w:hAnsi="TimesNewRoman" w:cs="TimesNewRoman"/>
                <w:color w:val="231F20"/>
                <w:sz w:val="20"/>
                <w:szCs w:val="20"/>
              </w:rPr>
            </w:pPr>
            <w:r w:rsidRPr="00D52C0C" w:rsidR="00A1472D">
              <w:rPr>
                <w:rFonts w:ascii="TimesNewRoman" w:hAnsi="TimesNewRoman" w:cs="TimesNewRoman"/>
                <w:color w:val="231F20"/>
                <w:sz w:val="20"/>
                <w:szCs w:val="20"/>
              </w:rPr>
              <w:t xml:space="preserve">i) </w:t>
            </w:r>
            <w:r w:rsidRPr="00D52C0C">
              <w:rPr>
                <w:rFonts w:ascii="TimesNewRoman" w:hAnsi="TimesNewRoman" w:cs="TimesNewRoman"/>
                <w:color w:val="231F20"/>
                <w:sz w:val="20"/>
                <w:szCs w:val="20"/>
              </w:rPr>
              <w:t xml:space="preserve">každé kvapalné palivo získané z ropy okrem lodného paliva, na ktoré sa vzťahujú kódy KN 2710 19 51 až 2710 19 68, 2710 20 31, 2710 20 35, 2710 20 39, alebo </w:t>
            </w:r>
          </w:p>
          <w:p w:rsidR="00C65331" w:rsidRPr="00D52C0C" w:rsidP="00C65331">
            <w:pPr>
              <w:autoSpaceDE w:val="0"/>
              <w:autoSpaceDN w:val="0"/>
              <w:adjustRightInd w:val="0"/>
              <w:jc w:val="both"/>
              <w:rPr>
                <w:sz w:val="20"/>
              </w:rPr>
            </w:pPr>
            <w:r w:rsidRPr="00D52C0C" w:rsidR="00A1472D">
              <w:rPr>
                <w:rFonts w:ascii="TimesNewRoman" w:hAnsi="TimesNewRoman" w:cs="TimesNewRoman"/>
                <w:color w:val="231F20"/>
                <w:sz w:val="20"/>
                <w:lang w:eastAsia="sk-SK"/>
              </w:rPr>
              <w:t xml:space="preserve">ii) </w:t>
            </w:r>
            <w:r w:rsidRPr="00D52C0C">
              <w:rPr>
                <w:rFonts w:ascii="TimesNewRoman" w:hAnsi="TimesNewRoman" w:cs="TimesNewRoman"/>
                <w:color w:val="231F20"/>
                <w:sz w:val="20"/>
                <w:lang w:eastAsia="sk-SK"/>
              </w:rPr>
              <w:t>každé kvapalné palivo získané z ropy, iné ako plynový olej vymedzený v bodoch 2 a 3, ktoré z dôvodu svojho destilačného rozsahu patrí do kategórie ťažkých olejov určených na použitie ako palivo, z ktorého sa pri teplote 250 °C vydestiluje metódou ASTM D86 menej ako 65 % objemu (vrátane strát). Ak nie je možné vykonať destiláciu pomocou metódy ASTM D86, pokladá sa ropný produkt rovnako za ťažký vykurovací olej;</w:t>
            </w:r>
          </w:p>
        </w:tc>
        <w:tc>
          <w:tcPr>
            <w:tcW w:w="851" w:type="dxa"/>
            <w:tcBorders>
              <w:top w:val="single" w:sz="4" w:space="0" w:color="auto"/>
              <w:bottom w:val="single" w:sz="4" w:space="0" w:color="auto"/>
            </w:tcBorders>
          </w:tcPr>
          <w:p w:rsidR="00366A43" w:rsidRPr="00D52C0C">
            <w:pPr>
              <w:jc w:val="both"/>
              <w:rPr>
                <w:sz w:val="20"/>
              </w:rPr>
            </w:pPr>
            <w:r w:rsidRPr="00D52C0C" w:rsidR="003060AB">
              <w:rPr>
                <w:sz w:val="20"/>
              </w:rPr>
              <w:t>N</w:t>
            </w:r>
            <w:r w:rsidRPr="00D52C0C" w:rsidR="008D2E6C">
              <w:rPr>
                <w:sz w:val="20"/>
              </w:rPr>
              <w:t xml:space="preserve">      </w:t>
            </w:r>
          </w:p>
          <w:p w:rsidR="00366A43" w:rsidRPr="00D52C0C">
            <w:pPr>
              <w:jc w:val="both"/>
              <w:rPr>
                <w:sz w:val="20"/>
              </w:rPr>
            </w:pPr>
          </w:p>
          <w:p w:rsidR="00366A43" w:rsidRPr="00D52C0C">
            <w:pPr>
              <w:jc w:val="both"/>
              <w:rPr>
                <w:sz w:val="20"/>
              </w:rPr>
            </w:pPr>
          </w:p>
          <w:p w:rsidR="00366A43" w:rsidRPr="00D52C0C">
            <w:pPr>
              <w:jc w:val="both"/>
              <w:rPr>
                <w:sz w:val="20"/>
              </w:rPr>
            </w:pPr>
          </w:p>
          <w:p w:rsidR="00366A43" w:rsidRPr="00D52C0C">
            <w:pPr>
              <w:jc w:val="both"/>
              <w:rPr>
                <w:sz w:val="20"/>
              </w:rPr>
            </w:pPr>
          </w:p>
          <w:p w:rsidR="00366A43" w:rsidRPr="00D52C0C">
            <w:pPr>
              <w:jc w:val="both"/>
              <w:rPr>
                <w:sz w:val="20"/>
              </w:rPr>
            </w:pPr>
          </w:p>
          <w:p w:rsidR="00366A43" w:rsidRPr="00D52C0C">
            <w:pPr>
              <w:jc w:val="both"/>
              <w:rPr>
                <w:sz w:val="20"/>
              </w:rPr>
            </w:pPr>
          </w:p>
          <w:p w:rsidR="00366A43" w:rsidRPr="00D52C0C">
            <w:pPr>
              <w:jc w:val="both"/>
              <w:rPr>
                <w:sz w:val="20"/>
              </w:rPr>
            </w:pPr>
          </w:p>
          <w:p w:rsidR="00366A43" w:rsidRPr="00D52C0C">
            <w:pPr>
              <w:jc w:val="both"/>
              <w:rPr>
                <w:sz w:val="20"/>
              </w:rPr>
            </w:pPr>
          </w:p>
        </w:tc>
        <w:tc>
          <w:tcPr>
            <w:tcW w:w="850" w:type="dxa"/>
            <w:tcBorders>
              <w:top w:val="single" w:sz="4" w:space="0" w:color="auto"/>
              <w:bottom w:val="single" w:sz="4" w:space="0" w:color="auto"/>
            </w:tcBorders>
          </w:tcPr>
          <w:p w:rsidR="003060AB" w:rsidRPr="00D52C0C" w:rsidP="00366A43">
            <w:pPr>
              <w:jc w:val="both"/>
              <w:rPr>
                <w:sz w:val="20"/>
              </w:rPr>
            </w:pPr>
            <w:r w:rsidRPr="00D52C0C" w:rsidR="004F2084">
              <w:rPr>
                <w:sz w:val="20"/>
              </w:rPr>
              <w:t>NV</w:t>
            </w:r>
          </w:p>
        </w:tc>
        <w:tc>
          <w:tcPr>
            <w:tcW w:w="851" w:type="dxa"/>
            <w:tcBorders>
              <w:top w:val="single" w:sz="4" w:space="0" w:color="auto"/>
              <w:bottom w:val="single" w:sz="4" w:space="0" w:color="auto"/>
            </w:tcBorders>
          </w:tcPr>
          <w:p w:rsidR="00366A43" w:rsidRPr="00D52C0C">
            <w:pPr>
              <w:pStyle w:val="BodyText21"/>
              <w:spacing w:before="0"/>
            </w:pPr>
            <w:r w:rsidRPr="00D52C0C" w:rsidR="00AB011F">
              <w:t>§2</w:t>
            </w:r>
          </w:p>
          <w:p w:rsidR="00AB011F" w:rsidRPr="00D52C0C">
            <w:pPr>
              <w:pStyle w:val="BodyText21"/>
              <w:spacing w:before="0"/>
            </w:pPr>
            <w:r w:rsidRPr="00D52C0C">
              <w:t>Pa</w:t>
            </w:r>
          </w:p>
        </w:tc>
        <w:tc>
          <w:tcPr>
            <w:tcW w:w="4961" w:type="dxa"/>
            <w:tcBorders>
              <w:top w:val="single" w:sz="4" w:space="0" w:color="auto"/>
              <w:bottom w:val="single" w:sz="4" w:space="0" w:color="auto"/>
            </w:tcBorders>
          </w:tcPr>
          <w:p w:rsidR="00393AB4" w:rsidRPr="00393AB4" w:rsidP="00393AB4">
            <w:pPr>
              <w:tabs>
                <w:tab w:val="left" w:pos="851"/>
              </w:tabs>
              <w:spacing w:after="120"/>
              <w:jc w:val="both"/>
              <w:rPr>
                <w:b/>
                <w:sz w:val="20"/>
                <w:lang w:eastAsia="sk-SK"/>
              </w:rPr>
            </w:pPr>
            <w:r w:rsidRPr="00393AB4">
              <w:rPr>
                <w:b/>
                <w:sz w:val="20"/>
                <w:lang w:eastAsia="sk-SK"/>
              </w:rPr>
              <w:t>§ 2</w:t>
            </w:r>
          </w:p>
          <w:p w:rsidR="00393AB4" w:rsidP="00393AB4">
            <w:pPr>
              <w:tabs>
                <w:tab w:val="left" w:pos="851"/>
              </w:tabs>
              <w:spacing w:after="120"/>
              <w:jc w:val="both"/>
              <w:rPr>
                <w:b/>
                <w:sz w:val="20"/>
                <w:lang w:eastAsia="sk-SK"/>
              </w:rPr>
            </w:pPr>
            <w:r w:rsidRPr="00393AB4">
              <w:rPr>
                <w:b/>
                <w:sz w:val="20"/>
                <w:lang w:eastAsia="sk-SK"/>
              </w:rPr>
              <w:t>Vymedzenie základných pojmov</w:t>
            </w:r>
          </w:p>
          <w:p w:rsidR="00393AB4" w:rsidRPr="00393AB4" w:rsidP="00393AB4">
            <w:pPr>
              <w:tabs>
                <w:tab w:val="left" w:pos="851"/>
              </w:tabs>
              <w:spacing w:after="120"/>
              <w:rPr>
                <w:color w:val="231F20"/>
                <w:sz w:val="20"/>
                <w:lang w:eastAsia="sk-SK"/>
              </w:rPr>
            </w:pPr>
            <w:r w:rsidRPr="00393AB4">
              <w:rPr>
                <w:color w:val="231F20"/>
                <w:sz w:val="20"/>
                <w:lang w:eastAsia="sk-SK"/>
              </w:rPr>
              <w:t>Na účely vyhlášky sa rozumie</w:t>
            </w:r>
          </w:p>
          <w:p w:rsidR="00DE15CC" w:rsidRPr="00404DA9" w:rsidP="00DE15CC">
            <w:pPr>
              <w:pStyle w:val="adda"/>
              <w:rPr>
                <w:rFonts w:eastAsia="Times New Roman"/>
                <w:color w:val="231F20"/>
                <w:sz w:val="20"/>
                <w:szCs w:val="20"/>
                <w:lang w:eastAsia="sk-SK"/>
              </w:rPr>
            </w:pPr>
            <w:r w:rsidRPr="00404DA9">
              <w:rPr>
                <w:rFonts w:eastAsia="Times New Roman"/>
                <w:color w:val="231F20"/>
                <w:sz w:val="20"/>
                <w:szCs w:val="20"/>
                <w:lang w:eastAsia="sk-SK"/>
              </w:rPr>
              <w:t xml:space="preserve">ťažkým vykurovacím olejom   </w:t>
            </w:r>
          </w:p>
          <w:p w:rsidR="00DE15CC" w:rsidRPr="00404DA9" w:rsidP="00404DA9">
            <w:pPr>
              <w:keepNext/>
              <w:spacing w:before="60" w:after="60"/>
              <w:ind w:left="350" w:hanging="284"/>
              <w:jc w:val="both"/>
              <w:rPr>
                <w:color w:val="231F20"/>
                <w:sz w:val="20"/>
                <w:lang w:eastAsia="sk-SK"/>
              </w:rPr>
            </w:pPr>
            <w:r w:rsidRPr="00404DA9" w:rsidR="008E7D9D">
              <w:rPr>
                <w:color w:val="231F20"/>
                <w:sz w:val="20"/>
                <w:lang w:eastAsia="sk-SK"/>
              </w:rPr>
              <w:t xml:space="preserve">1. </w:t>
            </w:r>
            <w:r w:rsidRPr="00404DA9">
              <w:rPr>
                <w:color w:val="231F20"/>
                <w:sz w:val="20"/>
                <w:lang w:eastAsia="sk-SK"/>
              </w:rPr>
              <w:t xml:space="preserve">kvapalné ropné palivo iné ako lodné palivo, ktoré je zaradené pod podpoložky 2710 19 51 až 2710 19 68, 2710 20 31 až 2710 20 39 colného sadzobníka, alebo </w:t>
            </w:r>
          </w:p>
          <w:p w:rsidR="003E2826" w:rsidP="00404DA9">
            <w:pPr>
              <w:keepNext/>
              <w:spacing w:before="60" w:after="60"/>
              <w:ind w:left="350" w:hanging="284"/>
              <w:jc w:val="both"/>
              <w:rPr>
                <w:color w:val="231F20"/>
                <w:sz w:val="20"/>
                <w:lang w:eastAsia="sk-SK"/>
              </w:rPr>
            </w:pPr>
            <w:r w:rsidRPr="00404DA9" w:rsidR="008E7D9D">
              <w:rPr>
                <w:color w:val="231F20"/>
                <w:sz w:val="20"/>
                <w:lang w:eastAsia="sk-SK"/>
              </w:rPr>
              <w:t xml:space="preserve">2. </w:t>
            </w:r>
            <w:r w:rsidRPr="00404DA9" w:rsidR="00404DA9">
              <w:rPr>
                <w:color w:val="231F20"/>
                <w:sz w:val="20"/>
                <w:lang w:eastAsia="sk-SK"/>
              </w:rPr>
              <w:t xml:space="preserve"> </w:t>
            </w:r>
            <w:r w:rsidRPr="00404DA9">
              <w:rPr>
                <w:color w:val="231F20"/>
                <w:sz w:val="20"/>
                <w:lang w:eastAsia="sk-SK"/>
              </w:rPr>
              <w:t>kvapalné ropné palivo iné ako vykurovací plynový olej a lodné palivo, ktoré je vzhľadom na destilačné rozmedzie zaradené do skupiny ťažkých olejov určených ako palivo a z ktorého sa pri teplote 250 °C predestiluje menej ako 65 % objemu vrátane strát podľa technickej normy</w:t>
            </w:r>
            <w:r w:rsidR="00A215EA">
              <w:rPr>
                <w:color w:val="231F20"/>
                <w:sz w:val="20"/>
                <w:lang w:eastAsia="sk-SK"/>
              </w:rPr>
              <w:t xml:space="preserve"> alebo inej </w:t>
            </w:r>
            <w:r w:rsidR="00915817">
              <w:rPr>
                <w:color w:val="231F20"/>
                <w:sz w:val="20"/>
                <w:lang w:eastAsia="sk-SK"/>
              </w:rPr>
              <w:t>obdobnej technickej špecifikácie</w:t>
            </w:r>
            <w:r w:rsidR="00A215EA">
              <w:rPr>
                <w:color w:val="231F20"/>
                <w:sz w:val="20"/>
                <w:lang w:eastAsia="sk-SK"/>
              </w:rPr>
              <w:t xml:space="preserve"> s porovnateľnými alebo prísnejšími požiadavkami</w:t>
            </w:r>
            <w:r w:rsidRPr="00404DA9">
              <w:rPr>
                <w:color w:val="231F20"/>
                <w:sz w:val="20"/>
                <w:lang w:eastAsia="sk-SK"/>
              </w:rPr>
              <w:t>;</w:t>
            </w:r>
            <w:r w:rsidR="00624491">
              <w:rPr>
                <w:color w:val="231F20"/>
                <w:sz w:val="20"/>
                <w:vertAlign w:val="superscript"/>
                <w:lang w:eastAsia="sk-SK"/>
              </w:rPr>
              <w:t>4</w:t>
            </w:r>
            <w:r w:rsidRPr="00624491" w:rsidR="00624491">
              <w:rPr>
                <w:color w:val="231F20"/>
                <w:sz w:val="20"/>
                <w:lang w:eastAsia="sk-SK"/>
              </w:rPr>
              <w:t>)</w:t>
            </w:r>
            <w:r w:rsidRPr="00404DA9">
              <w:rPr>
                <w:color w:val="231F20"/>
                <w:sz w:val="20"/>
                <w:lang w:eastAsia="sk-SK"/>
              </w:rPr>
              <w:t xml:space="preserve"> ak percento destilácie pri teplote 250 °C nemožno stanoviť, ropné palivo sa považuje za ťažký vykurovací olej,</w:t>
            </w:r>
          </w:p>
          <w:p w:rsidR="00393AB4" w:rsidP="00393AB4">
            <w:pPr>
              <w:spacing w:line="240" w:lineRule="atLeast"/>
              <w:ind w:left="-44" w:firstLine="44"/>
              <w:jc w:val="both"/>
            </w:pPr>
            <w:r>
              <w:rPr>
                <w:noProof/>
              </w:rPr>
              <w:pict>
                <v:shape id="_x0000_s1028" type="#_x0000_t32" style="width:58.2pt;height:0;margin-top:5.4pt;margin-left:0.1pt;position:absolute;z-index:251661312" o:connectortype="straight"/>
              </w:pict>
            </w:r>
          </w:p>
          <w:p w:rsidR="00393AB4" w:rsidRPr="00393AB4" w:rsidP="00393AB4">
            <w:pPr>
              <w:pStyle w:val="FootnoteText"/>
              <w:jc w:val="both"/>
              <w:rPr>
                <w:sz w:val="18"/>
                <w:szCs w:val="18"/>
              </w:rPr>
            </w:pPr>
            <w:r>
              <w:rPr>
                <w:sz w:val="18"/>
                <w:szCs w:val="18"/>
                <w:vertAlign w:val="superscript"/>
              </w:rPr>
              <w:t>4</w:t>
            </w:r>
            <w:r>
              <w:rPr>
                <w:sz w:val="18"/>
                <w:szCs w:val="18"/>
              </w:rPr>
              <w:t xml:space="preserve">) </w:t>
            </w:r>
            <w:r w:rsidRPr="00393AB4">
              <w:rPr>
                <w:sz w:val="18"/>
                <w:szCs w:val="18"/>
              </w:rPr>
              <w:t>STN EN ISO 3405 Ropné výrobky a príbuzné výrobky z prírodných alebo syntetických zdrojov. Stanovenie destilačných charakteristík pri atmosférickom tlaku (ISO 3405) (65 6124).</w:t>
            </w:r>
          </w:p>
          <w:p w:rsidR="00393AB4" w:rsidRPr="00404DA9" w:rsidP="00404DA9">
            <w:pPr>
              <w:keepNext/>
              <w:spacing w:before="60" w:after="60"/>
              <w:ind w:left="350" w:hanging="284"/>
              <w:jc w:val="both"/>
              <w:rPr>
                <w:color w:val="231F20"/>
              </w:rPr>
            </w:pPr>
          </w:p>
        </w:tc>
        <w:tc>
          <w:tcPr>
            <w:tcW w:w="709" w:type="dxa"/>
            <w:tcBorders>
              <w:top w:val="single" w:sz="4" w:space="0" w:color="auto"/>
              <w:bottom w:val="single" w:sz="4" w:space="0" w:color="auto"/>
            </w:tcBorders>
          </w:tcPr>
          <w:p w:rsidR="0078619F" w:rsidRPr="00D52C0C">
            <w:pPr>
              <w:jc w:val="both"/>
              <w:rPr>
                <w:rFonts w:ascii="TimesNewRoman" w:hAnsi="TimesNewRoman" w:cs="TimesNewRoman"/>
                <w:color w:val="231F20"/>
                <w:sz w:val="20"/>
                <w:lang w:eastAsia="sk-SK"/>
              </w:rPr>
            </w:pPr>
            <w:r w:rsidRPr="00D52C0C" w:rsidR="00AB011F">
              <w:rPr>
                <w:rFonts w:ascii="TimesNewRoman" w:hAnsi="TimesNewRoman" w:cs="TimesNewRoman"/>
                <w:color w:val="231F20"/>
                <w:sz w:val="20"/>
                <w:lang w:eastAsia="sk-SK"/>
              </w:rPr>
              <w:t>Ú</w:t>
            </w:r>
          </w:p>
        </w:tc>
        <w:tc>
          <w:tcPr>
            <w:tcW w:w="1417" w:type="dxa"/>
            <w:tcBorders>
              <w:top w:val="single" w:sz="4" w:space="0" w:color="auto"/>
              <w:bottom w:val="single" w:sz="4" w:space="0" w:color="auto"/>
            </w:tcBorders>
          </w:tcPr>
          <w:p w:rsidR="008D2E6C" w:rsidRPr="00D52C0C">
            <w:pPr>
              <w:jc w:val="both"/>
              <w:rPr>
                <w:sz w:val="20"/>
              </w:rPr>
            </w:pPr>
          </w:p>
        </w:tc>
      </w:tr>
      <w:tr w:rsidTr="000B581A">
        <w:tblPrEx>
          <w:tblW w:w="14954" w:type="dxa"/>
          <w:tblLayout w:type="fixed"/>
          <w:tblCellMar>
            <w:left w:w="70" w:type="dxa"/>
            <w:right w:w="70" w:type="dxa"/>
          </w:tblCellMar>
          <w:tblLook w:val="0000"/>
        </w:tblPrEx>
        <w:trPr>
          <w:trHeight w:val="4251"/>
        </w:trPr>
        <w:tc>
          <w:tcPr>
            <w:tcW w:w="779" w:type="dxa"/>
            <w:tcBorders>
              <w:top w:val="single" w:sz="4" w:space="0" w:color="auto"/>
              <w:bottom w:val="single" w:sz="4" w:space="0" w:color="auto"/>
            </w:tcBorders>
          </w:tcPr>
          <w:p w:rsidR="00AB011F" w:rsidRPr="00D52C0C">
            <w:pPr>
              <w:jc w:val="both"/>
              <w:rPr>
                <w:sz w:val="20"/>
              </w:rPr>
            </w:pPr>
            <w:r w:rsidRPr="00D52C0C">
              <w:rPr>
                <w:sz w:val="20"/>
              </w:rPr>
              <w:t>Č2</w:t>
            </w:r>
          </w:p>
          <w:p w:rsidR="00AB011F" w:rsidRPr="00D52C0C">
            <w:pPr>
              <w:jc w:val="both"/>
              <w:rPr>
                <w:sz w:val="20"/>
              </w:rPr>
            </w:pPr>
            <w:r w:rsidRPr="00D52C0C" w:rsidR="00A1472D">
              <w:rPr>
                <w:sz w:val="20"/>
              </w:rPr>
              <w:t>Pb</w:t>
            </w:r>
          </w:p>
        </w:tc>
        <w:tc>
          <w:tcPr>
            <w:tcW w:w="4536" w:type="dxa"/>
            <w:tcBorders>
              <w:top w:val="single" w:sz="4" w:space="0" w:color="auto"/>
              <w:bottom w:val="single" w:sz="4" w:space="0" w:color="auto"/>
            </w:tcBorders>
          </w:tcPr>
          <w:p w:rsidR="00C65331" w:rsidRPr="00D52C0C" w:rsidP="00C65331">
            <w:pPr>
              <w:pStyle w:val="CM4"/>
              <w:spacing w:before="60" w:after="60"/>
              <w:jc w:val="both"/>
              <w:rPr>
                <w:rFonts w:ascii="TimesNewRoman" w:hAnsi="TimesNewRoman" w:cs="TimesNewRoman"/>
                <w:color w:val="231F20"/>
                <w:sz w:val="20"/>
                <w:szCs w:val="20"/>
              </w:rPr>
            </w:pPr>
            <w:r w:rsidRPr="00D52C0C" w:rsidR="00A1472D">
              <w:rPr>
                <w:rFonts w:ascii="TimesNewRoman" w:hAnsi="TimesNewRoman" w:cs="TimesNewRoman"/>
                <w:color w:val="231F20"/>
                <w:sz w:val="20"/>
                <w:szCs w:val="20"/>
              </w:rPr>
              <w:t>b) „</w:t>
            </w:r>
            <w:r w:rsidRPr="00D52C0C">
              <w:rPr>
                <w:rFonts w:ascii="TimesNewRoman" w:hAnsi="TimesNewRoman" w:cs="TimesNewRoman"/>
                <w:color w:val="231F20"/>
                <w:sz w:val="20"/>
                <w:szCs w:val="20"/>
              </w:rPr>
              <w:t>plynový olej</w:t>
            </w:r>
            <w:r w:rsidRPr="00D52C0C" w:rsidR="00A1472D">
              <w:rPr>
                <w:rFonts w:ascii="TimesNewRoman" w:hAnsi="TimesNewRoman" w:cs="TimesNewRoman"/>
                <w:color w:val="231F20"/>
                <w:sz w:val="20"/>
                <w:szCs w:val="20"/>
              </w:rPr>
              <w:t>“ je</w:t>
            </w:r>
            <w:r w:rsidRPr="00D52C0C">
              <w:rPr>
                <w:rFonts w:ascii="TimesNewRoman" w:hAnsi="TimesNewRoman" w:cs="TimesNewRoman"/>
                <w:color w:val="231F20"/>
                <w:sz w:val="20"/>
                <w:szCs w:val="20"/>
              </w:rPr>
              <w:t xml:space="preserve">: </w:t>
            </w:r>
          </w:p>
          <w:p w:rsidR="00C65331" w:rsidRPr="00D52C0C" w:rsidP="00C65331">
            <w:pPr>
              <w:pStyle w:val="CM4"/>
              <w:spacing w:before="60" w:after="60"/>
              <w:jc w:val="both"/>
              <w:rPr>
                <w:rFonts w:ascii="TimesNewRoman" w:hAnsi="TimesNewRoman" w:cs="TimesNewRoman"/>
                <w:color w:val="231F20"/>
                <w:sz w:val="20"/>
                <w:szCs w:val="20"/>
              </w:rPr>
            </w:pPr>
            <w:r w:rsidRPr="00D52C0C" w:rsidR="00A1472D">
              <w:rPr>
                <w:rFonts w:ascii="TimesNewRoman" w:hAnsi="TimesNewRoman" w:cs="TimesNewRoman"/>
                <w:color w:val="231F20"/>
                <w:sz w:val="20"/>
                <w:szCs w:val="20"/>
              </w:rPr>
              <w:t>i</w:t>
            </w:r>
            <w:r w:rsidRPr="00D52C0C" w:rsidR="00A1472D">
              <w:rPr>
                <w:rFonts w:ascii="TimesNewRoman" w:hAnsi="TimesNewRoman" w:cs="TimesNewRoman"/>
                <w:color w:val="231F20"/>
                <w:sz w:val="20"/>
                <w:szCs w:val="20"/>
              </w:rPr>
              <w:t xml:space="preserve">) </w:t>
            </w:r>
            <w:r w:rsidRPr="00D52C0C">
              <w:rPr>
                <w:rFonts w:ascii="TimesNewRoman" w:hAnsi="TimesNewRoman" w:cs="TimesNewRoman"/>
                <w:color w:val="231F20"/>
                <w:sz w:val="20"/>
                <w:szCs w:val="20"/>
              </w:rPr>
              <w:t xml:space="preserve">každé kvapalné palivo získané z ropy okrem lodného paliva, na ktoré sa vzťahujú kódy KN 2710 19 25, 2710 19 29, 2710 19 47, 2710 19 48, 2710 20 17 alebo 2710 20 19, alebo </w:t>
            </w:r>
          </w:p>
          <w:p w:rsidR="00C65331" w:rsidRPr="008E3864" w:rsidP="00C65331">
            <w:pPr>
              <w:pStyle w:val="CM4"/>
              <w:spacing w:before="60" w:after="60"/>
              <w:jc w:val="both"/>
              <w:rPr>
                <w:rFonts w:ascii="TimesNewRoman" w:hAnsi="TimesNewRoman" w:cs="TimesNewRoman"/>
                <w:color w:val="231F20"/>
                <w:sz w:val="20"/>
                <w:szCs w:val="20"/>
              </w:rPr>
            </w:pPr>
            <w:r w:rsidRPr="00D52C0C" w:rsidR="00A1472D">
              <w:rPr>
                <w:rFonts w:ascii="TimesNewRoman" w:hAnsi="TimesNewRoman" w:cs="TimesNewRoman"/>
                <w:color w:val="231F20"/>
                <w:sz w:val="20"/>
                <w:szCs w:val="20"/>
              </w:rPr>
              <w:t xml:space="preserve">ii) </w:t>
            </w:r>
            <w:r w:rsidRPr="005614C4">
              <w:rPr>
                <w:rFonts w:ascii="TimesNewRoman" w:hAnsi="TimesNewRoman" w:cs="TimesNewRoman"/>
                <w:color w:val="231F20"/>
                <w:sz w:val="20"/>
                <w:szCs w:val="20"/>
              </w:rPr>
              <w:t>každé kvapalné palivo získané z ropy okrem lodného paliva, z ktorého sa pri te</w:t>
            </w:r>
            <w:r w:rsidRPr="005614C4">
              <w:rPr>
                <w:rFonts w:ascii="TimesNewRoman" w:hAnsi="TimesNewRoman" w:cs="TimesNewRoman"/>
                <w:color w:val="231F20"/>
                <w:sz w:val="20"/>
                <w:szCs w:val="20"/>
              </w:rPr>
              <w:t xml:space="preserve">plote 250 °C vydestiluje metódou ASTM D86 menej ako 65 % objemu (vrátane strát) a pri teplote 350 °C minimálne 85 </w:t>
            </w:r>
            <w:r w:rsidRPr="008E3864">
              <w:rPr>
                <w:rFonts w:ascii="TimesNewRoman" w:hAnsi="TimesNewRoman" w:cs="TimesNewRoman"/>
                <w:color w:val="231F20"/>
                <w:sz w:val="20"/>
                <w:szCs w:val="20"/>
              </w:rPr>
              <w:t xml:space="preserve">% objemu (vrátane strát). </w:t>
            </w:r>
          </w:p>
          <w:p w:rsidR="00C65331" w:rsidRPr="00D52C0C" w:rsidP="00C65331">
            <w:pPr>
              <w:autoSpaceDE w:val="0"/>
              <w:autoSpaceDN w:val="0"/>
              <w:adjustRightInd w:val="0"/>
              <w:jc w:val="both"/>
              <w:rPr>
                <w:rFonts w:ascii="TimesNewRoman" w:hAnsi="TimesNewRoman" w:cs="TimesNewRoman"/>
                <w:color w:val="231F20"/>
                <w:sz w:val="20"/>
                <w:lang w:eastAsia="sk-SK"/>
              </w:rPr>
            </w:pPr>
            <w:r w:rsidRPr="008E3864">
              <w:rPr>
                <w:rFonts w:ascii="TimesNewRoman" w:hAnsi="TimesNewRoman" w:cs="TimesNewRoman"/>
                <w:color w:val="231F20"/>
                <w:sz w:val="20"/>
                <w:lang w:eastAsia="sk-SK"/>
              </w:rPr>
              <w:t>Motorová nafta vymedzená v článku 2 bod 2 smernice Európskeho parlamentu a Rady 98/70/ES z 13. októbra 1998 týkajúc</w:t>
            </w:r>
            <w:r w:rsidRPr="008E3864">
              <w:rPr>
                <w:rFonts w:ascii="TimesNewRoman" w:hAnsi="TimesNewRoman" w:cs="TimesNewRoman"/>
                <w:color w:val="231F20"/>
                <w:sz w:val="20"/>
                <w:lang w:eastAsia="sk-SK"/>
              </w:rPr>
              <w:t xml:space="preserve">ej sa kvality benzínu a naftových palív </w:t>
            </w:r>
            <w:r w:rsidRPr="008E3864">
              <w:rPr>
                <w:rFonts w:ascii="TimesNewRoman" w:hAnsi="TimesNewRoman" w:cs="TimesNewRoman"/>
                <w:color w:val="231F20"/>
                <w:sz w:val="20"/>
                <w:vertAlign w:val="superscript"/>
                <w:lang w:eastAsia="sk-SK"/>
              </w:rPr>
              <w:t>( 1 )</w:t>
            </w:r>
            <w:r w:rsidRPr="008E3864">
              <w:rPr>
                <w:rFonts w:ascii="TimesNewRoman" w:hAnsi="TimesNewRoman" w:cs="TimesNewRoman"/>
                <w:color w:val="231F20"/>
                <w:sz w:val="20"/>
                <w:lang w:eastAsia="sk-SK"/>
              </w:rPr>
              <w:t xml:space="preserve"> je z tejto definície vylúčená. Palivá používané necestnými pojazdnými strojmi a poľnohospodárskymi traktormi sú z tejto definície tiež vylúčené;</w:t>
            </w:r>
          </w:p>
          <w:p w:rsidR="00AB011F" w:rsidRPr="00D52C0C" w:rsidP="00C65331">
            <w:pPr>
              <w:pStyle w:val="Heading8"/>
              <w:jc w:val="both"/>
            </w:pPr>
          </w:p>
        </w:tc>
        <w:tc>
          <w:tcPr>
            <w:tcW w:w="851" w:type="dxa"/>
            <w:tcBorders>
              <w:top w:val="single" w:sz="4" w:space="0" w:color="auto"/>
              <w:bottom w:val="single" w:sz="4" w:space="0" w:color="auto"/>
            </w:tcBorders>
          </w:tcPr>
          <w:p w:rsidR="00AB011F" w:rsidRPr="00D52C0C">
            <w:pPr>
              <w:jc w:val="both"/>
              <w:rPr>
                <w:sz w:val="20"/>
              </w:rPr>
            </w:pPr>
            <w:r w:rsidRPr="00D52C0C" w:rsidR="006448BF">
              <w:rPr>
                <w:sz w:val="20"/>
              </w:rPr>
              <w:t>N</w:t>
            </w:r>
          </w:p>
        </w:tc>
        <w:tc>
          <w:tcPr>
            <w:tcW w:w="850" w:type="dxa"/>
            <w:tcBorders>
              <w:top w:val="single" w:sz="4" w:space="0" w:color="auto"/>
              <w:bottom w:val="single" w:sz="4" w:space="0" w:color="auto"/>
            </w:tcBorders>
          </w:tcPr>
          <w:p w:rsidR="00AB011F" w:rsidRPr="00D52C0C" w:rsidP="00366A43">
            <w:pPr>
              <w:jc w:val="both"/>
              <w:rPr>
                <w:sz w:val="20"/>
              </w:rPr>
            </w:pPr>
            <w:r w:rsidRPr="00D52C0C" w:rsidR="004F2084">
              <w:rPr>
                <w:sz w:val="20"/>
              </w:rPr>
              <w:t>NV</w:t>
            </w:r>
          </w:p>
        </w:tc>
        <w:tc>
          <w:tcPr>
            <w:tcW w:w="851" w:type="dxa"/>
            <w:tcBorders>
              <w:top w:val="single" w:sz="4" w:space="0" w:color="auto"/>
              <w:bottom w:val="single" w:sz="4" w:space="0" w:color="auto"/>
            </w:tcBorders>
          </w:tcPr>
          <w:p w:rsidR="00AB011F" w:rsidRPr="00D52C0C">
            <w:pPr>
              <w:pStyle w:val="BodyText21"/>
              <w:spacing w:before="0"/>
            </w:pPr>
            <w:r w:rsidRPr="00D52C0C" w:rsidR="006448BF">
              <w:t>§2</w:t>
            </w:r>
          </w:p>
          <w:p w:rsidR="006448BF" w:rsidRPr="00D52C0C">
            <w:pPr>
              <w:pStyle w:val="BodyText21"/>
              <w:spacing w:before="0"/>
            </w:pPr>
            <w:r w:rsidRPr="00D52C0C">
              <w:t>Pb</w:t>
            </w:r>
          </w:p>
        </w:tc>
        <w:tc>
          <w:tcPr>
            <w:tcW w:w="4961" w:type="dxa"/>
            <w:tcBorders>
              <w:top w:val="single" w:sz="4" w:space="0" w:color="auto"/>
              <w:bottom w:val="single" w:sz="4" w:space="0" w:color="auto"/>
            </w:tcBorders>
          </w:tcPr>
          <w:p w:rsidR="003F390B" w:rsidRPr="00393AB4" w:rsidP="003F390B">
            <w:pPr>
              <w:tabs>
                <w:tab w:val="left" w:pos="851"/>
              </w:tabs>
              <w:spacing w:after="120"/>
              <w:jc w:val="both"/>
              <w:rPr>
                <w:b/>
                <w:sz w:val="20"/>
                <w:lang w:eastAsia="sk-SK"/>
              </w:rPr>
            </w:pPr>
            <w:r w:rsidRPr="00393AB4">
              <w:rPr>
                <w:b/>
                <w:sz w:val="20"/>
                <w:lang w:eastAsia="sk-SK"/>
              </w:rPr>
              <w:t>§ 2</w:t>
            </w:r>
          </w:p>
          <w:p w:rsidR="003F390B" w:rsidP="003F390B">
            <w:pPr>
              <w:tabs>
                <w:tab w:val="left" w:pos="851"/>
              </w:tabs>
              <w:spacing w:after="120"/>
              <w:jc w:val="both"/>
              <w:rPr>
                <w:b/>
                <w:sz w:val="20"/>
                <w:lang w:eastAsia="sk-SK"/>
              </w:rPr>
            </w:pPr>
            <w:r w:rsidRPr="00393AB4">
              <w:rPr>
                <w:b/>
                <w:sz w:val="20"/>
                <w:lang w:eastAsia="sk-SK"/>
              </w:rPr>
              <w:t>Vymedzenie základných pojmov</w:t>
            </w:r>
          </w:p>
          <w:p w:rsidR="003F390B" w:rsidRPr="00393AB4" w:rsidP="003F390B">
            <w:pPr>
              <w:tabs>
                <w:tab w:val="left" w:pos="851"/>
              </w:tabs>
              <w:spacing w:after="120"/>
              <w:rPr>
                <w:color w:val="231F20"/>
                <w:sz w:val="20"/>
                <w:lang w:eastAsia="sk-SK"/>
              </w:rPr>
            </w:pPr>
            <w:r w:rsidRPr="00393AB4">
              <w:rPr>
                <w:color w:val="231F20"/>
                <w:sz w:val="20"/>
                <w:lang w:eastAsia="sk-SK"/>
              </w:rPr>
              <w:t>Na účely vyhlášky sa</w:t>
            </w:r>
            <w:r w:rsidRPr="00393AB4">
              <w:rPr>
                <w:color w:val="231F20"/>
                <w:sz w:val="20"/>
                <w:lang w:eastAsia="sk-SK"/>
              </w:rPr>
              <w:t xml:space="preserve"> rozumie</w:t>
            </w:r>
          </w:p>
          <w:p w:rsidR="00DE15CC" w:rsidRPr="00404DA9" w:rsidP="00DE15CC">
            <w:pPr>
              <w:pStyle w:val="adda"/>
              <w:rPr>
                <w:rFonts w:eastAsia="Times New Roman"/>
                <w:color w:val="231F20"/>
                <w:sz w:val="20"/>
                <w:szCs w:val="20"/>
                <w:lang w:eastAsia="sk-SK"/>
              </w:rPr>
            </w:pPr>
            <w:r w:rsidRPr="00404DA9">
              <w:rPr>
                <w:rFonts w:eastAsia="Times New Roman"/>
                <w:color w:val="231F20"/>
                <w:sz w:val="20"/>
                <w:szCs w:val="20"/>
                <w:lang w:eastAsia="sk-SK"/>
              </w:rPr>
              <w:t xml:space="preserve">vykurovacím plynovým olejom  </w:t>
            </w:r>
          </w:p>
          <w:p w:rsidR="00DE15CC" w:rsidRPr="008E3864" w:rsidP="00404DA9">
            <w:pPr>
              <w:keepNext/>
              <w:spacing w:before="60" w:after="60"/>
              <w:ind w:left="350" w:hanging="350"/>
              <w:jc w:val="both"/>
              <w:rPr>
                <w:color w:val="231F20"/>
                <w:sz w:val="20"/>
                <w:lang w:eastAsia="sk-SK"/>
              </w:rPr>
            </w:pPr>
            <w:r w:rsidRPr="00404DA9" w:rsidR="008E7D9D">
              <w:rPr>
                <w:color w:val="231F20"/>
                <w:sz w:val="20"/>
                <w:lang w:eastAsia="sk-SK"/>
              </w:rPr>
              <w:t xml:space="preserve">1. </w:t>
            </w:r>
            <w:r w:rsidR="00404DA9">
              <w:rPr>
                <w:color w:val="231F20"/>
                <w:sz w:val="20"/>
                <w:lang w:eastAsia="sk-SK"/>
              </w:rPr>
              <w:t xml:space="preserve"> </w:t>
            </w:r>
            <w:r w:rsidRPr="00404DA9">
              <w:rPr>
                <w:color w:val="231F20"/>
                <w:sz w:val="20"/>
                <w:lang w:eastAsia="sk-SK"/>
              </w:rPr>
              <w:t xml:space="preserve">kvapalné ropné palivo iné ako lodné palivo, ktoré je zaradené pod podpoložky 2710 19 25, 2710 19 29, 2710 19 47, 2710 19 48, 2710 20 17 alebo 2710 20 19 </w:t>
            </w:r>
            <w:r w:rsidRPr="008E3864">
              <w:rPr>
                <w:color w:val="231F20"/>
                <w:sz w:val="20"/>
                <w:lang w:eastAsia="sk-SK"/>
              </w:rPr>
              <w:t>colného sadzobníka, alebo</w:t>
            </w:r>
          </w:p>
          <w:p w:rsidR="00C463ED" w:rsidRPr="00404DA9" w:rsidP="00404DA9">
            <w:pPr>
              <w:keepNext/>
              <w:spacing w:before="60" w:after="60"/>
              <w:ind w:left="350" w:hanging="350"/>
              <w:jc w:val="both"/>
              <w:rPr>
                <w:color w:val="231F20"/>
                <w:sz w:val="20"/>
                <w:lang w:eastAsia="sk-SK"/>
              </w:rPr>
            </w:pPr>
            <w:r w:rsidRPr="008E3864" w:rsidR="008E7D9D">
              <w:rPr>
                <w:color w:val="231F20"/>
                <w:sz w:val="20"/>
                <w:lang w:eastAsia="sk-SK"/>
              </w:rPr>
              <w:t xml:space="preserve">2. </w:t>
            </w:r>
            <w:r w:rsidRPr="008E3864" w:rsidR="00404DA9">
              <w:rPr>
                <w:color w:val="231F20"/>
                <w:sz w:val="20"/>
                <w:lang w:eastAsia="sk-SK"/>
              </w:rPr>
              <w:t xml:space="preserve"> </w:t>
            </w:r>
            <w:r w:rsidRPr="008E3864">
              <w:rPr>
                <w:color w:val="231F20"/>
                <w:sz w:val="20"/>
                <w:lang w:eastAsia="sk-SK"/>
              </w:rPr>
              <w:t xml:space="preserve">kvapalné ropné palivo iné ako </w:t>
            </w:r>
            <w:r w:rsidRPr="008E3864">
              <w:rPr>
                <w:color w:val="231F20"/>
                <w:sz w:val="20"/>
                <w:lang w:eastAsia="sk-SK"/>
              </w:rPr>
              <w:t>lodné palivo, motorová nafta a motorový plynový olej, z ktorého sa pri teplote 250 °C predestiluje menej ako 65 % objemu vrátane strát a pri teplote 350 °C najmenej</w:t>
            </w:r>
            <w:r w:rsidRPr="00404DA9">
              <w:rPr>
                <w:color w:val="231F20"/>
                <w:sz w:val="20"/>
                <w:lang w:eastAsia="sk-SK"/>
              </w:rPr>
              <w:t xml:space="preserve"> 85 % objemu vrátane strát podľa technickej normy</w:t>
            </w:r>
            <w:r w:rsidR="003F390B">
              <w:rPr>
                <w:color w:val="231F20"/>
                <w:sz w:val="20"/>
                <w:lang w:eastAsia="sk-SK"/>
              </w:rPr>
              <w:t xml:space="preserve"> alebo inej </w:t>
            </w:r>
            <w:r w:rsidR="00915817">
              <w:rPr>
                <w:color w:val="231F20"/>
                <w:sz w:val="20"/>
                <w:lang w:eastAsia="sk-SK"/>
              </w:rPr>
              <w:t>obdobnej technickej špecifikáci</w:t>
            </w:r>
            <w:r w:rsidR="00915817">
              <w:rPr>
                <w:color w:val="231F20"/>
                <w:sz w:val="20"/>
                <w:lang w:eastAsia="sk-SK"/>
              </w:rPr>
              <w:t>e</w:t>
            </w:r>
            <w:r w:rsidR="003F390B">
              <w:rPr>
                <w:color w:val="231F20"/>
                <w:sz w:val="20"/>
                <w:lang w:eastAsia="sk-SK"/>
              </w:rPr>
              <w:t xml:space="preserve"> s porovnateľnými alebo prísnejšími požiadavkami</w:t>
            </w:r>
            <w:r w:rsidRPr="00404DA9">
              <w:rPr>
                <w:color w:val="231F20"/>
                <w:sz w:val="20"/>
                <w:lang w:eastAsia="sk-SK"/>
              </w:rPr>
              <w:t>,</w:t>
            </w:r>
            <w:r w:rsidRPr="00404DA9">
              <w:rPr>
                <w:color w:val="231F20"/>
                <w:sz w:val="20"/>
                <w:vertAlign w:val="superscript"/>
                <w:lang w:eastAsia="sk-SK"/>
              </w:rPr>
              <w:t>4</w:t>
            </w:r>
            <w:r w:rsidRPr="00404DA9">
              <w:rPr>
                <w:color w:val="231F20"/>
                <w:sz w:val="20"/>
                <w:lang w:eastAsia="sk-SK"/>
              </w:rPr>
              <w:t>)</w:t>
            </w:r>
          </w:p>
          <w:p w:rsidR="003F390B" w:rsidP="003F390B">
            <w:pPr>
              <w:spacing w:line="240" w:lineRule="atLeast"/>
              <w:ind w:left="-44" w:firstLine="44"/>
              <w:jc w:val="both"/>
            </w:pPr>
            <w:r>
              <w:rPr>
                <w:noProof/>
              </w:rPr>
              <w:pict>
                <v:shape id="_x0000_s1029" type="#_x0000_t32" style="width:58.2pt;height:0;margin-top:5.4pt;margin-left:0.1pt;position:absolute;z-index:251662336" o:connectortype="straight"/>
              </w:pict>
            </w:r>
          </w:p>
          <w:p w:rsidR="00AB011F" w:rsidRPr="00404DA9" w:rsidP="003F390B">
            <w:pPr>
              <w:pStyle w:val="FootnoteText"/>
              <w:jc w:val="both"/>
              <w:rPr>
                <w:color w:val="231F20"/>
                <w:sz w:val="20"/>
                <w:lang w:eastAsia="sk-SK"/>
              </w:rPr>
            </w:pPr>
            <w:r w:rsidR="003F390B">
              <w:rPr>
                <w:sz w:val="18"/>
                <w:szCs w:val="18"/>
                <w:vertAlign w:val="superscript"/>
              </w:rPr>
              <w:t>4</w:t>
            </w:r>
            <w:r w:rsidR="003F390B">
              <w:rPr>
                <w:sz w:val="18"/>
                <w:szCs w:val="18"/>
              </w:rPr>
              <w:t xml:space="preserve">) </w:t>
            </w:r>
            <w:r w:rsidRPr="00393AB4" w:rsidR="003F390B">
              <w:rPr>
                <w:sz w:val="18"/>
                <w:szCs w:val="18"/>
              </w:rPr>
              <w:t>STN EN ISO 3405 Ropné výrobky a príbuzné výrobky z prírodných alebo syntetických zdrojov. Stanovenie destilačných charakteristík pri atmosférickom tlaku (ISO 3405) (65 6124).</w:t>
            </w:r>
          </w:p>
        </w:tc>
        <w:tc>
          <w:tcPr>
            <w:tcW w:w="709" w:type="dxa"/>
            <w:tcBorders>
              <w:top w:val="single" w:sz="4" w:space="0" w:color="auto"/>
              <w:bottom w:val="single" w:sz="4" w:space="0" w:color="auto"/>
            </w:tcBorders>
          </w:tcPr>
          <w:p w:rsidR="00AB011F" w:rsidRPr="00D52C0C">
            <w:pPr>
              <w:jc w:val="both"/>
              <w:rPr>
                <w:sz w:val="20"/>
              </w:rPr>
            </w:pPr>
            <w:r w:rsidRPr="00D52C0C" w:rsidR="006448BF">
              <w:rPr>
                <w:sz w:val="20"/>
              </w:rPr>
              <w:t>Ú</w:t>
            </w:r>
          </w:p>
        </w:tc>
        <w:tc>
          <w:tcPr>
            <w:tcW w:w="1417" w:type="dxa"/>
            <w:tcBorders>
              <w:top w:val="single" w:sz="4" w:space="0" w:color="auto"/>
              <w:bottom w:val="single" w:sz="4" w:space="0" w:color="auto"/>
            </w:tcBorders>
          </w:tcPr>
          <w:p w:rsidR="00AB011F" w:rsidRPr="00D52C0C">
            <w:pPr>
              <w:jc w:val="both"/>
              <w:rPr>
                <w:sz w:val="20"/>
              </w:rPr>
            </w:pPr>
          </w:p>
        </w:tc>
      </w:tr>
      <w:tr w:rsidTr="000B581A">
        <w:tblPrEx>
          <w:tblW w:w="14954" w:type="dxa"/>
          <w:tblLayout w:type="fixed"/>
          <w:tblCellMar>
            <w:left w:w="70" w:type="dxa"/>
            <w:right w:w="70" w:type="dxa"/>
          </w:tblCellMar>
          <w:tblLook w:val="0000"/>
        </w:tblPrEx>
        <w:trPr>
          <w:trHeight w:val="699"/>
        </w:trPr>
        <w:tc>
          <w:tcPr>
            <w:tcW w:w="779" w:type="dxa"/>
            <w:tcBorders>
              <w:top w:val="single" w:sz="4" w:space="0" w:color="auto"/>
              <w:bottom w:val="single" w:sz="4" w:space="0" w:color="auto"/>
            </w:tcBorders>
          </w:tcPr>
          <w:p w:rsidR="00AB011F" w:rsidRPr="00D52C0C" w:rsidP="00AB011F">
            <w:pPr>
              <w:jc w:val="both"/>
              <w:rPr>
                <w:sz w:val="20"/>
              </w:rPr>
            </w:pPr>
            <w:r w:rsidRPr="00D52C0C">
              <w:rPr>
                <w:sz w:val="20"/>
              </w:rPr>
              <w:t>Č2</w:t>
            </w:r>
          </w:p>
          <w:p w:rsidR="00AB011F" w:rsidRPr="00D52C0C" w:rsidP="00AB011F">
            <w:pPr>
              <w:jc w:val="both"/>
              <w:rPr>
                <w:sz w:val="20"/>
              </w:rPr>
            </w:pPr>
            <w:r w:rsidRPr="00D52C0C" w:rsidR="00A1472D">
              <w:rPr>
                <w:sz w:val="20"/>
              </w:rPr>
              <w:t>Pc</w:t>
            </w:r>
          </w:p>
        </w:tc>
        <w:tc>
          <w:tcPr>
            <w:tcW w:w="4536" w:type="dxa"/>
            <w:tcBorders>
              <w:top w:val="single" w:sz="4" w:space="0" w:color="auto"/>
              <w:bottom w:val="single" w:sz="4" w:space="0" w:color="auto"/>
            </w:tcBorders>
          </w:tcPr>
          <w:p w:rsidR="00AB011F" w:rsidRPr="00D52C0C" w:rsidP="000F4987">
            <w:pPr>
              <w:autoSpaceDE w:val="0"/>
              <w:autoSpaceDN w:val="0"/>
              <w:adjustRightInd w:val="0"/>
              <w:jc w:val="both"/>
              <w:rPr>
                <w:rFonts w:ascii="TimesNewRoman" w:hAnsi="TimesNewRoman" w:cs="TimesNewRoman"/>
                <w:color w:val="231F20"/>
                <w:sz w:val="20"/>
                <w:lang w:eastAsia="sk-SK"/>
              </w:rPr>
            </w:pPr>
            <w:r w:rsidRPr="00D52C0C" w:rsidR="000F4987">
              <w:rPr>
                <w:rFonts w:ascii="TimesNewRoman" w:hAnsi="TimesNewRoman" w:cs="TimesNewRoman"/>
                <w:color w:val="231F20"/>
                <w:sz w:val="20"/>
                <w:lang w:eastAsia="sk-SK"/>
              </w:rPr>
              <w:t>c) „</w:t>
            </w:r>
            <w:r w:rsidRPr="00D52C0C" w:rsidR="00C65331">
              <w:rPr>
                <w:rFonts w:ascii="TimesNewRoman" w:hAnsi="TimesNewRoman" w:cs="TimesNewRoman"/>
                <w:color w:val="231F20"/>
                <w:sz w:val="20"/>
                <w:lang w:eastAsia="sk-SK"/>
              </w:rPr>
              <w:t>lodné pal</w:t>
            </w:r>
            <w:r w:rsidRPr="00D52C0C" w:rsidR="00C65331">
              <w:rPr>
                <w:rFonts w:ascii="TimesNewRoman" w:hAnsi="TimesNewRoman" w:cs="TimesNewRoman"/>
                <w:color w:val="231F20"/>
                <w:sz w:val="20"/>
                <w:lang w:eastAsia="sk-SK"/>
              </w:rPr>
              <w:t>ivo</w:t>
            </w:r>
            <w:r w:rsidRPr="00D52C0C" w:rsidR="000F4987">
              <w:rPr>
                <w:rFonts w:ascii="TimesNewRoman" w:hAnsi="TimesNewRoman" w:cs="TimesNewRoman"/>
                <w:color w:val="231F20"/>
                <w:sz w:val="20"/>
                <w:lang w:eastAsia="sk-SK"/>
              </w:rPr>
              <w:t>“</w:t>
            </w:r>
            <w:r w:rsidRPr="00D52C0C" w:rsidR="00C65331">
              <w:rPr>
                <w:rFonts w:ascii="TimesNewRoman" w:hAnsi="TimesNewRoman" w:cs="TimesNewRoman"/>
                <w:color w:val="231F20"/>
                <w:sz w:val="20"/>
                <w:lang w:eastAsia="sk-SK"/>
              </w:rPr>
              <w:t xml:space="preserve"> </w:t>
            </w:r>
            <w:r w:rsidRPr="00D52C0C" w:rsidR="000F4987">
              <w:rPr>
                <w:rFonts w:ascii="TimesNewRoman" w:hAnsi="TimesNewRoman" w:cs="TimesNewRoman"/>
                <w:color w:val="231F20"/>
                <w:sz w:val="20"/>
                <w:lang w:eastAsia="sk-SK"/>
              </w:rPr>
              <w:t>je</w:t>
            </w:r>
            <w:r w:rsidRPr="00D52C0C" w:rsidR="00C65331">
              <w:rPr>
                <w:rFonts w:ascii="TimesNewRoman" w:hAnsi="TimesNewRoman" w:cs="TimesNewRoman"/>
                <w:color w:val="231F20"/>
                <w:sz w:val="20"/>
                <w:lang w:eastAsia="sk-SK"/>
              </w:rPr>
              <w:t xml:space="preserve"> každé kvapalné ropné palivo určené na použitie alebo používané na palube plavidla vrátane palív uvedených v norme ISO 8217. Týka sa to aj každého kvapalného ropného paliva, ktoré používajú plavidlá vnútrozemskej vodnej dopravy alebo rekreačné plavidlá, v súlade s definíciou smernice Európskeho parlamentu a Rady 97/68/ES zo 16. decembra 1997 o aproximácii právnych predpisov členských štátov, ktoré sa týkajú opatrení voči emisiám plynných a tuhých znečisťujúcich látok zo spaľovacích motorov inštalovan</w:t>
            </w:r>
            <w:r w:rsidRPr="00D52C0C" w:rsidR="00C65331">
              <w:rPr>
                <w:rFonts w:ascii="TimesNewRoman" w:hAnsi="TimesNewRoman" w:cs="TimesNewRoman"/>
                <w:color w:val="231F20"/>
                <w:sz w:val="20"/>
                <w:lang w:eastAsia="sk-SK"/>
              </w:rPr>
              <w:t xml:space="preserve">ých v necestných pojazdných strojoch </w:t>
            </w:r>
            <w:r w:rsidRPr="00D52C0C" w:rsidR="00A1472D">
              <w:rPr>
                <w:rFonts w:ascii="TimesNewRoman" w:hAnsi="TimesNewRoman" w:cs="TimesNewRoman"/>
                <w:color w:val="231F20"/>
                <w:sz w:val="20"/>
                <w:vertAlign w:val="superscript"/>
                <w:lang w:eastAsia="sk-SK"/>
              </w:rPr>
              <w:t>(</w:t>
            </w:r>
            <w:r w:rsidRPr="00D52C0C" w:rsidR="00C65331">
              <w:rPr>
                <w:rFonts w:ascii="TimesNewRoman" w:hAnsi="TimesNewRoman" w:cs="TimesNewRoman"/>
                <w:color w:val="231F20"/>
                <w:sz w:val="20"/>
                <w:vertAlign w:val="superscript"/>
                <w:lang w:eastAsia="sk-SK"/>
              </w:rPr>
              <w:t>2)</w:t>
            </w:r>
            <w:r w:rsidRPr="00D52C0C" w:rsidR="00C65331">
              <w:rPr>
                <w:rFonts w:ascii="TimesNewRoman" w:hAnsi="TimesNewRoman" w:cs="TimesNewRoman"/>
                <w:color w:val="231F20"/>
                <w:sz w:val="20"/>
                <w:lang w:eastAsia="sk-SK"/>
              </w:rPr>
              <w:t xml:space="preserve">, a smernice Európskeho parlamentu a Rady 94/25/ES zo 16. júna 1994 o aproximácii zákonov, iných právnych predpisov a správnych opatrení členských štátov týkajúcich sa rekreačných plavidiel </w:t>
            </w:r>
            <w:r w:rsidRPr="00D52C0C" w:rsidR="00A1472D">
              <w:rPr>
                <w:rFonts w:ascii="TimesNewRoman" w:hAnsi="TimesNewRoman" w:cs="TimesNewRoman"/>
                <w:color w:val="231F20"/>
                <w:sz w:val="20"/>
                <w:vertAlign w:val="superscript"/>
                <w:lang w:eastAsia="sk-SK"/>
              </w:rPr>
              <w:t>(</w:t>
            </w:r>
            <w:r w:rsidRPr="00D52C0C" w:rsidR="00C65331">
              <w:rPr>
                <w:rFonts w:ascii="TimesNewRoman" w:hAnsi="TimesNewRoman" w:cs="TimesNewRoman"/>
                <w:color w:val="231F20"/>
                <w:sz w:val="20"/>
                <w:vertAlign w:val="superscript"/>
                <w:lang w:eastAsia="sk-SK"/>
              </w:rPr>
              <w:t>3)</w:t>
            </w:r>
            <w:r w:rsidRPr="00D52C0C" w:rsidR="00C65331">
              <w:rPr>
                <w:rFonts w:ascii="TimesNewRoman" w:hAnsi="TimesNewRoman" w:cs="TimesNewRoman"/>
                <w:color w:val="231F20"/>
                <w:sz w:val="20"/>
                <w:lang w:eastAsia="sk-SK"/>
              </w:rPr>
              <w:t xml:space="preserve">, ak sa tieto plavidlá </w:t>
            </w:r>
            <w:r w:rsidRPr="00D52C0C" w:rsidR="00C65331">
              <w:rPr>
                <w:rFonts w:ascii="TimesNewRoman" w:hAnsi="TimesNewRoman" w:cs="TimesNewRoman"/>
                <w:color w:val="231F20"/>
                <w:sz w:val="20"/>
                <w:lang w:eastAsia="sk-SK"/>
              </w:rPr>
              <w:t>nachádzajú na mori;</w:t>
            </w:r>
          </w:p>
        </w:tc>
        <w:tc>
          <w:tcPr>
            <w:tcW w:w="851" w:type="dxa"/>
            <w:tcBorders>
              <w:top w:val="single" w:sz="4" w:space="0" w:color="auto"/>
              <w:bottom w:val="single" w:sz="4" w:space="0" w:color="auto"/>
            </w:tcBorders>
          </w:tcPr>
          <w:p w:rsidR="00AB011F" w:rsidRPr="00D52C0C">
            <w:pPr>
              <w:jc w:val="both"/>
              <w:rPr>
                <w:sz w:val="20"/>
              </w:rPr>
            </w:pPr>
            <w:r w:rsidRPr="00D52C0C" w:rsidR="006448BF">
              <w:rPr>
                <w:sz w:val="20"/>
              </w:rPr>
              <w:t>N</w:t>
            </w:r>
          </w:p>
        </w:tc>
        <w:tc>
          <w:tcPr>
            <w:tcW w:w="850" w:type="dxa"/>
            <w:tcBorders>
              <w:top w:val="single" w:sz="4" w:space="0" w:color="auto"/>
              <w:bottom w:val="single" w:sz="4" w:space="0" w:color="auto"/>
            </w:tcBorders>
          </w:tcPr>
          <w:p w:rsidR="00AB011F" w:rsidRPr="00D52C0C" w:rsidP="00366A43">
            <w:pPr>
              <w:jc w:val="both"/>
              <w:rPr>
                <w:sz w:val="20"/>
              </w:rPr>
            </w:pPr>
            <w:r w:rsidRPr="00D52C0C" w:rsidR="006448BF">
              <w:rPr>
                <w:sz w:val="20"/>
              </w:rPr>
              <w:t>NV</w:t>
            </w:r>
          </w:p>
        </w:tc>
        <w:tc>
          <w:tcPr>
            <w:tcW w:w="851" w:type="dxa"/>
            <w:tcBorders>
              <w:top w:val="single" w:sz="4" w:space="0" w:color="auto"/>
              <w:bottom w:val="single" w:sz="4" w:space="0" w:color="auto"/>
            </w:tcBorders>
          </w:tcPr>
          <w:p w:rsidR="00AB011F" w:rsidRPr="00D52C0C">
            <w:pPr>
              <w:pStyle w:val="BodyText21"/>
              <w:spacing w:before="0"/>
            </w:pPr>
            <w:r w:rsidRPr="00D52C0C" w:rsidR="006448BF">
              <w:t>§2</w:t>
            </w:r>
          </w:p>
          <w:p w:rsidR="006448BF" w:rsidRPr="00D52C0C">
            <w:pPr>
              <w:pStyle w:val="BodyText21"/>
              <w:spacing w:before="0"/>
            </w:pPr>
            <w:r w:rsidR="004B7FFE">
              <w:t>Pi</w:t>
            </w:r>
          </w:p>
        </w:tc>
        <w:tc>
          <w:tcPr>
            <w:tcW w:w="4961" w:type="dxa"/>
            <w:tcBorders>
              <w:top w:val="single" w:sz="4" w:space="0" w:color="auto"/>
              <w:bottom w:val="single" w:sz="4" w:space="0" w:color="auto"/>
            </w:tcBorders>
          </w:tcPr>
          <w:p w:rsidR="009B0767" w:rsidRPr="00393AB4" w:rsidP="009B0767">
            <w:pPr>
              <w:tabs>
                <w:tab w:val="left" w:pos="851"/>
              </w:tabs>
              <w:spacing w:after="120"/>
              <w:jc w:val="both"/>
              <w:rPr>
                <w:b/>
                <w:sz w:val="20"/>
                <w:lang w:eastAsia="sk-SK"/>
              </w:rPr>
            </w:pPr>
            <w:r w:rsidRPr="00393AB4">
              <w:rPr>
                <w:b/>
                <w:sz w:val="20"/>
                <w:lang w:eastAsia="sk-SK"/>
              </w:rPr>
              <w:t>§ 2</w:t>
            </w:r>
          </w:p>
          <w:p w:rsidR="009B0767" w:rsidP="009B0767">
            <w:pPr>
              <w:tabs>
                <w:tab w:val="left" w:pos="851"/>
              </w:tabs>
              <w:spacing w:after="120"/>
              <w:jc w:val="both"/>
              <w:rPr>
                <w:b/>
                <w:sz w:val="20"/>
                <w:lang w:eastAsia="sk-SK"/>
              </w:rPr>
            </w:pPr>
            <w:r w:rsidRPr="00393AB4">
              <w:rPr>
                <w:b/>
                <w:sz w:val="20"/>
                <w:lang w:eastAsia="sk-SK"/>
              </w:rPr>
              <w:t>Vymedzenie základných pojmov</w:t>
            </w:r>
          </w:p>
          <w:p w:rsidR="009B0767" w:rsidRPr="00393AB4" w:rsidP="009B0767">
            <w:pPr>
              <w:tabs>
                <w:tab w:val="left" w:pos="851"/>
              </w:tabs>
              <w:spacing w:after="120"/>
              <w:rPr>
                <w:color w:val="231F20"/>
                <w:sz w:val="20"/>
                <w:lang w:eastAsia="sk-SK"/>
              </w:rPr>
            </w:pPr>
            <w:r w:rsidRPr="00393AB4">
              <w:rPr>
                <w:color w:val="231F20"/>
                <w:sz w:val="20"/>
                <w:lang w:eastAsia="sk-SK"/>
              </w:rPr>
              <w:t>Na účely vyhlášky sa rozumie</w:t>
            </w:r>
          </w:p>
          <w:p w:rsidR="00C463ED" w:rsidRPr="004B7FFE" w:rsidP="00C463ED">
            <w:pPr>
              <w:keepNext/>
              <w:spacing w:before="60" w:after="60"/>
              <w:jc w:val="both"/>
              <w:rPr>
                <w:color w:val="231F20"/>
                <w:sz w:val="20"/>
                <w:lang w:eastAsia="sk-SK"/>
              </w:rPr>
            </w:pPr>
            <w:r w:rsidRPr="004B7FFE" w:rsidR="004B7FFE">
              <w:rPr>
                <w:color w:val="231F20"/>
                <w:sz w:val="20"/>
                <w:lang w:eastAsia="sk-SK"/>
              </w:rPr>
              <w:t>i</w:t>
            </w:r>
            <w:r w:rsidRPr="004B7FFE" w:rsidR="007E1B74">
              <w:rPr>
                <w:color w:val="231F20"/>
                <w:sz w:val="20"/>
                <w:lang w:eastAsia="sk-SK"/>
              </w:rPr>
              <w:t xml:space="preserve">) </w:t>
            </w:r>
            <w:r w:rsidRPr="004B7FFE">
              <w:rPr>
                <w:color w:val="231F20"/>
                <w:sz w:val="20"/>
                <w:lang w:eastAsia="sk-SK"/>
              </w:rPr>
              <w:t>lodným palivom kvapalné rop</w:t>
            </w:r>
            <w:r w:rsidR="004B7FFE">
              <w:rPr>
                <w:color w:val="231F20"/>
                <w:sz w:val="20"/>
                <w:lang w:eastAsia="sk-SK"/>
              </w:rPr>
              <w:t>né palivo, uvedené v písmenách j) a k</w:t>
            </w:r>
            <w:r w:rsidRPr="004B7FFE">
              <w:rPr>
                <w:color w:val="231F20"/>
                <w:sz w:val="20"/>
                <w:lang w:eastAsia="sk-SK"/>
              </w:rPr>
              <w:t xml:space="preserve">), určené na spaľovanie v spaľovacích motoroch   </w:t>
            </w:r>
          </w:p>
          <w:p w:rsidR="004B7FFE" w:rsidRPr="004B7FFE" w:rsidP="00443B05">
            <w:pPr>
              <w:pStyle w:val="ListParagraph"/>
              <w:numPr>
                <w:ilvl w:val="0"/>
                <w:numId w:val="11"/>
              </w:numPr>
              <w:spacing w:after="120" w:line="240" w:lineRule="auto"/>
              <w:ind w:left="350" w:hanging="284"/>
              <w:contextualSpacing w:val="0"/>
              <w:jc w:val="both"/>
              <w:rPr>
                <w:rFonts w:ascii="Times New Roman" w:hAnsi="Times New Roman"/>
                <w:sz w:val="20"/>
                <w:szCs w:val="20"/>
              </w:rPr>
            </w:pPr>
            <w:r w:rsidRPr="004B7FFE">
              <w:rPr>
                <w:rFonts w:ascii="Times New Roman" w:hAnsi="Times New Roman"/>
                <w:sz w:val="20"/>
                <w:szCs w:val="20"/>
              </w:rPr>
              <w:t>námorných lodí</w:t>
            </w:r>
            <w:r w:rsidR="000C548F">
              <w:rPr>
                <w:rFonts w:ascii="Times New Roman" w:hAnsi="Times New Roman"/>
                <w:sz w:val="20"/>
                <w:szCs w:val="20"/>
                <w:vertAlign w:val="superscript"/>
              </w:rPr>
              <w:t>9</w:t>
            </w:r>
            <w:r w:rsidRPr="000C548F" w:rsidR="000C548F">
              <w:rPr>
                <w:rFonts w:ascii="Times New Roman" w:hAnsi="Times New Roman"/>
                <w:sz w:val="20"/>
                <w:szCs w:val="20"/>
              </w:rPr>
              <w:t>)</w:t>
            </w:r>
            <w:r w:rsidR="000C548F">
              <w:rPr>
                <w:rFonts w:ascii="Times New Roman" w:hAnsi="Times New Roman"/>
                <w:sz w:val="20"/>
                <w:szCs w:val="20"/>
              </w:rPr>
              <w:t xml:space="preserve"> </w:t>
            </w:r>
            <w:r w:rsidRPr="004B7FFE">
              <w:rPr>
                <w:rFonts w:ascii="Times New Roman" w:hAnsi="Times New Roman"/>
                <w:sz w:val="20"/>
                <w:szCs w:val="20"/>
              </w:rPr>
              <w:t>vrátane pomocných spaľovacích motorov používaných na ich palube podľa technickej normy</w:t>
            </w:r>
            <w:r w:rsidR="000C548F">
              <w:rPr>
                <w:rFonts w:ascii="Times New Roman" w:hAnsi="Times New Roman"/>
                <w:sz w:val="20"/>
                <w:szCs w:val="20"/>
              </w:rPr>
              <w:t xml:space="preserve"> </w:t>
            </w:r>
            <w:r w:rsidRPr="000C548F" w:rsidR="000C548F">
              <w:rPr>
                <w:rFonts w:ascii="Times New Roman" w:hAnsi="Times New Roman"/>
                <w:sz w:val="20"/>
                <w:szCs w:val="20"/>
              </w:rPr>
              <w:t>alebo inej obdobnej technickej špecifikácie s porovnateľnými alebo prísnejšími požiadavkami</w:t>
            </w:r>
            <w:r w:rsidRPr="004B7FFE">
              <w:rPr>
                <w:rFonts w:ascii="Times New Roman" w:hAnsi="Times New Roman"/>
                <w:sz w:val="20"/>
                <w:szCs w:val="20"/>
              </w:rPr>
              <w:t>,</w:t>
            </w:r>
            <w:r w:rsidR="000C548F">
              <w:rPr>
                <w:rFonts w:ascii="Times New Roman" w:hAnsi="Times New Roman"/>
                <w:sz w:val="20"/>
                <w:szCs w:val="20"/>
                <w:vertAlign w:val="superscript"/>
              </w:rPr>
              <w:t>10</w:t>
            </w:r>
            <w:r w:rsidRPr="000C548F" w:rsidR="000C548F">
              <w:rPr>
                <w:rFonts w:ascii="Times New Roman" w:hAnsi="Times New Roman"/>
                <w:sz w:val="20"/>
                <w:szCs w:val="20"/>
              </w:rPr>
              <w:t>)</w:t>
            </w:r>
          </w:p>
          <w:p w:rsidR="004B7FFE" w:rsidRPr="004B7FFE" w:rsidP="00443B05">
            <w:pPr>
              <w:pStyle w:val="ListParagraph"/>
              <w:numPr>
                <w:ilvl w:val="0"/>
                <w:numId w:val="11"/>
              </w:numPr>
              <w:spacing w:after="120" w:line="240" w:lineRule="auto"/>
              <w:ind w:left="350" w:hanging="284"/>
              <w:contextualSpacing w:val="0"/>
              <w:jc w:val="both"/>
              <w:rPr>
                <w:rFonts w:ascii="Times New Roman" w:hAnsi="Times New Roman"/>
                <w:sz w:val="20"/>
                <w:szCs w:val="20"/>
              </w:rPr>
            </w:pPr>
            <w:r w:rsidRPr="004B7FFE">
              <w:rPr>
                <w:rFonts w:ascii="Times New Roman" w:hAnsi="Times New Roman"/>
                <w:sz w:val="20"/>
                <w:szCs w:val="20"/>
              </w:rPr>
              <w:t>plavidiel vnútrozemskej vodnej dopravy,</w:t>
            </w:r>
            <w:r w:rsidRPr="004B7FFE">
              <w:rPr>
                <w:rFonts w:ascii="Times New Roman" w:hAnsi="Times New Roman"/>
                <w:sz w:val="20"/>
                <w:szCs w:val="20"/>
                <w:vertAlign w:val="superscript"/>
              </w:rPr>
              <w:t>6</w:t>
            </w:r>
            <w:r w:rsidRPr="004B7FFE">
              <w:rPr>
                <w:rFonts w:ascii="Times New Roman" w:hAnsi="Times New Roman"/>
                <w:sz w:val="20"/>
                <w:szCs w:val="20"/>
              </w:rPr>
              <w:t xml:space="preserve">) alebo </w:t>
            </w:r>
          </w:p>
          <w:p w:rsidR="004B7FFE" w:rsidRPr="004B7FFE" w:rsidP="00443B05">
            <w:pPr>
              <w:pStyle w:val="ListParagraph"/>
              <w:numPr>
                <w:ilvl w:val="0"/>
                <w:numId w:val="11"/>
              </w:numPr>
              <w:spacing w:after="120" w:line="240" w:lineRule="auto"/>
              <w:ind w:left="350" w:hanging="284"/>
              <w:contextualSpacing w:val="0"/>
              <w:jc w:val="both"/>
              <w:rPr>
                <w:rFonts w:ascii="Times New Roman" w:hAnsi="Times New Roman"/>
                <w:sz w:val="20"/>
                <w:szCs w:val="20"/>
              </w:rPr>
            </w:pPr>
            <w:r w:rsidRPr="004B7FFE">
              <w:rPr>
                <w:rFonts w:ascii="Times New Roman" w:hAnsi="Times New Roman"/>
                <w:sz w:val="20"/>
                <w:szCs w:val="20"/>
              </w:rPr>
              <w:t>rekreačných plavidiel,</w:t>
            </w:r>
            <w:r w:rsidRPr="004B7FFE">
              <w:rPr>
                <w:rFonts w:ascii="Times New Roman" w:hAnsi="Times New Roman"/>
                <w:sz w:val="20"/>
                <w:szCs w:val="20"/>
                <w:vertAlign w:val="superscript"/>
              </w:rPr>
              <w:t>8</w:t>
            </w:r>
            <w:r w:rsidRPr="004B7FFE">
              <w:rPr>
                <w:rFonts w:ascii="Times New Roman" w:hAnsi="Times New Roman"/>
                <w:sz w:val="20"/>
                <w:szCs w:val="20"/>
              </w:rPr>
              <w:t xml:space="preserve">) </w:t>
            </w:r>
          </w:p>
          <w:p w:rsidR="004B7FFE" w:rsidRPr="004B7FFE" w:rsidP="004B7FFE">
            <w:pPr>
              <w:pStyle w:val="ListParagraph"/>
              <w:spacing w:after="120" w:line="240" w:lineRule="auto"/>
              <w:ind w:left="350" w:hanging="284"/>
              <w:contextualSpacing w:val="0"/>
              <w:rPr>
                <w:rFonts w:ascii="Times New Roman" w:hAnsi="Times New Roman"/>
                <w:sz w:val="20"/>
                <w:szCs w:val="20"/>
              </w:rPr>
            </w:pPr>
            <w:r w:rsidRPr="004B7FFE">
              <w:rPr>
                <w:rFonts w:ascii="Times New Roman" w:hAnsi="Times New Roman"/>
                <w:sz w:val="20"/>
                <w:szCs w:val="20"/>
              </w:rPr>
              <w:t>ak sa tieto plavidlá nachád</w:t>
            </w:r>
            <w:r w:rsidRPr="004B7FFE">
              <w:rPr>
                <w:rFonts w:ascii="Times New Roman" w:hAnsi="Times New Roman"/>
                <w:sz w:val="20"/>
                <w:szCs w:val="20"/>
              </w:rPr>
              <w:t>zajú na mori,</w:t>
            </w:r>
          </w:p>
          <w:p w:rsidR="000C548F" w:rsidP="000C548F">
            <w:pPr>
              <w:spacing w:line="240" w:lineRule="atLeast"/>
              <w:ind w:left="-44" w:firstLine="44"/>
              <w:jc w:val="both"/>
            </w:pPr>
            <w:r>
              <w:rPr>
                <w:noProof/>
              </w:rPr>
              <w:pict>
                <v:shape id="_x0000_s1030" type="#_x0000_t32" style="width:58.2pt;height:0;margin-top:5.4pt;margin-left:0.1pt;position:absolute;z-index:251663360" o:connectortype="straight"/>
              </w:pict>
            </w:r>
          </w:p>
          <w:p w:rsidR="00AB011F" w:rsidRPr="004B7FFE" w:rsidP="000C548F">
            <w:pPr>
              <w:jc w:val="both"/>
              <w:rPr>
                <w:color w:val="231F20"/>
                <w:sz w:val="20"/>
                <w:lang w:eastAsia="sk-SK"/>
              </w:rPr>
            </w:pPr>
            <w:r w:rsidR="000C548F">
              <w:rPr>
                <w:sz w:val="18"/>
                <w:szCs w:val="18"/>
                <w:vertAlign w:val="superscript"/>
              </w:rPr>
              <w:t>6</w:t>
            </w:r>
            <w:r w:rsidR="000C548F">
              <w:rPr>
                <w:sz w:val="18"/>
                <w:szCs w:val="18"/>
              </w:rPr>
              <w:t xml:space="preserve">) </w:t>
            </w:r>
            <w:r w:rsidRPr="000C548F" w:rsidR="000C548F">
              <w:rPr>
                <w:sz w:val="18"/>
                <w:szCs w:val="18"/>
              </w:rPr>
              <w:t>Čl. 3 bod 34 nariadenia (EÚ) 2016/1628 v platnom znení.</w:t>
            </w:r>
            <w:r w:rsidRPr="004359AB" w:rsidR="000C548F">
              <w:t xml:space="preserve">  </w:t>
            </w:r>
          </w:p>
          <w:p w:rsidR="000C548F" w:rsidP="000C548F">
            <w:pPr>
              <w:jc w:val="both"/>
              <w:rPr>
                <w:sz w:val="18"/>
                <w:szCs w:val="18"/>
              </w:rPr>
            </w:pPr>
            <w:r>
              <w:rPr>
                <w:sz w:val="18"/>
                <w:szCs w:val="18"/>
                <w:vertAlign w:val="superscript"/>
              </w:rPr>
              <w:t>8</w:t>
            </w:r>
            <w:r>
              <w:rPr>
                <w:sz w:val="18"/>
                <w:szCs w:val="18"/>
              </w:rPr>
              <w:t xml:space="preserve">) </w:t>
            </w:r>
            <w:r w:rsidRPr="000C548F">
              <w:rPr>
                <w:sz w:val="18"/>
                <w:szCs w:val="18"/>
              </w:rPr>
              <w:t>§ 1 ods. 3 písm. a) nariadenia vlády Slovenskej republiky č. 417/2004 Z. z., ktorým sa ustanovujú podrobnosti o technických požiadavkách a postupoch posudzovania zhody na plavidlá určené na rekreačné účely</w:t>
            </w:r>
            <w:r w:rsidRPr="00393AB4">
              <w:rPr>
                <w:sz w:val="18"/>
                <w:szCs w:val="18"/>
              </w:rPr>
              <w:t>.</w:t>
            </w:r>
          </w:p>
          <w:p w:rsidR="000C548F" w:rsidP="000C548F">
            <w:pPr>
              <w:jc w:val="both"/>
              <w:rPr>
                <w:sz w:val="18"/>
                <w:szCs w:val="18"/>
              </w:rPr>
            </w:pPr>
            <w:r>
              <w:rPr>
                <w:sz w:val="18"/>
                <w:szCs w:val="18"/>
                <w:vertAlign w:val="superscript"/>
              </w:rPr>
              <w:t>9</w:t>
            </w:r>
            <w:r>
              <w:rPr>
                <w:sz w:val="18"/>
                <w:szCs w:val="18"/>
              </w:rPr>
              <w:t xml:space="preserve">) </w:t>
            </w:r>
            <w:r w:rsidRPr="000C548F">
              <w:rPr>
                <w:sz w:val="18"/>
                <w:szCs w:val="18"/>
              </w:rPr>
              <w:t>§ 2 písm. b) zákona č. 435/2000 Z. z. o námornej plavbe v znení zákona č. 97/2007 Z. z.</w:t>
            </w:r>
          </w:p>
          <w:p w:rsidR="00C463ED" w:rsidRPr="004B7FFE" w:rsidP="000C548F">
            <w:pPr>
              <w:pStyle w:val="FootnoteText"/>
              <w:jc w:val="both"/>
              <w:rPr>
                <w:color w:val="231F20"/>
                <w:sz w:val="20"/>
                <w:lang w:eastAsia="sk-SK"/>
              </w:rPr>
            </w:pPr>
            <w:r w:rsidRPr="000C548F" w:rsidR="000C548F">
              <w:rPr>
                <w:sz w:val="18"/>
                <w:szCs w:val="18"/>
                <w:vertAlign w:val="superscript"/>
              </w:rPr>
              <w:t>10</w:t>
            </w:r>
            <w:r w:rsidR="000C548F">
              <w:rPr>
                <w:sz w:val="18"/>
                <w:szCs w:val="18"/>
              </w:rPr>
              <w:t xml:space="preserve">) </w:t>
            </w:r>
            <w:r w:rsidRPr="000C548F" w:rsidR="000C548F">
              <w:rPr>
                <w:sz w:val="18"/>
                <w:szCs w:val="18"/>
              </w:rPr>
              <w:t>Tabuľka I STN ISO 8217 Ropné výrobky. Palivá (trieda F). Špecifikácie pre lodné palivá (65 6502).</w:t>
            </w:r>
          </w:p>
        </w:tc>
        <w:tc>
          <w:tcPr>
            <w:tcW w:w="709" w:type="dxa"/>
            <w:tcBorders>
              <w:top w:val="single" w:sz="4" w:space="0" w:color="auto"/>
              <w:bottom w:val="single" w:sz="4" w:space="0" w:color="auto"/>
            </w:tcBorders>
          </w:tcPr>
          <w:p w:rsidR="00AB011F" w:rsidRPr="00D52C0C">
            <w:pPr>
              <w:jc w:val="both"/>
              <w:rPr>
                <w:sz w:val="20"/>
              </w:rPr>
            </w:pPr>
            <w:r w:rsidRPr="00D52C0C" w:rsidR="001A6051">
              <w:rPr>
                <w:sz w:val="20"/>
              </w:rPr>
              <w:t>Ú</w:t>
            </w:r>
          </w:p>
        </w:tc>
        <w:tc>
          <w:tcPr>
            <w:tcW w:w="1417" w:type="dxa"/>
            <w:tcBorders>
              <w:top w:val="single" w:sz="4" w:space="0" w:color="auto"/>
              <w:bottom w:val="single" w:sz="4" w:space="0" w:color="auto"/>
            </w:tcBorders>
          </w:tcPr>
          <w:p w:rsidR="00AB011F" w:rsidRPr="00D52C0C">
            <w:pPr>
              <w:jc w:val="both"/>
              <w:rPr>
                <w:sz w:val="20"/>
              </w:rPr>
            </w:pPr>
          </w:p>
        </w:tc>
      </w:tr>
      <w:tr w:rsidTr="000B581A">
        <w:tblPrEx>
          <w:tblW w:w="14954" w:type="dxa"/>
          <w:tblLayout w:type="fixed"/>
          <w:tblCellMar>
            <w:left w:w="70" w:type="dxa"/>
            <w:right w:w="70" w:type="dxa"/>
          </w:tblCellMar>
          <w:tblLook w:val="0000"/>
        </w:tblPrEx>
        <w:trPr>
          <w:trHeight w:val="987"/>
        </w:trPr>
        <w:tc>
          <w:tcPr>
            <w:tcW w:w="779" w:type="dxa"/>
            <w:tcBorders>
              <w:top w:val="single" w:sz="4" w:space="0" w:color="auto"/>
              <w:bottom w:val="single" w:sz="4" w:space="0" w:color="auto"/>
            </w:tcBorders>
          </w:tcPr>
          <w:p w:rsidR="00AB011F" w:rsidRPr="00D52C0C" w:rsidP="00AB011F">
            <w:pPr>
              <w:jc w:val="both"/>
              <w:rPr>
                <w:sz w:val="20"/>
              </w:rPr>
            </w:pPr>
            <w:r w:rsidRPr="00D52C0C">
              <w:rPr>
                <w:sz w:val="20"/>
              </w:rPr>
              <w:t>Č2</w:t>
            </w:r>
          </w:p>
          <w:p w:rsidR="00AB011F" w:rsidRPr="00D52C0C" w:rsidP="00AB011F">
            <w:pPr>
              <w:jc w:val="both"/>
              <w:rPr>
                <w:sz w:val="20"/>
              </w:rPr>
            </w:pPr>
            <w:r w:rsidRPr="00D52C0C" w:rsidR="000F4987">
              <w:rPr>
                <w:sz w:val="20"/>
              </w:rPr>
              <w:t>Pd</w:t>
            </w:r>
          </w:p>
        </w:tc>
        <w:tc>
          <w:tcPr>
            <w:tcW w:w="4536" w:type="dxa"/>
            <w:tcBorders>
              <w:top w:val="single" w:sz="4" w:space="0" w:color="auto"/>
              <w:bottom w:val="single" w:sz="4" w:space="0" w:color="auto"/>
            </w:tcBorders>
          </w:tcPr>
          <w:p w:rsidR="00AB011F" w:rsidRPr="00D52C0C" w:rsidP="000F4987">
            <w:pPr>
              <w:autoSpaceDE w:val="0"/>
              <w:autoSpaceDN w:val="0"/>
              <w:adjustRightInd w:val="0"/>
              <w:jc w:val="both"/>
              <w:rPr>
                <w:rFonts w:ascii="TimesNewRoman" w:hAnsi="TimesNewRoman" w:cs="TimesNewRoman"/>
                <w:color w:val="231F20"/>
                <w:sz w:val="20"/>
                <w:lang w:eastAsia="sk-SK"/>
              </w:rPr>
            </w:pPr>
            <w:r w:rsidRPr="00D52C0C" w:rsidR="000F4987">
              <w:rPr>
                <w:rFonts w:ascii="TimesNewRoman" w:hAnsi="TimesNewRoman" w:cs="TimesNewRoman"/>
                <w:color w:val="231F20"/>
                <w:sz w:val="20"/>
                <w:lang w:eastAsia="sk-SK"/>
              </w:rPr>
              <w:t>d) „</w:t>
            </w:r>
            <w:r w:rsidRPr="00D52C0C" w:rsidR="00C65331">
              <w:rPr>
                <w:rFonts w:ascii="TimesNewRoman" w:hAnsi="TimesNewRoman" w:cs="TimesNewRoman"/>
                <w:color w:val="231F20"/>
                <w:sz w:val="20"/>
                <w:lang w:eastAsia="sk-SK"/>
              </w:rPr>
              <w:t>lodná motorová naf</w:t>
            </w:r>
            <w:r w:rsidRPr="00D52C0C" w:rsidR="00C65331">
              <w:rPr>
                <w:rFonts w:ascii="TimesNewRoman" w:hAnsi="TimesNewRoman" w:cs="TimesNewRoman"/>
                <w:color w:val="231F20"/>
                <w:sz w:val="20"/>
                <w:lang w:eastAsia="sk-SK"/>
              </w:rPr>
              <w:t>ta</w:t>
            </w:r>
            <w:r w:rsidRPr="00D52C0C" w:rsidR="000F4987">
              <w:rPr>
                <w:rFonts w:ascii="TimesNewRoman" w:hAnsi="TimesNewRoman" w:cs="TimesNewRoman"/>
                <w:color w:val="231F20"/>
                <w:sz w:val="20"/>
                <w:lang w:eastAsia="sk-SK"/>
              </w:rPr>
              <w:t>“</w:t>
            </w:r>
            <w:r w:rsidRPr="00D52C0C" w:rsidR="00C65331">
              <w:rPr>
                <w:rFonts w:ascii="TimesNewRoman" w:hAnsi="TimesNewRoman" w:cs="TimesNewRoman"/>
                <w:color w:val="231F20"/>
                <w:sz w:val="20"/>
                <w:lang w:eastAsia="sk-SK"/>
              </w:rPr>
              <w:t xml:space="preserve"> </w:t>
            </w:r>
            <w:r w:rsidRPr="00D52C0C" w:rsidR="000F4987">
              <w:rPr>
                <w:rFonts w:ascii="TimesNewRoman" w:hAnsi="TimesNewRoman" w:cs="TimesNewRoman"/>
                <w:color w:val="231F20"/>
                <w:sz w:val="20"/>
                <w:lang w:eastAsia="sk-SK"/>
              </w:rPr>
              <w:t>je</w:t>
            </w:r>
            <w:r w:rsidRPr="00D52C0C" w:rsidR="00C65331">
              <w:rPr>
                <w:rFonts w:ascii="TimesNewRoman" w:hAnsi="TimesNewRoman" w:cs="TimesNewRoman"/>
                <w:color w:val="231F20"/>
                <w:sz w:val="20"/>
                <w:lang w:eastAsia="sk-SK"/>
              </w:rPr>
              <w:t xml:space="preserve"> každé lodné palivo vymedzené v tabuľke I normy ISO 8217 pre triedu DMB s výnimkou odkazu na obsah síry;</w:t>
            </w:r>
          </w:p>
        </w:tc>
        <w:tc>
          <w:tcPr>
            <w:tcW w:w="851" w:type="dxa"/>
            <w:tcBorders>
              <w:top w:val="single" w:sz="4" w:space="0" w:color="auto"/>
              <w:bottom w:val="single" w:sz="4" w:space="0" w:color="auto"/>
            </w:tcBorders>
          </w:tcPr>
          <w:p w:rsidR="00AB011F" w:rsidRPr="00D52C0C">
            <w:pPr>
              <w:jc w:val="both"/>
              <w:rPr>
                <w:sz w:val="20"/>
              </w:rPr>
            </w:pPr>
            <w:r w:rsidRPr="00D52C0C" w:rsidR="001A6051">
              <w:rPr>
                <w:sz w:val="20"/>
              </w:rPr>
              <w:t>N</w:t>
            </w:r>
          </w:p>
        </w:tc>
        <w:tc>
          <w:tcPr>
            <w:tcW w:w="850" w:type="dxa"/>
            <w:tcBorders>
              <w:top w:val="single" w:sz="4" w:space="0" w:color="auto"/>
              <w:bottom w:val="single" w:sz="4" w:space="0" w:color="auto"/>
            </w:tcBorders>
          </w:tcPr>
          <w:p w:rsidR="00AB011F" w:rsidRPr="00D52C0C" w:rsidP="00366A43">
            <w:pPr>
              <w:jc w:val="both"/>
              <w:rPr>
                <w:sz w:val="20"/>
              </w:rPr>
            </w:pPr>
            <w:r w:rsidRPr="00D52C0C" w:rsidR="004F2084">
              <w:rPr>
                <w:sz w:val="20"/>
              </w:rPr>
              <w:t>NV</w:t>
            </w:r>
          </w:p>
        </w:tc>
        <w:tc>
          <w:tcPr>
            <w:tcW w:w="851" w:type="dxa"/>
            <w:tcBorders>
              <w:top w:val="single" w:sz="4" w:space="0" w:color="auto"/>
              <w:bottom w:val="single" w:sz="4" w:space="0" w:color="auto"/>
            </w:tcBorders>
          </w:tcPr>
          <w:p w:rsidR="00AB011F" w:rsidRPr="00D52C0C">
            <w:pPr>
              <w:pStyle w:val="BodyText21"/>
              <w:spacing w:before="0"/>
            </w:pPr>
            <w:r w:rsidRPr="00D52C0C" w:rsidR="001A6051">
              <w:t>§2</w:t>
            </w:r>
          </w:p>
          <w:p w:rsidR="001A6051" w:rsidRPr="00D52C0C">
            <w:pPr>
              <w:pStyle w:val="BodyText21"/>
              <w:spacing w:before="0"/>
            </w:pPr>
            <w:r w:rsidR="00735246">
              <w:t>Pj</w:t>
            </w:r>
          </w:p>
        </w:tc>
        <w:tc>
          <w:tcPr>
            <w:tcW w:w="4961" w:type="dxa"/>
            <w:tcBorders>
              <w:top w:val="single" w:sz="4" w:space="0" w:color="auto"/>
              <w:bottom w:val="single" w:sz="4" w:space="0" w:color="auto"/>
            </w:tcBorders>
          </w:tcPr>
          <w:p w:rsidR="00915817" w:rsidRPr="00393AB4" w:rsidP="00915817">
            <w:pPr>
              <w:tabs>
                <w:tab w:val="left" w:pos="851"/>
              </w:tabs>
              <w:spacing w:after="120"/>
              <w:jc w:val="both"/>
              <w:rPr>
                <w:b/>
                <w:sz w:val="20"/>
                <w:lang w:eastAsia="sk-SK"/>
              </w:rPr>
            </w:pPr>
            <w:r w:rsidRPr="00393AB4">
              <w:rPr>
                <w:b/>
                <w:sz w:val="20"/>
                <w:lang w:eastAsia="sk-SK"/>
              </w:rPr>
              <w:t>§ 2</w:t>
            </w:r>
          </w:p>
          <w:p w:rsidR="00915817" w:rsidP="00915817">
            <w:pPr>
              <w:tabs>
                <w:tab w:val="left" w:pos="851"/>
              </w:tabs>
              <w:spacing w:after="120"/>
              <w:jc w:val="both"/>
              <w:rPr>
                <w:b/>
                <w:sz w:val="20"/>
                <w:lang w:eastAsia="sk-SK"/>
              </w:rPr>
            </w:pPr>
            <w:r w:rsidRPr="00393AB4">
              <w:rPr>
                <w:b/>
                <w:sz w:val="20"/>
                <w:lang w:eastAsia="sk-SK"/>
              </w:rPr>
              <w:t>Vymedzenie základných pojmov</w:t>
            </w:r>
          </w:p>
          <w:p w:rsidR="00915817" w:rsidRPr="00393AB4" w:rsidP="00915817">
            <w:pPr>
              <w:tabs>
                <w:tab w:val="left" w:pos="851"/>
              </w:tabs>
              <w:spacing w:after="120"/>
              <w:rPr>
                <w:color w:val="231F20"/>
                <w:sz w:val="20"/>
                <w:lang w:eastAsia="sk-SK"/>
              </w:rPr>
            </w:pPr>
            <w:r w:rsidRPr="00393AB4">
              <w:rPr>
                <w:color w:val="231F20"/>
                <w:sz w:val="20"/>
                <w:lang w:eastAsia="sk-SK"/>
              </w:rPr>
              <w:t>Na účely vyhlášky sa rozumie</w:t>
            </w:r>
          </w:p>
          <w:p w:rsidR="007E1B74" w:rsidRPr="00735246" w:rsidP="007E1B74">
            <w:pPr>
              <w:keepNext/>
              <w:spacing w:before="60" w:after="60"/>
              <w:jc w:val="both"/>
              <w:rPr>
                <w:color w:val="231F20"/>
                <w:sz w:val="20"/>
                <w:lang w:eastAsia="sk-SK"/>
              </w:rPr>
            </w:pPr>
            <w:r w:rsidRPr="00735246" w:rsidR="00735246">
              <w:rPr>
                <w:color w:val="231F20"/>
                <w:sz w:val="20"/>
                <w:lang w:eastAsia="sk-SK"/>
              </w:rPr>
              <w:t>j</w:t>
            </w:r>
            <w:r w:rsidRPr="00735246">
              <w:rPr>
                <w:color w:val="231F20"/>
                <w:sz w:val="20"/>
                <w:lang w:eastAsia="sk-SK"/>
              </w:rPr>
              <w:t xml:space="preserve">) </w:t>
            </w:r>
            <w:r w:rsidRPr="00735246" w:rsidR="00825F78">
              <w:rPr>
                <w:color w:val="231F20"/>
                <w:sz w:val="20"/>
                <w:lang w:eastAsia="sk-SK"/>
              </w:rPr>
              <w:t>lodnou motorovou naftou lodné palivo, ktoré je vymedzené v tabuľke I </w:t>
            </w:r>
            <w:r w:rsidRPr="00735246" w:rsidR="00825F78">
              <w:rPr>
                <w:color w:val="231F20"/>
                <w:sz w:val="20"/>
                <w:lang w:eastAsia="sk-SK"/>
              </w:rPr>
              <w:t>technickej normy</w:t>
            </w:r>
            <w:r w:rsidR="00915817">
              <w:rPr>
                <w:color w:val="231F20"/>
                <w:sz w:val="20"/>
                <w:lang w:eastAsia="sk-SK"/>
              </w:rPr>
              <w:t xml:space="preserve"> </w:t>
            </w:r>
            <w:r w:rsidRPr="000C548F" w:rsidR="00915817">
              <w:rPr>
                <w:sz w:val="20"/>
                <w:lang w:eastAsia="en-US"/>
              </w:rPr>
              <w:t xml:space="preserve">alebo inej </w:t>
            </w:r>
            <w:r w:rsidR="00915817">
              <w:rPr>
                <w:sz w:val="20"/>
                <w:lang w:eastAsia="en-US"/>
              </w:rPr>
              <w:t>obdobnej technickej špecifikácii</w:t>
            </w:r>
            <w:r w:rsidRPr="000C548F" w:rsidR="00915817">
              <w:rPr>
                <w:sz w:val="20"/>
                <w:lang w:eastAsia="en-US"/>
              </w:rPr>
              <w:t xml:space="preserve"> s porovnateľnými alebo prísnejšími požiadavkami</w:t>
            </w:r>
            <w:r w:rsidR="00915817">
              <w:rPr>
                <w:sz w:val="20"/>
                <w:lang w:eastAsia="en-US"/>
              </w:rPr>
              <w:t xml:space="preserve"> pre triedu DMB okrem odkazu na obsah síry</w:t>
            </w:r>
            <w:r w:rsidRPr="004B7FFE" w:rsidR="00915817">
              <w:rPr>
                <w:sz w:val="20"/>
              </w:rPr>
              <w:t>,</w:t>
            </w:r>
            <w:r w:rsidR="00915817">
              <w:rPr>
                <w:sz w:val="20"/>
                <w:vertAlign w:val="superscript"/>
              </w:rPr>
              <w:t>10</w:t>
            </w:r>
            <w:r w:rsidRPr="000C548F" w:rsidR="00915817">
              <w:rPr>
                <w:sz w:val="20"/>
              </w:rPr>
              <w:t>)</w:t>
            </w:r>
            <w:r w:rsidRPr="00735246">
              <w:rPr>
                <w:color w:val="231F20"/>
                <w:sz w:val="20"/>
                <w:lang w:eastAsia="sk-SK"/>
              </w:rPr>
              <w:t xml:space="preserve">   </w:t>
            </w:r>
          </w:p>
          <w:p w:rsidR="00915817" w:rsidP="00915817">
            <w:pPr>
              <w:spacing w:line="240" w:lineRule="atLeast"/>
              <w:ind w:left="-44" w:firstLine="44"/>
              <w:jc w:val="both"/>
            </w:pPr>
            <w:r>
              <w:rPr>
                <w:noProof/>
              </w:rPr>
              <w:pict>
                <v:shape id="_x0000_s1031" type="#_x0000_t32" style="width:58.2pt;height:0;margin-top:5.4pt;margin-left:0.1pt;position:absolute;z-index:251664384" o:connectortype="straight"/>
              </w:pict>
            </w:r>
          </w:p>
          <w:p w:rsidR="00915817" w:rsidP="00915817">
            <w:pPr>
              <w:pStyle w:val="FootnoteText"/>
              <w:jc w:val="both"/>
            </w:pPr>
            <w:r>
              <w:rPr>
                <w:sz w:val="18"/>
                <w:szCs w:val="18"/>
                <w:vertAlign w:val="superscript"/>
              </w:rPr>
              <w:t>10</w:t>
            </w:r>
            <w:r>
              <w:rPr>
                <w:sz w:val="18"/>
                <w:szCs w:val="18"/>
              </w:rPr>
              <w:t xml:space="preserve">) </w:t>
            </w:r>
            <w:r w:rsidRPr="00915817">
              <w:rPr>
                <w:sz w:val="18"/>
                <w:szCs w:val="18"/>
              </w:rPr>
              <w:t>Tabuľka I STN ISO 8217 Ropné výrobky. Palivá (trieda F). Špecifikácie pre lodné palivá (65 6</w:t>
            </w:r>
            <w:r w:rsidRPr="00915817">
              <w:rPr>
                <w:sz w:val="18"/>
                <w:szCs w:val="18"/>
              </w:rPr>
              <w:t>502).</w:t>
            </w:r>
          </w:p>
          <w:p w:rsidR="00AB011F" w:rsidRPr="00735246" w:rsidP="00915817">
            <w:pPr>
              <w:jc w:val="both"/>
              <w:rPr>
                <w:color w:val="231F20"/>
                <w:sz w:val="20"/>
                <w:lang w:eastAsia="sk-SK"/>
              </w:rPr>
            </w:pPr>
          </w:p>
        </w:tc>
        <w:tc>
          <w:tcPr>
            <w:tcW w:w="709" w:type="dxa"/>
            <w:tcBorders>
              <w:top w:val="single" w:sz="4" w:space="0" w:color="auto"/>
              <w:bottom w:val="single" w:sz="4" w:space="0" w:color="auto"/>
            </w:tcBorders>
          </w:tcPr>
          <w:p w:rsidR="00AB011F" w:rsidRPr="00D52C0C">
            <w:pPr>
              <w:jc w:val="both"/>
              <w:rPr>
                <w:sz w:val="20"/>
              </w:rPr>
            </w:pPr>
            <w:r w:rsidRPr="00D52C0C" w:rsidR="001A6051">
              <w:rPr>
                <w:sz w:val="20"/>
              </w:rPr>
              <w:t>Ú</w:t>
            </w:r>
          </w:p>
        </w:tc>
        <w:tc>
          <w:tcPr>
            <w:tcW w:w="1417" w:type="dxa"/>
            <w:tcBorders>
              <w:top w:val="single" w:sz="4" w:space="0" w:color="auto"/>
              <w:bottom w:val="single" w:sz="4" w:space="0" w:color="auto"/>
            </w:tcBorders>
          </w:tcPr>
          <w:p w:rsidR="00AB011F" w:rsidRPr="00D52C0C">
            <w:pPr>
              <w:jc w:val="both"/>
              <w:rPr>
                <w:sz w:val="20"/>
              </w:rPr>
            </w:pPr>
          </w:p>
        </w:tc>
      </w:tr>
      <w:tr w:rsidTr="000B581A">
        <w:tblPrEx>
          <w:tblW w:w="14954" w:type="dxa"/>
          <w:tblLayout w:type="fixed"/>
          <w:tblCellMar>
            <w:left w:w="70" w:type="dxa"/>
            <w:right w:w="70" w:type="dxa"/>
          </w:tblCellMar>
          <w:tblLook w:val="0000"/>
        </w:tblPrEx>
        <w:trPr>
          <w:trHeight w:val="986"/>
        </w:trPr>
        <w:tc>
          <w:tcPr>
            <w:tcW w:w="779" w:type="dxa"/>
            <w:tcBorders>
              <w:top w:val="single" w:sz="4" w:space="0" w:color="auto"/>
              <w:bottom w:val="single" w:sz="4" w:space="0" w:color="auto"/>
            </w:tcBorders>
          </w:tcPr>
          <w:p w:rsidR="00AB011F" w:rsidRPr="00D52C0C" w:rsidP="00AB011F">
            <w:pPr>
              <w:jc w:val="both"/>
              <w:rPr>
                <w:sz w:val="20"/>
              </w:rPr>
            </w:pPr>
            <w:r w:rsidRPr="00D52C0C">
              <w:rPr>
                <w:sz w:val="20"/>
              </w:rPr>
              <w:t>Č2</w:t>
            </w:r>
          </w:p>
          <w:p w:rsidR="00AB011F" w:rsidRPr="00D52C0C" w:rsidP="00AB011F">
            <w:pPr>
              <w:jc w:val="both"/>
              <w:rPr>
                <w:sz w:val="20"/>
              </w:rPr>
            </w:pPr>
            <w:r w:rsidRPr="00D52C0C" w:rsidR="000F4987">
              <w:rPr>
                <w:sz w:val="20"/>
              </w:rPr>
              <w:t>Pe</w:t>
            </w:r>
          </w:p>
        </w:tc>
        <w:tc>
          <w:tcPr>
            <w:tcW w:w="4536" w:type="dxa"/>
            <w:tcBorders>
              <w:top w:val="single" w:sz="4" w:space="0" w:color="auto"/>
              <w:bottom w:val="single" w:sz="4" w:space="0" w:color="auto"/>
            </w:tcBorders>
          </w:tcPr>
          <w:p w:rsidR="00AB011F" w:rsidRPr="00D52C0C" w:rsidP="000F4987">
            <w:pPr>
              <w:autoSpaceDE w:val="0"/>
              <w:autoSpaceDN w:val="0"/>
              <w:adjustRightInd w:val="0"/>
              <w:jc w:val="both"/>
              <w:rPr>
                <w:rFonts w:ascii="TimesNewRoman" w:hAnsi="TimesNewRoman" w:cs="TimesNewRoman"/>
                <w:color w:val="231F20"/>
                <w:sz w:val="20"/>
                <w:lang w:eastAsia="sk-SK"/>
              </w:rPr>
            </w:pPr>
            <w:r w:rsidRPr="00D52C0C" w:rsidR="000F4987">
              <w:rPr>
                <w:rFonts w:ascii="TimesNewRoman" w:hAnsi="TimesNewRoman" w:cs="TimesNewRoman"/>
                <w:color w:val="231F20"/>
                <w:sz w:val="20"/>
                <w:lang w:eastAsia="sk-SK"/>
              </w:rPr>
              <w:t>e) „</w:t>
            </w:r>
            <w:r w:rsidRPr="00D52C0C" w:rsidR="00C65331">
              <w:rPr>
                <w:rFonts w:ascii="TimesNewRoman" w:hAnsi="TimesNewRoman" w:cs="TimesNewRoman"/>
                <w:color w:val="231F20"/>
                <w:sz w:val="20"/>
                <w:lang w:eastAsia="sk-SK"/>
              </w:rPr>
              <w:t>lodný plynový olej</w:t>
            </w:r>
            <w:r w:rsidRPr="00D52C0C" w:rsidR="000F4987">
              <w:rPr>
                <w:rFonts w:ascii="TimesNewRoman" w:hAnsi="TimesNewRoman" w:cs="TimesNewRoman"/>
                <w:color w:val="231F20"/>
                <w:sz w:val="20"/>
                <w:lang w:eastAsia="sk-SK"/>
              </w:rPr>
              <w:t>“</w:t>
            </w:r>
            <w:r w:rsidRPr="00D52C0C" w:rsidR="00C65331">
              <w:rPr>
                <w:rFonts w:ascii="TimesNewRoman" w:hAnsi="TimesNewRoman" w:cs="TimesNewRoman"/>
                <w:color w:val="231F20"/>
                <w:sz w:val="20"/>
                <w:lang w:eastAsia="sk-SK"/>
              </w:rPr>
              <w:t xml:space="preserve"> </w:t>
            </w:r>
            <w:r w:rsidRPr="00D52C0C" w:rsidR="000F4987">
              <w:rPr>
                <w:rFonts w:ascii="TimesNewRoman" w:hAnsi="TimesNewRoman" w:cs="TimesNewRoman"/>
                <w:color w:val="231F20"/>
                <w:sz w:val="20"/>
                <w:lang w:eastAsia="sk-SK"/>
              </w:rPr>
              <w:t>je</w:t>
            </w:r>
            <w:r w:rsidRPr="00D52C0C" w:rsidR="00C65331">
              <w:rPr>
                <w:rFonts w:ascii="TimesNewRoman" w:hAnsi="TimesNewRoman" w:cs="TimesNewRoman"/>
                <w:color w:val="231F20"/>
                <w:sz w:val="20"/>
                <w:lang w:eastAsia="sk-SK"/>
              </w:rPr>
              <w:t xml:space="preserve"> každé lodné palivo vymedzené v tabuľke I normy ISO 8217 pre triedy DMX, DMA a DMZ s výnimkou odkazu na obsah síry; </w:t>
            </w:r>
          </w:p>
        </w:tc>
        <w:tc>
          <w:tcPr>
            <w:tcW w:w="851" w:type="dxa"/>
            <w:tcBorders>
              <w:top w:val="single" w:sz="4" w:space="0" w:color="auto"/>
              <w:bottom w:val="single" w:sz="4" w:space="0" w:color="auto"/>
            </w:tcBorders>
          </w:tcPr>
          <w:p w:rsidR="00AB011F" w:rsidRPr="00D52C0C">
            <w:pPr>
              <w:jc w:val="both"/>
              <w:rPr>
                <w:sz w:val="20"/>
              </w:rPr>
            </w:pPr>
            <w:r w:rsidRPr="00D52C0C" w:rsidR="001A6051">
              <w:rPr>
                <w:sz w:val="20"/>
              </w:rPr>
              <w:t>N</w:t>
            </w:r>
          </w:p>
        </w:tc>
        <w:tc>
          <w:tcPr>
            <w:tcW w:w="850" w:type="dxa"/>
            <w:tcBorders>
              <w:top w:val="single" w:sz="4" w:space="0" w:color="auto"/>
              <w:bottom w:val="single" w:sz="4" w:space="0" w:color="auto"/>
            </w:tcBorders>
          </w:tcPr>
          <w:p w:rsidR="00AB011F" w:rsidRPr="00D52C0C" w:rsidP="00366A43">
            <w:pPr>
              <w:jc w:val="both"/>
              <w:rPr>
                <w:sz w:val="20"/>
              </w:rPr>
            </w:pPr>
            <w:r w:rsidRPr="00D52C0C" w:rsidR="004F2084">
              <w:rPr>
                <w:sz w:val="20"/>
              </w:rPr>
              <w:t>NV</w:t>
            </w:r>
          </w:p>
        </w:tc>
        <w:tc>
          <w:tcPr>
            <w:tcW w:w="851" w:type="dxa"/>
            <w:tcBorders>
              <w:top w:val="single" w:sz="4" w:space="0" w:color="auto"/>
              <w:bottom w:val="single" w:sz="4" w:space="0" w:color="auto"/>
            </w:tcBorders>
          </w:tcPr>
          <w:p w:rsidR="00AB011F" w:rsidRPr="00D52C0C">
            <w:pPr>
              <w:pStyle w:val="BodyText21"/>
              <w:spacing w:before="0"/>
            </w:pPr>
            <w:r w:rsidRPr="00D52C0C" w:rsidR="001A6051">
              <w:t>§2</w:t>
            </w:r>
          </w:p>
          <w:p w:rsidR="001A6051" w:rsidRPr="00D52C0C">
            <w:pPr>
              <w:pStyle w:val="BodyText21"/>
              <w:spacing w:before="0"/>
            </w:pPr>
            <w:r w:rsidR="00735246">
              <w:t>Pk</w:t>
            </w:r>
          </w:p>
        </w:tc>
        <w:tc>
          <w:tcPr>
            <w:tcW w:w="4961" w:type="dxa"/>
            <w:tcBorders>
              <w:top w:val="single" w:sz="4" w:space="0" w:color="auto"/>
              <w:bottom w:val="single" w:sz="4" w:space="0" w:color="auto"/>
            </w:tcBorders>
          </w:tcPr>
          <w:p w:rsidR="00915817" w:rsidRPr="00393AB4" w:rsidP="00915817">
            <w:pPr>
              <w:tabs>
                <w:tab w:val="left" w:pos="851"/>
              </w:tabs>
              <w:spacing w:after="120"/>
              <w:jc w:val="both"/>
              <w:rPr>
                <w:b/>
                <w:sz w:val="20"/>
                <w:lang w:eastAsia="sk-SK"/>
              </w:rPr>
            </w:pPr>
            <w:r w:rsidRPr="00393AB4">
              <w:rPr>
                <w:b/>
                <w:sz w:val="20"/>
                <w:lang w:eastAsia="sk-SK"/>
              </w:rPr>
              <w:t>§ 2</w:t>
            </w:r>
          </w:p>
          <w:p w:rsidR="00915817" w:rsidP="00915817">
            <w:pPr>
              <w:tabs>
                <w:tab w:val="left" w:pos="851"/>
              </w:tabs>
              <w:spacing w:after="120"/>
              <w:jc w:val="both"/>
              <w:rPr>
                <w:b/>
                <w:sz w:val="20"/>
                <w:lang w:eastAsia="sk-SK"/>
              </w:rPr>
            </w:pPr>
            <w:r w:rsidRPr="00393AB4">
              <w:rPr>
                <w:b/>
                <w:sz w:val="20"/>
                <w:lang w:eastAsia="sk-SK"/>
              </w:rPr>
              <w:t>Vymedzenie základných pojmov</w:t>
            </w:r>
          </w:p>
          <w:p w:rsidR="00915817" w:rsidRPr="00393AB4" w:rsidP="00915817">
            <w:pPr>
              <w:tabs>
                <w:tab w:val="left" w:pos="851"/>
              </w:tabs>
              <w:spacing w:after="120"/>
              <w:rPr>
                <w:color w:val="231F20"/>
                <w:sz w:val="20"/>
                <w:lang w:eastAsia="sk-SK"/>
              </w:rPr>
            </w:pPr>
            <w:r w:rsidRPr="00393AB4">
              <w:rPr>
                <w:color w:val="231F20"/>
                <w:sz w:val="20"/>
                <w:lang w:eastAsia="sk-SK"/>
              </w:rPr>
              <w:t>Na účely vyhlášky sa rozumie</w:t>
            </w:r>
          </w:p>
          <w:p w:rsidR="00915817" w:rsidP="00825F78">
            <w:pPr>
              <w:keepNext/>
              <w:spacing w:before="60" w:after="60"/>
              <w:jc w:val="both"/>
              <w:rPr>
                <w:color w:val="231F20"/>
                <w:sz w:val="20"/>
                <w:lang w:eastAsia="sk-SK"/>
              </w:rPr>
            </w:pPr>
            <w:r w:rsidRPr="00735246" w:rsidR="00735246">
              <w:rPr>
                <w:color w:val="231F20"/>
                <w:sz w:val="20"/>
                <w:lang w:eastAsia="sk-SK"/>
              </w:rPr>
              <w:t>k</w:t>
            </w:r>
            <w:r w:rsidRPr="00735246" w:rsidR="007E1B74">
              <w:rPr>
                <w:color w:val="231F20"/>
                <w:sz w:val="20"/>
                <w:lang w:eastAsia="sk-SK"/>
              </w:rPr>
              <w:t xml:space="preserve">) </w:t>
            </w:r>
            <w:r w:rsidRPr="00735246" w:rsidR="00825F78">
              <w:rPr>
                <w:color w:val="231F20"/>
                <w:sz w:val="20"/>
                <w:lang w:eastAsia="sk-SK"/>
              </w:rPr>
              <w:t>lodným plynovým olejom lodné palivo, ktoré je vymedzené v tabuľke I technickej normy</w:t>
            </w:r>
            <w:r w:rsidR="00E022A6">
              <w:rPr>
                <w:color w:val="231F20"/>
                <w:sz w:val="20"/>
                <w:lang w:eastAsia="sk-SK"/>
              </w:rPr>
              <w:t xml:space="preserve"> </w:t>
            </w:r>
            <w:r w:rsidRPr="000C548F" w:rsidR="00E022A6">
              <w:rPr>
                <w:sz w:val="20"/>
                <w:lang w:eastAsia="en-US"/>
              </w:rPr>
              <w:t xml:space="preserve">alebo inej </w:t>
            </w:r>
            <w:r w:rsidR="00E022A6">
              <w:rPr>
                <w:sz w:val="20"/>
                <w:lang w:eastAsia="en-US"/>
              </w:rPr>
              <w:t>obdobnej technickej špecifikácii</w:t>
            </w:r>
            <w:r w:rsidRPr="000C548F" w:rsidR="00E022A6">
              <w:rPr>
                <w:sz w:val="20"/>
                <w:lang w:eastAsia="en-US"/>
              </w:rPr>
              <w:t xml:space="preserve"> s porovnateľnými alebo prísnejšími požiadavkami</w:t>
            </w:r>
            <w:r w:rsidR="00E022A6">
              <w:rPr>
                <w:sz w:val="20"/>
                <w:lang w:eastAsia="en-US"/>
              </w:rPr>
              <w:t xml:space="preserve"> </w:t>
            </w:r>
            <w:r w:rsidRPr="00735246" w:rsidR="00825F78">
              <w:rPr>
                <w:color w:val="231F20"/>
                <w:sz w:val="20"/>
                <w:lang w:eastAsia="sk-SK"/>
              </w:rPr>
              <w:t>pre triedy DMX, DMA a DMZ okrem odkazu na obsah síry</w:t>
            </w:r>
            <w:r w:rsidRPr="00735246" w:rsidR="007E1B74">
              <w:rPr>
                <w:color w:val="231F20"/>
                <w:sz w:val="20"/>
                <w:lang w:eastAsia="sk-SK"/>
              </w:rPr>
              <w:t>,</w:t>
            </w:r>
            <w:r w:rsidR="00E022A6">
              <w:rPr>
                <w:sz w:val="20"/>
                <w:vertAlign w:val="superscript"/>
              </w:rPr>
              <w:t xml:space="preserve"> 10</w:t>
            </w:r>
            <w:r w:rsidRPr="000C548F" w:rsidR="00E022A6">
              <w:rPr>
                <w:sz w:val="20"/>
              </w:rPr>
              <w:t>)</w:t>
            </w:r>
            <w:r w:rsidRPr="00735246" w:rsidR="00E022A6">
              <w:rPr>
                <w:color w:val="231F20"/>
                <w:sz w:val="20"/>
                <w:lang w:eastAsia="sk-SK"/>
              </w:rPr>
              <w:t xml:space="preserve">   </w:t>
            </w:r>
            <w:r w:rsidRPr="00735246" w:rsidR="007E1B74">
              <w:rPr>
                <w:color w:val="231F20"/>
                <w:sz w:val="20"/>
                <w:lang w:eastAsia="sk-SK"/>
              </w:rPr>
              <w:t xml:space="preserve">   </w:t>
            </w:r>
          </w:p>
          <w:p w:rsidR="005931CA" w:rsidP="005931CA">
            <w:pPr>
              <w:spacing w:line="240" w:lineRule="atLeast"/>
              <w:ind w:left="-44" w:firstLine="44"/>
              <w:jc w:val="both"/>
            </w:pPr>
            <w:r>
              <w:rPr>
                <w:noProof/>
              </w:rPr>
              <w:pict>
                <v:shape id="_x0000_s1032" type="#_x0000_t32" style="width:58.2pt;height:0;margin-top:5.4pt;margin-left:0.1pt;position:absolute;z-index:251665408" o:connectortype="straight"/>
              </w:pict>
            </w:r>
          </w:p>
          <w:p w:rsidR="00AB011F" w:rsidP="005931CA">
            <w:pPr>
              <w:pStyle w:val="FootnoteText"/>
              <w:jc w:val="both"/>
              <w:rPr>
                <w:sz w:val="18"/>
                <w:szCs w:val="18"/>
              </w:rPr>
            </w:pPr>
            <w:r w:rsidR="005931CA">
              <w:rPr>
                <w:sz w:val="18"/>
                <w:szCs w:val="18"/>
                <w:vertAlign w:val="superscript"/>
              </w:rPr>
              <w:t>10</w:t>
            </w:r>
            <w:r w:rsidR="005931CA">
              <w:rPr>
                <w:sz w:val="18"/>
                <w:szCs w:val="18"/>
              </w:rPr>
              <w:t xml:space="preserve">) </w:t>
            </w:r>
            <w:r w:rsidRPr="00915817" w:rsidR="005931CA">
              <w:rPr>
                <w:sz w:val="18"/>
                <w:szCs w:val="18"/>
              </w:rPr>
              <w:t xml:space="preserve">Tabuľka I STN ISO 8217 Ropné </w:t>
            </w:r>
            <w:r w:rsidRPr="00915817" w:rsidR="005931CA">
              <w:rPr>
                <w:sz w:val="18"/>
                <w:szCs w:val="18"/>
              </w:rPr>
              <w:t>výrobky. Palivá (trieda F). Špecifikácie pre lodné palivá (65 6502).</w:t>
            </w:r>
          </w:p>
          <w:p w:rsidR="005931CA" w:rsidRPr="00735246" w:rsidP="005931CA">
            <w:pPr>
              <w:pStyle w:val="FootnoteText"/>
              <w:jc w:val="both"/>
              <w:rPr>
                <w:color w:val="231F20"/>
                <w:sz w:val="20"/>
                <w:lang w:eastAsia="sk-SK"/>
              </w:rPr>
            </w:pPr>
          </w:p>
        </w:tc>
        <w:tc>
          <w:tcPr>
            <w:tcW w:w="709" w:type="dxa"/>
            <w:tcBorders>
              <w:top w:val="single" w:sz="4" w:space="0" w:color="auto"/>
              <w:bottom w:val="single" w:sz="4" w:space="0" w:color="auto"/>
            </w:tcBorders>
          </w:tcPr>
          <w:p w:rsidR="00AB011F" w:rsidRPr="00D52C0C">
            <w:pPr>
              <w:jc w:val="both"/>
              <w:rPr>
                <w:sz w:val="20"/>
              </w:rPr>
            </w:pPr>
            <w:r w:rsidRPr="00D52C0C" w:rsidR="001A6051">
              <w:rPr>
                <w:sz w:val="20"/>
              </w:rPr>
              <w:t>Ú</w:t>
            </w:r>
          </w:p>
        </w:tc>
        <w:tc>
          <w:tcPr>
            <w:tcW w:w="1417" w:type="dxa"/>
            <w:tcBorders>
              <w:top w:val="single" w:sz="4" w:space="0" w:color="auto"/>
              <w:bottom w:val="single" w:sz="4" w:space="0" w:color="auto"/>
            </w:tcBorders>
          </w:tcPr>
          <w:p w:rsidR="00AB011F" w:rsidRPr="00D52C0C">
            <w:pPr>
              <w:jc w:val="both"/>
              <w:rPr>
                <w:sz w:val="20"/>
              </w:rPr>
            </w:pPr>
          </w:p>
        </w:tc>
      </w:tr>
      <w:tr w:rsidTr="000B581A">
        <w:tblPrEx>
          <w:tblW w:w="14954" w:type="dxa"/>
          <w:tblLayout w:type="fixed"/>
          <w:tblCellMar>
            <w:left w:w="70" w:type="dxa"/>
            <w:right w:w="70" w:type="dxa"/>
          </w:tblCellMar>
          <w:tblLook w:val="0000"/>
        </w:tblPrEx>
        <w:trPr>
          <w:trHeight w:val="98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Pf</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f) „dohovor MARPOL“ je Medzinárodný dohovor o zabránení znečisťovania mora z lodí z roku 1973 v znení protokolu z roku 1978;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727D16" w:rsidP="00EA0A90">
            <w:pPr>
              <w:pStyle w:val="BodyText21"/>
              <w:spacing w:before="0"/>
              <w:rPr>
                <w:highlight w:val="green"/>
              </w:rPr>
            </w:pPr>
          </w:p>
        </w:tc>
        <w:tc>
          <w:tcPr>
            <w:tcW w:w="4961" w:type="dxa"/>
            <w:tcBorders>
              <w:top w:val="single" w:sz="4" w:space="0" w:color="auto"/>
              <w:bottom w:val="single" w:sz="4" w:space="0" w:color="auto"/>
            </w:tcBorders>
          </w:tcPr>
          <w:p w:rsidR="00EA0A90" w:rsidRPr="00727D16" w:rsidP="00EA0A90">
            <w:pPr>
              <w:pStyle w:val="FootnoteText"/>
              <w:jc w:val="both"/>
              <w:rPr>
                <w:sz w:val="18"/>
                <w:szCs w:val="18"/>
                <w:highlight w:val="green"/>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F77DC4" w:rsidP="00EA0A90">
            <w:pPr>
              <w:pStyle w:val="BodyText21"/>
              <w:spacing w:before="0"/>
            </w:pPr>
            <w:r w:rsidRPr="00F77DC4" w:rsidR="00DA5B9E">
              <w:t>V § 9 ods. 2 písm. a) a ods. 3 písm. a) j</w:t>
            </w:r>
            <w:r w:rsidRPr="00F77DC4" w:rsidR="00DA5B9E">
              <w:t>e odkaz na poznámku</w:t>
            </w:r>
            <w:r w:rsidRPr="00F77DC4">
              <w:t xml:space="preserve"> pod čiarou č. 24</w:t>
            </w:r>
            <w:r w:rsidRPr="00F77DC4" w:rsidR="00DA5B9E">
              <w:t>.</w:t>
            </w:r>
          </w:p>
          <w:p w:rsidR="00EA0A90" w:rsidRPr="00F77DC4" w:rsidP="00EA0A90">
            <w:pPr>
              <w:spacing w:line="240" w:lineRule="atLeast"/>
              <w:ind w:left="-44" w:firstLine="44"/>
              <w:jc w:val="both"/>
            </w:pPr>
            <w:r>
              <w:rPr>
                <w:noProof/>
              </w:rPr>
              <w:pict>
                <v:shape id="_x0000_s1033" type="#_x0000_t32" style="width:58.2pt;height:0;margin-top:5.4pt;margin-left:0.1pt;position:absolute;z-index:251682816" o:connectortype="straight"/>
              </w:pict>
            </w:r>
          </w:p>
          <w:p w:rsidR="00EA0A90" w:rsidRPr="00F77DC4" w:rsidP="00EA0A90">
            <w:pPr>
              <w:pStyle w:val="BodyText21"/>
              <w:spacing w:before="0"/>
            </w:pPr>
            <w:r w:rsidRPr="00F77DC4">
              <w:rPr>
                <w:sz w:val="18"/>
                <w:szCs w:val="18"/>
                <w:vertAlign w:val="superscript"/>
              </w:rPr>
              <w:t>24</w:t>
            </w:r>
            <w:r w:rsidRPr="00F77DC4">
              <w:rPr>
                <w:sz w:val="18"/>
                <w:szCs w:val="18"/>
              </w:rPr>
              <w:t>) 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p>
        </w:tc>
      </w:tr>
      <w:tr w:rsidTr="000B581A">
        <w:tblPrEx>
          <w:tblW w:w="14954" w:type="dxa"/>
          <w:tblLayout w:type="fixed"/>
          <w:tblCellMar>
            <w:left w:w="70" w:type="dxa"/>
            <w:right w:w="70" w:type="dxa"/>
          </w:tblCellMar>
          <w:tblLook w:val="0000"/>
        </w:tblPrEx>
        <w:trPr>
          <w:trHeight w:val="1135"/>
        </w:trPr>
        <w:tc>
          <w:tcPr>
            <w:tcW w:w="779" w:type="dxa"/>
            <w:tcBorders>
              <w:top w:val="single" w:sz="4" w:space="0" w:color="auto"/>
              <w:bottom w:val="single" w:sz="4" w:space="0" w:color="auto"/>
            </w:tcBorders>
          </w:tcPr>
          <w:p w:rsidR="00DA5B9E" w:rsidRPr="00D52C0C" w:rsidP="00DA5B9E">
            <w:pPr>
              <w:jc w:val="both"/>
              <w:rPr>
                <w:sz w:val="20"/>
              </w:rPr>
            </w:pPr>
            <w:r w:rsidRPr="00D52C0C">
              <w:rPr>
                <w:sz w:val="20"/>
              </w:rPr>
              <w:t>Č2</w:t>
            </w:r>
          </w:p>
          <w:p w:rsidR="00DA5B9E" w:rsidRPr="00D52C0C" w:rsidP="00DA5B9E">
            <w:pPr>
              <w:jc w:val="both"/>
              <w:rPr>
                <w:sz w:val="20"/>
              </w:rPr>
            </w:pPr>
            <w:r w:rsidRPr="00D52C0C">
              <w:rPr>
                <w:sz w:val="20"/>
              </w:rPr>
              <w:t>Pg</w:t>
            </w:r>
          </w:p>
        </w:tc>
        <w:tc>
          <w:tcPr>
            <w:tcW w:w="4536" w:type="dxa"/>
            <w:tcBorders>
              <w:top w:val="single" w:sz="4" w:space="0" w:color="auto"/>
              <w:bottom w:val="single" w:sz="4" w:space="0" w:color="auto"/>
            </w:tcBorders>
          </w:tcPr>
          <w:p w:rsidR="00DA5B9E" w:rsidRPr="00D52C0C" w:rsidP="00DA5B9E">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g) „príloha VI k MARPOL“ je príloha s názvom Pravidlá zabránenia znečisťovania ovzdušia z lodí, ktorá je pripojená k dohovoru MA</w:t>
            </w:r>
            <w:r w:rsidRPr="00D52C0C">
              <w:rPr>
                <w:rFonts w:ascii="TimesNewRoman" w:hAnsi="TimesNewRoman" w:cs="TimesNewRoman"/>
                <w:color w:val="231F20"/>
                <w:sz w:val="20"/>
                <w:lang w:eastAsia="sk-SK"/>
              </w:rPr>
              <w:t xml:space="preserve">RPOL protokolom z roku 1997; </w:t>
            </w:r>
          </w:p>
        </w:tc>
        <w:tc>
          <w:tcPr>
            <w:tcW w:w="851" w:type="dxa"/>
            <w:tcBorders>
              <w:top w:val="single" w:sz="4" w:space="0" w:color="auto"/>
              <w:bottom w:val="single" w:sz="4" w:space="0" w:color="auto"/>
            </w:tcBorders>
          </w:tcPr>
          <w:p w:rsidR="00DA5B9E" w:rsidRPr="00D52C0C" w:rsidP="00DA5B9E">
            <w:pPr>
              <w:jc w:val="both"/>
              <w:rPr>
                <w:sz w:val="20"/>
              </w:rPr>
            </w:pPr>
            <w:r w:rsidRPr="00D52C0C">
              <w:rPr>
                <w:sz w:val="20"/>
              </w:rPr>
              <w:t>N</w:t>
            </w:r>
          </w:p>
        </w:tc>
        <w:tc>
          <w:tcPr>
            <w:tcW w:w="850" w:type="dxa"/>
            <w:tcBorders>
              <w:top w:val="single" w:sz="4" w:space="0" w:color="auto"/>
              <w:bottom w:val="single" w:sz="4" w:space="0" w:color="auto"/>
            </w:tcBorders>
          </w:tcPr>
          <w:p w:rsidR="00DA5B9E" w:rsidRPr="00D52C0C" w:rsidP="00DA5B9E">
            <w:pPr>
              <w:jc w:val="both"/>
              <w:rPr>
                <w:sz w:val="20"/>
              </w:rPr>
            </w:pPr>
            <w:r w:rsidRPr="00D52C0C">
              <w:rPr>
                <w:sz w:val="20"/>
              </w:rPr>
              <w:t>NV</w:t>
            </w:r>
          </w:p>
        </w:tc>
        <w:tc>
          <w:tcPr>
            <w:tcW w:w="851" w:type="dxa"/>
            <w:tcBorders>
              <w:top w:val="single" w:sz="4" w:space="0" w:color="auto"/>
              <w:bottom w:val="single" w:sz="4" w:space="0" w:color="auto"/>
            </w:tcBorders>
          </w:tcPr>
          <w:p w:rsidR="00DA5B9E" w:rsidRPr="00727D16" w:rsidP="00DA5B9E">
            <w:pPr>
              <w:pStyle w:val="BodyText21"/>
              <w:spacing w:before="0"/>
              <w:rPr>
                <w:highlight w:val="green"/>
              </w:rPr>
            </w:pPr>
          </w:p>
        </w:tc>
        <w:tc>
          <w:tcPr>
            <w:tcW w:w="4961" w:type="dxa"/>
            <w:tcBorders>
              <w:top w:val="single" w:sz="4" w:space="0" w:color="auto"/>
              <w:bottom w:val="single" w:sz="4" w:space="0" w:color="auto"/>
            </w:tcBorders>
          </w:tcPr>
          <w:p w:rsidR="00DA5B9E" w:rsidRPr="00727D16" w:rsidP="00DA5B9E">
            <w:pPr>
              <w:pStyle w:val="FootnoteText"/>
              <w:jc w:val="both"/>
              <w:rPr>
                <w:color w:val="231F20"/>
                <w:sz w:val="20"/>
                <w:highlight w:val="green"/>
                <w:lang w:eastAsia="sk-SK"/>
              </w:rPr>
            </w:pPr>
          </w:p>
        </w:tc>
        <w:tc>
          <w:tcPr>
            <w:tcW w:w="709" w:type="dxa"/>
            <w:tcBorders>
              <w:top w:val="single" w:sz="4" w:space="0" w:color="auto"/>
              <w:bottom w:val="single" w:sz="4" w:space="0" w:color="auto"/>
            </w:tcBorders>
          </w:tcPr>
          <w:p w:rsidR="00DA5B9E" w:rsidRPr="00D52C0C" w:rsidP="00DA5B9E">
            <w:pPr>
              <w:jc w:val="both"/>
              <w:rPr>
                <w:sz w:val="20"/>
              </w:rPr>
            </w:pPr>
            <w:r w:rsidRPr="00D52C0C">
              <w:rPr>
                <w:sz w:val="20"/>
              </w:rPr>
              <w:t>Ú</w:t>
            </w:r>
          </w:p>
        </w:tc>
        <w:tc>
          <w:tcPr>
            <w:tcW w:w="1417" w:type="dxa"/>
            <w:tcBorders>
              <w:top w:val="single" w:sz="4" w:space="0" w:color="auto"/>
              <w:bottom w:val="single" w:sz="4" w:space="0" w:color="auto"/>
            </w:tcBorders>
          </w:tcPr>
          <w:p w:rsidR="00DA5B9E" w:rsidRPr="00F77DC4" w:rsidP="00DA5B9E">
            <w:pPr>
              <w:pStyle w:val="BodyText21"/>
              <w:spacing w:before="0"/>
            </w:pPr>
            <w:r w:rsidRPr="00F77DC4">
              <w:t>V § 9 ods. 2 písm. a) a ods. 3 písm. a) je odkaz na poznámku pod čiarou č. 24.</w:t>
            </w:r>
          </w:p>
          <w:p w:rsidR="00DA5B9E" w:rsidRPr="00F77DC4" w:rsidP="00DA5B9E">
            <w:pPr>
              <w:spacing w:line="240" w:lineRule="atLeast"/>
              <w:ind w:left="-44" w:firstLine="44"/>
              <w:jc w:val="both"/>
            </w:pPr>
            <w:r>
              <w:rPr>
                <w:noProof/>
              </w:rPr>
              <w:pict>
                <v:shape id="_x0000_s1034" type="#_x0000_t32" style="width:58.2pt;height:0;margin-top:5.4pt;margin-left:0.1pt;position:absolute;z-index:251683840" o:connectortype="straight"/>
              </w:pict>
            </w:r>
          </w:p>
          <w:p w:rsidR="00DA5B9E" w:rsidRPr="00F77DC4" w:rsidP="00DA5B9E">
            <w:pPr>
              <w:pStyle w:val="BodyText21"/>
              <w:spacing w:before="0"/>
            </w:pPr>
            <w:r w:rsidRPr="00F77DC4">
              <w:rPr>
                <w:sz w:val="18"/>
                <w:szCs w:val="18"/>
                <w:vertAlign w:val="superscript"/>
              </w:rPr>
              <w:t>24</w:t>
            </w:r>
            <w:r w:rsidRPr="00F77DC4">
              <w:rPr>
                <w:sz w:val="18"/>
                <w:szCs w:val="18"/>
              </w:rPr>
              <w:t>) 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p>
        </w:tc>
      </w:tr>
      <w:tr w:rsidTr="000B581A">
        <w:tblPrEx>
          <w:tblW w:w="14954" w:type="dxa"/>
          <w:tblLayout w:type="fixed"/>
          <w:tblCellMar>
            <w:left w:w="70" w:type="dxa"/>
            <w:right w:w="70" w:type="dxa"/>
          </w:tblCellMar>
          <w:tblLook w:val="0000"/>
        </w:tblPrEx>
        <w:trPr>
          <w:trHeight w:val="108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Ph</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h) „kontrolné oblasti emisií SO</w:t>
            </w:r>
            <w:r w:rsidRPr="00D52C0C">
              <w:rPr>
                <w:rFonts w:ascii="TimesNewRoman" w:hAnsi="TimesNewRoman" w:cs="TimesNewRoman"/>
                <w:color w:val="231F20"/>
                <w:sz w:val="20"/>
                <w:vertAlign w:val="subscript"/>
                <w:lang w:eastAsia="sk-SK"/>
              </w:rPr>
              <w:t>X</w:t>
            </w:r>
            <w:r w:rsidRPr="00D52C0C">
              <w:rPr>
                <w:rFonts w:ascii="TimesNewRoman" w:hAnsi="TimesNewRoman" w:cs="TimesNewRoman"/>
                <w:color w:val="231F20"/>
                <w:sz w:val="20"/>
                <w:lang w:eastAsia="sk-SK"/>
              </w:rPr>
              <w:t>“ sú morské obla</w:t>
            </w:r>
            <w:r w:rsidRPr="00D52C0C">
              <w:rPr>
                <w:rFonts w:ascii="TimesNewRoman" w:hAnsi="TimesNewRoman" w:cs="TimesNewRoman"/>
                <w:color w:val="231F20"/>
                <w:sz w:val="20"/>
                <w:lang w:eastAsia="sk-SK"/>
              </w:rPr>
              <w:t xml:space="preserve">sti vymedzené Medzinárodnou námornou organizáciou (IMO) v prílohe VI k dohovoru MARPOL;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P="00EA0A90">
            <w:pPr>
              <w:pStyle w:val="BodyText21"/>
              <w:spacing w:before="0"/>
            </w:pPr>
            <w:r>
              <w:t>O7</w:t>
            </w:r>
          </w:p>
          <w:p w:rsidR="00EA0A90" w:rsidRPr="00D52C0C" w:rsidP="00EA0A90">
            <w:pPr>
              <w:pStyle w:val="BodyText21"/>
              <w:spacing w:before="0"/>
            </w:pPr>
            <w:r>
              <w:t>Pa</w:t>
            </w:r>
          </w:p>
        </w:tc>
        <w:tc>
          <w:tcPr>
            <w:tcW w:w="4961" w:type="dxa"/>
            <w:tcBorders>
              <w:top w:val="single" w:sz="4" w:space="0" w:color="auto"/>
              <w:bottom w:val="single" w:sz="4" w:space="0" w:color="auto"/>
            </w:tcBorders>
          </w:tcPr>
          <w:p w:rsidR="00EA0A90" w:rsidRPr="00103D5F" w:rsidP="00EA0A90">
            <w:pPr>
              <w:tabs>
                <w:tab w:val="left" w:pos="851"/>
              </w:tabs>
              <w:spacing w:after="120"/>
              <w:jc w:val="both"/>
              <w:rPr>
                <w:b/>
                <w:sz w:val="20"/>
                <w:lang w:eastAsia="sk-SK"/>
              </w:rPr>
            </w:pPr>
            <w:r w:rsidRPr="00103D5F">
              <w:rPr>
                <w:b/>
                <w:sz w:val="20"/>
                <w:lang w:eastAsia="sk-SK"/>
              </w:rPr>
              <w:t>§ 6</w:t>
            </w:r>
          </w:p>
          <w:p w:rsidR="00EA0A90" w:rsidRPr="00103D5F" w:rsidP="00EA0A90">
            <w:pPr>
              <w:tabs>
                <w:tab w:val="left" w:pos="851"/>
              </w:tabs>
              <w:spacing w:after="120"/>
              <w:jc w:val="both"/>
              <w:rPr>
                <w:b/>
                <w:sz w:val="20"/>
                <w:lang w:eastAsia="sk-SK"/>
              </w:rPr>
            </w:pPr>
            <w:r w:rsidRPr="00103D5F">
              <w:rPr>
                <w:b/>
                <w:sz w:val="20"/>
                <w:lang w:eastAsia="sk-SK"/>
              </w:rPr>
              <w:t>Lodné palivá</w:t>
            </w:r>
          </w:p>
          <w:p w:rsidR="00EA0A90" w:rsidRPr="00187EB0" w:rsidP="00EA0A90">
            <w:pPr>
              <w:pStyle w:val="ListParagraph"/>
              <w:tabs>
                <w:tab w:val="left" w:pos="851"/>
                <w:tab w:val="left" w:pos="1276"/>
              </w:tabs>
              <w:spacing w:after="120" w:line="240" w:lineRule="auto"/>
              <w:ind w:left="0"/>
              <w:contextualSpacing w:val="0"/>
              <w:jc w:val="both"/>
              <w:rPr>
                <w:rFonts w:ascii="Times New Roman" w:hAnsi="Times New Roman"/>
                <w:sz w:val="20"/>
                <w:szCs w:val="20"/>
              </w:rPr>
            </w:pPr>
            <w:r>
              <w:rPr>
                <w:rFonts w:ascii="Times New Roman" w:hAnsi="Times New Roman"/>
                <w:sz w:val="20"/>
                <w:szCs w:val="20"/>
              </w:rPr>
              <w:t xml:space="preserve">(7) </w:t>
            </w:r>
            <w:r w:rsidRPr="00187EB0">
              <w:rPr>
                <w:rFonts w:ascii="Times New Roman" w:hAnsi="Times New Roman"/>
                <w:sz w:val="20"/>
                <w:szCs w:val="20"/>
              </w:rPr>
              <w:t>Lodné palivo používané námornými loďami v oblastiach výsostných vôd, výlučných hospodárskych zónach a</w:t>
            </w:r>
            <w:r>
              <w:rPr>
                <w:rFonts w:ascii="Times New Roman" w:hAnsi="Times New Roman"/>
                <w:sz w:val="20"/>
                <w:szCs w:val="20"/>
              </w:rPr>
              <w:t> v zónach kontroly znečisťovani</w:t>
            </w:r>
            <w:r>
              <w:rPr>
                <w:rFonts w:ascii="Times New Roman" w:hAnsi="Times New Roman"/>
                <w:sz w:val="20"/>
                <w:szCs w:val="20"/>
              </w:rPr>
              <w:t>a</w:t>
            </w:r>
          </w:p>
          <w:p w:rsidR="00EA0A90" w:rsidRPr="00187EB0" w:rsidP="00EA0A90">
            <w:pPr>
              <w:pStyle w:val="ListParagraph"/>
              <w:tabs>
                <w:tab w:val="left" w:pos="851"/>
              </w:tabs>
              <w:spacing w:after="120" w:line="240" w:lineRule="auto"/>
              <w:ind w:left="350" w:hanging="350"/>
              <w:contextualSpacing w:val="0"/>
              <w:jc w:val="both"/>
              <w:rPr>
                <w:rFonts w:ascii="Times New Roman" w:hAnsi="Times New Roman"/>
                <w:sz w:val="20"/>
                <w:szCs w:val="20"/>
              </w:rPr>
            </w:pPr>
            <w:r>
              <w:rPr>
                <w:rFonts w:ascii="Times New Roman" w:hAnsi="Times New Roman"/>
                <w:sz w:val="20"/>
                <w:szCs w:val="20"/>
              </w:rPr>
              <w:t xml:space="preserve">a)  </w:t>
            </w:r>
            <w:r w:rsidRPr="00187EB0">
              <w:rPr>
                <w:rFonts w:ascii="Times New Roman" w:hAnsi="Times New Roman"/>
                <w:sz w:val="20"/>
                <w:szCs w:val="20"/>
              </w:rPr>
              <w:t>patriacich do kontrolných oblastí emisií oxidov síry vymedzených podľa medzinárodnej zmluvy,</w:t>
            </w:r>
            <w:r>
              <w:rPr>
                <w:rFonts w:ascii="Times New Roman" w:hAnsi="Times New Roman"/>
                <w:sz w:val="20"/>
                <w:szCs w:val="20"/>
                <w:vertAlign w:val="superscript"/>
              </w:rPr>
              <w:t>24</w:t>
            </w:r>
            <w:r w:rsidRPr="001A495F">
              <w:rPr>
                <w:rFonts w:ascii="Times New Roman" w:hAnsi="Times New Roman"/>
                <w:sz w:val="20"/>
                <w:szCs w:val="20"/>
              </w:rPr>
              <w:t>)</w:t>
            </w:r>
            <w:r w:rsidRPr="00187EB0">
              <w:rPr>
                <w:rFonts w:ascii="Times New Roman" w:hAnsi="Times New Roman"/>
                <w:sz w:val="20"/>
                <w:szCs w:val="20"/>
              </w:rPr>
              <w:t xml:space="preserve"> nesmie obsahovať viac síry ako 0,1 % hmotnosti, </w:t>
            </w:r>
          </w:p>
          <w:p w:rsidR="00EA0A90" w:rsidRPr="001A495F" w:rsidP="00EA0A90">
            <w:pPr>
              <w:spacing w:line="240" w:lineRule="atLeast"/>
              <w:ind w:left="-44" w:firstLine="44"/>
              <w:jc w:val="both"/>
            </w:pPr>
            <w:r>
              <w:rPr>
                <w:noProof/>
              </w:rPr>
              <w:pict>
                <v:shape id="_x0000_s1035" type="#_x0000_t32" style="width:58.2pt;height:0;margin-top:5.4pt;margin-left:0.1pt;position:absolute;z-index:251666432" o:connectortype="straight"/>
              </w:pict>
            </w:r>
          </w:p>
          <w:p w:rsidR="00EA0A90" w:rsidRPr="00964863" w:rsidP="00EA0A90">
            <w:pPr>
              <w:keepNext/>
              <w:spacing w:before="60" w:after="60"/>
              <w:jc w:val="both"/>
              <w:rPr>
                <w:color w:val="231F20"/>
                <w:sz w:val="20"/>
                <w:highlight w:val="yellow"/>
                <w:lang w:eastAsia="sk-SK"/>
              </w:rPr>
            </w:pPr>
            <w:r w:rsidRPr="001A495F">
              <w:rPr>
                <w:sz w:val="18"/>
                <w:szCs w:val="18"/>
                <w:vertAlign w:val="superscript"/>
              </w:rPr>
              <w:t>24</w:t>
            </w:r>
            <w:r w:rsidRPr="001A495F">
              <w:rPr>
                <w:sz w:val="18"/>
                <w:szCs w:val="18"/>
              </w:rPr>
              <w:t>) 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834"/>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Pi</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i) „osobné lode“ sú lode, ktoré prevážajú viac než 12 cestujúcich, pričom za cestujúceho sa považuje každá iná osoba než: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i) veliteľ lode a členovia posádky a iné osoby zamestnané alebo akokoľvek inak zúčastnené na palube lode v rámci jej prevádzky a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ii) dieťa mladšie než jeden rok;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P="00EA0A90">
            <w:pPr>
              <w:pStyle w:val="BodyText21"/>
              <w:spacing w:before="0"/>
            </w:pPr>
            <w:r>
              <w:t>§6</w:t>
            </w:r>
          </w:p>
          <w:p w:rsidR="00EA0A90" w:rsidRPr="00D52C0C" w:rsidP="00EA0A90">
            <w:pPr>
              <w:pStyle w:val="BodyText21"/>
              <w:spacing w:before="0"/>
            </w:pPr>
            <w:r>
              <w:t>O1</w:t>
            </w:r>
          </w:p>
          <w:p w:rsidR="00EA0A90" w:rsidRPr="00D52C0C" w:rsidP="00EA0A90">
            <w:pPr>
              <w:pStyle w:val="BodyText21"/>
              <w:spacing w:before="0"/>
            </w:pPr>
            <w:r w:rsidRPr="00BF05AB">
              <w:t>Pa</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BF05AB" w:rsidP="00EA0A90">
            <w:pPr>
              <w:pStyle w:val="ListParagraph"/>
              <w:tabs>
                <w:tab w:val="left" w:pos="1276"/>
              </w:tabs>
              <w:spacing w:after="120"/>
              <w:ind w:left="0"/>
              <w:jc w:val="both"/>
              <w:rPr>
                <w:rFonts w:ascii="Times New Roman" w:eastAsia="Times New Roman" w:hAnsi="Times New Roman"/>
                <w:color w:val="231F20"/>
                <w:sz w:val="20"/>
                <w:szCs w:val="20"/>
                <w:lang w:eastAsia="sk-SK"/>
              </w:rPr>
            </w:pPr>
            <w:r>
              <w:rPr>
                <w:rFonts w:ascii="Times New Roman" w:eastAsia="Times New Roman" w:hAnsi="Times New Roman"/>
                <w:color w:val="231F20"/>
                <w:sz w:val="20"/>
                <w:szCs w:val="20"/>
                <w:lang w:eastAsia="sk-SK"/>
              </w:rPr>
              <w:t xml:space="preserve">(1) </w:t>
            </w:r>
            <w:r w:rsidRPr="00BF05AB">
              <w:rPr>
                <w:rFonts w:ascii="Times New Roman" w:eastAsia="Times New Roman" w:hAnsi="Times New Roman"/>
                <w:color w:val="231F20"/>
                <w:sz w:val="20"/>
                <w:szCs w:val="20"/>
                <w:lang w:eastAsia="sk-SK"/>
              </w:rPr>
              <w:t xml:space="preserve">Na účely ustanovenia požiadaviek pre lodné palivá sa rozumie </w:t>
            </w:r>
          </w:p>
          <w:p w:rsidR="00EA0A90" w:rsidRPr="00AF4B99" w:rsidP="00EA0A90">
            <w:pPr>
              <w:keepNext/>
              <w:spacing w:before="60" w:after="60"/>
              <w:jc w:val="both"/>
              <w:rPr>
                <w:color w:val="231F20"/>
                <w:sz w:val="20"/>
                <w:lang w:eastAsia="sk-SK"/>
              </w:rPr>
            </w:pPr>
            <w:r>
              <w:rPr>
                <w:color w:val="231F20"/>
                <w:sz w:val="20"/>
                <w:lang w:eastAsia="sk-SK"/>
              </w:rPr>
              <w:t xml:space="preserve">a) </w:t>
            </w:r>
            <w:r w:rsidRPr="00BF05AB">
              <w:rPr>
                <w:color w:val="231F20"/>
                <w:sz w:val="20"/>
                <w:lang w:eastAsia="sk-SK"/>
              </w:rPr>
              <w:t>osobnou loďou plavidlo, ktoré preváža viac ako 12 cestujúcich, pričom za cestujúceho sa považuje každá osoba okrem veliteľa osobnej lode, členov posádky a iných osôb zamestnaných alebo akokoľvek inak zúčastnených na palube plavidla v rámci jej prevádzky a okrem dieťaťa mladšieho ako jeden rok</w:t>
            </w:r>
            <w:r w:rsidRPr="00AF4B99">
              <w:rPr>
                <w:color w:val="231F20"/>
                <w:sz w:val="20"/>
                <w:lang w:eastAsia="sk-SK"/>
              </w:rPr>
              <w:t>,</w:t>
            </w:r>
          </w:p>
          <w:p w:rsidR="00EA0A90" w:rsidRPr="00AF4B99" w:rsidP="00EA0A90">
            <w:pPr>
              <w:keepNext/>
              <w:spacing w:before="60" w:after="60"/>
              <w:jc w:val="both"/>
              <w:rPr>
                <w:color w:val="231F20"/>
                <w:sz w:val="20"/>
                <w:lang w:eastAsia="sk-SK"/>
              </w:rPr>
            </w:pPr>
          </w:p>
          <w:p w:rsidR="00EA0A90" w:rsidRPr="00AF4B99" w:rsidP="00EA0A90">
            <w:pPr>
              <w:jc w:val="both"/>
              <w:rPr>
                <w:color w:val="231F20"/>
                <w:sz w:val="20"/>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211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Pj</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j) „pravidelné služby“ sú série ciest osobnej lode prevádzkovaných tak, aby obstarávali dopravu medzi tými istými dvomi alebo viacerými prístavmi, alebo série ciest z toho istého prístavu a do toho istého prístavu bez medzipristátí buď: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i) podľa uverejneného cestovného poriadku, alebo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ii) s takými pravidelnými alebo častými cestami, že v nich možno rozoznať cestovný poriadok;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P="00EA0A90">
            <w:pPr>
              <w:pStyle w:val="BodyText21"/>
              <w:spacing w:before="0"/>
            </w:pPr>
            <w:r>
              <w:t>§6</w:t>
            </w:r>
          </w:p>
          <w:p w:rsidR="00EA0A90" w:rsidRPr="00D52C0C" w:rsidP="00EA0A90">
            <w:pPr>
              <w:pStyle w:val="BodyText21"/>
              <w:spacing w:before="0"/>
            </w:pPr>
            <w:r>
              <w:t>O1</w:t>
            </w:r>
          </w:p>
          <w:p w:rsidR="00EA0A90" w:rsidRPr="00D52C0C" w:rsidP="00EA0A90">
            <w:pPr>
              <w:pStyle w:val="BodyText21"/>
              <w:spacing w:before="0"/>
            </w:pPr>
            <w:r>
              <w:t>Pc</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BF05AB" w:rsidP="00EA0A90">
            <w:pPr>
              <w:pStyle w:val="ListParagraph"/>
              <w:tabs>
                <w:tab w:val="left" w:pos="1276"/>
              </w:tabs>
              <w:spacing w:after="120"/>
              <w:ind w:left="0"/>
              <w:jc w:val="both"/>
              <w:rPr>
                <w:rFonts w:ascii="Times New Roman" w:eastAsia="Times New Roman" w:hAnsi="Times New Roman"/>
                <w:color w:val="231F20"/>
                <w:sz w:val="20"/>
                <w:szCs w:val="20"/>
                <w:lang w:eastAsia="sk-SK"/>
              </w:rPr>
            </w:pPr>
            <w:r>
              <w:rPr>
                <w:rFonts w:ascii="Times New Roman" w:eastAsia="Times New Roman" w:hAnsi="Times New Roman"/>
                <w:color w:val="231F20"/>
                <w:sz w:val="20"/>
                <w:szCs w:val="20"/>
                <w:lang w:eastAsia="sk-SK"/>
              </w:rPr>
              <w:t xml:space="preserve">(1) </w:t>
            </w:r>
            <w:r w:rsidRPr="00BF05AB">
              <w:rPr>
                <w:rFonts w:ascii="Times New Roman" w:eastAsia="Times New Roman" w:hAnsi="Times New Roman"/>
                <w:color w:val="231F20"/>
                <w:sz w:val="20"/>
                <w:szCs w:val="20"/>
                <w:lang w:eastAsia="sk-SK"/>
              </w:rPr>
              <w:t xml:space="preserve">Na účely ustanovenia požiadaviek pre lodné palivá sa rozumie </w:t>
            </w:r>
          </w:p>
          <w:p w:rsidR="00EA0A90" w:rsidRPr="00AF4B99" w:rsidP="00EA0A90">
            <w:pPr>
              <w:keepNext/>
              <w:spacing w:before="60" w:after="60"/>
              <w:jc w:val="both"/>
              <w:rPr>
                <w:color w:val="231F20"/>
                <w:sz w:val="20"/>
                <w:lang w:eastAsia="sk-SK"/>
              </w:rPr>
            </w:pPr>
            <w:r w:rsidRPr="00AF4B99">
              <w:rPr>
                <w:color w:val="231F20"/>
                <w:sz w:val="20"/>
                <w:lang w:eastAsia="sk-SK"/>
              </w:rPr>
              <w:t xml:space="preserve">c) </w:t>
            </w:r>
            <w:r w:rsidRPr="00BF05AB">
              <w:rPr>
                <w:color w:val="231F20"/>
                <w:sz w:val="20"/>
                <w:lang w:eastAsia="sk-SK"/>
              </w:rPr>
              <w:t>pravidelnými službami série plavieb osobnej lode, ktoré obstarávajú dopravu medzi tými istými dvomi alebo viacerými prístavmi, alebo série plavieb z toho istého prístavu a do toho istého prístavu bez medzipristátí podľa uverejneného cestovného poriadku alebo s takými pravidelnými alebo častými plavbami, že v nich možno rozoznať cestovný poriadok</w:t>
            </w:r>
            <w:r w:rsidRPr="00AF4B99">
              <w:rPr>
                <w:color w:val="231F20"/>
                <w:sz w:val="20"/>
                <w:lang w:eastAsia="sk-SK"/>
              </w:rPr>
              <w:t xml:space="preserve">, </w:t>
            </w:r>
          </w:p>
          <w:p w:rsidR="00EA0A90" w:rsidRPr="00AF4B99" w:rsidP="00EA0A90">
            <w:pPr>
              <w:jc w:val="both"/>
              <w:rPr>
                <w:color w:val="231F20"/>
                <w:sz w:val="20"/>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814"/>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Pk</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k) „vojnová loď“ je loď patriaca ozbrojeným silám štátu, ktorá nesie vonkajšie znaky, podľa ktorých možno rozlíšiť štátnu príslušnosť tejto lode, pod velením dôstojníka náležito povereného vládou tohto štátu, ktorého meno sa nachádza v príslušnom zozname dôstojníkov </w:t>
            </w:r>
            <w:r w:rsidRPr="00D52C0C">
              <w:rPr>
                <w:rFonts w:ascii="TimesNewRoman" w:hAnsi="TimesNewRoman" w:cs="TimesNewRoman"/>
                <w:color w:val="231F20"/>
                <w:sz w:val="20"/>
                <w:lang w:eastAsia="sk-SK"/>
              </w:rPr>
              <w:t xml:space="preserve">alebo v rovnocennom zápise, s posádkou podliehajúcou riadnej vojenskej disciplíne;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P="00EA0A90">
            <w:pPr>
              <w:pStyle w:val="BodyText21"/>
              <w:spacing w:before="0"/>
            </w:pPr>
            <w:r>
              <w:t>§6</w:t>
            </w:r>
          </w:p>
          <w:p w:rsidR="00EA0A90" w:rsidRPr="00D52C0C" w:rsidP="00EA0A90">
            <w:pPr>
              <w:pStyle w:val="BodyText21"/>
              <w:spacing w:before="0"/>
            </w:pPr>
            <w:r>
              <w:t>O8</w:t>
            </w:r>
          </w:p>
          <w:p w:rsidR="00EA0A90" w:rsidRPr="00D52C0C" w:rsidP="00EA0A90">
            <w:pPr>
              <w:pStyle w:val="BodyText21"/>
              <w:spacing w:before="0"/>
            </w:pPr>
            <w:r>
              <w:t>Pe</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P="00EA0A90">
            <w:pPr>
              <w:tabs>
                <w:tab w:val="left" w:pos="851"/>
              </w:tabs>
              <w:spacing w:after="120"/>
              <w:jc w:val="both"/>
              <w:rPr>
                <w:b/>
                <w:sz w:val="20"/>
                <w:lang w:eastAsia="sk-SK"/>
              </w:rPr>
            </w:pPr>
            <w:r w:rsidRPr="00BF05AB">
              <w:rPr>
                <w:b/>
                <w:sz w:val="20"/>
                <w:lang w:eastAsia="sk-SK"/>
              </w:rPr>
              <w:t>Lodné palivá</w:t>
            </w:r>
          </w:p>
          <w:p w:rsidR="00EA0A90" w:rsidRPr="002F16E5" w:rsidP="00EA0A90">
            <w:pPr>
              <w:pStyle w:val="ListParagraph"/>
              <w:tabs>
                <w:tab w:val="left" w:pos="851"/>
              </w:tabs>
              <w:spacing w:after="120"/>
              <w:ind w:left="0"/>
              <w:jc w:val="both"/>
              <w:rPr>
                <w:b/>
                <w:sz w:val="20"/>
                <w:lang w:eastAsia="sk-SK"/>
              </w:rPr>
            </w:pPr>
            <w:r w:rsidRPr="002F16E5">
              <w:rPr>
                <w:rFonts w:ascii="Times New Roman" w:eastAsia="Times New Roman" w:hAnsi="Times New Roman"/>
                <w:color w:val="231F20"/>
                <w:sz w:val="20"/>
                <w:szCs w:val="20"/>
                <w:lang w:eastAsia="sk-SK"/>
              </w:rPr>
              <w:t xml:space="preserve">(8) Požiadavky na obsah síry v lodných palivách podľa odsekov 3 až 7 sa nevzťahujú </w:t>
            </w:r>
          </w:p>
          <w:p w:rsidR="00EA0A90" w:rsidRPr="00AF4B99" w:rsidP="00EA0A90">
            <w:pPr>
              <w:keepNext/>
              <w:spacing w:before="60" w:after="60"/>
              <w:jc w:val="both"/>
              <w:rPr>
                <w:color w:val="231F20"/>
                <w:sz w:val="20"/>
                <w:lang w:eastAsia="sk-SK"/>
              </w:rPr>
            </w:pPr>
            <w:r w:rsidRPr="00AF4B99">
              <w:rPr>
                <w:color w:val="231F20"/>
                <w:sz w:val="20"/>
                <w:lang w:eastAsia="sk-SK"/>
              </w:rPr>
              <w:t xml:space="preserve">e) </w:t>
            </w:r>
            <w:r w:rsidRPr="002F16E5">
              <w:rPr>
                <w:color w:val="231F20"/>
                <w:sz w:val="20"/>
                <w:lang w:eastAsia="sk-SK"/>
              </w:rPr>
              <w:t>na lodné palivá používané vojnovými loďami a inými vojenskými plavidlami; vojnovou loďou je plavidlo patriace ozbrojeným silám štátu, ktoré nesie vonkajšie znaky, podľa ktorých možno rozlíšiť štátnu príslušnosť tohto plavidla, pod velením dôstojníka povereného vládou štátu, ktorého meno a priezvisko sa nachád</w:t>
            </w:r>
            <w:r w:rsidRPr="002F16E5">
              <w:rPr>
                <w:color w:val="231F20"/>
                <w:sz w:val="20"/>
                <w:lang w:eastAsia="sk-SK"/>
              </w:rPr>
              <w:t>za v zozname dôstojníkov alebo v rovnocennom zápise, s posádkou podliehajúcou vojenskej disciplíne</w:t>
            </w:r>
            <w:r w:rsidRPr="00AF4B99">
              <w:rPr>
                <w:color w:val="231F20"/>
                <w:sz w:val="20"/>
                <w:lang w:eastAsia="sk-SK"/>
              </w:rPr>
              <w:t>,</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40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Pl</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l) „kotviace lode“ sú lode, ktoré sú bezpečne priviazané alebo zakotvené v prístave Spoločenstva počas nakladania, vykladania alebo kým slúžia na ubytovanie cestujúcich, vrátane času, keď neprebiehajú operácie súvisiace s nákladom;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P="00EA0A90">
            <w:pPr>
              <w:pStyle w:val="BodyText21"/>
              <w:spacing w:before="0"/>
            </w:pPr>
            <w:r>
              <w:t>§6</w:t>
            </w:r>
          </w:p>
          <w:p w:rsidR="00EA0A90" w:rsidRPr="00D52C0C" w:rsidP="00EA0A90">
            <w:pPr>
              <w:pStyle w:val="BodyText21"/>
              <w:spacing w:before="0"/>
            </w:pPr>
            <w:r>
              <w:t>O1</w:t>
            </w:r>
          </w:p>
          <w:p w:rsidR="00EA0A90" w:rsidRPr="00D52C0C" w:rsidP="00EA0A90">
            <w:pPr>
              <w:pStyle w:val="BodyText21"/>
              <w:spacing w:before="0"/>
            </w:pPr>
            <w:r>
              <w:t>Pb</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BF05AB" w:rsidP="00EA0A90">
            <w:pPr>
              <w:pStyle w:val="ListParagraph"/>
              <w:tabs>
                <w:tab w:val="left" w:pos="1276"/>
              </w:tabs>
              <w:spacing w:after="120"/>
              <w:ind w:left="0"/>
              <w:jc w:val="both"/>
              <w:rPr>
                <w:rFonts w:ascii="Times New Roman" w:eastAsia="Times New Roman" w:hAnsi="Times New Roman"/>
                <w:color w:val="231F20"/>
                <w:sz w:val="20"/>
                <w:szCs w:val="20"/>
                <w:lang w:eastAsia="sk-SK"/>
              </w:rPr>
            </w:pPr>
            <w:r>
              <w:rPr>
                <w:rFonts w:ascii="Times New Roman" w:eastAsia="Times New Roman" w:hAnsi="Times New Roman"/>
                <w:color w:val="231F20"/>
                <w:sz w:val="20"/>
                <w:szCs w:val="20"/>
                <w:lang w:eastAsia="sk-SK"/>
              </w:rPr>
              <w:t xml:space="preserve">(1) </w:t>
            </w:r>
            <w:r w:rsidRPr="00BF05AB">
              <w:rPr>
                <w:rFonts w:ascii="Times New Roman" w:eastAsia="Times New Roman" w:hAnsi="Times New Roman"/>
                <w:color w:val="231F20"/>
                <w:sz w:val="20"/>
                <w:szCs w:val="20"/>
                <w:lang w:eastAsia="sk-SK"/>
              </w:rPr>
              <w:t xml:space="preserve">Na účely ustanovenia požiadaviek pre lodné palivá sa rozumie </w:t>
            </w:r>
          </w:p>
          <w:p w:rsidR="00EA0A90" w:rsidRPr="00AF4B99" w:rsidP="00EA0A90">
            <w:pPr>
              <w:keepNext/>
              <w:spacing w:before="60" w:after="60"/>
              <w:jc w:val="both"/>
              <w:rPr>
                <w:color w:val="231F20"/>
                <w:sz w:val="20"/>
                <w:lang w:eastAsia="sk-SK"/>
              </w:rPr>
            </w:pPr>
            <w:r w:rsidRPr="00AF4B99">
              <w:rPr>
                <w:color w:val="231F20"/>
                <w:sz w:val="20"/>
                <w:lang w:eastAsia="sk-SK"/>
              </w:rPr>
              <w:t xml:space="preserve">b) </w:t>
            </w:r>
            <w:r w:rsidRPr="00C14D39">
              <w:rPr>
                <w:color w:val="231F20"/>
                <w:sz w:val="20"/>
                <w:lang w:eastAsia="sk-SK"/>
              </w:rPr>
              <w:t>kotviacou loďou  plavidlo, ktoré je bezpečne priviazané alebo zakotvené v prístave členského štátu Európskej únie počas nakladania, vykladania alebo kým slúži na ubytovanie cestujúcich vrátane času, keď neprebiehajú operácie súvisiace s nákladom</w:t>
            </w:r>
            <w:r w:rsidRPr="00AF4B99">
              <w:rPr>
                <w:color w:val="231F20"/>
                <w:sz w:val="20"/>
                <w:lang w:eastAsia="sk-SK"/>
              </w:rPr>
              <w:t>,</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549"/>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Pm</w:t>
            </w:r>
          </w:p>
        </w:tc>
        <w:tc>
          <w:tcPr>
            <w:tcW w:w="4536" w:type="dxa"/>
            <w:tcBorders>
              <w:top w:val="single" w:sz="4" w:space="0" w:color="auto"/>
              <w:bottom w:val="single" w:sz="4" w:space="0" w:color="auto"/>
            </w:tcBorders>
          </w:tcPr>
          <w:p w:rsidR="00EA0A90" w:rsidRPr="00FC39B8" w:rsidP="00EA0A90">
            <w:pPr>
              <w:autoSpaceDE w:val="0"/>
              <w:autoSpaceDN w:val="0"/>
              <w:adjustRightInd w:val="0"/>
              <w:jc w:val="both"/>
              <w:rPr>
                <w:rFonts w:ascii="TimesNewRoman" w:hAnsi="TimesNewRoman" w:cs="TimesNewRoman"/>
                <w:color w:val="231F20"/>
                <w:sz w:val="20"/>
                <w:lang w:eastAsia="sk-SK"/>
              </w:rPr>
            </w:pPr>
            <w:r w:rsidRPr="00FC39B8">
              <w:rPr>
                <w:rFonts w:ascii="TimesNewRoman" w:hAnsi="TimesNewRoman" w:cs="TimesNewRoman"/>
                <w:color w:val="231F20"/>
                <w:sz w:val="20"/>
                <w:lang w:eastAsia="sk-SK"/>
              </w:rPr>
              <w:t xml:space="preserve">m) „uvedenie na trh“ je dodávanie alebo sprístupňovanie lodných palív určených na spaľovanie na palube tretím osobám, odplatne alebo bezodplatne, kdekoľvek v rámci súdnej právomoci členských štátov. Nepatrí sem dodávanie ani sprístupňovanie lodných palív na vývoz v nákladných cisternách lodí; </w:t>
            </w:r>
          </w:p>
        </w:tc>
        <w:tc>
          <w:tcPr>
            <w:tcW w:w="851" w:type="dxa"/>
            <w:tcBorders>
              <w:top w:val="single" w:sz="4" w:space="0" w:color="auto"/>
              <w:bottom w:val="single" w:sz="4" w:space="0" w:color="auto"/>
            </w:tcBorders>
          </w:tcPr>
          <w:p w:rsidR="00EA0A90" w:rsidRPr="00FC39B8" w:rsidP="00EA0A90">
            <w:pPr>
              <w:jc w:val="both"/>
              <w:rPr>
                <w:sz w:val="20"/>
              </w:rPr>
            </w:pPr>
            <w:r w:rsidRPr="00FC39B8">
              <w:rPr>
                <w:sz w:val="20"/>
              </w:rPr>
              <w:t>n.a.</w:t>
            </w:r>
          </w:p>
        </w:tc>
        <w:tc>
          <w:tcPr>
            <w:tcW w:w="850" w:type="dxa"/>
            <w:tcBorders>
              <w:top w:val="single" w:sz="4" w:space="0" w:color="auto"/>
              <w:bottom w:val="single" w:sz="4" w:space="0" w:color="auto"/>
            </w:tcBorders>
          </w:tcPr>
          <w:p w:rsidR="00EA0A90" w:rsidRPr="00FC39B8" w:rsidP="00EA0A90">
            <w:pPr>
              <w:jc w:val="both"/>
              <w:rPr>
                <w:sz w:val="20"/>
              </w:rPr>
            </w:pPr>
          </w:p>
        </w:tc>
        <w:tc>
          <w:tcPr>
            <w:tcW w:w="851" w:type="dxa"/>
            <w:tcBorders>
              <w:top w:val="single" w:sz="4" w:space="0" w:color="auto"/>
              <w:bottom w:val="single" w:sz="4" w:space="0" w:color="auto"/>
            </w:tcBorders>
          </w:tcPr>
          <w:p w:rsidR="00EA0A90" w:rsidRPr="00FC39B8" w:rsidP="00EA0A90">
            <w:pPr>
              <w:pStyle w:val="BodyText21"/>
              <w:spacing w:before="0"/>
            </w:pPr>
          </w:p>
        </w:tc>
        <w:tc>
          <w:tcPr>
            <w:tcW w:w="4961" w:type="dxa"/>
            <w:tcBorders>
              <w:top w:val="single" w:sz="4" w:space="0" w:color="auto"/>
              <w:bottom w:val="single" w:sz="4" w:space="0" w:color="auto"/>
            </w:tcBorders>
          </w:tcPr>
          <w:p w:rsidR="00EA0A90" w:rsidRPr="00FC39B8" w:rsidP="00EA0A90">
            <w:pPr>
              <w:jc w:val="both"/>
              <w:rPr>
                <w:sz w:val="20"/>
              </w:rPr>
            </w:pPr>
          </w:p>
        </w:tc>
        <w:tc>
          <w:tcPr>
            <w:tcW w:w="709" w:type="dxa"/>
            <w:tcBorders>
              <w:top w:val="single" w:sz="4" w:space="0" w:color="auto"/>
              <w:bottom w:val="single" w:sz="4" w:space="0" w:color="auto"/>
            </w:tcBorders>
          </w:tcPr>
          <w:p w:rsidR="00EA0A90" w:rsidRPr="00FC39B8" w:rsidP="00EA0A90">
            <w:pPr>
              <w:jc w:val="both"/>
              <w:rPr>
                <w:sz w:val="20"/>
              </w:rPr>
            </w:pPr>
            <w:r w:rsidRPr="00FC39B8">
              <w:rPr>
                <w:sz w:val="20"/>
              </w:rPr>
              <w:t>n.a.</w:t>
            </w:r>
          </w:p>
        </w:tc>
        <w:tc>
          <w:tcPr>
            <w:tcW w:w="1417" w:type="dxa"/>
            <w:tcBorders>
              <w:top w:val="single" w:sz="4" w:space="0" w:color="auto"/>
              <w:bottom w:val="single" w:sz="4" w:space="0" w:color="auto"/>
            </w:tcBorders>
          </w:tcPr>
          <w:p w:rsidR="00EA0A90" w:rsidRPr="00F77DC4" w:rsidP="00EA0A90">
            <w:pPr>
              <w:jc w:val="both"/>
              <w:rPr>
                <w:sz w:val="20"/>
              </w:rPr>
            </w:pPr>
            <w:r w:rsidRPr="00F77DC4">
              <w:rPr>
                <w:sz w:val="20"/>
              </w:rPr>
              <w:t xml:space="preserve">Definícia nie je predmetom transpozície, nakoľko z definície lodných palív vyplýva, že lodné palivá sú určené pre plavidlá nachádzajúce sa na mori a SR je vnútrozemský štát a nemá morský prístav. </w:t>
            </w:r>
          </w:p>
        </w:tc>
      </w:tr>
      <w:tr w:rsidTr="000B581A">
        <w:tblPrEx>
          <w:tblW w:w="14954" w:type="dxa"/>
          <w:tblLayout w:type="fixed"/>
          <w:tblCellMar>
            <w:left w:w="70" w:type="dxa"/>
            <w:right w:w="70" w:type="dxa"/>
          </w:tblCellMar>
          <w:tblLook w:val="0000"/>
        </w:tblPrEx>
        <w:trPr>
          <w:trHeight w:val="977"/>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Pn</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n) „najvzdialenejšie regióny“ sú francúzske zámorské departementy, Azory, Madeiru a Kanárske ostrovy, ako sú uvedené v článku 299 zmluvy;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P="00EA0A90">
            <w:pPr>
              <w:pStyle w:val="BodyText21"/>
              <w:spacing w:before="0"/>
            </w:pPr>
            <w:r>
              <w:t>§6</w:t>
            </w:r>
          </w:p>
          <w:p w:rsidR="00EA0A90" w:rsidRPr="00D52C0C" w:rsidP="00EA0A90">
            <w:pPr>
              <w:pStyle w:val="BodyText21"/>
              <w:spacing w:before="0"/>
            </w:pPr>
            <w:r>
              <w:t>O8</w:t>
            </w:r>
          </w:p>
          <w:p w:rsidR="00EA0A90" w:rsidRPr="00D52C0C" w:rsidP="00EA0A90">
            <w:pPr>
              <w:pStyle w:val="BodyText21"/>
              <w:spacing w:before="0"/>
            </w:pPr>
            <w:r w:rsidRPr="00D52C0C">
              <w:t>P</w:t>
            </w:r>
            <w:r>
              <w:t>d</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P="00EA0A90">
            <w:pPr>
              <w:tabs>
                <w:tab w:val="left" w:pos="851"/>
              </w:tabs>
              <w:spacing w:after="120"/>
              <w:jc w:val="both"/>
              <w:rPr>
                <w:b/>
                <w:sz w:val="20"/>
                <w:lang w:eastAsia="sk-SK"/>
              </w:rPr>
            </w:pPr>
            <w:r w:rsidRPr="00BF05AB">
              <w:rPr>
                <w:b/>
                <w:sz w:val="20"/>
                <w:lang w:eastAsia="sk-SK"/>
              </w:rPr>
              <w:t>Lodné palivá</w:t>
            </w:r>
          </w:p>
          <w:p w:rsidR="00EA0A90" w:rsidRPr="002F16E5" w:rsidP="00EA0A90">
            <w:pPr>
              <w:pStyle w:val="ListParagraph"/>
              <w:tabs>
                <w:tab w:val="left" w:pos="851"/>
              </w:tabs>
              <w:spacing w:after="120"/>
              <w:ind w:left="0"/>
              <w:jc w:val="both"/>
              <w:rPr>
                <w:b/>
                <w:sz w:val="20"/>
                <w:lang w:eastAsia="sk-SK"/>
              </w:rPr>
            </w:pPr>
            <w:r w:rsidRPr="002F16E5">
              <w:rPr>
                <w:rFonts w:ascii="Times New Roman" w:eastAsia="Times New Roman" w:hAnsi="Times New Roman"/>
                <w:color w:val="231F20"/>
                <w:sz w:val="20"/>
                <w:szCs w:val="20"/>
                <w:lang w:eastAsia="sk-SK"/>
              </w:rPr>
              <w:t xml:space="preserve">(8) Požiadavky na obsah síry v lodných palivách podľa odsekov 3 až 7 sa nevzťahujú </w:t>
            </w:r>
          </w:p>
          <w:p w:rsidR="00EA0A90" w:rsidRPr="003D7B57" w:rsidP="00EA0A90">
            <w:pPr>
              <w:pStyle w:val="ListParagraph"/>
              <w:tabs>
                <w:tab w:val="left" w:pos="851"/>
              </w:tabs>
              <w:spacing w:after="120" w:line="240" w:lineRule="auto"/>
              <w:ind w:left="0"/>
              <w:contextualSpacing w:val="0"/>
              <w:jc w:val="both"/>
            </w:pPr>
            <w:r w:rsidRPr="00570587">
              <w:rPr>
                <w:color w:val="231F20"/>
                <w:sz w:val="20"/>
                <w:lang w:eastAsia="sk-SK"/>
              </w:rPr>
              <w:t xml:space="preserve">d) </w:t>
            </w:r>
            <w:r w:rsidRPr="00EC77D9">
              <w:rPr>
                <w:rFonts w:ascii="Times New Roman" w:eastAsia="Times New Roman" w:hAnsi="Times New Roman"/>
                <w:color w:val="231F20"/>
                <w:sz w:val="20"/>
                <w:szCs w:val="20"/>
                <w:lang w:eastAsia="sk-SK"/>
              </w:rPr>
              <w:t>na lodné palivá používané a uvedené na trh v najvzdialenejších regiónoch Európskej únie za predpokladu, že bude zabezpečené, aby sa v týchto regiónoch dodržiavali normy kvality ovzdušia a  nepoužívali ťažké vykurovacie oleje, ktorých obsah síry presahuje 3 % hmotnosti; najvzdialenejšími regiónmi Európskej únie Guadeloupe,</w:t>
            </w:r>
            <w:r w:rsidRPr="00EC77D9">
              <w:rPr>
                <w:rFonts w:ascii="Times New Roman" w:eastAsia="Times New Roman" w:hAnsi="Times New Roman"/>
                <w:color w:val="231F20"/>
                <w:sz w:val="20"/>
                <w:szCs w:val="20"/>
                <w:lang w:eastAsia="sk-SK"/>
              </w:rPr>
              <w:t xml:space="preserve"> Francúzska Guayana, Martinik, Réunion, Svätý Bartolomej, Svätý Martin, Azory, Madeira a Kanárske ostrovy</w:t>
            </w:r>
            <w:r w:rsidRPr="00570587">
              <w:rPr>
                <w:rFonts w:ascii="Times New Roman" w:hAnsi="Times New Roman"/>
                <w:sz w:val="20"/>
                <w:szCs w:val="20"/>
              </w:rPr>
              <w:t>,</w:t>
            </w:r>
            <w:r>
              <w:rPr>
                <w:rFonts w:ascii="Times New Roman" w:hAnsi="Times New Roman"/>
                <w:sz w:val="20"/>
                <w:szCs w:val="20"/>
                <w:vertAlign w:val="superscript"/>
              </w:rPr>
              <w:t>26</w:t>
            </w:r>
            <w:r w:rsidRPr="00EC77D9">
              <w:rPr>
                <w:rFonts w:ascii="Times New Roman" w:hAnsi="Times New Roman"/>
                <w:sz w:val="20"/>
                <w:szCs w:val="20"/>
              </w:rPr>
              <w:t>)</w:t>
            </w:r>
          </w:p>
          <w:p w:rsidR="00EA0A90" w:rsidP="00EA0A90">
            <w:pPr>
              <w:spacing w:line="240" w:lineRule="atLeast"/>
              <w:ind w:left="-44" w:firstLine="44"/>
              <w:jc w:val="both"/>
            </w:pPr>
            <w:r>
              <w:rPr>
                <w:noProof/>
              </w:rPr>
              <w:pict>
                <v:shape id="_x0000_s1036" type="#_x0000_t32" style="width:58.2pt;height:0;margin-top:5.4pt;margin-left:0.1pt;position:absolute;z-index:251667456" o:connectortype="straight"/>
              </w:pict>
            </w:r>
          </w:p>
          <w:p w:rsidR="00EA0A90" w:rsidRPr="00964863" w:rsidP="00EA0A90">
            <w:pPr>
              <w:pStyle w:val="FootnoteText"/>
              <w:jc w:val="both"/>
              <w:rPr>
                <w:color w:val="231F20"/>
                <w:sz w:val="20"/>
                <w:highlight w:val="yellow"/>
                <w:lang w:eastAsia="sk-SK"/>
              </w:rPr>
            </w:pPr>
            <w:r>
              <w:rPr>
                <w:sz w:val="18"/>
                <w:szCs w:val="18"/>
                <w:vertAlign w:val="superscript"/>
              </w:rPr>
              <w:t>26</w:t>
            </w:r>
            <w:r>
              <w:rPr>
                <w:sz w:val="18"/>
                <w:szCs w:val="18"/>
              </w:rPr>
              <w:t xml:space="preserve">) </w:t>
            </w:r>
            <w:r w:rsidRPr="001D04AB">
              <w:rPr>
                <w:sz w:val="18"/>
                <w:szCs w:val="18"/>
              </w:rPr>
              <w:t>čl. 349 a 355 Zmluvy o fungovaní Európskej únie.</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8C09F7">
        <w:tblPrEx>
          <w:tblW w:w="14954" w:type="dxa"/>
          <w:tblLayout w:type="fixed"/>
          <w:tblCellMar>
            <w:left w:w="70" w:type="dxa"/>
            <w:right w:w="70" w:type="dxa"/>
          </w:tblCellMar>
          <w:tblLook w:val="0000"/>
        </w:tblPrEx>
        <w:trPr>
          <w:trHeight w:val="977"/>
        </w:trPr>
        <w:tc>
          <w:tcPr>
            <w:tcW w:w="779" w:type="dxa"/>
            <w:tcBorders>
              <w:top w:val="single" w:sz="4" w:space="0" w:color="auto"/>
              <w:bottom w:val="single" w:sz="4" w:space="0" w:color="auto"/>
            </w:tcBorders>
          </w:tcPr>
          <w:p w:rsidR="00EA0A90" w:rsidRPr="008C09F7" w:rsidP="00EA0A90">
            <w:pPr>
              <w:jc w:val="both"/>
              <w:rPr>
                <w:sz w:val="20"/>
              </w:rPr>
            </w:pPr>
            <w:r w:rsidRPr="008C09F7">
              <w:rPr>
                <w:sz w:val="20"/>
              </w:rPr>
              <w:t>Č2</w:t>
            </w:r>
          </w:p>
          <w:p w:rsidR="00EA0A90" w:rsidRPr="008C09F7" w:rsidP="00EA0A90">
            <w:pPr>
              <w:jc w:val="both"/>
              <w:rPr>
                <w:sz w:val="20"/>
              </w:rPr>
            </w:pPr>
            <w:r w:rsidRPr="008C09F7">
              <w:rPr>
                <w:sz w:val="20"/>
              </w:rPr>
              <w:t>Po</w:t>
            </w:r>
          </w:p>
        </w:tc>
        <w:tc>
          <w:tcPr>
            <w:tcW w:w="4536" w:type="dxa"/>
            <w:tcBorders>
              <w:top w:val="single" w:sz="4" w:space="0" w:color="auto"/>
              <w:bottom w:val="single" w:sz="4" w:space="0" w:color="auto"/>
            </w:tcBorders>
          </w:tcPr>
          <w:p w:rsidR="00EA0A90" w:rsidRPr="00540616" w:rsidP="00EA0A90">
            <w:pPr>
              <w:autoSpaceDE w:val="0"/>
              <w:autoSpaceDN w:val="0"/>
              <w:adjustRightInd w:val="0"/>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 xml:space="preserve">o) „metóda znižovania emisií“ je akékoľvek zariadenie, materiál, prostriedok alebo prístroj, ktorý sa má umiestniť na loď, alebo iný postup, alternatívne palivo alebo metódu dodržiavania predpisov používané ako alternatíva voči lodným palivám s nízkym obsahom síry, ktoré spĺňajú požiadavky stanovené v tejto smernici, ktorá je overiteľná, kvantifikovateľná a vynútiteľná; </w:t>
            </w:r>
          </w:p>
          <w:p w:rsidR="000A367F" w:rsidRPr="00540616" w:rsidP="00EA0A90">
            <w:pPr>
              <w:autoSpaceDE w:val="0"/>
              <w:autoSpaceDN w:val="0"/>
              <w:adjustRightInd w:val="0"/>
              <w:jc w:val="both"/>
              <w:rPr>
                <w:rFonts w:ascii="TimesNewRoman" w:hAnsi="TimesNewRoman" w:cs="TimesNewRoman"/>
                <w:color w:val="231F20"/>
                <w:sz w:val="20"/>
                <w:lang w:eastAsia="sk-SK"/>
              </w:rPr>
            </w:pPr>
          </w:p>
        </w:tc>
        <w:tc>
          <w:tcPr>
            <w:tcW w:w="851" w:type="dxa"/>
            <w:tcBorders>
              <w:top w:val="single" w:sz="4" w:space="0" w:color="auto"/>
              <w:bottom w:val="single" w:sz="4" w:space="0" w:color="auto"/>
            </w:tcBorders>
            <w:shd w:val="clear" w:color="auto" w:fill="auto"/>
          </w:tcPr>
          <w:p w:rsidR="00EA0A90" w:rsidRPr="00540616" w:rsidP="00EA0A90">
            <w:pPr>
              <w:jc w:val="both"/>
              <w:rPr>
                <w:sz w:val="20"/>
              </w:rPr>
            </w:pPr>
            <w:r w:rsidRPr="00540616">
              <w:rPr>
                <w:sz w:val="20"/>
              </w:rPr>
              <w:t>N</w:t>
            </w:r>
          </w:p>
        </w:tc>
        <w:tc>
          <w:tcPr>
            <w:tcW w:w="850" w:type="dxa"/>
            <w:tcBorders>
              <w:top w:val="single" w:sz="4" w:space="0" w:color="auto"/>
              <w:bottom w:val="single" w:sz="4" w:space="0" w:color="auto"/>
            </w:tcBorders>
            <w:shd w:val="clear" w:color="auto" w:fill="auto"/>
          </w:tcPr>
          <w:p w:rsidR="00EA0A90" w:rsidRPr="00540616" w:rsidP="00EA0A90">
            <w:pPr>
              <w:jc w:val="both"/>
              <w:rPr>
                <w:sz w:val="20"/>
              </w:rPr>
            </w:pPr>
            <w:r w:rsidRPr="00540616">
              <w:rPr>
                <w:sz w:val="20"/>
              </w:rPr>
              <w:t>NV</w:t>
            </w:r>
          </w:p>
        </w:tc>
        <w:tc>
          <w:tcPr>
            <w:tcW w:w="851" w:type="dxa"/>
            <w:tcBorders>
              <w:top w:val="single" w:sz="4" w:space="0" w:color="auto"/>
              <w:bottom w:val="single" w:sz="4" w:space="0" w:color="auto"/>
            </w:tcBorders>
            <w:shd w:val="clear" w:color="auto" w:fill="auto"/>
          </w:tcPr>
          <w:p w:rsidR="00EA0A90" w:rsidRPr="00540616" w:rsidP="00EA0A90">
            <w:pPr>
              <w:pStyle w:val="BodyText21"/>
              <w:spacing w:before="0"/>
            </w:pPr>
            <w:r w:rsidRPr="00540616">
              <w:t>§6</w:t>
            </w:r>
          </w:p>
          <w:p w:rsidR="00EA0A90" w:rsidRPr="00540616" w:rsidP="00EA0A90">
            <w:pPr>
              <w:pStyle w:val="BodyText21"/>
              <w:spacing w:before="0"/>
            </w:pPr>
            <w:r w:rsidRPr="00540616">
              <w:t>O1</w:t>
            </w:r>
          </w:p>
          <w:p w:rsidR="00EA0A90" w:rsidRPr="00540616" w:rsidP="00EA0A90">
            <w:pPr>
              <w:pStyle w:val="BodyText21"/>
              <w:spacing w:before="0"/>
            </w:pPr>
            <w:r w:rsidRPr="00540616">
              <w:t>Pd</w:t>
            </w:r>
          </w:p>
        </w:tc>
        <w:tc>
          <w:tcPr>
            <w:tcW w:w="4961" w:type="dxa"/>
            <w:tcBorders>
              <w:top w:val="single" w:sz="4" w:space="0" w:color="auto"/>
              <w:bottom w:val="single" w:sz="4" w:space="0" w:color="auto"/>
            </w:tcBorders>
            <w:shd w:val="clear" w:color="auto" w:fill="auto"/>
          </w:tcPr>
          <w:p w:rsidR="00EA0A90" w:rsidRPr="00540616" w:rsidP="00EA0A90">
            <w:pPr>
              <w:tabs>
                <w:tab w:val="left" w:pos="851"/>
              </w:tabs>
              <w:spacing w:after="120"/>
              <w:jc w:val="both"/>
              <w:rPr>
                <w:b/>
                <w:sz w:val="20"/>
                <w:lang w:eastAsia="sk-SK"/>
              </w:rPr>
            </w:pPr>
            <w:r w:rsidRPr="00540616">
              <w:rPr>
                <w:b/>
                <w:sz w:val="20"/>
                <w:lang w:eastAsia="sk-SK"/>
              </w:rPr>
              <w:t>§ 6</w:t>
            </w:r>
          </w:p>
          <w:p w:rsidR="00EA0A90" w:rsidRPr="00540616" w:rsidP="00EA0A90">
            <w:pPr>
              <w:tabs>
                <w:tab w:val="left" w:pos="851"/>
              </w:tabs>
              <w:spacing w:after="120"/>
              <w:jc w:val="both"/>
              <w:rPr>
                <w:b/>
                <w:sz w:val="20"/>
                <w:lang w:eastAsia="sk-SK"/>
              </w:rPr>
            </w:pPr>
            <w:r w:rsidRPr="00540616">
              <w:rPr>
                <w:b/>
                <w:sz w:val="20"/>
                <w:lang w:eastAsia="sk-SK"/>
              </w:rPr>
              <w:t>Lodné palivá</w:t>
            </w:r>
          </w:p>
          <w:p w:rsidR="00EA0A90" w:rsidRPr="00540616" w:rsidP="00EA0A90">
            <w:pPr>
              <w:pStyle w:val="ListParagraph"/>
              <w:tabs>
                <w:tab w:val="left" w:pos="1276"/>
              </w:tabs>
              <w:spacing w:after="120"/>
              <w:ind w:left="0"/>
              <w:jc w:val="both"/>
              <w:rPr>
                <w:rFonts w:ascii="Times New Roman" w:eastAsia="Times New Roman" w:hAnsi="Times New Roman"/>
                <w:color w:val="231F20"/>
                <w:sz w:val="20"/>
                <w:szCs w:val="20"/>
                <w:lang w:eastAsia="sk-SK"/>
              </w:rPr>
            </w:pPr>
            <w:r w:rsidRPr="00540616">
              <w:rPr>
                <w:rFonts w:ascii="Times New Roman" w:eastAsia="Times New Roman" w:hAnsi="Times New Roman"/>
                <w:color w:val="231F20"/>
                <w:sz w:val="20"/>
                <w:szCs w:val="20"/>
                <w:lang w:eastAsia="sk-SK"/>
              </w:rPr>
              <w:t xml:space="preserve">(1) Na účely ustanovenia požiadaviek pre lodné palivá sa rozumie </w:t>
            </w:r>
          </w:p>
          <w:p w:rsidR="00EA0A90" w:rsidRPr="00540616" w:rsidP="00EA0A90">
            <w:pPr>
              <w:keepNext/>
              <w:spacing w:before="60" w:after="60"/>
              <w:jc w:val="both"/>
              <w:rPr>
                <w:color w:val="231F20"/>
                <w:sz w:val="20"/>
                <w:lang w:eastAsia="sk-SK"/>
              </w:rPr>
            </w:pPr>
            <w:r w:rsidRPr="00540616">
              <w:rPr>
                <w:color w:val="231F20"/>
                <w:sz w:val="20"/>
                <w:lang w:eastAsia="sk-SK"/>
              </w:rPr>
              <w:t xml:space="preserve">d) metódou znižovania emisií </w:t>
            </w:r>
            <w:r w:rsidRPr="00540616">
              <w:rPr>
                <w:rFonts w:hint="eastAsia"/>
                <w:color w:val="231F20"/>
                <w:sz w:val="20"/>
                <w:lang w:eastAsia="sk-SK"/>
              </w:rPr>
              <w:t>zariadenie, materi</w:t>
            </w:r>
            <w:r w:rsidRPr="00540616">
              <w:rPr>
                <w:rFonts w:hint="eastAsia"/>
                <w:color w:val="231F20"/>
                <w:sz w:val="20"/>
                <w:lang w:eastAsia="sk-SK"/>
              </w:rPr>
              <w:t>á</w:t>
            </w:r>
            <w:r w:rsidRPr="00540616">
              <w:rPr>
                <w:rFonts w:hint="eastAsia"/>
                <w:color w:val="231F20"/>
                <w:sz w:val="20"/>
                <w:lang w:eastAsia="sk-SK"/>
              </w:rPr>
              <w:t>l, prostriedok alebo pr</w:t>
            </w:r>
            <w:r w:rsidRPr="00540616">
              <w:rPr>
                <w:rFonts w:hint="eastAsia"/>
                <w:color w:val="231F20"/>
                <w:sz w:val="20"/>
                <w:lang w:eastAsia="sk-SK"/>
              </w:rPr>
              <w:t>í</w:t>
            </w:r>
            <w:r w:rsidRPr="00540616">
              <w:rPr>
                <w:rFonts w:hint="eastAsia"/>
                <w:color w:val="231F20"/>
                <w:sz w:val="20"/>
                <w:lang w:eastAsia="sk-SK"/>
              </w:rPr>
              <w:t xml:space="preserve">stroj, </w:t>
            </w:r>
            <w:r w:rsidRPr="00540616">
              <w:rPr>
                <w:color w:val="231F20"/>
                <w:sz w:val="20"/>
                <w:lang w:eastAsia="sk-SK"/>
              </w:rPr>
              <w:t>ktorý sa má umiestniť na loď</w:t>
            </w:r>
            <w:r w:rsidRPr="00540616">
              <w:rPr>
                <w:rFonts w:hint="eastAsia"/>
                <w:color w:val="231F20"/>
                <w:sz w:val="20"/>
                <w:lang w:eastAsia="sk-SK"/>
              </w:rPr>
              <w:t>, alebo in</w:t>
            </w:r>
            <w:r w:rsidRPr="00540616">
              <w:rPr>
                <w:rFonts w:hint="eastAsia"/>
                <w:color w:val="231F20"/>
                <w:sz w:val="20"/>
                <w:lang w:eastAsia="sk-SK"/>
              </w:rPr>
              <w:t>ý</w:t>
            </w:r>
            <w:r w:rsidRPr="00540616">
              <w:rPr>
                <w:rFonts w:hint="eastAsia"/>
                <w:color w:val="231F20"/>
                <w:sz w:val="20"/>
                <w:lang w:eastAsia="sk-SK"/>
              </w:rPr>
              <w:t xml:space="preserve"> po</w:t>
            </w:r>
            <w:r w:rsidRPr="00540616">
              <w:rPr>
                <w:rFonts w:hint="eastAsia"/>
                <w:color w:val="231F20"/>
                <w:sz w:val="20"/>
                <w:lang w:eastAsia="sk-SK"/>
              </w:rPr>
              <w:t>stup, alternat</w:t>
            </w:r>
            <w:r w:rsidRPr="00540616">
              <w:rPr>
                <w:rFonts w:hint="eastAsia"/>
                <w:color w:val="231F20"/>
                <w:sz w:val="20"/>
                <w:lang w:eastAsia="sk-SK"/>
              </w:rPr>
              <w:t>í</w:t>
            </w:r>
            <w:r w:rsidRPr="00540616">
              <w:rPr>
                <w:rFonts w:hint="eastAsia"/>
                <w:color w:val="231F20"/>
                <w:sz w:val="20"/>
                <w:lang w:eastAsia="sk-SK"/>
              </w:rPr>
              <w:t xml:space="preserve">vne </w:t>
            </w:r>
            <w:r w:rsidRPr="00540616">
              <w:rPr>
                <w:color w:val="231F20"/>
                <w:sz w:val="20"/>
                <w:lang w:eastAsia="sk-SK"/>
              </w:rPr>
              <w:t xml:space="preserve">lodné </w:t>
            </w:r>
            <w:r w:rsidRPr="00540616">
              <w:rPr>
                <w:rFonts w:hint="eastAsia"/>
                <w:color w:val="231F20"/>
                <w:sz w:val="20"/>
                <w:lang w:eastAsia="sk-SK"/>
              </w:rPr>
              <w:t>palivo alebo met</w:t>
            </w:r>
            <w:r w:rsidRPr="00540616">
              <w:rPr>
                <w:rFonts w:hint="eastAsia"/>
                <w:color w:val="231F20"/>
                <w:sz w:val="20"/>
                <w:lang w:eastAsia="sk-SK"/>
              </w:rPr>
              <w:t>ó</w:t>
            </w:r>
            <w:r w:rsidRPr="00540616">
              <w:rPr>
                <w:rFonts w:hint="eastAsia"/>
                <w:color w:val="231F20"/>
                <w:sz w:val="20"/>
                <w:lang w:eastAsia="sk-SK"/>
              </w:rPr>
              <w:t>d</w:t>
            </w:r>
            <w:r w:rsidRPr="00540616">
              <w:rPr>
                <w:color w:val="231F20"/>
                <w:sz w:val="20"/>
                <w:lang w:eastAsia="sk-SK"/>
              </w:rPr>
              <w:t>a</w:t>
            </w:r>
            <w:r w:rsidRPr="00540616">
              <w:rPr>
                <w:rFonts w:hint="eastAsia"/>
                <w:color w:val="231F20"/>
                <w:sz w:val="20"/>
                <w:lang w:eastAsia="sk-SK"/>
              </w:rPr>
              <w:t xml:space="preserve"> dodr</w:t>
            </w:r>
            <w:r w:rsidRPr="00540616">
              <w:rPr>
                <w:rFonts w:hint="eastAsia"/>
                <w:color w:val="231F20"/>
                <w:sz w:val="20"/>
                <w:lang w:eastAsia="sk-SK"/>
              </w:rPr>
              <w:t>ž</w:t>
            </w:r>
            <w:r w:rsidRPr="00540616">
              <w:rPr>
                <w:rFonts w:hint="eastAsia"/>
                <w:color w:val="231F20"/>
                <w:sz w:val="20"/>
                <w:lang w:eastAsia="sk-SK"/>
              </w:rPr>
              <w:t>iavania predpisov pou</w:t>
            </w:r>
            <w:r w:rsidRPr="00540616">
              <w:rPr>
                <w:rFonts w:hint="eastAsia"/>
                <w:color w:val="231F20"/>
                <w:sz w:val="20"/>
                <w:lang w:eastAsia="sk-SK"/>
              </w:rPr>
              <w:t>ží</w:t>
            </w:r>
            <w:r w:rsidRPr="00540616">
              <w:rPr>
                <w:rFonts w:hint="eastAsia"/>
                <w:color w:val="231F20"/>
                <w:sz w:val="20"/>
                <w:lang w:eastAsia="sk-SK"/>
              </w:rPr>
              <w:t>van</w:t>
            </w:r>
            <w:r w:rsidRPr="00540616">
              <w:rPr>
                <w:rFonts w:hint="eastAsia"/>
                <w:color w:val="231F20"/>
                <w:sz w:val="20"/>
                <w:lang w:eastAsia="sk-SK"/>
              </w:rPr>
              <w:t>é</w:t>
            </w:r>
            <w:r w:rsidRPr="00540616">
              <w:rPr>
                <w:rFonts w:hint="eastAsia"/>
                <w:color w:val="231F20"/>
                <w:sz w:val="20"/>
                <w:lang w:eastAsia="sk-SK"/>
              </w:rPr>
              <w:t xml:space="preserve"> ako alternat</w:t>
            </w:r>
            <w:r w:rsidRPr="00540616">
              <w:rPr>
                <w:rFonts w:hint="eastAsia"/>
                <w:color w:val="231F20"/>
                <w:sz w:val="20"/>
                <w:lang w:eastAsia="sk-SK"/>
              </w:rPr>
              <w:t>í</w:t>
            </w:r>
            <w:r w:rsidRPr="00540616">
              <w:rPr>
                <w:rFonts w:hint="eastAsia"/>
                <w:color w:val="231F20"/>
                <w:sz w:val="20"/>
                <w:lang w:eastAsia="sk-SK"/>
              </w:rPr>
              <w:t>va vo</w:t>
            </w:r>
            <w:r w:rsidRPr="00540616">
              <w:rPr>
                <w:rFonts w:hint="eastAsia"/>
                <w:color w:val="231F20"/>
                <w:sz w:val="20"/>
                <w:lang w:eastAsia="sk-SK"/>
              </w:rPr>
              <w:t>č</w:t>
            </w:r>
            <w:r w:rsidRPr="00540616">
              <w:rPr>
                <w:rFonts w:hint="eastAsia"/>
                <w:color w:val="231F20"/>
                <w:sz w:val="20"/>
                <w:lang w:eastAsia="sk-SK"/>
              </w:rPr>
              <w:t>i lodn</w:t>
            </w:r>
            <w:r w:rsidRPr="00540616">
              <w:rPr>
                <w:rFonts w:hint="eastAsia"/>
                <w:color w:val="231F20"/>
                <w:sz w:val="20"/>
                <w:lang w:eastAsia="sk-SK"/>
              </w:rPr>
              <w:t>ý</w:t>
            </w:r>
            <w:r w:rsidRPr="00540616">
              <w:rPr>
                <w:rFonts w:hint="eastAsia"/>
                <w:color w:val="231F20"/>
                <w:sz w:val="20"/>
                <w:lang w:eastAsia="sk-SK"/>
              </w:rPr>
              <w:t>m paliv</w:t>
            </w:r>
            <w:r w:rsidRPr="00540616">
              <w:rPr>
                <w:rFonts w:hint="eastAsia"/>
                <w:color w:val="231F20"/>
                <w:sz w:val="20"/>
                <w:lang w:eastAsia="sk-SK"/>
              </w:rPr>
              <w:t>á</w:t>
            </w:r>
            <w:r w:rsidRPr="00540616">
              <w:rPr>
                <w:rFonts w:hint="eastAsia"/>
                <w:color w:val="231F20"/>
                <w:sz w:val="20"/>
                <w:lang w:eastAsia="sk-SK"/>
              </w:rPr>
              <w:t>m s n</w:t>
            </w:r>
            <w:r w:rsidRPr="00540616">
              <w:rPr>
                <w:rFonts w:hint="eastAsia"/>
                <w:color w:val="231F20"/>
                <w:sz w:val="20"/>
                <w:lang w:eastAsia="sk-SK"/>
              </w:rPr>
              <w:t>í</w:t>
            </w:r>
            <w:r w:rsidRPr="00540616">
              <w:rPr>
                <w:rFonts w:hint="eastAsia"/>
                <w:color w:val="231F20"/>
                <w:sz w:val="20"/>
                <w:lang w:eastAsia="sk-SK"/>
              </w:rPr>
              <w:t>zkym obsahom s</w:t>
            </w:r>
            <w:r w:rsidRPr="00540616">
              <w:rPr>
                <w:rFonts w:hint="eastAsia"/>
                <w:color w:val="231F20"/>
                <w:sz w:val="20"/>
                <w:lang w:eastAsia="sk-SK"/>
              </w:rPr>
              <w:t>í</w:t>
            </w:r>
            <w:r w:rsidRPr="00540616">
              <w:rPr>
                <w:rFonts w:hint="eastAsia"/>
                <w:color w:val="231F20"/>
                <w:sz w:val="20"/>
                <w:lang w:eastAsia="sk-SK"/>
              </w:rPr>
              <w:t>ry, ktor</w:t>
            </w:r>
            <w:r w:rsidRPr="00540616">
              <w:rPr>
                <w:rFonts w:hint="eastAsia"/>
                <w:color w:val="231F20"/>
                <w:sz w:val="20"/>
                <w:lang w:eastAsia="sk-SK"/>
              </w:rPr>
              <w:t>é</w:t>
            </w:r>
            <w:r w:rsidRPr="00540616">
              <w:rPr>
                <w:rFonts w:hint="eastAsia"/>
                <w:color w:val="231F20"/>
                <w:sz w:val="20"/>
                <w:lang w:eastAsia="sk-SK"/>
              </w:rPr>
              <w:t xml:space="preserve"> sp</w:t>
            </w:r>
            <w:r w:rsidRPr="00540616">
              <w:rPr>
                <w:rFonts w:hint="eastAsia"/>
                <w:color w:val="231F20"/>
                <w:sz w:val="20"/>
                <w:lang w:eastAsia="sk-SK"/>
              </w:rPr>
              <w:t>ĺň</w:t>
            </w:r>
            <w:r w:rsidRPr="00540616">
              <w:rPr>
                <w:rFonts w:hint="eastAsia"/>
                <w:color w:val="231F20"/>
                <w:sz w:val="20"/>
                <w:lang w:eastAsia="sk-SK"/>
              </w:rPr>
              <w:t>aj</w:t>
            </w:r>
            <w:r w:rsidRPr="00540616">
              <w:rPr>
                <w:rFonts w:hint="eastAsia"/>
                <w:color w:val="231F20"/>
                <w:sz w:val="20"/>
                <w:lang w:eastAsia="sk-SK"/>
              </w:rPr>
              <w:t>ú</w:t>
            </w:r>
            <w:r w:rsidRPr="00540616">
              <w:rPr>
                <w:rFonts w:hint="eastAsia"/>
                <w:color w:val="231F20"/>
                <w:sz w:val="20"/>
                <w:lang w:eastAsia="sk-SK"/>
              </w:rPr>
              <w:t xml:space="preserve"> po</w:t>
            </w:r>
            <w:r w:rsidRPr="00540616">
              <w:rPr>
                <w:rFonts w:hint="eastAsia"/>
                <w:color w:val="231F20"/>
                <w:sz w:val="20"/>
                <w:lang w:eastAsia="sk-SK"/>
              </w:rPr>
              <w:t>ž</w:t>
            </w:r>
            <w:r w:rsidRPr="00540616">
              <w:rPr>
                <w:rFonts w:hint="eastAsia"/>
                <w:color w:val="231F20"/>
                <w:sz w:val="20"/>
                <w:lang w:eastAsia="sk-SK"/>
              </w:rPr>
              <w:t xml:space="preserve">iadavky </w:t>
            </w:r>
            <w:r w:rsidRPr="00540616">
              <w:rPr>
                <w:color w:val="231F20"/>
                <w:sz w:val="20"/>
                <w:lang w:eastAsia="sk-SK"/>
              </w:rPr>
              <w:t>uvedené v prílohe č. 3.</w:t>
            </w:r>
          </w:p>
          <w:p w:rsidR="00EA0A90" w:rsidRPr="00540616" w:rsidP="00EA0A90">
            <w:pPr>
              <w:jc w:val="both"/>
              <w:rPr>
                <w:color w:val="231F20"/>
                <w:sz w:val="20"/>
                <w:lang w:eastAsia="sk-SK"/>
              </w:rPr>
            </w:pPr>
          </w:p>
        </w:tc>
        <w:tc>
          <w:tcPr>
            <w:tcW w:w="709" w:type="dxa"/>
            <w:tcBorders>
              <w:top w:val="single" w:sz="4" w:space="0" w:color="auto"/>
              <w:bottom w:val="single" w:sz="4" w:space="0" w:color="auto"/>
            </w:tcBorders>
            <w:shd w:val="clear" w:color="auto" w:fill="auto"/>
          </w:tcPr>
          <w:p w:rsidR="00EA0A90" w:rsidRPr="00540616" w:rsidP="00EA0A90">
            <w:pPr>
              <w:jc w:val="both"/>
              <w:rPr>
                <w:sz w:val="20"/>
              </w:rPr>
            </w:pPr>
            <w:r w:rsidRPr="00540616">
              <w:rPr>
                <w:sz w:val="20"/>
              </w:rPr>
              <w:t>Ú</w:t>
            </w:r>
          </w:p>
        </w:tc>
        <w:tc>
          <w:tcPr>
            <w:tcW w:w="1417" w:type="dxa"/>
            <w:tcBorders>
              <w:top w:val="single" w:sz="4" w:space="0" w:color="auto"/>
              <w:bottom w:val="single" w:sz="4" w:space="0" w:color="auto"/>
            </w:tcBorders>
          </w:tcPr>
          <w:p w:rsidR="00EE4919" w:rsidRPr="00540616" w:rsidP="00EA0A90">
            <w:pPr>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Transpozícia časti definície odvolávajúcej sa na overiteľnosť, kvantifikovateľnosť a vynútiteľnosť metódy znižovania emisií</w:t>
            </w:r>
            <w:r w:rsidRPr="00540616" w:rsidR="008C09F7">
              <w:rPr>
                <w:rFonts w:ascii="TimesNewRoman" w:hAnsi="TimesNewRoman" w:cs="TimesNewRoman"/>
                <w:color w:val="231F20"/>
                <w:sz w:val="20"/>
                <w:lang w:eastAsia="sk-SK"/>
              </w:rPr>
              <w:t xml:space="preserve"> lodných palív</w:t>
            </w:r>
            <w:r w:rsidRPr="00540616">
              <w:rPr>
                <w:rFonts w:ascii="TimesNewRoman" w:hAnsi="TimesNewRoman" w:cs="TimesNewRoman"/>
                <w:color w:val="231F20"/>
                <w:sz w:val="20"/>
                <w:lang w:eastAsia="sk-SK"/>
              </w:rPr>
              <w:t xml:space="preserve"> nie</w:t>
            </w:r>
          </w:p>
          <w:p w:rsidR="00EA0A90" w:rsidRPr="00540616" w:rsidP="00EA0A90">
            <w:pPr>
              <w:jc w:val="both"/>
              <w:rPr>
                <w:rFonts w:ascii="TimesNewRoman" w:hAnsi="TimesNewRoman" w:cs="TimesNewRoman"/>
                <w:color w:val="231F20"/>
                <w:sz w:val="20"/>
                <w:lang w:eastAsia="sk-SK"/>
              </w:rPr>
            </w:pPr>
            <w:r w:rsidRPr="00540616" w:rsidR="00EE4919">
              <w:rPr>
                <w:rFonts w:ascii="TimesNewRoman" w:hAnsi="TimesNewRoman" w:cs="TimesNewRoman"/>
                <w:color w:val="231F20"/>
                <w:sz w:val="20"/>
                <w:lang w:eastAsia="sk-SK"/>
              </w:rPr>
              <w:t>je predmetom transpozície, nakoľko z definície lodných palív vyplýva, že lodné palivá sú určené pre plavidlá nachádzajúce sa na mori a SR je vnútrozemský štát a nemá morský prístav.</w:t>
            </w:r>
          </w:p>
        </w:tc>
      </w:tr>
      <w:tr w:rsidTr="000B581A">
        <w:tblPrEx>
          <w:tblW w:w="14954" w:type="dxa"/>
          <w:tblLayout w:type="fixed"/>
          <w:tblCellMar>
            <w:left w:w="70" w:type="dxa"/>
            <w:right w:w="70" w:type="dxa"/>
          </w:tblCellMar>
          <w:tblLook w:val="0000"/>
        </w:tblPrEx>
        <w:trPr>
          <w:trHeight w:val="1275"/>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Pp</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p) „postup ASTM“ sú metódy určené Americkou spoločnosťou pre skúšanie a materiály v zbierke normovaných definícií a technických predpisoví pre ropné výrobky a mazivá z roku 1976;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jc w:val="both"/>
              <w:rPr>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2A693E">
        <w:tblPrEx>
          <w:tblW w:w="14954" w:type="dxa"/>
          <w:tblLayout w:type="fixed"/>
          <w:tblCellMar>
            <w:left w:w="70" w:type="dxa"/>
            <w:right w:w="70" w:type="dxa"/>
          </w:tblCellMar>
          <w:tblLook w:val="0000"/>
        </w:tblPrEx>
        <w:trPr>
          <w:trHeight w:val="2106"/>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w:t>
            </w:r>
          </w:p>
          <w:p w:rsidR="00EA0A90" w:rsidRPr="00D52C0C" w:rsidP="00EA0A90">
            <w:pPr>
              <w:jc w:val="both"/>
              <w:rPr>
                <w:sz w:val="20"/>
              </w:rPr>
            </w:pPr>
            <w:r w:rsidRPr="00D52C0C">
              <w:rPr>
                <w:sz w:val="20"/>
              </w:rPr>
              <w:t>Pq</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q) „spaľovacie zariadenie“ je každé technické zariadenie, v ktorom prebieha spaľovanie palív s cieľom využitia vzniknutého tepla.</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lang w:eastAsia="sk-SK"/>
              </w:rPr>
              <w:t>NZ</w:t>
            </w:r>
          </w:p>
        </w:tc>
        <w:tc>
          <w:tcPr>
            <w:tcW w:w="851" w:type="dxa"/>
            <w:tcBorders>
              <w:top w:val="single" w:sz="4" w:space="0" w:color="auto"/>
              <w:bottom w:val="single" w:sz="4" w:space="0" w:color="auto"/>
            </w:tcBorders>
          </w:tcPr>
          <w:p w:rsidR="00EA0A90" w:rsidRPr="00D52C0C" w:rsidP="00EA0A90">
            <w:pPr>
              <w:pStyle w:val="BodyText21"/>
              <w:spacing w:before="0"/>
            </w:pPr>
            <w:r w:rsidRPr="00D52C0C">
              <w:t>§20</w:t>
            </w:r>
          </w:p>
          <w:p w:rsidR="00EA0A90" w:rsidRPr="00D52C0C" w:rsidP="00EA0A90">
            <w:pPr>
              <w:pStyle w:val="BodyText21"/>
              <w:spacing w:before="0"/>
            </w:pPr>
            <w:r w:rsidRPr="00D52C0C">
              <w:t>O</w:t>
            </w:r>
            <w:r>
              <w:t>6</w:t>
            </w:r>
          </w:p>
        </w:tc>
        <w:tc>
          <w:tcPr>
            <w:tcW w:w="4961" w:type="dxa"/>
            <w:tcBorders>
              <w:top w:val="single" w:sz="4" w:space="0" w:color="auto"/>
              <w:bottom w:val="single" w:sz="4" w:space="0" w:color="auto"/>
            </w:tcBorders>
          </w:tcPr>
          <w:p w:rsidR="00852643" w:rsidRPr="002A693E" w:rsidP="00852643">
            <w:pPr>
              <w:pStyle w:val="Paragrafyzkona"/>
              <w:spacing w:before="0" w:after="120" w:line="240" w:lineRule="auto"/>
              <w:jc w:val="left"/>
              <w:rPr>
                <w:sz w:val="20"/>
                <w:szCs w:val="20"/>
              </w:rPr>
            </w:pPr>
            <w:r w:rsidRPr="002A693E">
              <w:rPr>
                <w:sz w:val="20"/>
                <w:szCs w:val="20"/>
              </w:rPr>
              <w:t>§ 20</w:t>
            </w:r>
          </w:p>
          <w:p w:rsidR="00852643" w:rsidP="00852643">
            <w:pPr>
              <w:spacing w:after="360"/>
              <w:rPr>
                <w:b/>
                <w:sz w:val="20"/>
                <w:lang w:eastAsia="sk-SK"/>
              </w:rPr>
            </w:pPr>
            <w:r w:rsidRPr="002A693E">
              <w:rPr>
                <w:b/>
                <w:sz w:val="20"/>
                <w:lang w:eastAsia="sk-SK"/>
              </w:rPr>
              <w:t>Stacionárne zdroje a ich zariadenia</w:t>
            </w:r>
          </w:p>
          <w:p w:rsidR="00EA0A90" w:rsidRPr="00AF6DEA" w:rsidP="00852643">
            <w:pPr>
              <w:spacing w:after="360"/>
              <w:rPr>
                <w:color w:val="231F20"/>
                <w:sz w:val="20"/>
                <w:lang w:eastAsia="sk-SK"/>
              </w:rPr>
            </w:pPr>
            <w:r w:rsidR="00852643">
              <w:rPr>
                <w:color w:val="231F20"/>
                <w:sz w:val="20"/>
                <w:lang w:eastAsia="sk-SK"/>
              </w:rPr>
              <w:t>(6</w:t>
            </w:r>
            <w:r w:rsidRPr="00AF6DEA" w:rsidR="00852643">
              <w:rPr>
                <w:color w:val="231F20"/>
                <w:sz w:val="20"/>
                <w:lang w:eastAsia="sk-SK"/>
              </w:rPr>
              <w:t xml:space="preserve">) </w:t>
            </w:r>
            <w:r w:rsidRPr="006A73BC" w:rsidR="00852643">
              <w:rPr>
                <w:color w:val="231F20"/>
                <w:sz w:val="20"/>
                <w:lang w:eastAsia="sk-SK"/>
              </w:rPr>
              <w:t>Spaľovacie zariadenie je technickým zariadením, ktoré slúži na oxidáciu palív na účely využitia takto vzniknutého tepla; ak sa spaľuje odpad</w:t>
            </w:r>
            <w:r w:rsidR="00852643">
              <w:rPr>
                <w:color w:val="231F20"/>
                <w:sz w:val="20"/>
                <w:lang w:eastAsia="sk-SK"/>
              </w:rPr>
              <w:t>,</w:t>
            </w:r>
            <w:r w:rsidRPr="006A73BC" w:rsidR="00852643">
              <w:rPr>
                <w:color w:val="231F20"/>
                <w:sz w:val="20"/>
                <w:lang w:eastAsia="sk-SK"/>
              </w:rPr>
              <w:t xml:space="preserve"> ide o zaradenie podľa odsekov </w:t>
            </w:r>
            <w:r w:rsidR="00852643">
              <w:rPr>
                <w:color w:val="231F20"/>
                <w:sz w:val="20"/>
                <w:lang w:eastAsia="sk-SK"/>
              </w:rPr>
              <w:t>8 alebo 9</w:t>
            </w:r>
            <w:r w:rsidRPr="00AF6DEA" w:rsidR="00852643">
              <w:rPr>
                <w:color w:val="231F20"/>
                <w:sz w:val="20"/>
                <w:lang w:eastAsia="sk-SK"/>
              </w:rPr>
              <w:t>.</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913"/>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Č3</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Článok 3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Maximálny obsah síry v ťažkom vykurovacom oleji</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1. Členské štáty zabezpečia, aby sa na ich území nepoužívali ťažké vykurovacie oleje, ak majú obsah síry vyšší než 1 % hm</w:t>
            </w:r>
            <w:r w:rsidRPr="00D52C0C">
              <w:rPr>
                <w:rFonts w:ascii="TimesNewRoman" w:hAnsi="TimesNewRoman" w:cs="TimesNewRoman"/>
                <w:color w:val="231F20"/>
                <w:sz w:val="20"/>
                <w:lang w:eastAsia="sk-SK"/>
              </w:rPr>
              <w:t xml:space="preserve">otnosti.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p w:rsidR="00EA0A90" w:rsidRPr="00D52C0C" w:rsidP="00EA0A90">
            <w:pPr>
              <w:jc w:val="both"/>
              <w:rPr>
                <w:sz w:val="20"/>
              </w:rPr>
            </w:pP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rsidRPr="00D52C0C">
              <w:t>§4</w:t>
            </w:r>
          </w:p>
          <w:p w:rsidR="00EA0A90" w:rsidRPr="00D52C0C" w:rsidP="00EA0A90">
            <w:pPr>
              <w:pStyle w:val="BodyText21"/>
              <w:spacing w:before="0"/>
            </w:pPr>
            <w:r>
              <w:t>O2</w:t>
            </w:r>
          </w:p>
        </w:tc>
        <w:tc>
          <w:tcPr>
            <w:tcW w:w="4961" w:type="dxa"/>
            <w:tcBorders>
              <w:top w:val="single" w:sz="4" w:space="0" w:color="auto"/>
              <w:bottom w:val="single" w:sz="4" w:space="0" w:color="auto"/>
            </w:tcBorders>
          </w:tcPr>
          <w:p w:rsidR="00EA0A90" w:rsidRPr="002F756F" w:rsidP="00EA0A90">
            <w:pPr>
              <w:tabs>
                <w:tab w:val="left" w:pos="851"/>
              </w:tabs>
              <w:spacing w:after="120"/>
              <w:rPr>
                <w:b/>
                <w:sz w:val="20"/>
                <w:lang w:eastAsia="sk-SK"/>
              </w:rPr>
            </w:pPr>
            <w:r w:rsidRPr="002F756F">
              <w:rPr>
                <w:b/>
                <w:sz w:val="20"/>
                <w:lang w:eastAsia="sk-SK"/>
              </w:rPr>
              <w:t>§ 4</w:t>
            </w:r>
          </w:p>
          <w:p w:rsidR="00EA0A90" w:rsidRPr="002F756F" w:rsidP="00EA0A90">
            <w:pPr>
              <w:tabs>
                <w:tab w:val="left" w:pos="851"/>
              </w:tabs>
              <w:spacing w:after="120"/>
              <w:rPr>
                <w:b/>
                <w:sz w:val="20"/>
                <w:lang w:eastAsia="sk-SK"/>
              </w:rPr>
            </w:pPr>
            <w:r w:rsidRPr="002F756F">
              <w:rPr>
                <w:b/>
                <w:sz w:val="20"/>
                <w:lang w:eastAsia="sk-SK"/>
              </w:rPr>
              <w:t>Vykurovacie oleje</w:t>
            </w:r>
          </w:p>
          <w:p w:rsidR="00EA0A90" w:rsidRPr="00B04DE8" w:rsidP="00EA0A90">
            <w:pPr>
              <w:pStyle w:val="odsek1"/>
              <w:rPr>
                <w:rFonts w:ascii="TimesNewRoman" w:hAnsi="TimesNewRoman" w:cs="TimesNewRoman"/>
              </w:rPr>
            </w:pPr>
            <w:r>
              <w:rPr>
                <w:rFonts w:ascii="TimesNewRoman" w:hAnsi="TimesNewRoman" w:cs="TimesNewRoman"/>
              </w:rPr>
              <w:t>(2</w:t>
            </w:r>
            <w:r w:rsidRPr="00B04DE8">
              <w:rPr>
                <w:rFonts w:ascii="TimesNewRoman" w:hAnsi="TimesNewRoman" w:cs="TimesNewRoman"/>
              </w:rPr>
              <w:t xml:space="preserve">) </w:t>
            </w:r>
            <w:r w:rsidRPr="00B04DE8">
              <w:t>Ťažký vykurovací olej nesmie obsahovať viac síry ako 1 % hmotnosti, okrem výnimky podľa odseku 3.</w:t>
            </w:r>
          </w:p>
          <w:p w:rsidR="00EA0A90" w:rsidRPr="00B04DE8" w:rsidP="00EA0A90">
            <w:pPr>
              <w:rPr>
                <w:rFonts w:ascii="TimesNewRoman" w:hAnsi="TimesNewRoman" w:cs="TimesNewRoman"/>
                <w:color w:val="231F20"/>
                <w:sz w:val="20"/>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rPr>
                <w:sz w:val="20"/>
              </w:rPr>
            </w:pPr>
          </w:p>
        </w:tc>
      </w:tr>
      <w:tr w:rsidTr="000B581A">
        <w:tblPrEx>
          <w:tblW w:w="14954" w:type="dxa"/>
          <w:tblLayout w:type="fixed"/>
          <w:tblCellMar>
            <w:left w:w="70" w:type="dxa"/>
            <w:right w:w="70" w:type="dxa"/>
          </w:tblCellMar>
          <w:tblLook w:val="0000"/>
        </w:tblPrEx>
        <w:trPr>
          <w:trHeight w:val="416"/>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Č3</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2. Do 31. decembra 2015, s výhradou vhodného monitorovania emisií príslušnými orgánmi, sa odsek 1 nevzťahuje na ťažké vykurovacie oleje použité: </w:t>
            </w:r>
          </w:p>
          <w:p w:rsidR="00EA0A90" w:rsidRPr="00567B01"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 v spaľovacích zariadeniach, ktoré patria do rozsahu pôsobnosti smernice Európskeho parlamentu a Rady 2001/80/ES z 23. októbra 2001 o obmedzení emisií určitých znečisťujúcich látok do ovzdušia z veľkých spaľovacích zariadení </w:t>
            </w:r>
            <w:r w:rsidRPr="00D52C0C">
              <w:rPr>
                <w:rFonts w:ascii="TimesNewRoman" w:hAnsi="TimesNewRoman" w:cs="TimesNewRoman"/>
                <w:color w:val="231F20"/>
                <w:sz w:val="20"/>
                <w:szCs w:val="20"/>
                <w:vertAlign w:val="superscript"/>
              </w:rPr>
              <w:t>( 1 )</w:t>
            </w:r>
            <w:r w:rsidRPr="00D52C0C">
              <w:rPr>
                <w:rFonts w:ascii="TimesNewRoman" w:hAnsi="TimesNewRoman" w:cs="TimesNewRoman"/>
                <w:color w:val="231F20"/>
                <w:sz w:val="20"/>
                <w:szCs w:val="20"/>
              </w:rPr>
              <w:t xml:space="preserve">, na ktoré sa vzťahuje článok 4 ods. 1 alebo 2 alebo článok 4 ods. 3 písm. a) uvedenej smernice a ktoré spĺňajú emisné limity pre oxid siričitý stanovené pre takéto zariadenia v uvedenej </w:t>
            </w:r>
            <w:r w:rsidRPr="00567B01">
              <w:rPr>
                <w:rFonts w:ascii="TimesNewRoman" w:hAnsi="TimesNewRoman" w:cs="TimesNewRoman"/>
                <w:color w:val="231F20"/>
                <w:sz w:val="20"/>
                <w:szCs w:val="20"/>
              </w:rPr>
              <w:t xml:space="preserve">smernici; </w:t>
            </w:r>
          </w:p>
          <w:p w:rsidR="00EA0A90" w:rsidP="00EA0A90">
            <w:pPr>
              <w:pStyle w:val="CM4"/>
              <w:spacing w:before="60" w:after="60"/>
              <w:jc w:val="both"/>
              <w:rPr>
                <w:rFonts w:ascii="TimesNewRoman" w:hAnsi="TimesNewRoman" w:cs="TimesNewRoman"/>
                <w:color w:val="231F20"/>
                <w:sz w:val="20"/>
                <w:szCs w:val="20"/>
              </w:rPr>
            </w:pPr>
            <w:r w:rsidRPr="00567B01">
              <w:rPr>
                <w:rFonts w:ascii="TimesNewRoman" w:hAnsi="TimesNewRoman" w:cs="TimesNewRoman"/>
                <w:color w:val="231F20"/>
                <w:sz w:val="20"/>
                <w:szCs w:val="20"/>
              </w:rPr>
              <w:t>b) v spaľovacích zariadeniach, ktoré patria do rozsahu pôsobnosti smernice 2001/80/ES, na ktoré sa vzťahuje článok 4 ods. 3 písm. b) a článok 4 ods. 6 uvedenej smernice a ktorých mesačný priemer emisií oxidu siričitého nepresahuje 1 700 mg/Nm</w:t>
            </w:r>
            <w:r w:rsidRPr="00567B01">
              <w:rPr>
                <w:rFonts w:ascii="TimesNewRoman" w:hAnsi="TimesNewRoman" w:cs="TimesNewRoman"/>
                <w:color w:val="231F20"/>
                <w:sz w:val="20"/>
                <w:szCs w:val="20"/>
                <w:vertAlign w:val="superscript"/>
              </w:rPr>
              <w:t>3</w:t>
            </w:r>
            <w:r w:rsidRPr="00567B01">
              <w:rPr>
                <w:rFonts w:ascii="TimesNewRoman" w:hAnsi="TimesNewRoman" w:cs="TimesNewRoman"/>
                <w:color w:val="231F20"/>
                <w:sz w:val="20"/>
                <w:szCs w:val="20"/>
              </w:rPr>
              <w:t xml:space="preserve"> pri obsahu kyslíka v spalinách 3 % objemu na su</w:t>
            </w:r>
            <w:r w:rsidRPr="00567B01">
              <w:rPr>
                <w:rFonts w:ascii="TimesNewRoman" w:hAnsi="TimesNewRoman" w:cs="TimesNewRoman"/>
                <w:color w:val="231F20"/>
                <w:sz w:val="20"/>
                <w:szCs w:val="20"/>
              </w:rPr>
              <w:t>chý plyn;</w:t>
            </w:r>
            <w:r w:rsidRPr="00D52C0C">
              <w:rPr>
                <w:rFonts w:ascii="TimesNewRoman" w:hAnsi="TimesNewRoman" w:cs="TimesNewRoman"/>
                <w:color w:val="231F20"/>
                <w:sz w:val="20"/>
                <w:szCs w:val="20"/>
              </w:rPr>
              <w:t xml:space="preserve">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c) v spaľovacích zariadeniach, na ktoré sa nevzťahujú písmená a) alebo b) a ktorých mesačný priemer emisií oxidu siričitého nepresahuje 1 700 mg/Nm</w:t>
            </w:r>
            <w:r w:rsidRPr="00D52C0C">
              <w:rPr>
                <w:rFonts w:ascii="TimesNewRoman" w:hAnsi="TimesNewRoman" w:cs="TimesNewRoman"/>
                <w:color w:val="231F20"/>
                <w:sz w:val="20"/>
                <w:szCs w:val="20"/>
                <w:vertAlign w:val="superscript"/>
              </w:rPr>
              <w:t>3</w:t>
            </w:r>
            <w:r w:rsidRPr="00D52C0C">
              <w:rPr>
                <w:rFonts w:ascii="TimesNewRoman" w:hAnsi="TimesNewRoman" w:cs="TimesNewRoman"/>
                <w:color w:val="231F20"/>
                <w:sz w:val="20"/>
                <w:szCs w:val="20"/>
              </w:rPr>
              <w:t xml:space="preserve"> pri obsahu kyslíka v spalinách 3 % objemu na suchý plyn; </w:t>
            </w:r>
          </w:p>
          <w:p w:rsidR="00EA0A90" w:rsidRPr="00D52C0C" w:rsidP="00EA0A90">
            <w:pPr>
              <w:rPr>
                <w:lang w:eastAsia="sk-SK"/>
              </w:rPr>
            </w:pPr>
          </w:p>
          <w:p w:rsidR="00EA0A90" w:rsidRPr="00D52C0C" w:rsidP="00EA0A90">
            <w:pPr>
              <w:rPr>
                <w:lang w:eastAsia="sk-SK"/>
              </w:rPr>
            </w:pPr>
          </w:p>
          <w:p w:rsidR="00EA0A90" w:rsidP="00EA0A90">
            <w:pPr>
              <w:rPr>
                <w:lang w:eastAsia="sk-SK"/>
              </w:rPr>
            </w:pPr>
          </w:p>
          <w:p w:rsidR="00EA0A90" w:rsidRPr="00D52C0C" w:rsidP="00EA0A90">
            <w:pPr>
              <w:rPr>
                <w:lang w:eastAsia="sk-SK"/>
              </w:rPr>
            </w:pP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d) pri spaľovaní v rafinériách, kde mesačný priemer emisií oxidu siričitého, spriemerovaný pre všetky spaľovacie zariadenia v rafinérii bez ohľadu na typ použitého paliva alebo použitej kombinácie palív, ale s výnimkou zariadení, na ktoré sa vzťahujú písmená a) a b), plynových turbín a ply</w:t>
            </w:r>
            <w:r w:rsidRPr="00D52C0C">
              <w:rPr>
                <w:rFonts w:ascii="TimesNewRoman" w:hAnsi="TimesNewRoman" w:cs="TimesNewRoman"/>
                <w:color w:val="231F20"/>
                <w:sz w:val="20"/>
                <w:lang w:eastAsia="sk-SK"/>
              </w:rPr>
              <w:t>nových motorov, nepresahuje 1 700 mg/Nm</w:t>
            </w:r>
            <w:r w:rsidRPr="00D52C0C">
              <w:rPr>
                <w:rFonts w:ascii="TimesNewRoman" w:hAnsi="TimesNewRoman" w:cs="TimesNewRoman"/>
                <w:color w:val="231F20"/>
                <w:sz w:val="20"/>
                <w:vertAlign w:val="superscript"/>
                <w:lang w:eastAsia="sk-SK"/>
              </w:rPr>
              <w:t>3</w:t>
            </w:r>
            <w:r w:rsidRPr="00D52C0C">
              <w:rPr>
                <w:rFonts w:ascii="TimesNewRoman" w:hAnsi="TimesNewRoman" w:cs="TimesNewRoman"/>
                <w:color w:val="231F20"/>
                <w:sz w:val="20"/>
                <w:lang w:eastAsia="sk-SK"/>
              </w:rPr>
              <w:t xml:space="preserve"> pri obsahu kyslíka v spalinách 3 % objemu na suchý plyn.</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P="00EA0A90">
            <w:pPr>
              <w:jc w:val="both"/>
              <w:rPr>
                <w:sz w:val="20"/>
              </w:rPr>
            </w:pPr>
          </w:p>
          <w:p w:rsidR="00EA0A90" w:rsidRPr="00D52C0C"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RPr="00D52C0C" w:rsidP="00EA0A90">
            <w:pPr>
              <w:jc w:val="both"/>
              <w:rPr>
                <w:sz w:val="20"/>
              </w:rPr>
            </w:pP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P="00EA0A90">
            <w:pPr>
              <w:jc w:val="both"/>
              <w:rPr>
                <w:sz w:val="20"/>
              </w:rPr>
            </w:pPr>
          </w:p>
          <w:p w:rsidR="00EA0A90" w:rsidP="00EA0A90">
            <w:pPr>
              <w:jc w:val="both"/>
              <w:rPr>
                <w:sz w:val="20"/>
              </w:rPr>
            </w:pPr>
          </w:p>
          <w:p w:rsidR="00EA0A90" w:rsidRPr="00D52C0C" w:rsidP="00EA0A90">
            <w:pPr>
              <w:jc w:val="both"/>
              <w:rPr>
                <w:sz w:val="20"/>
              </w:rPr>
            </w:pPr>
          </w:p>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r>
              <w:t>§4</w:t>
            </w:r>
          </w:p>
          <w:p w:rsidR="00EA0A90" w:rsidP="00EA0A90">
            <w:pPr>
              <w:pStyle w:val="BodyText21"/>
              <w:spacing w:before="0"/>
            </w:pPr>
            <w:r>
              <w:t>O3</w:t>
            </w: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Pa</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t xml:space="preserve"> Pb</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t>Pc</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tc>
        <w:tc>
          <w:tcPr>
            <w:tcW w:w="4961" w:type="dxa"/>
            <w:tcBorders>
              <w:top w:val="single" w:sz="4" w:space="0" w:color="auto"/>
              <w:bottom w:val="single" w:sz="4" w:space="0" w:color="auto"/>
            </w:tcBorders>
          </w:tcPr>
          <w:p w:rsidR="00EA0A90" w:rsidRPr="002F756F" w:rsidP="00EA0A90">
            <w:pPr>
              <w:tabs>
                <w:tab w:val="left" w:pos="851"/>
              </w:tabs>
              <w:spacing w:after="120"/>
              <w:rPr>
                <w:b/>
                <w:sz w:val="20"/>
                <w:lang w:eastAsia="sk-SK"/>
              </w:rPr>
            </w:pPr>
            <w:r w:rsidRPr="002F756F">
              <w:rPr>
                <w:b/>
                <w:sz w:val="20"/>
                <w:lang w:eastAsia="sk-SK"/>
              </w:rPr>
              <w:t>§ 4</w:t>
            </w:r>
          </w:p>
          <w:p w:rsidR="00EA0A90" w:rsidRPr="002F756F" w:rsidP="00EA0A90">
            <w:pPr>
              <w:tabs>
                <w:tab w:val="left" w:pos="851"/>
              </w:tabs>
              <w:spacing w:after="120"/>
              <w:rPr>
                <w:b/>
                <w:sz w:val="20"/>
                <w:lang w:eastAsia="sk-SK"/>
              </w:rPr>
            </w:pPr>
            <w:r w:rsidRPr="002F756F">
              <w:rPr>
                <w:b/>
                <w:sz w:val="20"/>
                <w:lang w:eastAsia="sk-SK"/>
              </w:rPr>
              <w:t>Vykurovacie oleje</w:t>
            </w:r>
          </w:p>
          <w:p w:rsidR="00EA0A90" w:rsidRPr="008B4AA3" w:rsidP="00EA0A90">
            <w:pPr>
              <w:tabs>
                <w:tab w:val="left" w:pos="851"/>
              </w:tabs>
              <w:spacing w:after="120" w:line="276" w:lineRule="auto"/>
              <w:jc w:val="both"/>
              <w:rPr>
                <w:rFonts w:eastAsia="Calibri"/>
                <w:sz w:val="20"/>
                <w:lang w:eastAsia="en-US"/>
              </w:rPr>
            </w:pPr>
            <w:r w:rsidRPr="00B04DE8">
              <w:rPr>
                <w:color w:val="231F20"/>
                <w:sz w:val="20"/>
                <w:lang w:eastAsia="sk-SK"/>
              </w:rPr>
              <w:t xml:space="preserve">(3) Ťažký vykurovací olej môže mať obsah síry viac ako 1 %, najviac však 3 % hmotnosti, ak je určený na </w:t>
            </w:r>
            <w:r w:rsidRPr="008B4AA3">
              <w:rPr>
                <w:rFonts w:eastAsia="Calibri"/>
                <w:sz w:val="20"/>
                <w:lang w:eastAsia="en-US"/>
              </w:rPr>
              <w:t xml:space="preserve">spaľovanie v technologickom celku, ktorým je  </w:t>
            </w:r>
          </w:p>
          <w:p w:rsidR="00EA0A90" w:rsidP="00EA0A90">
            <w:pPr>
              <w:pStyle w:val="ListParagraph"/>
              <w:tabs>
                <w:tab w:val="left" w:pos="851"/>
              </w:tabs>
              <w:spacing w:after="120"/>
              <w:ind w:left="0"/>
              <w:jc w:val="both"/>
              <w:rPr>
                <w:rFonts w:ascii="Times New Roman" w:hAnsi="Times New Roman"/>
                <w:sz w:val="20"/>
                <w:szCs w:val="20"/>
              </w:rPr>
            </w:pPr>
            <w:r w:rsidRPr="008B4AA3">
              <w:rPr>
                <w:rFonts w:ascii="Times New Roman" w:hAnsi="Times New Roman"/>
                <w:sz w:val="20"/>
                <w:szCs w:val="20"/>
              </w:rPr>
              <w:t>a) veľké spaľovacie zariadenie, ktoré uplatňuje emisný limit pre oxid siričitý podľa osobitného predpisu,</w:t>
            </w:r>
            <w:r w:rsidRPr="008B4AA3">
              <w:rPr>
                <w:rFonts w:ascii="Times New Roman" w:hAnsi="Times New Roman"/>
                <w:sz w:val="20"/>
                <w:szCs w:val="20"/>
                <w:vertAlign w:val="superscript"/>
              </w:rPr>
              <w:t>19</w:t>
            </w:r>
            <w:r>
              <w:rPr>
                <w:rFonts w:ascii="Times New Roman" w:hAnsi="Times New Roman"/>
                <w:sz w:val="20"/>
                <w:szCs w:val="20"/>
              </w:rPr>
              <w:t>)</w:t>
            </w:r>
            <w:r w:rsidRPr="008B4AA3">
              <w:rPr>
                <w:rFonts w:ascii="Times New Roman" w:hAnsi="Times New Roman"/>
                <w:sz w:val="20"/>
                <w:szCs w:val="20"/>
              </w:rPr>
              <w:t xml:space="preserve"> alebo v prípade, keď sa v súlade s osobitným predpisom neuplatňujú ustanovené hodnoty emisných limitov, ktorých priemerná mesačná hodnota emisií oxidu siričitého neprekročí hodnotu 1 700 mg/m</w:t>
            </w:r>
            <w:r w:rsidRPr="008B4AA3">
              <w:rPr>
                <w:rFonts w:ascii="Times New Roman" w:hAnsi="Times New Roman"/>
                <w:sz w:val="20"/>
                <w:szCs w:val="20"/>
                <w:vertAlign w:val="superscript"/>
              </w:rPr>
              <w:t>3</w:t>
            </w:r>
            <w:r w:rsidRPr="008B4AA3">
              <w:rPr>
                <w:rFonts w:ascii="Times New Roman" w:hAnsi="Times New Roman"/>
                <w:sz w:val="20"/>
                <w:szCs w:val="20"/>
              </w:rPr>
              <w:t xml:space="preserve"> po prepočte na štandardné stavové podmienky, suchý plyn a referenčný obsah kyslíka 3 % objemu</w:t>
            </w:r>
            <w:r w:rsidRPr="00B04DE8">
              <w:rPr>
                <w:rFonts w:ascii="Times New Roman" w:hAnsi="Times New Roman"/>
                <w:sz w:val="20"/>
                <w:szCs w:val="20"/>
              </w:rPr>
              <w:t>,</w:t>
            </w:r>
          </w:p>
          <w:p w:rsidR="00567B01" w:rsidP="00EA0A90">
            <w:pPr>
              <w:pStyle w:val="ListParagraph"/>
              <w:tabs>
                <w:tab w:val="left" w:pos="851"/>
              </w:tabs>
              <w:spacing w:after="120"/>
              <w:ind w:left="0"/>
              <w:jc w:val="both"/>
              <w:rPr>
                <w:rFonts w:ascii="Times New Roman" w:hAnsi="Times New Roman"/>
                <w:sz w:val="20"/>
                <w:szCs w:val="20"/>
              </w:rPr>
            </w:pPr>
          </w:p>
          <w:p w:rsidR="00567B01" w:rsidP="00EA0A90">
            <w:pPr>
              <w:pStyle w:val="ListParagraph"/>
              <w:tabs>
                <w:tab w:val="left" w:pos="851"/>
              </w:tabs>
              <w:spacing w:after="120"/>
              <w:ind w:left="0"/>
              <w:jc w:val="both"/>
              <w:rPr>
                <w:rFonts w:ascii="Times New Roman" w:hAnsi="Times New Roman"/>
                <w:sz w:val="20"/>
                <w:szCs w:val="20"/>
              </w:rPr>
            </w:pPr>
          </w:p>
          <w:p w:rsidR="00EA0A90" w:rsidP="00EA0A90">
            <w:pPr>
              <w:pStyle w:val="ListParagraph"/>
              <w:tabs>
                <w:tab w:val="left" w:pos="851"/>
              </w:tabs>
              <w:spacing w:after="120"/>
              <w:ind w:left="0"/>
              <w:jc w:val="both"/>
              <w:rPr>
                <w:rFonts w:ascii="Times New Roman" w:hAnsi="Times New Roman"/>
                <w:sz w:val="20"/>
                <w:szCs w:val="20"/>
              </w:rPr>
            </w:pPr>
            <w:r w:rsidRPr="008B4AA3">
              <w:rPr>
                <w:rFonts w:ascii="Times New Roman" w:hAnsi="Times New Roman"/>
                <w:sz w:val="20"/>
                <w:szCs w:val="20"/>
              </w:rPr>
              <w:t>b) iné spaľovacie zariadenie ako uvedené v písmene a), ktoré uplatňuje emisný limit pre oxid siričitý podľa osobitného predpisu,</w:t>
            </w:r>
            <w:r w:rsidRPr="008B4AA3">
              <w:rPr>
                <w:rFonts w:ascii="Times New Roman" w:hAnsi="Times New Roman"/>
                <w:sz w:val="20"/>
                <w:szCs w:val="20"/>
                <w:vertAlign w:val="superscript"/>
              </w:rPr>
              <w:t>20</w:t>
            </w:r>
            <w:r w:rsidRPr="008B4AA3">
              <w:rPr>
                <w:rFonts w:ascii="Times New Roman" w:hAnsi="Times New Roman"/>
                <w:sz w:val="20"/>
                <w:szCs w:val="20"/>
              </w:rPr>
              <w:t>) ktorých priemerná mesačná hodnota emisií oxidu siričitého neprekročí hodnotu 1 700 mg/m</w:t>
            </w:r>
            <w:r w:rsidRPr="008B4AA3">
              <w:rPr>
                <w:rFonts w:ascii="Times New Roman" w:hAnsi="Times New Roman"/>
                <w:sz w:val="20"/>
                <w:szCs w:val="20"/>
                <w:vertAlign w:val="superscript"/>
              </w:rPr>
              <w:t>3</w:t>
            </w:r>
            <w:r w:rsidRPr="008B4AA3">
              <w:rPr>
                <w:rFonts w:ascii="Times New Roman" w:hAnsi="Times New Roman"/>
                <w:sz w:val="20"/>
                <w:szCs w:val="20"/>
              </w:rPr>
              <w:t xml:space="preserve"> po prepočte na štandardné stavové podmienky, suchý plyn a referenčný obsah kyslíka 3 % objemu</w:t>
            </w:r>
            <w:r>
              <w:rPr>
                <w:rFonts w:ascii="Times New Roman" w:hAnsi="Times New Roman"/>
                <w:sz w:val="20"/>
                <w:szCs w:val="20"/>
              </w:rPr>
              <w:t>,</w:t>
            </w:r>
          </w:p>
          <w:p w:rsidR="00EA0A90" w:rsidP="00EA0A90">
            <w:pPr>
              <w:pStyle w:val="ListParagraph"/>
              <w:tabs>
                <w:tab w:val="left" w:pos="851"/>
              </w:tabs>
              <w:spacing w:after="120"/>
              <w:ind w:left="0"/>
              <w:jc w:val="both"/>
              <w:rPr>
                <w:rFonts w:ascii="Times New Roman" w:hAnsi="Times New Roman"/>
                <w:sz w:val="20"/>
                <w:szCs w:val="20"/>
              </w:rPr>
            </w:pPr>
          </w:p>
          <w:p w:rsidR="00EA0A90" w:rsidP="00EA0A90">
            <w:pPr>
              <w:pStyle w:val="ListParagraph"/>
              <w:tabs>
                <w:tab w:val="left" w:pos="851"/>
              </w:tabs>
              <w:spacing w:after="120"/>
              <w:ind w:left="0"/>
              <w:jc w:val="both"/>
              <w:rPr>
                <w:rFonts w:ascii="Times New Roman" w:hAnsi="Times New Roman"/>
                <w:sz w:val="20"/>
                <w:szCs w:val="20"/>
              </w:rPr>
            </w:pPr>
            <w:r w:rsidRPr="00B02CC0">
              <w:rPr>
                <w:rFonts w:ascii="Times New Roman" w:hAnsi="Times New Roman"/>
              </w:rPr>
              <w:t>c</w:t>
            </w:r>
            <w:r w:rsidRPr="00B02CC0">
              <w:rPr>
                <w:rFonts w:ascii="Times New Roman" w:hAnsi="Times New Roman"/>
                <w:sz w:val="20"/>
                <w:szCs w:val="20"/>
              </w:rPr>
              <w:t>) zariadenie</w:t>
            </w:r>
            <w:r w:rsidRPr="008B4AA3">
              <w:rPr>
                <w:rFonts w:ascii="Times New Roman" w:hAnsi="Times New Roman"/>
                <w:sz w:val="20"/>
                <w:szCs w:val="20"/>
              </w:rPr>
              <w:t xml:space="preserve"> v rafinérii, ktoré uplatňuje emisný limit pre oxid siričitý podľa osobitného predpisu,</w:t>
            </w:r>
            <w:r w:rsidRPr="008B4AA3">
              <w:rPr>
                <w:rFonts w:ascii="Times New Roman" w:hAnsi="Times New Roman"/>
                <w:sz w:val="20"/>
                <w:szCs w:val="20"/>
                <w:vertAlign w:val="superscript"/>
              </w:rPr>
              <w:t>21</w:t>
            </w:r>
            <w:r>
              <w:rPr>
                <w:rFonts w:ascii="Times New Roman" w:hAnsi="Times New Roman"/>
                <w:sz w:val="20"/>
                <w:szCs w:val="20"/>
              </w:rPr>
              <w:t>)</w:t>
            </w:r>
            <w:r w:rsidRPr="008B4AA3">
              <w:rPr>
                <w:rFonts w:ascii="Times New Roman" w:hAnsi="Times New Roman"/>
                <w:sz w:val="20"/>
                <w:szCs w:val="20"/>
              </w:rPr>
              <w:t xml:space="preserve"> ktorých priemerná mesačná hodnota emisií oxidu siričitého zo všetkých zariadení rafinérie, okrem zariadení podľa písmena a), plynových turbín a plynových motorov, bez ohľadu na druh paliva alebo kombináciu palív, neprekročí hodnotu 1 700 mg/m</w:t>
            </w:r>
            <w:r w:rsidRPr="008B4AA3">
              <w:rPr>
                <w:rFonts w:ascii="Times New Roman" w:hAnsi="Times New Roman"/>
                <w:sz w:val="20"/>
                <w:szCs w:val="20"/>
                <w:vertAlign w:val="superscript"/>
              </w:rPr>
              <w:t>3</w:t>
            </w:r>
            <w:r w:rsidRPr="008B4AA3">
              <w:rPr>
                <w:rFonts w:ascii="Times New Roman" w:hAnsi="Times New Roman"/>
                <w:sz w:val="20"/>
                <w:szCs w:val="20"/>
              </w:rPr>
              <w:t xml:space="preserve"> po prepočte na štandardné stavové podmienky, suchý plyn a referenčný obsah kyslíka 3 % objemu</w:t>
            </w:r>
            <w:r>
              <w:rPr>
                <w:rFonts w:ascii="Times New Roman" w:hAnsi="Times New Roman"/>
                <w:sz w:val="20"/>
                <w:szCs w:val="20"/>
              </w:rPr>
              <w:t>.</w:t>
            </w:r>
            <w:r w:rsidRPr="00B04DE8">
              <w:rPr>
                <w:rFonts w:ascii="Times New Roman" w:hAnsi="Times New Roman"/>
                <w:sz w:val="20"/>
                <w:szCs w:val="20"/>
              </w:rPr>
              <w:t xml:space="preserve"> </w:t>
            </w:r>
          </w:p>
          <w:p w:rsidR="00EA0A90" w:rsidP="00EA0A90">
            <w:pPr>
              <w:spacing w:line="240" w:lineRule="atLeast"/>
              <w:ind w:left="-44" w:firstLine="44"/>
              <w:jc w:val="both"/>
            </w:pPr>
            <w:r>
              <w:rPr>
                <w:noProof/>
              </w:rPr>
              <w:pict>
                <v:shape id="_x0000_s1037" type="#_x0000_t32" style="width:58.2pt;height:0;margin-top:5.4pt;margin-left:0.1pt;position:absolute;z-index:251668480" o:connectortype="straight"/>
              </w:pict>
            </w:r>
          </w:p>
          <w:p w:rsidR="00EA0A90" w:rsidP="00EA0A90">
            <w:pPr>
              <w:pStyle w:val="ListParagraph"/>
              <w:tabs>
                <w:tab w:val="left" w:pos="851"/>
              </w:tabs>
              <w:spacing w:after="120" w:line="240" w:lineRule="auto"/>
              <w:ind w:left="0"/>
              <w:jc w:val="both"/>
              <w:rPr>
                <w:rFonts w:ascii="Times New Roman" w:eastAsia="Times New Roman" w:hAnsi="Times New Roman"/>
                <w:sz w:val="18"/>
                <w:szCs w:val="18"/>
                <w:lang w:eastAsia="cs-CZ"/>
              </w:rPr>
            </w:pPr>
            <w:r>
              <w:rPr>
                <w:sz w:val="18"/>
                <w:szCs w:val="18"/>
                <w:vertAlign w:val="superscript"/>
              </w:rPr>
              <w:t>19</w:t>
            </w:r>
            <w:r>
              <w:rPr>
                <w:sz w:val="18"/>
                <w:szCs w:val="18"/>
              </w:rPr>
              <w:t>)</w:t>
            </w:r>
            <w:r>
              <w:rPr>
                <w:sz w:val="18"/>
                <w:szCs w:val="18"/>
              </w:rPr>
              <w:t xml:space="preserve"> </w:t>
            </w:r>
            <w:r w:rsidRPr="002172DB">
              <w:rPr>
                <w:rFonts w:ascii="Times New Roman" w:eastAsia="Times New Roman" w:hAnsi="Times New Roman"/>
                <w:sz w:val="18"/>
                <w:szCs w:val="18"/>
                <w:lang w:eastAsia="cs-CZ"/>
              </w:rPr>
              <w:t>Vyhláška Ministerstva životného prostredia Slovenskej republiky č. ... /2022 Z. z. o požiadavkách na stacionárne zdroje.</w:t>
            </w:r>
          </w:p>
          <w:p w:rsidR="00EA0A90" w:rsidP="00EA0A90">
            <w:pPr>
              <w:pStyle w:val="ListParagraph"/>
              <w:tabs>
                <w:tab w:val="left" w:pos="851"/>
              </w:tabs>
              <w:spacing w:after="120" w:line="240" w:lineRule="auto"/>
              <w:ind w:left="0"/>
              <w:jc w:val="both"/>
              <w:rPr>
                <w:rFonts w:ascii="Times New Roman" w:eastAsia="Times New Roman" w:hAnsi="Times New Roman"/>
                <w:sz w:val="18"/>
                <w:szCs w:val="18"/>
                <w:lang w:eastAsia="cs-CZ"/>
              </w:rPr>
            </w:pPr>
            <w:r>
              <w:rPr>
                <w:sz w:val="18"/>
                <w:szCs w:val="18"/>
                <w:vertAlign w:val="superscript"/>
              </w:rPr>
              <w:t>20</w:t>
            </w:r>
            <w:r>
              <w:rPr>
                <w:sz w:val="18"/>
                <w:szCs w:val="18"/>
              </w:rPr>
              <w:t xml:space="preserve">) </w:t>
            </w:r>
            <w:r w:rsidRPr="002172DB">
              <w:rPr>
                <w:rFonts w:ascii="Times New Roman" w:eastAsia="Times New Roman" w:hAnsi="Times New Roman"/>
                <w:sz w:val="18"/>
                <w:szCs w:val="18"/>
                <w:lang w:eastAsia="cs-CZ"/>
              </w:rPr>
              <w:t>Vyhláška Ministerstva životného prostredia Slovenskej republiky č. ... /2022 Z. z. o požiadavkách na stacionárne zdroje</w:t>
            </w:r>
            <w:r>
              <w:rPr>
                <w:rFonts w:ascii="Times New Roman" w:eastAsia="Times New Roman" w:hAnsi="Times New Roman"/>
                <w:sz w:val="18"/>
                <w:szCs w:val="18"/>
                <w:lang w:eastAsia="cs-CZ"/>
              </w:rPr>
              <w:t>.</w:t>
            </w:r>
          </w:p>
          <w:p w:rsidR="00EA0A90" w:rsidRPr="00B04DE8" w:rsidP="00EA0A90">
            <w:pPr>
              <w:pStyle w:val="ListParagraph"/>
              <w:tabs>
                <w:tab w:val="left" w:pos="851"/>
              </w:tabs>
              <w:spacing w:after="120" w:line="240" w:lineRule="auto"/>
              <w:ind w:left="0"/>
              <w:jc w:val="both"/>
              <w:rPr>
                <w:rFonts w:ascii="TimesNewRoman" w:hAnsi="TimesNewRoman" w:cs="TimesNewRoman"/>
                <w:color w:val="231F20"/>
                <w:sz w:val="20"/>
                <w:lang w:eastAsia="sk-SK"/>
              </w:rPr>
            </w:pPr>
            <w:r>
              <w:rPr>
                <w:sz w:val="18"/>
                <w:szCs w:val="18"/>
                <w:vertAlign w:val="superscript"/>
              </w:rPr>
              <w:t>21</w:t>
            </w:r>
            <w:r>
              <w:rPr>
                <w:sz w:val="18"/>
                <w:szCs w:val="18"/>
              </w:rPr>
              <w:t xml:space="preserve">) </w:t>
            </w:r>
            <w:r w:rsidRPr="002172DB">
              <w:rPr>
                <w:rFonts w:ascii="Times New Roman" w:eastAsia="Times New Roman" w:hAnsi="Times New Roman"/>
                <w:sz w:val="18"/>
                <w:szCs w:val="18"/>
                <w:lang w:eastAsia="cs-CZ"/>
              </w:rPr>
              <w:t>Vyhláška Ministerstva životného prostredia Slovenskej republiky č. ... /2022 Z. z. o požiadavkách na stacionárne zdroje</w:t>
            </w:r>
            <w:r>
              <w:rPr>
                <w:rFonts w:ascii="Times New Roman" w:eastAsia="Times New Roman" w:hAnsi="Times New Roman"/>
                <w:sz w:val="18"/>
                <w:szCs w:val="18"/>
                <w:lang w:eastAsia="cs-CZ"/>
              </w:rPr>
              <w:t>.</w:t>
            </w:r>
          </w:p>
        </w:tc>
        <w:tc>
          <w:tcPr>
            <w:tcW w:w="709" w:type="dxa"/>
            <w:tcBorders>
              <w:top w:val="single" w:sz="4" w:space="0" w:color="auto"/>
              <w:bottom w:val="single" w:sz="4" w:space="0" w:color="auto"/>
            </w:tcBorders>
          </w:tcPr>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RPr="008B4AA3" w:rsidP="00EA0A90">
            <w:pPr>
              <w:jc w:val="both"/>
              <w:rPr>
                <w:sz w:val="20"/>
                <w:highlight w:val="yellow"/>
              </w:rPr>
            </w:pPr>
            <w:r w:rsidRPr="00D52C0C">
              <w:rPr>
                <w:sz w:val="20"/>
              </w:rPr>
              <w:t>Ú</w:t>
            </w: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P="00EA0A90">
            <w:pPr>
              <w:jc w:val="both"/>
              <w:rPr>
                <w:sz w:val="20"/>
                <w:highlight w:val="yellow"/>
              </w:rPr>
            </w:pPr>
          </w:p>
          <w:p w:rsidR="00EA0A90"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7F434C" w:rsidP="00EA0A90">
            <w:pPr>
              <w:jc w:val="both"/>
              <w:rPr>
                <w:sz w:val="20"/>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p>
          <w:p w:rsidR="00EA0A90" w:rsidRPr="008B4AA3" w:rsidP="00EA0A90">
            <w:pPr>
              <w:jc w:val="both"/>
              <w:rPr>
                <w:sz w:val="20"/>
                <w:highlight w:val="yellow"/>
              </w:rPr>
            </w:pPr>
            <w:r w:rsidRPr="007F434C">
              <w:rPr>
                <w:sz w:val="20"/>
              </w:rPr>
              <w:t>Ú</w:t>
            </w:r>
          </w:p>
        </w:tc>
        <w:tc>
          <w:tcPr>
            <w:tcW w:w="1417" w:type="dxa"/>
            <w:tcBorders>
              <w:top w:val="single" w:sz="4" w:space="0" w:color="auto"/>
              <w:bottom w:val="single" w:sz="4" w:space="0" w:color="auto"/>
            </w:tcBorders>
          </w:tcPr>
          <w:p w:rsidR="00EA0A90" w:rsidRPr="00D52C0C" w:rsidP="00EA0A90">
            <w:pPr>
              <w:jc w:val="both"/>
              <w:rPr>
                <w:rFonts w:ascii="EUAlbertina" w:hAnsi="EUAlbertina" w:cs="EUAlbertina"/>
                <w:color w:val="000000"/>
                <w:sz w:val="20"/>
                <w:lang w:eastAsia="sk-SK"/>
              </w:rPr>
            </w:pPr>
          </w:p>
        </w:tc>
      </w:tr>
      <w:tr w:rsidTr="000B581A">
        <w:tblPrEx>
          <w:tblW w:w="14954" w:type="dxa"/>
          <w:tblLayout w:type="fixed"/>
          <w:tblCellMar>
            <w:left w:w="70" w:type="dxa"/>
            <w:right w:w="70" w:type="dxa"/>
          </w:tblCellMar>
          <w:tblLook w:val="0000"/>
        </w:tblPrEx>
        <w:trPr>
          <w:trHeight w:val="913"/>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Č3</w:t>
            </w:r>
          </w:p>
          <w:p w:rsidR="00EA0A90" w:rsidRPr="00D52C0C" w:rsidP="00EA0A90">
            <w:pPr>
              <w:jc w:val="both"/>
              <w:rPr>
                <w:sz w:val="20"/>
              </w:rPr>
            </w:pPr>
            <w:r w:rsidRPr="00D52C0C">
              <w:rPr>
                <w:sz w:val="20"/>
              </w:rPr>
              <w:t>O3</w:t>
            </w:r>
          </w:p>
        </w:tc>
        <w:tc>
          <w:tcPr>
            <w:tcW w:w="4536" w:type="dxa"/>
            <w:tcBorders>
              <w:top w:val="single" w:sz="4" w:space="0" w:color="auto"/>
              <w:bottom w:val="single" w:sz="4" w:space="0" w:color="auto"/>
            </w:tcBorders>
          </w:tcPr>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3. Od 1. januára 2016, s výhradou vhodného monitorovania emisií príslušnými orgánmi, sa odsek 1 nevzťahuje na ťažké vykurovacie oleje použité: </w:t>
            </w:r>
          </w:p>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a) v spaľovacích zariadeniach, ktoré patria do rozsahu pôsobnosti kapitoly III smernice Európskeho parlamentu a Rady 2010/75/EÚ </w:t>
            </w:r>
            <w:r w:rsidRPr="00540616">
              <w:rPr>
                <w:rFonts w:ascii="TimesNewRoman" w:hAnsi="TimesNewRoman" w:cs="TimesNewRoman"/>
                <w:color w:val="231F20"/>
                <w:sz w:val="20"/>
                <w:szCs w:val="20"/>
                <w:vertAlign w:val="superscript"/>
              </w:rPr>
              <w:t>( 2 )</w:t>
            </w:r>
            <w:r w:rsidRPr="00540616">
              <w:rPr>
                <w:rFonts w:ascii="TimesNewRoman" w:hAnsi="TimesNewRoman" w:cs="TimesNewRoman"/>
                <w:color w:val="231F20"/>
                <w:sz w:val="20"/>
                <w:szCs w:val="20"/>
              </w:rPr>
              <w:t xml:space="preserve"> a ktoré sú v súlade s emisnými limitmi oxidu siričitého pre takéto zariadenia stanovenými v prílohe V k uvedenej smernici, alebo v prípade, keď sa v súlade s uvedenou smernicou neuplatňujú tieto hodnoty emisných limitov, ktorých mesačný priemer emisií oxidu siričitého nepresahuje 1 700 mg/Nm</w:t>
            </w:r>
            <w:r w:rsidRPr="00540616">
              <w:rPr>
                <w:rFonts w:ascii="TimesNewRoman" w:hAnsi="TimesNewRoman" w:cs="TimesNewRoman"/>
                <w:color w:val="231F20"/>
                <w:sz w:val="20"/>
                <w:szCs w:val="20"/>
                <w:vertAlign w:val="superscript"/>
              </w:rPr>
              <w:t>3</w:t>
            </w:r>
            <w:r w:rsidRPr="00540616">
              <w:rPr>
                <w:rFonts w:ascii="TimesNewRoman" w:hAnsi="TimesNewRoman" w:cs="TimesNewRoman"/>
                <w:color w:val="231F20"/>
                <w:sz w:val="20"/>
                <w:szCs w:val="20"/>
              </w:rPr>
              <w:t xml:space="preserve"> pri obsahu kyslíka v spalinách 3 % objemu na</w:t>
            </w:r>
            <w:r w:rsidRPr="00540616">
              <w:rPr>
                <w:rFonts w:ascii="TimesNewRoman" w:hAnsi="TimesNewRoman" w:cs="TimesNewRoman"/>
                <w:color w:val="231F20"/>
                <w:sz w:val="20"/>
                <w:szCs w:val="20"/>
              </w:rPr>
              <w:t xml:space="preserve"> suchý plyn; </w:t>
            </w:r>
          </w:p>
          <w:p w:rsidR="00EA0A90" w:rsidRPr="00540616" w:rsidP="00EA0A90">
            <w:pPr>
              <w:rPr>
                <w:lang w:eastAsia="sk-SK"/>
              </w:rPr>
            </w:pPr>
          </w:p>
          <w:p w:rsidR="00EA0A90" w:rsidRPr="00540616" w:rsidP="00EA0A90">
            <w:pPr>
              <w:rPr>
                <w:lang w:eastAsia="sk-SK"/>
              </w:rPr>
            </w:pPr>
          </w:p>
          <w:p w:rsidR="00EA0A90" w:rsidRPr="00540616" w:rsidP="00EA0A90">
            <w:pPr>
              <w:rPr>
                <w:lang w:eastAsia="sk-SK"/>
              </w:rPr>
            </w:pPr>
          </w:p>
          <w:p w:rsidR="00EA0A90" w:rsidRPr="00540616" w:rsidP="00EA0A90">
            <w:pPr>
              <w:rPr>
                <w:lang w:eastAsia="sk-SK"/>
              </w:rPr>
            </w:pPr>
          </w:p>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b) v spaľovacích zariadeniach, na ktoré sa nevzťahuje písmeno a) a ktorých mesačný priemer emisií oxidu siričitého nepresahuje 1 700 mg/Nm</w:t>
            </w:r>
            <w:r w:rsidRPr="00540616">
              <w:rPr>
                <w:rFonts w:ascii="TimesNewRoman" w:hAnsi="TimesNewRoman" w:cs="TimesNewRoman"/>
                <w:color w:val="231F20"/>
                <w:sz w:val="20"/>
                <w:szCs w:val="20"/>
                <w:vertAlign w:val="superscript"/>
              </w:rPr>
              <w:t>3</w:t>
            </w:r>
            <w:r w:rsidRPr="00540616">
              <w:rPr>
                <w:rFonts w:ascii="TimesNewRoman" w:hAnsi="TimesNewRoman" w:cs="TimesNewRoman"/>
                <w:color w:val="231F20"/>
                <w:sz w:val="20"/>
                <w:szCs w:val="20"/>
              </w:rPr>
              <w:t xml:space="preserve"> pri obsahu kyslíka v spalinách 3 % objemu na suchý plyn; </w:t>
            </w:r>
          </w:p>
          <w:p w:rsidR="00EA0A90" w:rsidRPr="00540616" w:rsidP="00EA0A90">
            <w:pPr>
              <w:pStyle w:val="CM4"/>
              <w:spacing w:before="60" w:after="60"/>
              <w:jc w:val="both"/>
              <w:rPr>
                <w:rFonts w:ascii="TimesNewRoman" w:hAnsi="TimesNewRoman" w:cs="TimesNewRoman"/>
                <w:color w:val="231F20"/>
                <w:sz w:val="20"/>
                <w:szCs w:val="20"/>
              </w:rPr>
            </w:pPr>
          </w:p>
          <w:p w:rsidR="00EA0A90" w:rsidRPr="00540616" w:rsidP="00EA0A90">
            <w:pPr>
              <w:rPr>
                <w:lang w:eastAsia="sk-SK"/>
              </w:rPr>
            </w:pPr>
          </w:p>
          <w:p w:rsidR="00EA0A90" w:rsidRPr="00540616" w:rsidP="00EA0A90">
            <w:pPr>
              <w:pStyle w:val="CM4"/>
              <w:spacing w:before="60" w:after="60"/>
              <w:jc w:val="both"/>
              <w:rPr>
                <w:rFonts w:ascii="TimesNewRoman" w:hAnsi="TimesNewRoman" w:cs="TimesNewRoman"/>
                <w:color w:val="231F20"/>
                <w:sz w:val="20"/>
                <w:szCs w:val="20"/>
              </w:rPr>
            </w:pPr>
          </w:p>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c) pri spaľovaní v rafinériách, kde mesačný priemer emisií oxidu siričitého, spriemerovaný pre všetky spaľovacie zariadenia v rafinérii bez ohľadu na typ použitého paliva alebo použitej kombinácie palív, ale s výnimkou zariadení, na ktoré sa vzťahuje písmeno a), plynových turbín a plynových m</w:t>
            </w:r>
            <w:r w:rsidRPr="00540616">
              <w:rPr>
                <w:rFonts w:ascii="TimesNewRoman" w:hAnsi="TimesNewRoman" w:cs="TimesNewRoman"/>
                <w:color w:val="231F20"/>
                <w:sz w:val="20"/>
                <w:szCs w:val="20"/>
              </w:rPr>
              <w:t>otorov, nepresahuje 1 700 mg/Nm</w:t>
            </w:r>
            <w:r w:rsidRPr="00540616">
              <w:rPr>
                <w:rFonts w:ascii="TimesNewRoman" w:hAnsi="TimesNewRoman" w:cs="TimesNewRoman"/>
                <w:color w:val="231F20"/>
                <w:sz w:val="20"/>
                <w:szCs w:val="20"/>
                <w:vertAlign w:val="superscript"/>
              </w:rPr>
              <w:t>3</w:t>
            </w:r>
            <w:r w:rsidRPr="00540616">
              <w:rPr>
                <w:rFonts w:ascii="TimesNewRoman" w:hAnsi="TimesNewRoman" w:cs="TimesNewRoman"/>
                <w:color w:val="231F20"/>
                <w:sz w:val="20"/>
                <w:szCs w:val="20"/>
              </w:rPr>
              <w:t xml:space="preserve"> pri obsahu kyslíka v spalinách 3 % objemu na suchý plyn. </w:t>
            </w:r>
          </w:p>
          <w:p w:rsidR="00EA0A90" w:rsidRPr="00540616" w:rsidP="00EA0A90">
            <w:pPr>
              <w:autoSpaceDE w:val="0"/>
              <w:autoSpaceDN w:val="0"/>
              <w:adjustRightInd w:val="0"/>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Členské štáty prijmú potrebné opatrenia s cieľom zabezpečiť, aby žiadne spaľovacie zariadenie používajúce ťažký vykurovací olej s obsahom síry, ktorý presahuje konce</w:t>
            </w:r>
            <w:r w:rsidRPr="00540616">
              <w:rPr>
                <w:rFonts w:ascii="TimesNewRoman" w:hAnsi="TimesNewRoman" w:cs="TimesNewRoman"/>
                <w:color w:val="231F20"/>
                <w:sz w:val="20"/>
                <w:lang w:eastAsia="sk-SK"/>
              </w:rPr>
              <w:t>ntrácie uvedené v odseku 1, nebolo v prevádzke bez povolenia vydaného príslušným orgánom, ktoré stanovuje emisné limity.</w:t>
            </w:r>
          </w:p>
          <w:p w:rsidR="000A367F" w:rsidRPr="00540616" w:rsidP="00EA0A90">
            <w:pPr>
              <w:autoSpaceDE w:val="0"/>
              <w:autoSpaceDN w:val="0"/>
              <w:adjustRightInd w:val="0"/>
              <w:jc w:val="both"/>
              <w:rPr>
                <w:rFonts w:ascii="TimesNewRoman" w:hAnsi="TimesNewRoman" w:cs="TimesNewRoman"/>
                <w:color w:val="231F20"/>
                <w:sz w:val="20"/>
                <w:lang w:eastAsia="sk-SK"/>
              </w:rPr>
            </w:pP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r>
              <w:t>§4</w:t>
            </w:r>
          </w:p>
          <w:p w:rsidR="00EA0A90" w:rsidRPr="00D52C0C" w:rsidP="00EA0A90">
            <w:pPr>
              <w:pStyle w:val="BodyText21"/>
              <w:spacing w:before="0"/>
            </w:pPr>
            <w:r w:rsidRPr="00D52C0C">
              <w:t>O</w:t>
            </w:r>
            <w:r>
              <w:t>3</w:t>
            </w: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Pa</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Pb</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Pc</w:t>
            </w:r>
          </w:p>
        </w:tc>
        <w:tc>
          <w:tcPr>
            <w:tcW w:w="4961" w:type="dxa"/>
            <w:tcBorders>
              <w:top w:val="single" w:sz="4" w:space="0" w:color="auto"/>
              <w:bottom w:val="single" w:sz="4" w:space="0" w:color="auto"/>
            </w:tcBorders>
          </w:tcPr>
          <w:p w:rsidR="00EA0A90" w:rsidRPr="002F756F" w:rsidP="00EA0A90">
            <w:pPr>
              <w:tabs>
                <w:tab w:val="left" w:pos="851"/>
              </w:tabs>
              <w:spacing w:after="120"/>
              <w:rPr>
                <w:b/>
                <w:sz w:val="20"/>
                <w:lang w:eastAsia="sk-SK"/>
              </w:rPr>
            </w:pPr>
            <w:r w:rsidRPr="002F756F">
              <w:rPr>
                <w:b/>
                <w:sz w:val="20"/>
                <w:lang w:eastAsia="sk-SK"/>
              </w:rPr>
              <w:t>§ 4</w:t>
            </w:r>
          </w:p>
          <w:p w:rsidR="00EA0A90" w:rsidRPr="002F756F" w:rsidP="00EA0A90">
            <w:pPr>
              <w:tabs>
                <w:tab w:val="left" w:pos="851"/>
              </w:tabs>
              <w:spacing w:after="120"/>
              <w:rPr>
                <w:b/>
                <w:sz w:val="20"/>
                <w:lang w:eastAsia="sk-SK"/>
              </w:rPr>
            </w:pPr>
            <w:r w:rsidRPr="002F756F">
              <w:rPr>
                <w:b/>
                <w:sz w:val="20"/>
                <w:lang w:eastAsia="sk-SK"/>
              </w:rPr>
              <w:t>Vykurovacie oleje</w:t>
            </w:r>
          </w:p>
          <w:p w:rsidR="00EA0A90" w:rsidRPr="008B4AA3" w:rsidP="00EA0A90">
            <w:pPr>
              <w:tabs>
                <w:tab w:val="left" w:pos="851"/>
              </w:tabs>
              <w:spacing w:after="120" w:line="276" w:lineRule="auto"/>
              <w:jc w:val="both"/>
              <w:rPr>
                <w:rFonts w:eastAsia="Calibri"/>
                <w:sz w:val="20"/>
                <w:lang w:eastAsia="en-US"/>
              </w:rPr>
            </w:pPr>
            <w:r w:rsidRPr="00B04DE8">
              <w:rPr>
                <w:color w:val="231F20"/>
                <w:sz w:val="20"/>
                <w:lang w:eastAsia="sk-SK"/>
              </w:rPr>
              <w:t xml:space="preserve">(3) Ťažký vykurovací olej môže mať obsah síry viac ako 1 %, najviac však 3 % hmotnosti, ak je určený na </w:t>
            </w:r>
            <w:r w:rsidRPr="008B4AA3">
              <w:rPr>
                <w:rFonts w:eastAsia="Calibri"/>
                <w:sz w:val="20"/>
                <w:lang w:eastAsia="en-US"/>
              </w:rPr>
              <w:t xml:space="preserve">spaľovanie v technologickom celku, ktorým je  </w:t>
            </w:r>
          </w:p>
          <w:p w:rsidR="00EA0A90" w:rsidP="00EA0A90">
            <w:pPr>
              <w:pStyle w:val="ListParagraph"/>
              <w:tabs>
                <w:tab w:val="left" w:pos="851"/>
              </w:tabs>
              <w:spacing w:after="120"/>
              <w:ind w:left="0"/>
              <w:jc w:val="both"/>
              <w:rPr>
                <w:rFonts w:ascii="Times New Roman" w:hAnsi="Times New Roman"/>
                <w:sz w:val="20"/>
                <w:szCs w:val="20"/>
              </w:rPr>
            </w:pPr>
            <w:r w:rsidRPr="008B4AA3">
              <w:rPr>
                <w:rFonts w:ascii="Times New Roman" w:hAnsi="Times New Roman"/>
                <w:sz w:val="20"/>
                <w:szCs w:val="20"/>
              </w:rPr>
              <w:t>a) veľké spaľovacie zariadenie, ktoré uplatňuje emisný limit pre oxid siričitý podľa osobitného predpisu,</w:t>
            </w:r>
            <w:r w:rsidRPr="008B4AA3">
              <w:rPr>
                <w:rFonts w:ascii="Times New Roman" w:hAnsi="Times New Roman"/>
                <w:sz w:val="20"/>
                <w:szCs w:val="20"/>
                <w:vertAlign w:val="superscript"/>
              </w:rPr>
              <w:t>19</w:t>
            </w:r>
            <w:r>
              <w:rPr>
                <w:rFonts w:ascii="Times New Roman" w:hAnsi="Times New Roman"/>
                <w:sz w:val="20"/>
                <w:szCs w:val="20"/>
              </w:rPr>
              <w:t>)</w:t>
            </w:r>
            <w:r w:rsidRPr="008B4AA3">
              <w:rPr>
                <w:rFonts w:ascii="Times New Roman" w:hAnsi="Times New Roman"/>
                <w:sz w:val="20"/>
                <w:szCs w:val="20"/>
              </w:rPr>
              <w:t xml:space="preserve"> alebo v prípade, keď sa v súlade s osobitným predpisom neuplatňujú ustanovené hodnoty emisných limitov, ktorých priemerná mesačná hodnota emisií oxidu siričitého neprekročí hodnotu 1 700 mg/m</w:t>
            </w:r>
            <w:r w:rsidRPr="008B4AA3">
              <w:rPr>
                <w:rFonts w:ascii="Times New Roman" w:hAnsi="Times New Roman"/>
                <w:sz w:val="20"/>
                <w:szCs w:val="20"/>
                <w:vertAlign w:val="superscript"/>
              </w:rPr>
              <w:t>3</w:t>
            </w:r>
            <w:r w:rsidRPr="008B4AA3">
              <w:rPr>
                <w:rFonts w:ascii="Times New Roman" w:hAnsi="Times New Roman"/>
                <w:sz w:val="20"/>
                <w:szCs w:val="20"/>
              </w:rPr>
              <w:t xml:space="preserve"> po prepočte na štandardné stavové podmienky, suchý plyn a referenčný obsah kyslíka 3 % objemu</w:t>
            </w:r>
            <w:r w:rsidRPr="00B04DE8">
              <w:rPr>
                <w:rFonts w:ascii="Times New Roman" w:hAnsi="Times New Roman"/>
                <w:sz w:val="20"/>
                <w:szCs w:val="20"/>
              </w:rPr>
              <w:t>,</w:t>
            </w:r>
          </w:p>
          <w:p w:rsidR="00EA0A90" w:rsidP="00EA0A90">
            <w:pPr>
              <w:pStyle w:val="ListParagraph"/>
              <w:tabs>
                <w:tab w:val="left" w:pos="851"/>
              </w:tabs>
              <w:spacing w:after="120"/>
              <w:ind w:left="0"/>
              <w:jc w:val="both"/>
              <w:rPr>
                <w:rFonts w:ascii="Times New Roman" w:hAnsi="Times New Roman"/>
                <w:sz w:val="20"/>
                <w:szCs w:val="20"/>
              </w:rPr>
            </w:pPr>
          </w:p>
          <w:p w:rsidR="00EA0A90" w:rsidP="00EA0A90">
            <w:pPr>
              <w:pStyle w:val="ListParagraph"/>
              <w:tabs>
                <w:tab w:val="left" w:pos="851"/>
              </w:tabs>
              <w:spacing w:after="120"/>
              <w:ind w:left="0"/>
              <w:jc w:val="both"/>
              <w:rPr>
                <w:rFonts w:ascii="Times New Roman" w:hAnsi="Times New Roman"/>
                <w:sz w:val="20"/>
                <w:szCs w:val="20"/>
              </w:rPr>
            </w:pPr>
            <w:r w:rsidRPr="008B4AA3">
              <w:rPr>
                <w:rFonts w:ascii="Times New Roman" w:hAnsi="Times New Roman"/>
                <w:sz w:val="20"/>
                <w:szCs w:val="20"/>
              </w:rPr>
              <w:t>b) iné spaľovacie zariadenie ako uvedené v písmene a), ktoré uplatňuje emisný limit pre oxid siričitý podľa osobitného predpisu,</w:t>
            </w:r>
            <w:r w:rsidRPr="008B4AA3">
              <w:rPr>
                <w:rFonts w:ascii="Times New Roman" w:hAnsi="Times New Roman"/>
                <w:sz w:val="20"/>
                <w:szCs w:val="20"/>
                <w:vertAlign w:val="superscript"/>
              </w:rPr>
              <w:t>20</w:t>
            </w:r>
            <w:r w:rsidRPr="008B4AA3">
              <w:rPr>
                <w:rFonts w:ascii="Times New Roman" w:hAnsi="Times New Roman"/>
                <w:sz w:val="20"/>
                <w:szCs w:val="20"/>
              </w:rPr>
              <w:t>) ktorých priemerná mesačná hodnota emisií oxidu siričitého neprekročí hodnotu 1 700 mg/m</w:t>
            </w:r>
            <w:r w:rsidRPr="008B4AA3">
              <w:rPr>
                <w:rFonts w:ascii="Times New Roman" w:hAnsi="Times New Roman"/>
                <w:sz w:val="20"/>
                <w:szCs w:val="20"/>
                <w:vertAlign w:val="superscript"/>
              </w:rPr>
              <w:t>3</w:t>
            </w:r>
            <w:r w:rsidRPr="008B4AA3">
              <w:rPr>
                <w:rFonts w:ascii="Times New Roman" w:hAnsi="Times New Roman"/>
                <w:sz w:val="20"/>
                <w:szCs w:val="20"/>
              </w:rPr>
              <w:t xml:space="preserve"> po prepočte na štandardné stavové podmienky, suchý plyn a referenčný obsah kyslíka 3 % objemu</w:t>
            </w:r>
            <w:r>
              <w:rPr>
                <w:rFonts w:ascii="Times New Roman" w:hAnsi="Times New Roman"/>
                <w:sz w:val="20"/>
                <w:szCs w:val="20"/>
              </w:rPr>
              <w:t>,</w:t>
            </w:r>
          </w:p>
          <w:p w:rsidR="00EA0A90" w:rsidP="00EA0A90">
            <w:pPr>
              <w:pStyle w:val="ListParagraph"/>
              <w:tabs>
                <w:tab w:val="left" w:pos="851"/>
              </w:tabs>
              <w:spacing w:after="120"/>
              <w:ind w:left="0"/>
              <w:jc w:val="both"/>
              <w:rPr>
                <w:rFonts w:ascii="Times New Roman" w:hAnsi="Times New Roman"/>
                <w:sz w:val="20"/>
                <w:szCs w:val="20"/>
              </w:rPr>
            </w:pPr>
          </w:p>
          <w:p w:rsidR="00EA0A90" w:rsidP="00EA0A90">
            <w:pPr>
              <w:pStyle w:val="ListParagraph"/>
              <w:tabs>
                <w:tab w:val="left" w:pos="851"/>
              </w:tabs>
              <w:spacing w:after="120"/>
              <w:ind w:left="0"/>
              <w:jc w:val="both"/>
              <w:rPr>
                <w:rFonts w:ascii="Times New Roman" w:hAnsi="Times New Roman"/>
                <w:sz w:val="20"/>
                <w:szCs w:val="20"/>
              </w:rPr>
            </w:pPr>
            <w:r w:rsidRPr="00B02CC0">
              <w:rPr>
                <w:rFonts w:ascii="Times New Roman" w:hAnsi="Times New Roman"/>
              </w:rPr>
              <w:t>c</w:t>
            </w:r>
            <w:r w:rsidRPr="00B02CC0">
              <w:rPr>
                <w:rFonts w:ascii="Times New Roman" w:hAnsi="Times New Roman"/>
                <w:sz w:val="20"/>
                <w:szCs w:val="20"/>
              </w:rPr>
              <w:t>) zariadenie</w:t>
            </w:r>
            <w:r w:rsidRPr="008B4AA3">
              <w:rPr>
                <w:rFonts w:ascii="Times New Roman" w:hAnsi="Times New Roman"/>
                <w:sz w:val="20"/>
                <w:szCs w:val="20"/>
              </w:rPr>
              <w:t xml:space="preserve"> v rafinérii, ktoré uplatňuje emisný limit pre oxid siričitý podľa osobitného predpisu,</w:t>
            </w:r>
            <w:r w:rsidRPr="008B4AA3">
              <w:rPr>
                <w:rFonts w:ascii="Times New Roman" w:hAnsi="Times New Roman"/>
                <w:sz w:val="20"/>
                <w:szCs w:val="20"/>
                <w:vertAlign w:val="superscript"/>
              </w:rPr>
              <w:t>21</w:t>
            </w:r>
            <w:r>
              <w:rPr>
                <w:rFonts w:ascii="Times New Roman" w:hAnsi="Times New Roman"/>
                <w:sz w:val="20"/>
                <w:szCs w:val="20"/>
              </w:rPr>
              <w:t>)</w:t>
            </w:r>
            <w:r w:rsidRPr="008B4AA3">
              <w:rPr>
                <w:rFonts w:ascii="Times New Roman" w:hAnsi="Times New Roman"/>
                <w:sz w:val="20"/>
                <w:szCs w:val="20"/>
              </w:rPr>
              <w:t xml:space="preserve"> ktorých priemerná mesačná hodnota emisií oxidu siričitého zo všetkých zariadení rafinérie, okrem zariadení podľa písmena a), plynových turbín a plynových motorov, bez ohľadu na druh paliva alebo kombináciu palív, neprekročí hodnotu 1 700 mg/m</w:t>
            </w:r>
            <w:r w:rsidRPr="008B4AA3">
              <w:rPr>
                <w:rFonts w:ascii="Times New Roman" w:hAnsi="Times New Roman"/>
                <w:sz w:val="20"/>
                <w:szCs w:val="20"/>
                <w:vertAlign w:val="superscript"/>
              </w:rPr>
              <w:t>3</w:t>
            </w:r>
            <w:r w:rsidRPr="008B4AA3">
              <w:rPr>
                <w:rFonts w:ascii="Times New Roman" w:hAnsi="Times New Roman"/>
                <w:sz w:val="20"/>
                <w:szCs w:val="20"/>
              </w:rPr>
              <w:t xml:space="preserve"> po prepočte na štandardné stavové podmienky, suchý plyn a referenčný obsah kyslíka 3 % objemu</w:t>
            </w:r>
            <w:r>
              <w:rPr>
                <w:rFonts w:ascii="Times New Roman" w:hAnsi="Times New Roman"/>
                <w:sz w:val="20"/>
                <w:szCs w:val="20"/>
              </w:rPr>
              <w:t>.</w:t>
            </w:r>
            <w:r w:rsidRPr="00B04DE8">
              <w:rPr>
                <w:rFonts w:ascii="Times New Roman" w:hAnsi="Times New Roman"/>
                <w:sz w:val="20"/>
                <w:szCs w:val="20"/>
              </w:rPr>
              <w:t xml:space="preserve"> </w:t>
            </w:r>
          </w:p>
          <w:p w:rsidR="00EA0A90" w:rsidP="00EA0A90">
            <w:pPr>
              <w:spacing w:line="240" w:lineRule="atLeast"/>
              <w:ind w:left="-44" w:firstLine="44"/>
              <w:jc w:val="both"/>
            </w:pPr>
            <w:r>
              <w:rPr>
                <w:noProof/>
              </w:rPr>
              <w:pict>
                <v:shape id="_x0000_s1038" type="#_x0000_t32" style="width:58.2pt;height:0;margin-top:5.4pt;margin-left:0.1pt;position:absolute;z-index:251669504" o:connectortype="straight"/>
              </w:pict>
            </w:r>
          </w:p>
          <w:p w:rsidR="00EA0A90" w:rsidP="00EA0A90">
            <w:pPr>
              <w:pStyle w:val="ListParagraph"/>
              <w:tabs>
                <w:tab w:val="left" w:pos="851"/>
              </w:tabs>
              <w:spacing w:after="120" w:line="240" w:lineRule="auto"/>
              <w:ind w:left="0"/>
              <w:jc w:val="both"/>
              <w:rPr>
                <w:rFonts w:ascii="Times New Roman" w:eastAsia="Times New Roman" w:hAnsi="Times New Roman"/>
                <w:sz w:val="18"/>
                <w:szCs w:val="18"/>
                <w:lang w:eastAsia="cs-CZ"/>
              </w:rPr>
            </w:pPr>
            <w:r>
              <w:rPr>
                <w:sz w:val="18"/>
                <w:szCs w:val="18"/>
                <w:vertAlign w:val="superscript"/>
              </w:rPr>
              <w:t>19</w:t>
            </w:r>
            <w:r>
              <w:rPr>
                <w:sz w:val="18"/>
                <w:szCs w:val="18"/>
              </w:rPr>
              <w:t xml:space="preserve">) </w:t>
            </w:r>
            <w:r w:rsidRPr="002172DB">
              <w:rPr>
                <w:rFonts w:ascii="Times New Roman" w:eastAsia="Times New Roman" w:hAnsi="Times New Roman"/>
                <w:sz w:val="18"/>
                <w:szCs w:val="18"/>
                <w:lang w:eastAsia="cs-CZ"/>
              </w:rPr>
              <w:t>Vyhláška Ministerstva životného prostredia Slovenskej republiky č. ... /2022 Z. z. o požiadavkách na stacionárne zdroje.</w:t>
            </w:r>
          </w:p>
          <w:p w:rsidR="00EA0A90" w:rsidP="00EA0A90">
            <w:pPr>
              <w:pStyle w:val="ListParagraph"/>
              <w:tabs>
                <w:tab w:val="left" w:pos="851"/>
              </w:tabs>
              <w:spacing w:after="120" w:line="240" w:lineRule="auto"/>
              <w:ind w:left="0"/>
              <w:jc w:val="both"/>
              <w:rPr>
                <w:rFonts w:ascii="Times New Roman" w:eastAsia="Times New Roman" w:hAnsi="Times New Roman"/>
                <w:sz w:val="18"/>
                <w:szCs w:val="18"/>
                <w:lang w:eastAsia="cs-CZ"/>
              </w:rPr>
            </w:pPr>
            <w:r>
              <w:rPr>
                <w:sz w:val="18"/>
                <w:szCs w:val="18"/>
                <w:vertAlign w:val="superscript"/>
              </w:rPr>
              <w:t>20</w:t>
            </w:r>
            <w:r>
              <w:rPr>
                <w:sz w:val="18"/>
                <w:szCs w:val="18"/>
              </w:rPr>
              <w:t xml:space="preserve">) </w:t>
            </w:r>
            <w:r w:rsidRPr="002172DB">
              <w:rPr>
                <w:rFonts w:ascii="Times New Roman" w:eastAsia="Times New Roman" w:hAnsi="Times New Roman"/>
                <w:sz w:val="18"/>
                <w:szCs w:val="18"/>
                <w:lang w:eastAsia="cs-CZ"/>
              </w:rPr>
              <w:t>Vyhláška Ministerstva životného prostredia Slovenskej republiky č. ... /2022 Z. z. o požiadavkách na stacionárne zdroje</w:t>
            </w:r>
            <w:r>
              <w:rPr>
                <w:rFonts w:ascii="Times New Roman" w:eastAsia="Times New Roman" w:hAnsi="Times New Roman"/>
                <w:sz w:val="18"/>
                <w:szCs w:val="18"/>
                <w:lang w:eastAsia="cs-CZ"/>
              </w:rPr>
              <w:t>.</w:t>
            </w:r>
          </w:p>
          <w:p w:rsidR="00EA0A90" w:rsidRPr="00B04DE8" w:rsidP="00EA0A90">
            <w:pPr>
              <w:pStyle w:val="ListParagraph"/>
              <w:tabs>
                <w:tab w:val="left" w:pos="851"/>
              </w:tabs>
              <w:spacing w:after="120" w:line="240" w:lineRule="auto"/>
              <w:ind w:left="0"/>
              <w:jc w:val="both"/>
              <w:rPr>
                <w:rFonts w:ascii="TimesNewRoman" w:hAnsi="TimesNewRoman" w:cs="TimesNewRoman"/>
                <w:color w:val="231F20"/>
                <w:sz w:val="20"/>
                <w:lang w:eastAsia="sk-SK"/>
              </w:rPr>
            </w:pPr>
            <w:r>
              <w:rPr>
                <w:sz w:val="18"/>
                <w:szCs w:val="18"/>
                <w:vertAlign w:val="superscript"/>
              </w:rPr>
              <w:t>21</w:t>
            </w:r>
            <w:r>
              <w:rPr>
                <w:sz w:val="18"/>
                <w:szCs w:val="18"/>
              </w:rPr>
              <w:t xml:space="preserve">) </w:t>
            </w:r>
            <w:r w:rsidRPr="002172DB">
              <w:rPr>
                <w:rFonts w:ascii="Times New Roman" w:eastAsia="Times New Roman" w:hAnsi="Times New Roman"/>
                <w:sz w:val="18"/>
                <w:szCs w:val="18"/>
                <w:lang w:eastAsia="cs-CZ"/>
              </w:rPr>
              <w:t>Vyhláška Ministerstva životného prostredia Slovenskej republiky č. ... /2022 Z. z. o požiadavkách na stacionárne zdroje</w:t>
            </w:r>
            <w:r>
              <w:rPr>
                <w:rFonts w:ascii="Times New Roman" w:eastAsia="Times New Roman" w:hAnsi="Times New Roman"/>
                <w:sz w:val="18"/>
                <w:szCs w:val="18"/>
                <w:lang w:eastAsia="cs-CZ"/>
              </w:rPr>
              <w:t>.</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913"/>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Č4</w:t>
            </w:r>
          </w:p>
        </w:tc>
        <w:tc>
          <w:tcPr>
            <w:tcW w:w="4536" w:type="dxa"/>
            <w:tcBorders>
              <w:top w:val="single" w:sz="4" w:space="0" w:color="auto"/>
              <w:bottom w:val="single" w:sz="4" w:space="0" w:color="auto"/>
            </w:tcBorders>
          </w:tcPr>
          <w:p w:rsidR="00EA0A90" w:rsidRPr="00090AB5" w:rsidP="00EA0A90">
            <w:pPr>
              <w:pStyle w:val="CM4"/>
              <w:spacing w:before="60" w:after="60"/>
              <w:rPr>
                <w:rFonts w:ascii="TimesNewRoman" w:hAnsi="TimesNewRoman" w:cs="TimesNewRoman"/>
                <w:color w:val="231F20"/>
                <w:sz w:val="20"/>
                <w:szCs w:val="20"/>
              </w:rPr>
            </w:pPr>
            <w:r w:rsidRPr="00090AB5">
              <w:rPr>
                <w:rFonts w:ascii="TimesNewRoman" w:hAnsi="TimesNewRoman" w:cs="TimesNewRoman"/>
                <w:color w:val="231F20"/>
                <w:sz w:val="20"/>
                <w:szCs w:val="20"/>
              </w:rPr>
              <w:t xml:space="preserve">Článok 4 </w:t>
            </w:r>
          </w:p>
          <w:p w:rsidR="00EA0A90" w:rsidRPr="00090AB5" w:rsidP="00EA0A90">
            <w:pPr>
              <w:pStyle w:val="CM4"/>
              <w:spacing w:before="60" w:after="60"/>
              <w:rPr>
                <w:rFonts w:ascii="TimesNewRoman" w:hAnsi="TimesNewRoman" w:cs="TimesNewRoman"/>
                <w:color w:val="231F20"/>
                <w:sz w:val="20"/>
                <w:szCs w:val="20"/>
              </w:rPr>
            </w:pPr>
            <w:r w:rsidRPr="00090AB5">
              <w:rPr>
                <w:rFonts w:ascii="TimesNewRoman" w:hAnsi="TimesNewRoman" w:cs="TimesNewRoman"/>
                <w:color w:val="231F20"/>
                <w:sz w:val="20"/>
                <w:szCs w:val="20"/>
              </w:rPr>
              <w:t xml:space="preserve">Maximálny obsah síry v plynovom oleji  </w:t>
            </w:r>
          </w:p>
          <w:p w:rsidR="00EA0A90" w:rsidRPr="00090AB5" w:rsidP="00EA0A90">
            <w:pPr>
              <w:pStyle w:val="CM4"/>
              <w:spacing w:before="60" w:after="60"/>
              <w:jc w:val="both"/>
              <w:rPr>
                <w:rFonts w:ascii="TimesNewRoman" w:hAnsi="TimesNewRoman" w:cs="TimesNewRoman"/>
                <w:color w:val="231F20"/>
                <w:sz w:val="20"/>
                <w:szCs w:val="20"/>
              </w:rPr>
            </w:pPr>
            <w:r w:rsidRPr="00090AB5">
              <w:rPr>
                <w:rFonts w:ascii="TimesNewRoman" w:hAnsi="TimesNewRoman" w:cs="TimesNewRoman"/>
                <w:color w:val="231F20"/>
                <w:sz w:val="20"/>
              </w:rPr>
              <w:t>Členské štáty zabezpečia, aby sa na ich území nepoužívali plynové oleje, ak je ich obsah síry vyšší než 0,10 % hmotnosti.</w:t>
            </w:r>
          </w:p>
        </w:tc>
        <w:tc>
          <w:tcPr>
            <w:tcW w:w="851" w:type="dxa"/>
            <w:tcBorders>
              <w:top w:val="single" w:sz="4" w:space="0" w:color="auto"/>
              <w:bottom w:val="single" w:sz="4" w:space="0" w:color="auto"/>
            </w:tcBorders>
          </w:tcPr>
          <w:p w:rsidR="00EA0A90" w:rsidRPr="00090AB5" w:rsidP="00EA0A90">
            <w:pPr>
              <w:jc w:val="both"/>
              <w:rPr>
                <w:sz w:val="20"/>
              </w:rPr>
            </w:pPr>
            <w:r w:rsidRPr="00090AB5">
              <w:rPr>
                <w:sz w:val="20"/>
              </w:rPr>
              <w:t>N</w:t>
            </w:r>
          </w:p>
        </w:tc>
        <w:tc>
          <w:tcPr>
            <w:tcW w:w="850" w:type="dxa"/>
            <w:tcBorders>
              <w:top w:val="single" w:sz="4" w:space="0" w:color="auto"/>
              <w:bottom w:val="single" w:sz="4" w:space="0" w:color="auto"/>
            </w:tcBorders>
          </w:tcPr>
          <w:p w:rsidR="00EA0A90" w:rsidRPr="00090AB5" w:rsidP="00EA0A90">
            <w:pPr>
              <w:jc w:val="both"/>
              <w:rPr>
                <w:sz w:val="20"/>
              </w:rPr>
            </w:pPr>
            <w:r w:rsidRPr="00090AB5">
              <w:rPr>
                <w:sz w:val="20"/>
              </w:rPr>
              <w:t>NV</w:t>
            </w:r>
          </w:p>
        </w:tc>
        <w:tc>
          <w:tcPr>
            <w:tcW w:w="851" w:type="dxa"/>
            <w:tcBorders>
              <w:top w:val="single" w:sz="4" w:space="0" w:color="auto"/>
              <w:bottom w:val="single" w:sz="4" w:space="0" w:color="auto"/>
            </w:tcBorders>
          </w:tcPr>
          <w:p w:rsidR="00EA0A90" w:rsidRPr="00090AB5" w:rsidP="00EA0A90">
            <w:pPr>
              <w:pStyle w:val="BodyText21"/>
              <w:spacing w:before="0"/>
            </w:pPr>
            <w:r w:rsidRPr="00090AB5">
              <w:t>§4</w:t>
            </w:r>
          </w:p>
          <w:p w:rsidR="00EA0A90" w:rsidRPr="00090AB5" w:rsidP="00EA0A90">
            <w:pPr>
              <w:pStyle w:val="BodyText21"/>
              <w:spacing w:before="0"/>
            </w:pPr>
            <w:r w:rsidRPr="00090AB5">
              <w:t>O1</w:t>
            </w:r>
          </w:p>
        </w:tc>
        <w:tc>
          <w:tcPr>
            <w:tcW w:w="4961" w:type="dxa"/>
            <w:tcBorders>
              <w:top w:val="single" w:sz="4" w:space="0" w:color="auto"/>
              <w:bottom w:val="single" w:sz="4" w:space="0" w:color="auto"/>
            </w:tcBorders>
          </w:tcPr>
          <w:p w:rsidR="00EA0A90" w:rsidRPr="00090AB5" w:rsidP="00EA0A90">
            <w:pPr>
              <w:tabs>
                <w:tab w:val="left" w:pos="851"/>
              </w:tabs>
              <w:spacing w:after="120"/>
              <w:rPr>
                <w:b/>
                <w:sz w:val="20"/>
                <w:lang w:eastAsia="sk-SK"/>
              </w:rPr>
            </w:pPr>
            <w:r w:rsidRPr="00090AB5">
              <w:rPr>
                <w:b/>
                <w:sz w:val="20"/>
                <w:lang w:eastAsia="sk-SK"/>
              </w:rPr>
              <w:t>§ 4</w:t>
            </w:r>
          </w:p>
          <w:p w:rsidR="00EA0A90" w:rsidRPr="00090AB5" w:rsidP="00EA0A90">
            <w:pPr>
              <w:tabs>
                <w:tab w:val="left" w:pos="851"/>
              </w:tabs>
              <w:spacing w:after="120"/>
              <w:rPr>
                <w:b/>
                <w:sz w:val="20"/>
                <w:lang w:eastAsia="sk-SK"/>
              </w:rPr>
            </w:pPr>
            <w:r w:rsidRPr="00090AB5">
              <w:rPr>
                <w:b/>
                <w:sz w:val="20"/>
                <w:lang w:eastAsia="sk-SK"/>
              </w:rPr>
              <w:t>Vykurovacie oleje</w:t>
            </w:r>
          </w:p>
          <w:p w:rsidR="00EA0A90" w:rsidRPr="00090AB5" w:rsidP="00EA0A90">
            <w:pPr>
              <w:pStyle w:val="odsek1"/>
              <w:rPr>
                <w:rFonts w:ascii="TimesNewRoman" w:hAnsi="TimesNewRoman" w:cs="TimesNewRoman"/>
              </w:rPr>
            </w:pPr>
            <w:r w:rsidRPr="00090AB5">
              <w:rPr>
                <w:rFonts w:ascii="TimesNewRoman" w:hAnsi="TimesNewRoman" w:cs="TimesNewRoman"/>
              </w:rPr>
              <w:t xml:space="preserve">(1) </w:t>
            </w:r>
            <w:r w:rsidRPr="00090AB5">
              <w:t>Vykurovací plynový olej nesmie obsahovať viac síry ako 0,1 % hmotnosti.</w:t>
            </w:r>
          </w:p>
          <w:p w:rsidR="00EA0A90" w:rsidRPr="00090AB5" w:rsidP="00EA0A90">
            <w:pPr>
              <w:jc w:val="both"/>
              <w:rPr>
                <w:rFonts w:ascii="TimesNewRoman" w:hAnsi="TimesNewRoman" w:cs="TimesNewRoman"/>
                <w:color w:val="231F20"/>
                <w:sz w:val="20"/>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90AB5">
        <w:tblPrEx>
          <w:tblW w:w="14954" w:type="dxa"/>
          <w:tblLayout w:type="fixed"/>
          <w:tblCellMar>
            <w:left w:w="70" w:type="dxa"/>
            <w:right w:w="70" w:type="dxa"/>
          </w:tblCellMar>
          <w:tblLook w:val="0000"/>
        </w:tblPrEx>
        <w:trPr>
          <w:trHeight w:val="557"/>
        </w:trPr>
        <w:tc>
          <w:tcPr>
            <w:tcW w:w="779" w:type="dxa"/>
            <w:tcBorders>
              <w:top w:val="single" w:sz="4" w:space="0" w:color="auto"/>
              <w:bottom w:val="single" w:sz="4" w:space="0" w:color="auto"/>
            </w:tcBorders>
          </w:tcPr>
          <w:p w:rsidR="00EA0A90" w:rsidRPr="00090AB5" w:rsidP="00EA0A90">
            <w:pPr>
              <w:jc w:val="both"/>
              <w:rPr>
                <w:sz w:val="20"/>
              </w:rPr>
            </w:pPr>
            <w:r w:rsidRPr="00090AB5">
              <w:rPr>
                <w:sz w:val="20"/>
              </w:rPr>
              <w:t>Č5</w:t>
            </w:r>
          </w:p>
        </w:tc>
        <w:tc>
          <w:tcPr>
            <w:tcW w:w="4536" w:type="dxa"/>
            <w:tcBorders>
              <w:top w:val="single" w:sz="4" w:space="0" w:color="auto"/>
              <w:bottom w:val="single" w:sz="4" w:space="0" w:color="auto"/>
            </w:tcBorders>
          </w:tcPr>
          <w:p w:rsidR="00EA0A90" w:rsidRPr="00090AB5" w:rsidP="00EA0A90">
            <w:pPr>
              <w:pStyle w:val="CM4"/>
              <w:spacing w:before="60" w:after="60"/>
              <w:rPr>
                <w:rFonts w:ascii="TimesNewRoman" w:hAnsi="TimesNewRoman" w:cs="TimesNewRoman"/>
                <w:color w:val="231F20"/>
                <w:sz w:val="20"/>
                <w:szCs w:val="20"/>
              </w:rPr>
            </w:pPr>
            <w:r w:rsidRPr="00090AB5">
              <w:rPr>
                <w:rFonts w:ascii="TimesNewRoman" w:hAnsi="TimesNewRoman" w:cs="TimesNewRoman"/>
                <w:color w:val="231F20"/>
                <w:sz w:val="20"/>
                <w:szCs w:val="20"/>
              </w:rPr>
              <w:t>Článok 5</w:t>
            </w:r>
          </w:p>
          <w:p w:rsidR="00EA0A90" w:rsidRPr="00090AB5" w:rsidP="00EA0A90">
            <w:pPr>
              <w:pStyle w:val="CM4"/>
              <w:spacing w:before="60" w:after="60"/>
              <w:rPr>
                <w:rFonts w:ascii="TimesNewRoman" w:hAnsi="TimesNewRoman" w:cs="TimesNewRoman"/>
                <w:color w:val="231F20"/>
                <w:sz w:val="20"/>
                <w:szCs w:val="20"/>
              </w:rPr>
            </w:pPr>
            <w:r w:rsidRPr="00090AB5">
              <w:rPr>
                <w:rFonts w:ascii="TimesNewRoman" w:hAnsi="TimesNewRoman" w:cs="TimesNewRoman"/>
                <w:color w:val="231F20"/>
                <w:sz w:val="20"/>
                <w:szCs w:val="20"/>
              </w:rPr>
              <w:t xml:space="preserve">Maximálny obsah síry v lodných palivách </w:t>
            </w:r>
          </w:p>
          <w:p w:rsidR="00EA0A90" w:rsidRPr="00090AB5" w:rsidP="00EA0A90">
            <w:pPr>
              <w:pStyle w:val="CM4"/>
              <w:spacing w:before="60" w:after="60"/>
              <w:jc w:val="both"/>
              <w:rPr>
                <w:rFonts w:ascii="TimesNewRoman" w:hAnsi="TimesNewRoman" w:cs="TimesNewRoman"/>
                <w:color w:val="231F20"/>
                <w:sz w:val="20"/>
                <w:szCs w:val="20"/>
              </w:rPr>
            </w:pPr>
            <w:r w:rsidRPr="00090AB5">
              <w:rPr>
                <w:rFonts w:ascii="TimesNewRoman" w:hAnsi="TimesNewRoman" w:cs="TimesNewRoman"/>
                <w:color w:val="231F20"/>
                <w:sz w:val="20"/>
                <w:szCs w:val="20"/>
              </w:rPr>
              <w:t>Členské štáty zabezpečia, aby sa na ich území nepoužívali lodné palivá, ak je ich obsah síry vyšší než 3,50 % hmotnosti s výnimkou palív, ktoré sú dodávané na lode používajúce metódy znižovania emisií podľa článku 8 v uzavretom režime.</w:t>
            </w:r>
          </w:p>
        </w:tc>
        <w:tc>
          <w:tcPr>
            <w:tcW w:w="851" w:type="dxa"/>
            <w:tcBorders>
              <w:top w:val="single" w:sz="4" w:space="0" w:color="auto"/>
              <w:bottom w:val="single" w:sz="4" w:space="0" w:color="auto"/>
            </w:tcBorders>
          </w:tcPr>
          <w:p w:rsidR="00EA0A90" w:rsidRPr="00090AB5" w:rsidP="00EA0A90">
            <w:pPr>
              <w:jc w:val="both"/>
              <w:rPr>
                <w:sz w:val="20"/>
              </w:rPr>
            </w:pPr>
            <w:r w:rsidRPr="00090AB5">
              <w:rPr>
                <w:sz w:val="20"/>
              </w:rPr>
              <w:t>N</w:t>
            </w:r>
          </w:p>
        </w:tc>
        <w:tc>
          <w:tcPr>
            <w:tcW w:w="850" w:type="dxa"/>
            <w:tcBorders>
              <w:top w:val="single" w:sz="4" w:space="0" w:color="auto"/>
              <w:bottom w:val="single" w:sz="4" w:space="0" w:color="auto"/>
            </w:tcBorders>
          </w:tcPr>
          <w:p w:rsidR="00EA0A90" w:rsidRPr="00090AB5" w:rsidP="00EA0A90">
            <w:pPr>
              <w:jc w:val="both"/>
              <w:rPr>
                <w:sz w:val="20"/>
              </w:rPr>
            </w:pPr>
            <w:r w:rsidRPr="00090AB5">
              <w:rPr>
                <w:sz w:val="20"/>
              </w:rPr>
              <w:t>NV</w:t>
            </w:r>
          </w:p>
        </w:tc>
        <w:tc>
          <w:tcPr>
            <w:tcW w:w="851" w:type="dxa"/>
            <w:tcBorders>
              <w:top w:val="single" w:sz="4" w:space="0" w:color="auto"/>
              <w:bottom w:val="single" w:sz="4" w:space="0" w:color="auto"/>
            </w:tcBorders>
          </w:tcPr>
          <w:p w:rsidR="00EA0A90" w:rsidRPr="00090AB5" w:rsidP="00EA0A90">
            <w:pPr>
              <w:pStyle w:val="BodyText21"/>
              <w:spacing w:before="0"/>
            </w:pPr>
            <w:r w:rsidRPr="00090AB5">
              <w:t>§6</w:t>
            </w:r>
          </w:p>
          <w:p w:rsidR="00EA0A90" w:rsidRPr="00090AB5" w:rsidP="00EA0A90">
            <w:pPr>
              <w:pStyle w:val="BodyText21"/>
              <w:spacing w:before="0"/>
            </w:pPr>
            <w:r w:rsidRPr="00090AB5">
              <w:t>O3</w:t>
            </w:r>
          </w:p>
          <w:p w:rsidR="00EA0A90" w:rsidRPr="00090AB5" w:rsidP="00EA0A90">
            <w:pPr>
              <w:pStyle w:val="BodyText21"/>
              <w:spacing w:before="0"/>
            </w:pPr>
          </w:p>
          <w:p w:rsidR="00EA0A90" w:rsidRPr="00090AB5" w:rsidP="00EA0A90">
            <w:pPr>
              <w:pStyle w:val="BodyText21"/>
              <w:spacing w:before="0"/>
            </w:pPr>
          </w:p>
          <w:p w:rsidR="00EA0A90" w:rsidRPr="00090AB5" w:rsidP="00EA0A90">
            <w:pPr>
              <w:pStyle w:val="BodyText21"/>
              <w:spacing w:before="0"/>
            </w:pPr>
          </w:p>
          <w:p w:rsidR="00EA0A90" w:rsidRPr="00090AB5" w:rsidP="00EA0A90">
            <w:pPr>
              <w:pStyle w:val="BodyText21"/>
              <w:spacing w:before="0"/>
            </w:pPr>
          </w:p>
          <w:p w:rsidR="00EA0A90" w:rsidRPr="00090AB5" w:rsidP="00EA0A90">
            <w:pPr>
              <w:pStyle w:val="BodyText21"/>
              <w:spacing w:before="0"/>
            </w:pPr>
            <w:r w:rsidRPr="00090AB5">
              <w:t>O8</w:t>
            </w:r>
          </w:p>
          <w:p w:rsidR="00EA0A90" w:rsidRPr="00090AB5" w:rsidP="00EA0A90">
            <w:pPr>
              <w:pStyle w:val="BodyText21"/>
              <w:spacing w:before="0"/>
            </w:pPr>
            <w:r w:rsidRPr="00090AB5">
              <w:t>Pf</w:t>
            </w:r>
          </w:p>
          <w:p w:rsidR="00EA0A90" w:rsidRPr="00090AB5" w:rsidP="00EA0A90">
            <w:pPr>
              <w:pStyle w:val="BodyText21"/>
              <w:spacing w:before="0"/>
            </w:pPr>
          </w:p>
          <w:p w:rsidR="00EA0A90" w:rsidRPr="00090AB5" w:rsidP="00EA0A90">
            <w:pPr>
              <w:pStyle w:val="BodyText21"/>
              <w:spacing w:before="0"/>
            </w:pPr>
          </w:p>
        </w:tc>
        <w:tc>
          <w:tcPr>
            <w:tcW w:w="4961" w:type="dxa"/>
            <w:tcBorders>
              <w:top w:val="single" w:sz="4" w:space="0" w:color="auto"/>
              <w:bottom w:val="single" w:sz="4" w:space="0" w:color="auto"/>
            </w:tcBorders>
          </w:tcPr>
          <w:p w:rsidR="00EA0A90" w:rsidRPr="00090AB5" w:rsidP="00EA0A90">
            <w:pPr>
              <w:tabs>
                <w:tab w:val="left" w:pos="851"/>
              </w:tabs>
              <w:spacing w:after="120"/>
              <w:jc w:val="both"/>
              <w:rPr>
                <w:b/>
                <w:sz w:val="20"/>
                <w:lang w:eastAsia="sk-SK"/>
              </w:rPr>
            </w:pPr>
            <w:r w:rsidRPr="00090AB5">
              <w:rPr>
                <w:b/>
                <w:sz w:val="20"/>
                <w:lang w:eastAsia="sk-SK"/>
              </w:rPr>
              <w:t>§ 6</w:t>
            </w:r>
          </w:p>
          <w:p w:rsidR="00EA0A90" w:rsidRPr="00090AB5" w:rsidP="00EA0A90">
            <w:pPr>
              <w:tabs>
                <w:tab w:val="left" w:pos="851"/>
              </w:tabs>
              <w:spacing w:after="120"/>
              <w:jc w:val="both"/>
              <w:rPr>
                <w:b/>
                <w:sz w:val="20"/>
                <w:lang w:eastAsia="sk-SK"/>
              </w:rPr>
            </w:pPr>
            <w:r w:rsidRPr="00090AB5">
              <w:rPr>
                <w:b/>
                <w:sz w:val="20"/>
                <w:lang w:eastAsia="sk-SK"/>
              </w:rPr>
              <w:t>Lodné palivá</w:t>
            </w:r>
          </w:p>
          <w:p w:rsidR="00EA0A90" w:rsidRPr="00090AB5" w:rsidP="00EA0A90">
            <w:pPr>
              <w:pStyle w:val="odsek1"/>
            </w:pPr>
            <w:r w:rsidRPr="00090AB5">
              <w:rPr>
                <w:rFonts w:ascii="TimesNewRoman" w:hAnsi="TimesNewRoman" w:cs="TimesNewRoman"/>
              </w:rPr>
              <w:t xml:space="preserve">(3) </w:t>
            </w:r>
            <w:r w:rsidRPr="00090AB5">
              <w:t>Lodné palivo používané na území Slovenskej republiky nesmie obsahovať viac síry ako 3,5 % hmotnosti.</w:t>
            </w:r>
          </w:p>
          <w:p w:rsidR="00EA0A90" w:rsidRPr="00090AB5" w:rsidP="00EA0A90">
            <w:pPr>
              <w:pStyle w:val="odsek1"/>
            </w:pPr>
            <w:r w:rsidRPr="00090AB5">
              <w:t>(8) Požiadavky na obsah síry v lodných palivách podľa odsekov 3 až 7 sa nevzťahujú</w:t>
            </w:r>
          </w:p>
          <w:p w:rsidR="00EA0A90" w:rsidRPr="00090AB5" w:rsidP="00EA0A90">
            <w:pPr>
              <w:pStyle w:val="ListParagraph"/>
              <w:numPr>
                <w:ilvl w:val="1"/>
                <w:numId w:val="6"/>
              </w:numPr>
              <w:tabs>
                <w:tab w:val="clear" w:pos="1437"/>
              </w:tabs>
              <w:spacing w:after="240" w:line="240" w:lineRule="auto"/>
              <w:ind w:left="221" w:hanging="221"/>
              <w:contextualSpacing w:val="0"/>
              <w:jc w:val="both"/>
              <w:rPr>
                <w:rFonts w:ascii="TimesNewRoman" w:hAnsi="TimesNewRoman" w:cs="TimesNewRoman"/>
                <w:color w:val="231F20"/>
                <w:sz w:val="20"/>
                <w:lang w:eastAsia="sk-SK"/>
              </w:rPr>
            </w:pPr>
            <w:r w:rsidRPr="00090AB5">
              <w:rPr>
                <w:rFonts w:ascii="Times New Roman" w:eastAsia="Times New Roman" w:hAnsi="Times New Roman"/>
                <w:color w:val="231F20"/>
                <w:sz w:val="20"/>
                <w:szCs w:val="20"/>
                <w:lang w:eastAsia="sk-SK"/>
              </w:rPr>
              <w:t>na lodné palivá používané na palubách námorných lodí plaviacich sa v prístavoch, výsostných vodách, výlučných hospodárskych zónach a v zónach kontroly znečisťovania, ktoré používajú metódy znižovania emisií za podmienok uvedených v prílohe č. 3 v uzatvorenom režime, bez toho, aby bol dotknutý odsek 3.</w:t>
            </w:r>
          </w:p>
        </w:tc>
        <w:tc>
          <w:tcPr>
            <w:tcW w:w="709" w:type="dxa"/>
            <w:tcBorders>
              <w:top w:val="single" w:sz="4" w:space="0" w:color="auto"/>
              <w:bottom w:val="single" w:sz="4" w:space="0" w:color="auto"/>
            </w:tcBorders>
          </w:tcPr>
          <w:p w:rsidR="00EA0A90" w:rsidRPr="00090AB5" w:rsidP="00EA0A90">
            <w:pPr>
              <w:jc w:val="both"/>
              <w:rPr>
                <w:sz w:val="20"/>
              </w:rPr>
            </w:pPr>
            <w:r w:rsidRPr="00090AB5">
              <w:rPr>
                <w:sz w:val="20"/>
              </w:rPr>
              <w:t>Ú</w:t>
            </w:r>
          </w:p>
        </w:tc>
        <w:tc>
          <w:tcPr>
            <w:tcW w:w="1417" w:type="dxa"/>
            <w:tcBorders>
              <w:top w:val="single" w:sz="4" w:space="0" w:color="auto"/>
              <w:bottom w:val="single" w:sz="4" w:space="0" w:color="auto"/>
            </w:tcBorders>
          </w:tcPr>
          <w:p w:rsidR="00EA0A90" w:rsidRPr="00D7551E" w:rsidP="00EA0A90">
            <w:pPr>
              <w:jc w:val="both"/>
              <w:rPr>
                <w:sz w:val="20"/>
                <w:highlight w:val="cyan"/>
              </w:rPr>
            </w:pPr>
          </w:p>
        </w:tc>
      </w:tr>
      <w:tr w:rsidTr="000B581A">
        <w:tblPrEx>
          <w:tblW w:w="14954" w:type="dxa"/>
          <w:tblLayout w:type="fixed"/>
          <w:tblCellMar>
            <w:left w:w="70" w:type="dxa"/>
            <w:right w:w="70" w:type="dxa"/>
          </w:tblCellMar>
          <w:tblLook w:val="0000"/>
        </w:tblPrEx>
        <w:trPr>
          <w:trHeight w:val="58"/>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Článok 6</w:t>
            </w:r>
          </w:p>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Maximálny obsah síry v lodných palivách používaných vo výsostných vodách, vo výlučných hospodárskych zónach a v zónach kontroly znečisťovania členských štátov vrátane kontrolných oblastí emisií SOx a používaných osobnými loďami poskytujúcimi pravidelné služby medzi prístavmi Únie </w:t>
            </w:r>
          </w:p>
          <w:p w:rsidR="00EA0A90" w:rsidRPr="00540616" w:rsidP="00EA0A90">
            <w:pPr>
              <w:rPr>
                <w:lang w:eastAsia="sk-SK"/>
              </w:rPr>
            </w:pPr>
          </w:p>
          <w:p w:rsidR="00EA0A90" w:rsidRPr="00540616" w:rsidP="00EA0A90">
            <w:pPr>
              <w:pStyle w:val="CM4"/>
              <w:spacing w:before="60" w:after="60"/>
              <w:rPr>
                <w:rFonts w:ascii="TimesNewRoman" w:hAnsi="TimesNewRoman" w:cs="TimesNewRoman"/>
                <w:color w:val="231F20"/>
                <w:sz w:val="20"/>
                <w:szCs w:val="20"/>
              </w:rPr>
            </w:pPr>
            <w:r w:rsidRPr="00540616">
              <w:rPr>
                <w:rFonts w:ascii="TimesNewRoman" w:hAnsi="TimesNewRoman" w:cs="TimesNewRoman"/>
                <w:color w:val="231F20"/>
                <w:sz w:val="20"/>
                <w:szCs w:val="20"/>
              </w:rPr>
              <w:t xml:space="preserve">1. Členské štáty prijmú všetky potrebné opatrenia, aby zabezpečili, že v oblastiach ich výsostných vôd, výlučných hospodárskych zónach a v zónach kontroly znečisťovania sa nebudú používať lodné palivá, ak je ich obsah síry vyšší než: </w:t>
            </w:r>
          </w:p>
          <w:p w:rsidR="00EA0A90" w:rsidRPr="00540616" w:rsidP="00EA0A90">
            <w:pPr>
              <w:pStyle w:val="CM4"/>
              <w:spacing w:before="60" w:after="60"/>
              <w:rPr>
                <w:rFonts w:ascii="TimesNewRoman" w:hAnsi="TimesNewRoman" w:cs="TimesNewRoman"/>
                <w:color w:val="231F20"/>
                <w:sz w:val="20"/>
                <w:szCs w:val="20"/>
              </w:rPr>
            </w:pPr>
            <w:r w:rsidRPr="00540616">
              <w:rPr>
                <w:rFonts w:ascii="TimesNewRoman" w:hAnsi="TimesNewRoman" w:cs="TimesNewRoman"/>
                <w:color w:val="231F20"/>
                <w:sz w:val="20"/>
                <w:szCs w:val="20"/>
              </w:rPr>
              <w:t xml:space="preserve">a) 3,50 % hmotnosti od 18. júna 2014; </w:t>
            </w:r>
          </w:p>
          <w:p w:rsidR="00EA0A90" w:rsidRPr="00540616" w:rsidP="00EA0A90">
            <w:pPr>
              <w:pStyle w:val="CM4"/>
              <w:spacing w:before="60" w:after="60"/>
              <w:rPr>
                <w:rFonts w:ascii="TimesNewRoman" w:hAnsi="TimesNewRoman" w:cs="TimesNewRoman"/>
                <w:color w:val="231F20"/>
                <w:sz w:val="20"/>
                <w:szCs w:val="20"/>
              </w:rPr>
            </w:pPr>
            <w:r w:rsidRPr="00540616">
              <w:rPr>
                <w:rFonts w:ascii="TimesNewRoman" w:hAnsi="TimesNewRoman" w:cs="TimesNewRoman"/>
                <w:color w:val="231F20"/>
                <w:sz w:val="20"/>
                <w:szCs w:val="20"/>
              </w:rPr>
              <w:t>b) 0,50 %</w:t>
            </w:r>
            <w:r w:rsidRPr="00540616">
              <w:rPr>
                <w:rFonts w:ascii="TimesNewRoman" w:hAnsi="TimesNewRoman" w:cs="TimesNewRoman"/>
                <w:color w:val="231F20"/>
                <w:sz w:val="20"/>
                <w:szCs w:val="20"/>
              </w:rPr>
              <w:t xml:space="preserve"> hmotnosti od 1. januára 2020. </w:t>
            </w:r>
          </w:p>
          <w:p w:rsidR="00EA0A90" w:rsidRPr="00540616" w:rsidP="00EA0A90">
            <w:pPr>
              <w:rPr>
                <w:rFonts w:ascii="TimesNewRoman" w:hAnsi="TimesNewRoman" w:cs="TimesNewRoman"/>
                <w:color w:val="231F20"/>
                <w:sz w:val="20"/>
              </w:rPr>
            </w:pPr>
            <w:r w:rsidRPr="00540616">
              <w:rPr>
                <w:rFonts w:ascii="TimesNewRoman" w:hAnsi="TimesNewRoman" w:cs="TimesNewRoman"/>
                <w:color w:val="231F20"/>
                <w:sz w:val="20"/>
              </w:rPr>
              <w:t>Tento odsek sa vzťahuje na všetky plavidlá plaviace sa pod všetkými vlajkami vrátane plavidiel, ktorých plavba sa začala mimo Únie, a to bez toho, aby boli dotknuté odseky 2 a 5 tohto článku a článok 7.</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P="00EA0A90">
            <w:pPr>
              <w:pStyle w:val="BodyText21"/>
              <w:spacing w:before="0"/>
            </w:pPr>
            <w:r>
              <w:t>O7</w:t>
            </w:r>
          </w:p>
          <w:p w:rsidR="00EA0A90" w:rsidRPr="00D52C0C" w:rsidP="00EA0A90">
            <w:pPr>
              <w:pStyle w:val="BodyText21"/>
              <w:spacing w:before="0"/>
            </w:pPr>
            <w:r>
              <w:t>Pb</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w:t>
            </w:r>
            <w:r w:rsidRPr="00BF05AB">
              <w:rPr>
                <w:b/>
                <w:sz w:val="20"/>
                <w:lang w:eastAsia="sk-SK"/>
              </w:rPr>
              <w:t>né palivá</w:t>
            </w:r>
          </w:p>
          <w:p w:rsidR="00EA0A90" w:rsidRPr="001B634E" w:rsidP="00EA0A90">
            <w:pPr>
              <w:pStyle w:val="ListParagraph"/>
              <w:tabs>
                <w:tab w:val="left" w:pos="851"/>
                <w:tab w:val="left" w:pos="1276"/>
              </w:tabs>
              <w:spacing w:after="120" w:line="240" w:lineRule="auto"/>
              <w:ind w:left="0"/>
              <w:contextualSpacing w:val="0"/>
              <w:jc w:val="both"/>
              <w:rPr>
                <w:rFonts w:ascii="Times New Roman" w:eastAsia="Times New Roman" w:hAnsi="Times New Roman"/>
                <w:color w:val="231F20"/>
                <w:sz w:val="20"/>
                <w:szCs w:val="20"/>
                <w:lang w:eastAsia="sk-SK"/>
              </w:rPr>
            </w:pPr>
            <w:r w:rsidRPr="001B634E">
              <w:rPr>
                <w:rFonts w:ascii="Times New Roman" w:eastAsia="Times New Roman" w:hAnsi="Times New Roman"/>
                <w:color w:val="231F20"/>
                <w:sz w:val="20"/>
                <w:szCs w:val="20"/>
                <w:lang w:eastAsia="sk-SK"/>
              </w:rPr>
              <w:t>(7) Lodné palivo používané námornými loďami v oblastiach výsostných vôd, výlučných hospodárskych zónach a</w:t>
            </w:r>
            <w:r>
              <w:rPr>
                <w:rFonts w:ascii="Times New Roman" w:eastAsia="Times New Roman" w:hAnsi="Times New Roman"/>
                <w:color w:val="231F20"/>
                <w:sz w:val="20"/>
                <w:szCs w:val="20"/>
                <w:lang w:eastAsia="sk-SK"/>
              </w:rPr>
              <w:t> v zónach kontroly znečisťovania</w:t>
            </w:r>
          </w:p>
          <w:p w:rsidR="00EA0A90" w:rsidRPr="00964863" w:rsidP="00EA0A90">
            <w:pPr>
              <w:pStyle w:val="Heading6"/>
              <w:rPr>
                <w:highlight w:val="yellow"/>
                <w:lang w:eastAsia="sk-SK"/>
              </w:rPr>
            </w:pPr>
            <w:r w:rsidRPr="001B634E">
              <w:rPr>
                <w:b w:val="0"/>
                <w:color w:val="231F20"/>
                <w:sz w:val="20"/>
                <w:lang w:eastAsia="sk-SK"/>
              </w:rPr>
              <w:t>b) nesmie obsahovať viac síry ako 0,5 % hmotnosti,</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211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2. Členské štáty prijmú všetky potrebné opatrenia, aby zabezpečili, že v oblastiach ich výsostných vôd, výlučných hospodárskych zónach a v zónach kontroly znečisťovania patriacich do kontrolných oblastí emisií SOx sa nebudú používať lodné palivá, ak je ich obsah síry vyšší než: </w:t>
            </w:r>
          </w:p>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a) 1,00 % hmotnosti do </w:t>
            </w:r>
            <w:r w:rsidRPr="00540616">
              <w:rPr>
                <w:rFonts w:ascii="TimesNewRoman" w:hAnsi="TimesNewRoman" w:cs="TimesNewRoman"/>
                <w:color w:val="231F20"/>
                <w:sz w:val="20"/>
                <w:szCs w:val="20"/>
              </w:rPr>
              <w:t xml:space="preserve">31. decembra 2014; </w:t>
            </w:r>
          </w:p>
          <w:p w:rsidR="00EA0A90" w:rsidRPr="00540616" w:rsidP="00EA0A90">
            <w:pPr>
              <w:autoSpaceDE w:val="0"/>
              <w:autoSpaceDN w:val="0"/>
              <w:adjustRightInd w:val="0"/>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 xml:space="preserve">b) 0,10 % hmotnosti od 1. januára 2015. </w:t>
            </w:r>
          </w:p>
          <w:p w:rsidR="00EA0A90" w:rsidRPr="00540616" w:rsidP="00EA0A90">
            <w:pPr>
              <w:autoSpaceDE w:val="0"/>
              <w:autoSpaceDN w:val="0"/>
              <w:adjustRightInd w:val="0"/>
              <w:jc w:val="both"/>
              <w:rPr>
                <w:rFonts w:ascii="TimesNewRoman" w:hAnsi="TimesNewRoman" w:cs="TimesNewRoman"/>
                <w:color w:val="231F20"/>
                <w:sz w:val="20"/>
                <w:lang w:eastAsia="sk-SK"/>
              </w:rPr>
            </w:pPr>
          </w:p>
          <w:p w:rsidR="00EA0A90" w:rsidRPr="00540616" w:rsidP="00EA0A90">
            <w:pPr>
              <w:autoSpaceDE w:val="0"/>
              <w:autoSpaceDN w:val="0"/>
              <w:adjustRightInd w:val="0"/>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 xml:space="preserve">Tento odsek sa vzťahuje na všetky plavidlá plaviace sa pod všetkými vlajkami vrátane tých plavidiel, ktorých plavba sa začala mimo Únie. </w:t>
            </w:r>
          </w:p>
          <w:p w:rsidR="00EA0A90" w:rsidRPr="00540616" w:rsidP="00EA0A90">
            <w:pPr>
              <w:autoSpaceDE w:val="0"/>
              <w:autoSpaceDN w:val="0"/>
              <w:adjustRightInd w:val="0"/>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Komisia náležite zohľadní všetky budúce zmeny požiadaviek podľa prílohy VI k dohovoru MARPOL uplatniteľných v rámci kontrolných oblastí emisií SOx a v prípade potreby bez zbytočného odkladu predloží príslušné návrhy s cieľom zodpovedajúcim spôsobom zmeniť smernicu.</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P="00EA0A90">
            <w:pPr>
              <w:pStyle w:val="BodyText21"/>
              <w:spacing w:before="0"/>
            </w:pPr>
            <w:r>
              <w:t>O7</w:t>
            </w:r>
          </w:p>
          <w:p w:rsidR="00EA0A90" w:rsidRPr="00D52C0C" w:rsidP="00EA0A90">
            <w:pPr>
              <w:pStyle w:val="BodyText21"/>
              <w:spacing w:before="0"/>
            </w:pPr>
            <w:r>
              <w:t>Pa</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CA05B1" w:rsidP="00EA0A90">
            <w:pPr>
              <w:pStyle w:val="ListParagraph"/>
              <w:tabs>
                <w:tab w:val="left" w:pos="851"/>
                <w:tab w:val="left" w:pos="1276"/>
              </w:tabs>
              <w:spacing w:after="120" w:line="240" w:lineRule="auto"/>
              <w:ind w:left="0"/>
              <w:contextualSpacing w:val="0"/>
              <w:jc w:val="both"/>
              <w:rPr>
                <w:rFonts w:ascii="Times New Roman" w:eastAsia="Times New Roman" w:hAnsi="Times New Roman"/>
                <w:color w:val="231F20"/>
                <w:sz w:val="20"/>
                <w:szCs w:val="20"/>
                <w:lang w:eastAsia="sk-SK"/>
              </w:rPr>
            </w:pPr>
            <w:r w:rsidRPr="00CA05B1">
              <w:rPr>
                <w:rFonts w:ascii="Times New Roman" w:eastAsia="Times New Roman" w:hAnsi="Times New Roman"/>
                <w:color w:val="231F20"/>
                <w:sz w:val="20"/>
                <w:szCs w:val="20"/>
                <w:lang w:eastAsia="sk-SK"/>
              </w:rPr>
              <w:t xml:space="preserve"> (7) Lodné palivo používané námornými loďami v oblastiach výsostných vôd, výlučných h</w:t>
            </w:r>
            <w:r>
              <w:rPr>
                <w:rFonts w:ascii="Times New Roman" w:eastAsia="Times New Roman" w:hAnsi="Times New Roman"/>
                <w:color w:val="231F20"/>
                <w:sz w:val="20"/>
                <w:szCs w:val="20"/>
                <w:lang w:eastAsia="sk-SK"/>
              </w:rPr>
              <w:t xml:space="preserve">ospodárskych zónach </w:t>
            </w:r>
            <w:r w:rsidRPr="001B634E">
              <w:rPr>
                <w:rFonts w:ascii="Times New Roman" w:eastAsia="Times New Roman" w:hAnsi="Times New Roman"/>
                <w:color w:val="231F20"/>
                <w:sz w:val="20"/>
                <w:szCs w:val="20"/>
                <w:lang w:eastAsia="sk-SK"/>
              </w:rPr>
              <w:t>a</w:t>
            </w:r>
            <w:r>
              <w:rPr>
                <w:rFonts w:ascii="Times New Roman" w:eastAsia="Times New Roman" w:hAnsi="Times New Roman"/>
                <w:color w:val="231F20"/>
                <w:sz w:val="20"/>
                <w:szCs w:val="20"/>
                <w:lang w:eastAsia="sk-SK"/>
              </w:rPr>
              <w:t> v zónach kontroly znečisťovania</w:t>
            </w:r>
          </w:p>
          <w:p w:rsidR="00EA0A90" w:rsidP="00EA0A90">
            <w:pPr>
              <w:pStyle w:val="Heading6"/>
              <w:rPr>
                <w:b w:val="0"/>
                <w:sz w:val="20"/>
              </w:rPr>
            </w:pPr>
            <w:r w:rsidRPr="00CA05B1">
              <w:rPr>
                <w:b w:val="0"/>
                <w:color w:val="231F20"/>
                <w:sz w:val="20"/>
                <w:lang w:eastAsia="sk-SK"/>
              </w:rPr>
              <w:t xml:space="preserve">a) </w:t>
            </w:r>
            <w:r w:rsidRPr="00CA05B1">
              <w:rPr>
                <w:b w:val="0"/>
                <w:sz w:val="20"/>
              </w:rPr>
              <w:t>patriacich do kontrolných oblastí emisií oxidov síry vymedzených podľa medzinárodnej zmluvy,</w:t>
            </w:r>
            <w:r>
              <w:rPr>
                <w:b w:val="0"/>
                <w:sz w:val="20"/>
                <w:vertAlign w:val="superscript"/>
              </w:rPr>
              <w:t>24</w:t>
            </w:r>
            <w:r w:rsidRPr="00CA05B1">
              <w:rPr>
                <w:b w:val="0"/>
                <w:sz w:val="20"/>
              </w:rPr>
              <w:t>) nesmie obsahovať viac síry ako 0,1 % hmotnosti</w:t>
            </w:r>
            <w:r>
              <w:rPr>
                <w:b w:val="0"/>
                <w:sz w:val="20"/>
              </w:rPr>
              <w:t>,</w:t>
            </w:r>
          </w:p>
          <w:p w:rsidR="00EA0A90" w:rsidP="00EA0A90">
            <w:pPr>
              <w:rPr>
                <w:highlight w:val="yellow"/>
              </w:rPr>
            </w:pPr>
          </w:p>
          <w:p w:rsidR="00EA0A90" w:rsidP="00EA0A90">
            <w:pPr>
              <w:spacing w:line="240" w:lineRule="atLeast"/>
              <w:ind w:left="-44" w:firstLine="44"/>
              <w:jc w:val="both"/>
            </w:pPr>
            <w:r>
              <w:rPr>
                <w:noProof/>
              </w:rPr>
              <w:pict>
                <v:shape id="_x0000_s1039" type="#_x0000_t32" style="width:58.2pt;height:0;margin-top:5.4pt;margin-left:0.1pt;position:absolute;z-index:251670528" o:connectortype="straight"/>
              </w:pict>
            </w:r>
          </w:p>
          <w:p w:rsidR="00EA0A90" w:rsidP="00EA0A90">
            <w:pPr>
              <w:pStyle w:val="ListParagraph"/>
              <w:tabs>
                <w:tab w:val="left" w:pos="851"/>
              </w:tabs>
              <w:spacing w:after="120" w:line="240" w:lineRule="auto"/>
              <w:ind w:left="0"/>
              <w:jc w:val="both"/>
              <w:rPr>
                <w:rFonts w:ascii="Times New Roman" w:eastAsia="Times New Roman" w:hAnsi="Times New Roman"/>
                <w:sz w:val="18"/>
                <w:szCs w:val="18"/>
                <w:lang w:eastAsia="cs-CZ"/>
              </w:rPr>
            </w:pPr>
            <w:r>
              <w:rPr>
                <w:sz w:val="18"/>
                <w:szCs w:val="18"/>
                <w:vertAlign w:val="superscript"/>
              </w:rPr>
              <w:t>24</w:t>
            </w:r>
            <w:r>
              <w:rPr>
                <w:sz w:val="18"/>
                <w:szCs w:val="18"/>
              </w:rPr>
              <w:t xml:space="preserve">) </w:t>
            </w:r>
            <w:r w:rsidRPr="00A749BE">
              <w:rPr>
                <w:rFonts w:ascii="Times New Roman" w:eastAsia="Times New Roman" w:hAnsi="Times New Roman"/>
                <w:sz w:val="18"/>
                <w:szCs w:val="18"/>
                <w:lang w:eastAsia="cs-CZ"/>
              </w:rPr>
              <w:t>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r>
              <w:rPr>
                <w:rFonts w:ascii="Times New Roman" w:eastAsia="Times New Roman" w:hAnsi="Times New Roman"/>
                <w:sz w:val="18"/>
                <w:szCs w:val="18"/>
                <w:lang w:eastAsia="cs-CZ"/>
              </w:rPr>
              <w:t>.</w:t>
            </w:r>
          </w:p>
          <w:p w:rsidR="00EA0A90" w:rsidRPr="00A749BE" w:rsidP="00EA0A90">
            <w:pPr>
              <w:rPr>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O3</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3. Dátum na uplatňovanie odseku 2 pre akékoľvek nové morské oblasti, vrátane prístavov, ktoré IMO označí ako kontrolné oblasti emisie SOx podľa pravidla 14 ods. 3 písm. b) prílohy VI k dohovoru je 12 mesiacov po nadobudnutí platnosti označenia.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F77DC4" w:rsidRPr="00F77DC4" w:rsidP="00F77DC4">
            <w:pPr>
              <w:jc w:val="both"/>
              <w:rPr>
                <w:sz w:val="20"/>
              </w:rPr>
            </w:pPr>
            <w:r w:rsidRPr="00F77DC4">
              <w:rPr>
                <w:sz w:val="20"/>
              </w:rPr>
              <w:t>Č6</w:t>
            </w:r>
          </w:p>
          <w:p w:rsidR="00F77DC4" w:rsidRPr="00F77DC4" w:rsidP="00F77DC4">
            <w:pPr>
              <w:jc w:val="both"/>
              <w:rPr>
                <w:sz w:val="20"/>
              </w:rPr>
            </w:pPr>
            <w:r w:rsidRPr="00F77DC4">
              <w:rPr>
                <w:sz w:val="20"/>
              </w:rPr>
              <w:t>O4</w:t>
            </w:r>
          </w:p>
        </w:tc>
        <w:tc>
          <w:tcPr>
            <w:tcW w:w="4536" w:type="dxa"/>
            <w:tcBorders>
              <w:top w:val="single" w:sz="4" w:space="0" w:color="auto"/>
              <w:bottom w:val="single" w:sz="4" w:space="0" w:color="auto"/>
            </w:tcBorders>
          </w:tcPr>
          <w:p w:rsidR="00F77DC4" w:rsidRPr="00F77DC4" w:rsidP="00F77DC4">
            <w:pPr>
              <w:pStyle w:val="CM4"/>
              <w:spacing w:before="60" w:after="60"/>
              <w:jc w:val="both"/>
              <w:rPr>
                <w:rFonts w:ascii="TimesNewRoman" w:hAnsi="TimesNewRoman" w:cs="TimesNewRoman"/>
                <w:color w:val="231F20"/>
                <w:sz w:val="20"/>
                <w:szCs w:val="20"/>
              </w:rPr>
            </w:pPr>
            <w:r w:rsidRPr="00F77DC4">
              <w:rPr>
                <w:rFonts w:ascii="TimesNewRoman" w:hAnsi="TimesNewRoman" w:cs="TimesNewRoman"/>
                <w:color w:val="231F20"/>
                <w:sz w:val="20"/>
                <w:szCs w:val="20"/>
              </w:rPr>
              <w:t xml:space="preserve">4. Členské štáty zodpovedajú za vynucovanie odseku 1, prinajmenšom pokiaľ ide o: </w:t>
            </w:r>
          </w:p>
          <w:p w:rsidR="00F77DC4" w:rsidRPr="00F77DC4" w:rsidP="00F77DC4">
            <w:pPr>
              <w:pStyle w:val="CM4"/>
              <w:spacing w:before="60" w:after="60"/>
              <w:jc w:val="both"/>
              <w:rPr>
                <w:rFonts w:ascii="TimesNewRoman" w:hAnsi="TimesNewRoman" w:cs="TimesNewRoman"/>
                <w:color w:val="231F20"/>
                <w:sz w:val="20"/>
                <w:szCs w:val="20"/>
              </w:rPr>
            </w:pPr>
            <w:r w:rsidRPr="00F77DC4">
              <w:rPr>
                <w:rFonts w:ascii="TimesNewRoman" w:hAnsi="TimesNewRoman" w:cs="TimesNewRoman"/>
                <w:color w:val="231F20"/>
                <w:sz w:val="20"/>
                <w:szCs w:val="20"/>
              </w:rPr>
              <w:t xml:space="preserve">- plavidlá plávajúce pod ich vlajkou a </w:t>
            </w:r>
          </w:p>
          <w:p w:rsidR="00F77DC4" w:rsidRPr="00F77DC4" w:rsidP="00F77DC4">
            <w:pPr>
              <w:pStyle w:val="CM4"/>
              <w:spacing w:before="60" w:after="60"/>
              <w:jc w:val="both"/>
              <w:rPr>
                <w:rFonts w:ascii="TimesNewRoman" w:hAnsi="TimesNewRoman" w:cs="TimesNewRoman"/>
                <w:color w:val="231F20"/>
                <w:sz w:val="20"/>
                <w:szCs w:val="20"/>
              </w:rPr>
            </w:pPr>
            <w:r w:rsidRPr="00F77DC4">
              <w:rPr>
                <w:rFonts w:ascii="TimesNewRoman" w:hAnsi="TimesNewRoman" w:cs="TimesNewRoman"/>
                <w:color w:val="231F20"/>
                <w:sz w:val="20"/>
                <w:szCs w:val="20"/>
              </w:rPr>
              <w:t xml:space="preserve">- v prípade členských štátov, ktoré susedia s kontrolnými oblasťami emisií SOx , plavidlá všetkých vlajok, pokiaľ sú v ich prístavoch. </w:t>
            </w:r>
          </w:p>
          <w:p w:rsidR="00F77DC4" w:rsidRPr="00F77DC4" w:rsidP="00F77DC4">
            <w:pPr>
              <w:autoSpaceDE w:val="0"/>
              <w:autoSpaceDN w:val="0"/>
              <w:adjustRightInd w:val="0"/>
              <w:jc w:val="both"/>
              <w:rPr>
                <w:rFonts w:ascii="TimesNewRoman" w:hAnsi="TimesNewRoman" w:cs="TimesNewRoman"/>
                <w:color w:val="231F20"/>
                <w:sz w:val="20"/>
                <w:lang w:eastAsia="sk-SK"/>
              </w:rPr>
            </w:pPr>
            <w:r w:rsidRPr="00F77DC4">
              <w:rPr>
                <w:rFonts w:ascii="TimesNewRoman" w:hAnsi="TimesNewRoman" w:cs="TimesNewRoman"/>
                <w:color w:val="231F20"/>
                <w:sz w:val="20"/>
                <w:lang w:eastAsia="sk-SK"/>
              </w:rPr>
              <w:t xml:space="preserve">Členské štáty môžu uskutočniť aj ďalšie vynucovacie opatrenia vo vzťahu k iným plavidlám v súlade s medzinárodným námorným právom. </w:t>
            </w:r>
          </w:p>
        </w:tc>
        <w:tc>
          <w:tcPr>
            <w:tcW w:w="851" w:type="dxa"/>
            <w:tcBorders>
              <w:top w:val="single" w:sz="4" w:space="0" w:color="auto"/>
              <w:bottom w:val="single" w:sz="4" w:space="0" w:color="auto"/>
            </w:tcBorders>
          </w:tcPr>
          <w:p w:rsidR="00F77DC4" w:rsidRPr="00F77DC4" w:rsidP="00F77DC4">
            <w:pPr>
              <w:jc w:val="both"/>
              <w:rPr>
                <w:sz w:val="20"/>
              </w:rPr>
            </w:pPr>
            <w:r w:rsidRPr="00F77DC4">
              <w:rPr>
                <w:sz w:val="20"/>
              </w:rPr>
              <w:t>n</w:t>
            </w:r>
            <w:r w:rsidRPr="00F77DC4">
              <w:rPr>
                <w:sz w:val="20"/>
              </w:rPr>
              <w:t>.a.</w:t>
            </w:r>
          </w:p>
        </w:tc>
        <w:tc>
          <w:tcPr>
            <w:tcW w:w="850" w:type="dxa"/>
            <w:tcBorders>
              <w:top w:val="single" w:sz="4" w:space="0" w:color="auto"/>
              <w:bottom w:val="single" w:sz="4" w:space="0" w:color="auto"/>
            </w:tcBorders>
          </w:tcPr>
          <w:p w:rsidR="00F77DC4" w:rsidRPr="00F77DC4" w:rsidP="00F77DC4">
            <w:pPr>
              <w:jc w:val="both"/>
              <w:rPr>
                <w:sz w:val="20"/>
              </w:rPr>
            </w:pPr>
          </w:p>
        </w:tc>
        <w:tc>
          <w:tcPr>
            <w:tcW w:w="851" w:type="dxa"/>
            <w:tcBorders>
              <w:top w:val="single" w:sz="4" w:space="0" w:color="auto"/>
              <w:bottom w:val="single" w:sz="4" w:space="0" w:color="auto"/>
            </w:tcBorders>
          </w:tcPr>
          <w:p w:rsidR="00F77DC4" w:rsidRPr="00F77DC4" w:rsidP="00F77DC4">
            <w:pPr>
              <w:pStyle w:val="BodyText21"/>
            </w:pPr>
          </w:p>
        </w:tc>
        <w:tc>
          <w:tcPr>
            <w:tcW w:w="4961" w:type="dxa"/>
            <w:tcBorders>
              <w:top w:val="single" w:sz="4" w:space="0" w:color="auto"/>
              <w:bottom w:val="single" w:sz="4" w:space="0" w:color="auto"/>
            </w:tcBorders>
          </w:tcPr>
          <w:p w:rsidR="00F77DC4" w:rsidRPr="00F77DC4" w:rsidP="00F77DC4">
            <w:pPr>
              <w:pStyle w:val="Heading6"/>
              <w:rPr>
                <w:b w:val="0"/>
                <w:sz w:val="20"/>
              </w:rPr>
            </w:pPr>
          </w:p>
        </w:tc>
        <w:tc>
          <w:tcPr>
            <w:tcW w:w="709" w:type="dxa"/>
            <w:tcBorders>
              <w:top w:val="single" w:sz="4" w:space="0" w:color="auto"/>
              <w:bottom w:val="single" w:sz="4" w:space="0" w:color="auto"/>
            </w:tcBorders>
          </w:tcPr>
          <w:p w:rsidR="00F77DC4" w:rsidRPr="00F77DC4" w:rsidP="00F77DC4">
            <w:pPr>
              <w:jc w:val="both"/>
              <w:rPr>
                <w:sz w:val="20"/>
              </w:rPr>
            </w:pPr>
            <w:r w:rsidRPr="00F77DC4">
              <w:rPr>
                <w:sz w:val="20"/>
              </w:rPr>
              <w:t>n.a.</w:t>
            </w:r>
          </w:p>
        </w:tc>
        <w:tc>
          <w:tcPr>
            <w:tcW w:w="1417" w:type="dxa"/>
            <w:tcBorders>
              <w:top w:val="single" w:sz="4" w:space="0" w:color="auto"/>
              <w:bottom w:val="single" w:sz="4" w:space="0" w:color="auto"/>
            </w:tcBorders>
          </w:tcPr>
          <w:p w:rsidR="00F77DC4" w:rsidRPr="00F77DC4" w:rsidP="00F77DC4">
            <w:pPr>
              <w:jc w:val="both"/>
              <w:rPr>
                <w:sz w:val="20"/>
              </w:rPr>
            </w:pPr>
            <w:r>
              <w:rPr>
                <w:sz w:val="20"/>
              </w:rPr>
              <w:t>Predmetný odsek</w:t>
            </w:r>
            <w:r w:rsidRPr="00F77DC4">
              <w:rPr>
                <w:sz w:val="20"/>
              </w:rPr>
              <w:t xml:space="preserve"> nie je predmetom transpozície, nakoľko z definície lodných palív vyplýva, že lodné palivá sú určené pre plavidlá nachádzajúce sa na mori a SR je vnútrozemský štát a nemá morský prístav. </w:t>
            </w: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O5</w:t>
            </w:r>
          </w:p>
        </w:tc>
        <w:tc>
          <w:tcPr>
            <w:tcW w:w="4536" w:type="dxa"/>
            <w:tcBorders>
              <w:top w:val="single" w:sz="4" w:space="0" w:color="auto"/>
              <w:bottom w:val="single" w:sz="4" w:space="0" w:color="auto"/>
            </w:tcBorders>
          </w:tcPr>
          <w:p w:rsidR="00EA0A90" w:rsidRPr="00540616" w:rsidP="00EA0A90">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5. Členské štáty prijmú všetky potrebné opatrenia, aby zabezpečili, že v ich výsostných vodách, výlučných hospodárskych zónach a v zónach kontroly znečisťovania mimo kontrolných oblastí emisií SOx sa nebudú osobnými loďami poskytujúcimi pravidelné služby medzi prístavmi Únie používať lodné palivá, ak je ich obsah síry vyšší než 1,50 % hmotnosti až do 1. januára 2020. </w:t>
            </w:r>
          </w:p>
          <w:p w:rsidR="00EA0A90" w:rsidRPr="00540616" w:rsidP="00EA0A90">
            <w:pPr>
              <w:autoSpaceDE w:val="0"/>
              <w:autoSpaceDN w:val="0"/>
              <w:adjustRightInd w:val="0"/>
              <w:jc w:val="both"/>
              <w:rPr>
                <w:rFonts w:ascii="TimesNewRoman" w:hAnsi="TimesNewRoman" w:cs="TimesNewRoman"/>
                <w:color w:val="231F20"/>
                <w:sz w:val="20"/>
                <w:lang w:eastAsia="sk-SK"/>
              </w:rPr>
            </w:pPr>
            <w:r w:rsidRPr="00540616">
              <w:rPr>
                <w:rFonts w:ascii="TimesNewRoman" w:hAnsi="TimesNewRoman" w:cs="TimesNewRoman"/>
                <w:color w:val="231F20"/>
                <w:sz w:val="20"/>
                <w:lang w:eastAsia="sk-SK"/>
              </w:rPr>
              <w:t xml:space="preserve">Členské štáty zodpovedajú za presadzovanie tejto požiadavky, aspoň pokiaľ ide o plavidlá plaviace sa pod ich vlajkou a plavidlá plaviace sa pod všetkými vlajkami, kým sú v ich prístavoch.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P="00EA0A90">
            <w:pPr>
              <w:pStyle w:val="BodyText21"/>
              <w:spacing w:before="0"/>
            </w:pPr>
            <w:r>
              <w:t>O7</w:t>
            </w:r>
          </w:p>
          <w:p w:rsidR="00EA0A90" w:rsidRPr="00D52C0C" w:rsidP="00EA0A90">
            <w:pPr>
              <w:pStyle w:val="BodyText21"/>
              <w:spacing w:before="0"/>
            </w:pPr>
            <w:r>
              <w:t>Pc</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CA05B1" w:rsidP="00EA0A90">
            <w:pPr>
              <w:pStyle w:val="ListParagraph"/>
              <w:tabs>
                <w:tab w:val="left" w:pos="851"/>
                <w:tab w:val="left" w:pos="1276"/>
              </w:tabs>
              <w:spacing w:after="120" w:line="240" w:lineRule="auto"/>
              <w:ind w:left="0"/>
              <w:contextualSpacing w:val="0"/>
              <w:jc w:val="both"/>
              <w:rPr>
                <w:rFonts w:ascii="Times New Roman" w:eastAsia="Times New Roman" w:hAnsi="Times New Roman"/>
                <w:color w:val="231F20"/>
                <w:sz w:val="20"/>
                <w:szCs w:val="20"/>
                <w:lang w:eastAsia="sk-SK"/>
              </w:rPr>
            </w:pPr>
            <w:r w:rsidRPr="00CA05B1">
              <w:rPr>
                <w:rFonts w:ascii="Times New Roman" w:eastAsia="Times New Roman" w:hAnsi="Times New Roman"/>
                <w:color w:val="231F20"/>
                <w:sz w:val="20"/>
                <w:szCs w:val="20"/>
                <w:lang w:eastAsia="sk-SK"/>
              </w:rPr>
              <w:t>(7) Lodné palivo používané námornými loďami v oblastiach výsostných vôd, výlučných hospodárskych zónach a</w:t>
            </w:r>
            <w:r>
              <w:rPr>
                <w:rFonts w:ascii="Times New Roman" w:eastAsia="Times New Roman" w:hAnsi="Times New Roman"/>
                <w:color w:val="231F20"/>
                <w:sz w:val="20"/>
                <w:szCs w:val="20"/>
                <w:lang w:eastAsia="sk-SK"/>
              </w:rPr>
              <w:t xml:space="preserve"> v zónach kontroly znečisťovania</w:t>
            </w:r>
          </w:p>
          <w:p w:rsidR="00EA0A90" w:rsidRPr="00CA05B1" w:rsidP="00EA0A90">
            <w:pPr>
              <w:pStyle w:val="Heading6"/>
              <w:rPr>
                <w:b w:val="0"/>
                <w:sz w:val="20"/>
                <w:highlight w:val="yellow"/>
                <w:lang w:eastAsia="sk-SK"/>
              </w:rPr>
            </w:pPr>
            <w:r>
              <w:rPr>
                <w:b w:val="0"/>
                <w:color w:val="231F20"/>
                <w:sz w:val="20"/>
                <w:lang w:eastAsia="sk-SK"/>
              </w:rPr>
              <w:t>c</w:t>
            </w:r>
            <w:r w:rsidRPr="0059477A">
              <w:rPr>
                <w:b w:val="0"/>
                <w:color w:val="231F20"/>
                <w:sz w:val="20"/>
                <w:lang w:eastAsia="sk-SK"/>
              </w:rPr>
              <w:t xml:space="preserve">) </w:t>
            </w:r>
            <w:r w:rsidRPr="0059477A">
              <w:rPr>
                <w:b w:val="0"/>
                <w:sz w:val="20"/>
              </w:rPr>
              <w:t>nepatriacich do kontrolných oblastí emisií oxidov síry určené pre osobné lode poskytujúce pravidelné služby medzi prístavmi členských štátov Európskej únie nesmie obsahovať viac síry ako 1,5 % hmotnosti</w:t>
            </w:r>
            <w:r>
              <w:rPr>
                <w:b w:val="0"/>
                <w:sz w:val="20"/>
              </w:rPr>
              <w:t>.</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8C0916" w:rsidP="00EA0A90">
            <w:pPr>
              <w:jc w:val="both"/>
              <w:rPr>
                <w:sz w:val="20"/>
              </w:rPr>
            </w:pPr>
            <w:r w:rsidRPr="008C0916">
              <w:rPr>
                <w:sz w:val="20"/>
              </w:rPr>
              <w:t>Č6</w:t>
            </w:r>
          </w:p>
          <w:p w:rsidR="00EA0A90" w:rsidRPr="008C0916" w:rsidP="00EA0A90">
            <w:pPr>
              <w:jc w:val="both"/>
              <w:rPr>
                <w:sz w:val="20"/>
              </w:rPr>
            </w:pPr>
            <w:r w:rsidRPr="008C0916">
              <w:rPr>
                <w:sz w:val="20"/>
              </w:rPr>
              <w:t>O6</w:t>
            </w:r>
          </w:p>
        </w:tc>
        <w:tc>
          <w:tcPr>
            <w:tcW w:w="4536" w:type="dxa"/>
            <w:tcBorders>
              <w:top w:val="single" w:sz="4" w:space="0" w:color="auto"/>
              <w:bottom w:val="single" w:sz="4" w:space="0" w:color="auto"/>
            </w:tcBorders>
          </w:tcPr>
          <w:p w:rsidR="00EA0A90" w:rsidRPr="008C0916" w:rsidP="00EA0A90">
            <w:pPr>
              <w:autoSpaceDE w:val="0"/>
              <w:autoSpaceDN w:val="0"/>
              <w:adjustRightInd w:val="0"/>
              <w:jc w:val="both"/>
              <w:rPr>
                <w:rFonts w:ascii="TimesNewRoman" w:hAnsi="TimesNewRoman" w:cs="TimesNewRoman"/>
                <w:color w:val="231F20"/>
                <w:sz w:val="20"/>
                <w:lang w:eastAsia="sk-SK"/>
              </w:rPr>
            </w:pPr>
            <w:r w:rsidRPr="008C0916">
              <w:rPr>
                <w:rFonts w:ascii="TimesNewRoman" w:hAnsi="TimesNewRoman" w:cs="TimesNewRoman"/>
                <w:color w:val="231F20"/>
                <w:sz w:val="20"/>
                <w:lang w:eastAsia="sk-SK"/>
              </w:rPr>
              <w:t xml:space="preserve">6. Členské štáty vyžadujú správne vedenie lodných denníkov vrátane údajov súvisiacich s výmenou paliva. </w:t>
            </w:r>
          </w:p>
        </w:tc>
        <w:tc>
          <w:tcPr>
            <w:tcW w:w="851" w:type="dxa"/>
            <w:tcBorders>
              <w:top w:val="single" w:sz="4" w:space="0" w:color="auto"/>
              <w:bottom w:val="single" w:sz="4" w:space="0" w:color="auto"/>
            </w:tcBorders>
          </w:tcPr>
          <w:p w:rsidR="00EA0A90" w:rsidRPr="008C0916" w:rsidP="00EA0A90">
            <w:pPr>
              <w:jc w:val="both"/>
              <w:rPr>
                <w:sz w:val="20"/>
              </w:rPr>
            </w:pPr>
            <w:r w:rsidRPr="008C0916">
              <w:rPr>
                <w:sz w:val="20"/>
              </w:rPr>
              <w:t>N</w:t>
            </w:r>
          </w:p>
        </w:tc>
        <w:tc>
          <w:tcPr>
            <w:tcW w:w="850" w:type="dxa"/>
            <w:tcBorders>
              <w:top w:val="single" w:sz="4" w:space="0" w:color="auto"/>
              <w:bottom w:val="single" w:sz="4" w:space="0" w:color="auto"/>
            </w:tcBorders>
          </w:tcPr>
          <w:p w:rsidR="00EA0A90" w:rsidRPr="008C0916" w:rsidP="00EA0A90">
            <w:pPr>
              <w:jc w:val="both"/>
              <w:rPr>
                <w:sz w:val="20"/>
              </w:rPr>
            </w:pPr>
            <w:r w:rsidRPr="008C0916">
              <w:rPr>
                <w:sz w:val="20"/>
              </w:rPr>
              <w:t>NV</w:t>
            </w: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p>
          <w:p w:rsidR="00EA0A90" w:rsidRPr="008C0916" w:rsidP="00EA0A90">
            <w:pPr>
              <w:jc w:val="both"/>
              <w:rPr>
                <w:sz w:val="20"/>
              </w:rPr>
            </w:pPr>
            <w:r w:rsidRPr="008C0916">
              <w:rPr>
                <w:sz w:val="20"/>
              </w:rPr>
              <w:t>Z 435</w:t>
            </w:r>
          </w:p>
          <w:p w:rsidR="00EA0A90" w:rsidRPr="008C0916" w:rsidP="00EA0A90">
            <w:pPr>
              <w:jc w:val="both"/>
              <w:rPr>
                <w:sz w:val="20"/>
              </w:rPr>
            </w:pPr>
          </w:p>
        </w:tc>
        <w:tc>
          <w:tcPr>
            <w:tcW w:w="851" w:type="dxa"/>
            <w:tcBorders>
              <w:top w:val="single" w:sz="4" w:space="0" w:color="auto"/>
              <w:bottom w:val="single" w:sz="4" w:space="0" w:color="auto"/>
            </w:tcBorders>
          </w:tcPr>
          <w:p w:rsidR="00EA0A90" w:rsidRPr="008C0916" w:rsidP="00EA0A90">
            <w:pPr>
              <w:pStyle w:val="BodyText21"/>
              <w:spacing w:before="0"/>
            </w:pPr>
            <w:r w:rsidRPr="008C0916">
              <w:t>§6</w:t>
            </w:r>
          </w:p>
          <w:p w:rsidR="00EA0A90" w:rsidRPr="008C0916" w:rsidP="00EA0A90">
            <w:pPr>
              <w:pStyle w:val="BodyText21"/>
              <w:spacing w:before="0"/>
            </w:pPr>
            <w:r w:rsidRPr="008C0916">
              <w:t>O8</w:t>
            </w:r>
          </w:p>
          <w:p w:rsidR="00EA0A90" w:rsidRPr="008C0916" w:rsidP="00EA0A90">
            <w:pPr>
              <w:pStyle w:val="BodyText21"/>
              <w:spacing w:before="0"/>
            </w:pPr>
            <w:r w:rsidRPr="008C0916">
              <w:t>Pa</w:t>
            </w: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p>
          <w:p w:rsidR="00EA0A90" w:rsidRPr="008C0916" w:rsidP="00EA0A90">
            <w:pPr>
              <w:pStyle w:val="BodyText21"/>
              <w:spacing w:before="0"/>
            </w:pPr>
            <w:r w:rsidRPr="008C0916">
              <w:t>§ 20</w:t>
            </w:r>
          </w:p>
          <w:p w:rsidR="00EA0A90" w:rsidRPr="008C0916" w:rsidP="00EA0A90">
            <w:pPr>
              <w:pStyle w:val="BodyText21"/>
              <w:spacing w:before="0"/>
            </w:pPr>
            <w:r w:rsidRPr="008C0916">
              <w:t>O1</w:t>
            </w:r>
          </w:p>
          <w:p w:rsidR="00EA0A90" w:rsidRPr="008C0916" w:rsidP="00EA0A90">
            <w:pPr>
              <w:pStyle w:val="BodyText21"/>
              <w:spacing w:before="0"/>
            </w:pPr>
            <w:r w:rsidRPr="008C0916">
              <w:t>Pbf</w:t>
            </w:r>
          </w:p>
          <w:p w:rsidR="00EA0A90" w:rsidRPr="008C0916" w:rsidP="00EA0A90">
            <w:pPr>
              <w:pStyle w:val="BodyText21"/>
            </w:pPr>
          </w:p>
        </w:tc>
        <w:tc>
          <w:tcPr>
            <w:tcW w:w="4961" w:type="dxa"/>
            <w:tcBorders>
              <w:top w:val="single" w:sz="4" w:space="0" w:color="auto"/>
              <w:bottom w:val="single" w:sz="4" w:space="0" w:color="auto"/>
            </w:tcBorders>
          </w:tcPr>
          <w:p w:rsidR="00EA0A90" w:rsidRPr="008C0916" w:rsidP="00EA0A90">
            <w:pPr>
              <w:tabs>
                <w:tab w:val="left" w:pos="851"/>
              </w:tabs>
              <w:spacing w:after="120"/>
              <w:jc w:val="both"/>
              <w:rPr>
                <w:b/>
                <w:sz w:val="20"/>
                <w:lang w:eastAsia="sk-SK"/>
              </w:rPr>
            </w:pPr>
            <w:r w:rsidRPr="008C0916">
              <w:rPr>
                <w:b/>
                <w:sz w:val="20"/>
                <w:lang w:eastAsia="sk-SK"/>
              </w:rPr>
              <w:t>§ 6</w:t>
            </w:r>
          </w:p>
          <w:p w:rsidR="00EA0A90" w:rsidRPr="008C0916" w:rsidP="00EA0A90">
            <w:pPr>
              <w:tabs>
                <w:tab w:val="left" w:pos="851"/>
              </w:tabs>
              <w:spacing w:after="120"/>
              <w:jc w:val="both"/>
              <w:rPr>
                <w:b/>
                <w:sz w:val="20"/>
                <w:lang w:eastAsia="sk-SK"/>
              </w:rPr>
            </w:pPr>
            <w:r w:rsidRPr="008C0916">
              <w:rPr>
                <w:b/>
                <w:sz w:val="20"/>
                <w:lang w:eastAsia="sk-SK"/>
              </w:rPr>
              <w:t>Lodné palivá</w:t>
            </w:r>
          </w:p>
          <w:p w:rsidR="00EA0A90" w:rsidRPr="008C0916" w:rsidP="00EA0A90">
            <w:pPr>
              <w:pStyle w:val="ListParagraph"/>
              <w:tabs>
                <w:tab w:val="left" w:pos="851"/>
              </w:tabs>
              <w:spacing w:after="120"/>
              <w:ind w:left="0"/>
              <w:jc w:val="both"/>
              <w:rPr>
                <w:rFonts w:ascii="Times New Roman" w:hAnsi="Times New Roman"/>
                <w:sz w:val="20"/>
                <w:szCs w:val="20"/>
              </w:rPr>
            </w:pPr>
            <w:r w:rsidRPr="008C0916">
              <w:rPr>
                <w:rFonts w:ascii="Times New Roman" w:hAnsi="Times New Roman"/>
                <w:sz w:val="20"/>
                <w:szCs w:val="20"/>
              </w:rPr>
              <w:t xml:space="preserve">(8) Požiadavky na obsah síry v lodných palivách podľa odsekov 3 až 7 sa nevzťahujú </w:t>
            </w:r>
          </w:p>
          <w:p w:rsidR="00EA0A90" w:rsidRPr="008C0916" w:rsidP="00EA0A90">
            <w:pPr>
              <w:pStyle w:val="ListParagraph"/>
              <w:tabs>
                <w:tab w:val="left" w:pos="851"/>
              </w:tabs>
              <w:spacing w:after="120" w:line="240" w:lineRule="auto"/>
              <w:ind w:left="0"/>
              <w:contextualSpacing w:val="0"/>
              <w:jc w:val="both"/>
              <w:rPr>
                <w:rFonts w:ascii="Times New Roman" w:hAnsi="Times New Roman"/>
                <w:sz w:val="20"/>
                <w:szCs w:val="20"/>
              </w:rPr>
            </w:pPr>
            <w:r w:rsidRPr="008C0916">
              <w:rPr>
                <w:rFonts w:ascii="Times New Roman" w:hAnsi="Times New Roman"/>
                <w:sz w:val="20"/>
                <w:szCs w:val="20"/>
              </w:rPr>
              <w:t>a) na čas nevyhnutne potrebný na dokončenie všetkých potrebných operácií súvisiacich s výmenou paliva po priplávaní námornej lode do prístavu kotvenia členského štátu Európskej únie, ako aj pred jej odplávaním z tohto prístavu kotvenia, pričom čas všetkých operácií súvisiacich s výmenou paliva sa zaznamenáva podľa osobitných predpisov,</w:t>
            </w:r>
            <w:r w:rsidRPr="008C0916">
              <w:rPr>
                <w:rFonts w:ascii="Times New Roman" w:hAnsi="Times New Roman"/>
                <w:sz w:val="20"/>
                <w:szCs w:val="20"/>
                <w:vertAlign w:val="superscript"/>
              </w:rPr>
              <w:t>25</w:t>
            </w:r>
            <w:r w:rsidRPr="008C0916">
              <w:rPr>
                <w:rFonts w:ascii="Times New Roman" w:hAnsi="Times New Roman"/>
                <w:sz w:val="20"/>
                <w:szCs w:val="20"/>
              </w:rPr>
              <w:t xml:space="preserve">) </w:t>
            </w:r>
          </w:p>
          <w:p w:rsidR="00EA0A90" w:rsidRPr="008C0916" w:rsidP="00EA0A90">
            <w:pPr>
              <w:spacing w:line="240" w:lineRule="atLeast"/>
              <w:ind w:left="-44" w:firstLine="44"/>
              <w:jc w:val="both"/>
            </w:pPr>
            <w:r>
              <w:rPr>
                <w:noProof/>
              </w:rPr>
              <w:pict>
                <v:shape id="_x0000_s1040" type="#_x0000_t32" style="width:58.2pt;height:0;margin-top:5.4pt;margin-left:0.1pt;position:absolute;z-index:251671552" o:connectortype="straight"/>
              </w:pict>
            </w:r>
          </w:p>
          <w:p w:rsidR="00EA0A90" w:rsidRPr="008C0916" w:rsidP="00EA0A90">
            <w:pPr>
              <w:pStyle w:val="ListParagraph"/>
              <w:tabs>
                <w:tab w:val="left" w:pos="851"/>
              </w:tabs>
              <w:spacing w:after="120" w:line="240" w:lineRule="auto"/>
              <w:ind w:left="0"/>
              <w:jc w:val="both"/>
              <w:rPr>
                <w:rFonts w:ascii="Times New Roman" w:eastAsia="Times New Roman" w:hAnsi="Times New Roman"/>
                <w:sz w:val="18"/>
                <w:szCs w:val="18"/>
                <w:lang w:eastAsia="cs-CZ"/>
              </w:rPr>
            </w:pPr>
            <w:r w:rsidRPr="008C0916">
              <w:rPr>
                <w:sz w:val="18"/>
                <w:szCs w:val="18"/>
                <w:vertAlign w:val="superscript"/>
              </w:rPr>
              <w:t>25</w:t>
            </w:r>
            <w:r w:rsidRPr="008C0916">
              <w:rPr>
                <w:sz w:val="18"/>
                <w:szCs w:val="18"/>
              </w:rPr>
              <w:t xml:space="preserve">) </w:t>
            </w:r>
            <w:r w:rsidRPr="008C0916">
              <w:rPr>
                <w:rFonts w:ascii="Times New Roman" w:eastAsia="Times New Roman" w:hAnsi="Times New Roman"/>
                <w:sz w:val="18"/>
                <w:szCs w:val="18"/>
                <w:lang w:eastAsia="cs-CZ"/>
              </w:rPr>
              <w:t>§ 20 ods. 1 zákona č. 435/2000 Z. z. v znení zákona č. 440/2010 Z. z.</w:t>
            </w:r>
          </w:p>
          <w:p w:rsidR="00EA0A90" w:rsidRPr="008C0916" w:rsidP="00EA0A90">
            <w:pPr>
              <w:pStyle w:val="ListParagraph"/>
              <w:tabs>
                <w:tab w:val="left" w:pos="851"/>
              </w:tabs>
              <w:spacing w:after="120" w:line="240" w:lineRule="auto"/>
              <w:ind w:left="0"/>
              <w:jc w:val="both"/>
              <w:rPr>
                <w:rFonts w:ascii="Times New Roman" w:eastAsia="Times New Roman" w:hAnsi="Times New Roman"/>
                <w:b/>
                <w:sz w:val="18"/>
                <w:szCs w:val="18"/>
                <w:lang w:eastAsia="cs-CZ"/>
              </w:rPr>
            </w:pPr>
          </w:p>
          <w:p w:rsidR="00EA0A90" w:rsidRPr="008C0916" w:rsidP="00EA0A90">
            <w:pPr>
              <w:pStyle w:val="ListParagraph"/>
              <w:tabs>
                <w:tab w:val="left" w:pos="851"/>
              </w:tabs>
              <w:spacing w:after="120" w:line="240" w:lineRule="auto"/>
              <w:ind w:left="0"/>
              <w:jc w:val="both"/>
              <w:rPr>
                <w:rFonts w:ascii="Times New Roman" w:eastAsia="Times New Roman" w:hAnsi="Times New Roman"/>
                <w:b/>
                <w:sz w:val="20"/>
                <w:szCs w:val="20"/>
                <w:lang w:eastAsia="cs-CZ"/>
              </w:rPr>
            </w:pPr>
            <w:r w:rsidRPr="008C0916">
              <w:rPr>
                <w:rFonts w:ascii="Times New Roman" w:eastAsia="Times New Roman" w:hAnsi="Times New Roman"/>
                <w:b/>
                <w:sz w:val="20"/>
                <w:szCs w:val="20"/>
                <w:lang w:eastAsia="cs-CZ"/>
              </w:rPr>
              <w:t>§ 20</w:t>
            </w:r>
          </w:p>
          <w:p w:rsidR="00EA0A90" w:rsidRPr="008C0916" w:rsidP="00EA0A90">
            <w:pPr>
              <w:pStyle w:val="ListParagraph"/>
              <w:tabs>
                <w:tab w:val="left" w:pos="851"/>
              </w:tabs>
              <w:spacing w:after="120" w:line="240" w:lineRule="auto"/>
              <w:ind w:left="0"/>
              <w:jc w:val="both"/>
              <w:rPr>
                <w:rFonts w:ascii="Times New Roman" w:eastAsia="Times New Roman" w:hAnsi="Times New Roman"/>
                <w:b/>
                <w:sz w:val="20"/>
                <w:szCs w:val="20"/>
                <w:lang w:eastAsia="cs-CZ"/>
              </w:rPr>
            </w:pPr>
            <w:r w:rsidRPr="008C0916">
              <w:rPr>
                <w:rFonts w:ascii="Times New Roman" w:eastAsia="Times New Roman" w:hAnsi="Times New Roman"/>
                <w:b/>
                <w:sz w:val="20"/>
                <w:szCs w:val="20"/>
                <w:lang w:eastAsia="cs-CZ"/>
              </w:rPr>
              <w:t>Lodné listiny, denníky a iné lodné doklady</w:t>
            </w:r>
          </w:p>
          <w:p w:rsidR="00EA0A90" w:rsidRPr="008C0916" w:rsidP="00EA0A90">
            <w:pPr>
              <w:pStyle w:val="ListParagraph"/>
              <w:tabs>
                <w:tab w:val="left" w:pos="851"/>
              </w:tabs>
              <w:spacing w:after="120" w:line="240" w:lineRule="auto"/>
              <w:ind w:left="0"/>
              <w:jc w:val="both"/>
              <w:rPr>
                <w:rFonts w:ascii="Times New Roman" w:eastAsia="Times New Roman" w:hAnsi="Times New Roman"/>
                <w:sz w:val="20"/>
                <w:szCs w:val="20"/>
                <w:lang w:eastAsia="cs-CZ"/>
              </w:rPr>
            </w:pPr>
            <w:r w:rsidRPr="008C0916">
              <w:rPr>
                <w:rFonts w:ascii="Times New Roman" w:eastAsia="Times New Roman" w:hAnsi="Times New Roman"/>
                <w:sz w:val="20"/>
                <w:szCs w:val="20"/>
                <w:lang w:eastAsia="cs-CZ"/>
              </w:rPr>
              <w:t>(1) Na námornej lodi okrem námornej jachty musia byť v origináli uložené tieto lodné listiny, denníky a iné lodné doklady:</w:t>
            </w:r>
          </w:p>
          <w:p w:rsidR="00EA0A90" w:rsidRPr="008C0916" w:rsidP="00EA0A90">
            <w:pPr>
              <w:pStyle w:val="ListParagraph"/>
              <w:tabs>
                <w:tab w:val="left" w:pos="851"/>
              </w:tabs>
              <w:spacing w:after="120" w:line="240" w:lineRule="auto"/>
              <w:ind w:left="0"/>
              <w:jc w:val="both"/>
            </w:pPr>
            <w:r w:rsidRPr="008C0916">
              <w:rPr>
                <w:rFonts w:ascii="Times New Roman" w:eastAsia="Times New Roman" w:hAnsi="Times New Roman"/>
                <w:sz w:val="20"/>
                <w:szCs w:val="20"/>
                <w:lang w:eastAsia="cs-CZ"/>
              </w:rPr>
              <w:t>bf) lodný denník,</w:t>
            </w:r>
          </w:p>
        </w:tc>
        <w:tc>
          <w:tcPr>
            <w:tcW w:w="709" w:type="dxa"/>
            <w:tcBorders>
              <w:top w:val="single" w:sz="4" w:space="0" w:color="auto"/>
              <w:bottom w:val="single" w:sz="4" w:space="0" w:color="auto"/>
            </w:tcBorders>
          </w:tcPr>
          <w:p w:rsidR="00EA0A90" w:rsidRPr="008C0916" w:rsidP="00EA0A90">
            <w:pPr>
              <w:jc w:val="both"/>
              <w:rPr>
                <w:sz w:val="20"/>
              </w:rPr>
            </w:pPr>
            <w:r w:rsidRPr="008C0916">
              <w:rPr>
                <w:sz w:val="20"/>
              </w:rPr>
              <w:t>Ú</w:t>
            </w:r>
          </w:p>
        </w:tc>
        <w:tc>
          <w:tcPr>
            <w:tcW w:w="1417" w:type="dxa"/>
            <w:tcBorders>
              <w:top w:val="single" w:sz="4" w:space="0" w:color="auto"/>
              <w:bottom w:val="single" w:sz="4" w:space="0" w:color="auto"/>
            </w:tcBorders>
          </w:tcPr>
          <w:p w:rsidR="00EA0A90" w:rsidRPr="003B208B" w:rsidP="00EA0A90">
            <w:pPr>
              <w:jc w:val="both"/>
              <w:rPr>
                <w:sz w:val="20"/>
                <w:highlight w:val="green"/>
              </w:rPr>
            </w:pP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CA1D66" w:rsidP="00EA0A90">
            <w:pPr>
              <w:jc w:val="both"/>
              <w:rPr>
                <w:sz w:val="20"/>
              </w:rPr>
            </w:pPr>
            <w:r w:rsidRPr="00CA1D66">
              <w:rPr>
                <w:sz w:val="20"/>
              </w:rPr>
              <w:t>Č6</w:t>
            </w:r>
          </w:p>
          <w:p w:rsidR="00EA0A90" w:rsidRPr="00CA1D66" w:rsidP="00EA0A90">
            <w:pPr>
              <w:jc w:val="both"/>
              <w:rPr>
                <w:sz w:val="20"/>
              </w:rPr>
            </w:pPr>
            <w:r w:rsidRPr="00CA1D66">
              <w:rPr>
                <w:sz w:val="20"/>
              </w:rPr>
              <w:t>O7</w:t>
            </w:r>
          </w:p>
        </w:tc>
        <w:tc>
          <w:tcPr>
            <w:tcW w:w="4536" w:type="dxa"/>
            <w:tcBorders>
              <w:top w:val="single" w:sz="4" w:space="0" w:color="auto"/>
              <w:bottom w:val="single" w:sz="4" w:space="0" w:color="auto"/>
            </w:tcBorders>
          </w:tcPr>
          <w:p w:rsidR="00EA0A90" w:rsidRPr="00CA1D66" w:rsidP="00EA0A90">
            <w:pPr>
              <w:autoSpaceDE w:val="0"/>
              <w:autoSpaceDN w:val="0"/>
              <w:adjustRightInd w:val="0"/>
              <w:jc w:val="both"/>
              <w:rPr>
                <w:rFonts w:ascii="TimesNewRoman" w:hAnsi="TimesNewRoman" w:cs="TimesNewRoman"/>
                <w:color w:val="231F20"/>
                <w:sz w:val="20"/>
                <w:lang w:eastAsia="sk-SK"/>
              </w:rPr>
            </w:pPr>
            <w:r w:rsidRPr="00CA1D66">
              <w:rPr>
                <w:rFonts w:ascii="TimesNewRoman" w:hAnsi="TimesNewRoman" w:cs="TimesNewRoman"/>
                <w:color w:val="231F20"/>
                <w:sz w:val="20"/>
                <w:lang w:eastAsia="sk-SK"/>
              </w:rPr>
              <w:t>7. Členské štáty sa usilujú zabezpečiť dostupnosť lodných palív, ktoré sú v súlade s touto smernicou, a o dostupnosti týchto lodných palív vo svojich prístavoch a termináloch informujú Komisiu.</w:t>
            </w:r>
          </w:p>
        </w:tc>
        <w:tc>
          <w:tcPr>
            <w:tcW w:w="851" w:type="dxa"/>
            <w:tcBorders>
              <w:top w:val="single" w:sz="4" w:space="0" w:color="auto"/>
              <w:bottom w:val="single" w:sz="4" w:space="0" w:color="auto"/>
            </w:tcBorders>
          </w:tcPr>
          <w:p w:rsidR="00EA0A90" w:rsidRPr="00CA1D66" w:rsidP="00EA0A90">
            <w:pPr>
              <w:jc w:val="both"/>
              <w:rPr>
                <w:sz w:val="20"/>
              </w:rPr>
            </w:pPr>
            <w:r w:rsidRPr="00CA1D66">
              <w:rPr>
                <w:sz w:val="20"/>
              </w:rPr>
              <w:t>N</w:t>
            </w:r>
          </w:p>
        </w:tc>
        <w:tc>
          <w:tcPr>
            <w:tcW w:w="850" w:type="dxa"/>
            <w:tcBorders>
              <w:top w:val="single" w:sz="4" w:space="0" w:color="auto"/>
              <w:bottom w:val="single" w:sz="4" w:space="0" w:color="auto"/>
            </w:tcBorders>
          </w:tcPr>
          <w:p w:rsidR="00EA0A90" w:rsidRPr="00CA1D66" w:rsidP="00EA0A90">
            <w:pPr>
              <w:jc w:val="both"/>
              <w:rPr>
                <w:sz w:val="20"/>
              </w:rPr>
            </w:pPr>
            <w:r w:rsidRPr="00CA1D66">
              <w:rPr>
                <w:sz w:val="20"/>
              </w:rPr>
              <w:t>NV1</w:t>
            </w:r>
          </w:p>
        </w:tc>
        <w:tc>
          <w:tcPr>
            <w:tcW w:w="851" w:type="dxa"/>
            <w:tcBorders>
              <w:top w:val="single" w:sz="4" w:space="0" w:color="auto"/>
              <w:bottom w:val="single" w:sz="4" w:space="0" w:color="auto"/>
            </w:tcBorders>
          </w:tcPr>
          <w:p w:rsidR="00EA0A90" w:rsidRPr="00CA1D66" w:rsidP="00EA0A90">
            <w:pPr>
              <w:pStyle w:val="BodyText21"/>
            </w:pPr>
            <w:r w:rsidRPr="00CA1D66">
              <w:t>§2</w:t>
            </w:r>
          </w:p>
          <w:p w:rsidR="00EA0A90" w:rsidRPr="00CA1D66" w:rsidP="00EA0A90">
            <w:pPr>
              <w:pStyle w:val="BodyText21"/>
            </w:pPr>
          </w:p>
          <w:p w:rsidR="00EA0A90" w:rsidRPr="00CA1D66" w:rsidP="00EA0A90">
            <w:pPr>
              <w:pStyle w:val="BodyText21"/>
            </w:pPr>
          </w:p>
          <w:p w:rsidR="00EA0A90" w:rsidRPr="00CA1D66" w:rsidP="00EA0A90">
            <w:pPr>
              <w:pStyle w:val="BodyText21"/>
            </w:pPr>
          </w:p>
          <w:p w:rsidR="00EA0A90" w:rsidRPr="00CA1D66" w:rsidP="00EA0A90">
            <w:pPr>
              <w:pStyle w:val="BodyText21"/>
            </w:pPr>
          </w:p>
          <w:p w:rsidR="00EA0A90" w:rsidRPr="00CA1D66" w:rsidP="00EA0A90">
            <w:pPr>
              <w:pStyle w:val="BodyText21"/>
            </w:pPr>
            <w:r w:rsidRPr="00CA1D66">
              <w:t>Príloha č.1</w:t>
            </w:r>
          </w:p>
          <w:p w:rsidR="00EA0A90" w:rsidRPr="00CA1D66" w:rsidP="00EA0A90">
            <w:pPr>
              <w:pStyle w:val="BodyText21"/>
            </w:pPr>
            <w:r w:rsidRPr="00CA1D66">
              <w:t>P8</w:t>
            </w:r>
          </w:p>
        </w:tc>
        <w:tc>
          <w:tcPr>
            <w:tcW w:w="4961" w:type="dxa"/>
            <w:tcBorders>
              <w:top w:val="single" w:sz="4" w:space="0" w:color="auto"/>
              <w:bottom w:val="single" w:sz="4" w:space="0" w:color="auto"/>
            </w:tcBorders>
          </w:tcPr>
          <w:p w:rsidR="00EA0A90" w:rsidRPr="00CA1D66" w:rsidP="00EA0A90">
            <w:pPr>
              <w:pStyle w:val="BodyText"/>
              <w:rPr>
                <w:b/>
                <w:sz w:val="20"/>
              </w:rPr>
            </w:pPr>
            <w:r w:rsidRPr="00CA1D66">
              <w:rPr>
                <w:b/>
                <w:sz w:val="20"/>
              </w:rPr>
              <w:t>§ 2</w:t>
            </w:r>
          </w:p>
          <w:p w:rsidR="00EA0A90" w:rsidRPr="00CA1D66" w:rsidP="00EA0A90">
            <w:pPr>
              <w:pStyle w:val="BodyText"/>
              <w:jc w:val="left"/>
              <w:rPr>
                <w:b/>
                <w:sz w:val="20"/>
              </w:rPr>
            </w:pPr>
            <w:r w:rsidRPr="00CA1D66">
              <w:rPr>
                <w:b/>
                <w:sz w:val="20"/>
              </w:rPr>
              <w:t>Informácie a správy podávané Komisii notifikačným orgánom</w:t>
            </w:r>
          </w:p>
          <w:p w:rsidR="00EA0A90" w:rsidRPr="00CA1D66" w:rsidP="00EA0A90">
            <w:pPr>
              <w:rPr>
                <w:szCs w:val="24"/>
              </w:rPr>
            </w:pPr>
          </w:p>
          <w:p w:rsidR="00EA0A90" w:rsidRPr="00CA1D66" w:rsidP="00EA0A90">
            <w:pPr>
              <w:tabs>
                <w:tab w:val="left" w:pos="993"/>
              </w:tabs>
              <w:jc w:val="both"/>
              <w:rPr>
                <w:sz w:val="20"/>
              </w:rPr>
            </w:pPr>
            <w:r w:rsidRPr="00CA1D66">
              <w:rPr>
                <w:sz w:val="20"/>
              </w:rPr>
              <w:t xml:space="preserve">Obsah a rozsah informácií a správ podávaných Komisii notifikačným orgánom </w:t>
            </w:r>
            <w:r w:rsidRPr="008D7109">
              <w:rPr>
                <w:sz w:val="20"/>
              </w:rPr>
              <w:t xml:space="preserve">podľa § </w:t>
            </w:r>
            <w:r w:rsidRPr="008D7109" w:rsidR="008D7109">
              <w:rPr>
                <w:sz w:val="20"/>
              </w:rPr>
              <w:t>41</w:t>
            </w:r>
            <w:r w:rsidRPr="008D7109">
              <w:rPr>
                <w:sz w:val="20"/>
              </w:rPr>
              <w:t xml:space="preserve"> písm</w:t>
            </w:r>
            <w:r w:rsidRPr="00CA1D66">
              <w:rPr>
                <w:sz w:val="20"/>
              </w:rPr>
              <w:t>. d) zákona a lehoty ich podávania sú uvedené v prílohe č. 1.</w:t>
            </w:r>
          </w:p>
          <w:p w:rsidR="00EA0A90" w:rsidRPr="00CA1D66" w:rsidP="00EA0A90">
            <w:pPr>
              <w:tabs>
                <w:tab w:val="left" w:pos="993"/>
              </w:tabs>
              <w:jc w:val="both"/>
              <w:rPr>
                <w:sz w:val="20"/>
              </w:rPr>
            </w:pPr>
            <w:r w:rsidRPr="00CA1D66">
              <w:rPr>
                <w:sz w:val="20"/>
              </w:rPr>
              <w:t xml:space="preserve"> </w:t>
            </w:r>
          </w:p>
          <w:p w:rsidR="00EA0A90" w:rsidRPr="00CA1D66" w:rsidP="00EA0A90">
            <w:pPr>
              <w:tabs>
                <w:tab w:val="left" w:pos="993"/>
              </w:tabs>
              <w:jc w:val="both"/>
              <w:rPr>
                <w:sz w:val="20"/>
              </w:rPr>
            </w:pPr>
            <w:r w:rsidRPr="00CA1D66">
              <w:rPr>
                <w:sz w:val="20"/>
              </w:rPr>
              <w:t xml:space="preserve">8. KVALITA PALÍV podľa § 37 zákona </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2"/>
              <w:gridCol w:w="1550"/>
              <w:gridCol w:w="1619"/>
            </w:tblGrid>
            <w:tr w:rsidTr="0086222A">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642" w:type="dxa"/>
                  <w:shd w:val="clear" w:color="auto" w:fill="auto"/>
                  <w:vAlign w:val="center"/>
                </w:tcPr>
                <w:p w:rsidR="00EA0A90" w:rsidRPr="00CA1D66" w:rsidP="00EA0A90">
                  <w:pPr>
                    <w:widowControl w:val="0"/>
                    <w:ind w:right="-108"/>
                    <w:rPr>
                      <w:rFonts w:eastAsia="SimSun"/>
                      <w:b/>
                      <w:sz w:val="20"/>
                    </w:rPr>
                  </w:pPr>
                  <w:r w:rsidRPr="00CA1D66">
                    <w:rPr>
                      <w:rFonts w:eastAsia="SimSun"/>
                      <w:b/>
                      <w:sz w:val="20"/>
                    </w:rPr>
                    <w:t xml:space="preserve">Predmet správy, oznámenia  </w:t>
                  </w:r>
                </w:p>
              </w:tc>
              <w:tc>
                <w:tcPr>
                  <w:tcW w:w="1550" w:type="dxa"/>
                  <w:shd w:val="clear" w:color="auto" w:fill="auto"/>
                  <w:vAlign w:val="center"/>
                </w:tcPr>
                <w:p w:rsidR="00EA0A90" w:rsidRPr="00CA1D66" w:rsidP="00EA0A90">
                  <w:pPr>
                    <w:widowControl w:val="0"/>
                    <w:rPr>
                      <w:rFonts w:eastAsia="SimSun"/>
                      <w:b/>
                      <w:sz w:val="20"/>
                    </w:rPr>
                  </w:pPr>
                  <w:r w:rsidRPr="00CA1D66">
                    <w:rPr>
                      <w:rFonts w:eastAsia="SimSun"/>
                      <w:b/>
                      <w:sz w:val="20"/>
                    </w:rPr>
                    <w:t xml:space="preserve">Údaje, ktoré treba oznamovať </w:t>
                  </w:r>
                </w:p>
              </w:tc>
              <w:tc>
                <w:tcPr>
                  <w:tcW w:w="1619" w:type="dxa"/>
                  <w:shd w:val="clear" w:color="auto" w:fill="auto"/>
                  <w:vAlign w:val="center"/>
                </w:tcPr>
                <w:p w:rsidR="00EA0A90" w:rsidRPr="00CA1D66" w:rsidP="00EA0A90">
                  <w:pPr>
                    <w:widowControl w:val="0"/>
                    <w:rPr>
                      <w:rFonts w:eastAsia="SimSun"/>
                      <w:b/>
                      <w:sz w:val="20"/>
                    </w:rPr>
                  </w:pPr>
                  <w:r w:rsidRPr="00CA1D66">
                    <w:rPr>
                      <w:rFonts w:eastAsia="SimSun"/>
                      <w:b/>
                      <w:sz w:val="20"/>
                    </w:rPr>
                    <w:t xml:space="preserve">Lehoty / termíny </w:t>
                  </w:r>
                </w:p>
              </w:tc>
            </w:tr>
            <w:tr w:rsidTr="0086222A">
              <w:tblPrEx>
                <w:tblW w:w="5000" w:type="pct"/>
                <w:jc w:val="center"/>
                <w:tblLayout w:type="fixed"/>
                <w:tblLook w:val="04A0"/>
              </w:tblPrEx>
              <w:trPr>
                <w:trHeight w:val="2683"/>
                <w:jc w:val="center"/>
              </w:trPr>
              <w:tc>
                <w:tcPr>
                  <w:tcW w:w="1642" w:type="dxa"/>
                  <w:shd w:val="clear" w:color="auto" w:fill="auto"/>
                </w:tcPr>
                <w:p w:rsidR="00EA0A90" w:rsidRPr="00CA1D66" w:rsidP="00EA0A90">
                  <w:pPr>
                    <w:rPr>
                      <w:rFonts w:eastAsia="Trebuchet MS"/>
                      <w:sz w:val="20"/>
                    </w:rPr>
                  </w:pPr>
                  <w:r w:rsidRPr="00CA1D66">
                    <w:rPr>
                      <w:rFonts w:eastAsia="Trebuchet MS"/>
                      <w:b/>
                      <w:sz w:val="20"/>
                      <w:lang w:eastAsia="zh-CN" w:bidi="ar"/>
                    </w:rPr>
                    <w:t>Oznámenie</w:t>
                    <w:br/>
                    <w:t>o dostupnosti lodných palív</w:t>
                  </w:r>
                </w:p>
              </w:tc>
              <w:tc>
                <w:tcPr>
                  <w:tcW w:w="1550" w:type="dxa"/>
                  <w:shd w:val="clear" w:color="auto" w:fill="auto"/>
                </w:tcPr>
                <w:p w:rsidR="00EA0A90" w:rsidRPr="00CA1D66" w:rsidP="00EA0A90">
                  <w:pPr>
                    <w:rPr>
                      <w:rFonts w:eastAsia="Trebuchet MS"/>
                      <w:sz w:val="20"/>
                    </w:rPr>
                  </w:pPr>
                  <w:r w:rsidRPr="00CA1D66">
                    <w:rPr>
                      <w:rFonts w:eastAsia="Trebuchet MS"/>
                      <w:sz w:val="20"/>
                      <w:lang w:eastAsia="zh-CN" w:bidi="ar"/>
                    </w:rPr>
                    <w:t>Informácia o dostupnosti lodných palív v prístavoch a termináloch v Slovenskej republike spĺňajúcich ustanovenia tejto smernice.</w:t>
                  </w:r>
                </w:p>
              </w:tc>
              <w:tc>
                <w:tcPr>
                  <w:tcW w:w="1619" w:type="dxa"/>
                  <w:shd w:val="clear" w:color="auto" w:fill="auto"/>
                </w:tcPr>
                <w:p w:rsidR="00EA0A90" w:rsidRPr="00CA1D66" w:rsidP="00EA0A90">
                  <w:pPr>
                    <w:rPr>
                      <w:rFonts w:eastAsia="Trebuchet MS"/>
                      <w:sz w:val="20"/>
                    </w:rPr>
                  </w:pPr>
                  <w:r w:rsidRPr="00CA1D66">
                    <w:rPr>
                      <w:rFonts w:eastAsia="Trebuchet MS"/>
                      <w:sz w:val="20"/>
                      <w:lang w:eastAsia="zh-CN" w:bidi="ar"/>
                    </w:rPr>
                    <w:t>Bezodkladne</w:t>
                  </w:r>
                </w:p>
              </w:tc>
            </w:tr>
          </w:tbl>
          <w:p w:rsidR="00EA0A90" w:rsidRPr="00CA1D66" w:rsidP="00EA0A90">
            <w:pPr>
              <w:tabs>
                <w:tab w:val="left" w:pos="993"/>
              </w:tabs>
              <w:jc w:val="both"/>
              <w:rPr>
                <w:sz w:val="20"/>
              </w:rPr>
            </w:pPr>
          </w:p>
          <w:p w:rsidR="00EA0A90" w:rsidRPr="00CA1D66" w:rsidP="00EA0A90">
            <w:pPr>
              <w:rPr>
                <w:sz w:val="20"/>
              </w:rPr>
            </w:pPr>
          </w:p>
        </w:tc>
        <w:tc>
          <w:tcPr>
            <w:tcW w:w="709" w:type="dxa"/>
            <w:tcBorders>
              <w:top w:val="single" w:sz="4" w:space="0" w:color="auto"/>
              <w:bottom w:val="single" w:sz="4" w:space="0" w:color="auto"/>
            </w:tcBorders>
          </w:tcPr>
          <w:p w:rsidR="00EA0A90" w:rsidRPr="00CA1D66" w:rsidP="00EA0A90">
            <w:pPr>
              <w:jc w:val="both"/>
              <w:rPr>
                <w:sz w:val="20"/>
              </w:rPr>
            </w:pPr>
            <w:r w:rsidRPr="00CA1D66">
              <w:rPr>
                <w:sz w:val="20"/>
              </w:rPr>
              <w:t>U</w:t>
            </w:r>
          </w:p>
        </w:tc>
        <w:tc>
          <w:tcPr>
            <w:tcW w:w="1417" w:type="dxa"/>
            <w:tcBorders>
              <w:top w:val="single" w:sz="4" w:space="0" w:color="auto"/>
              <w:bottom w:val="single" w:sz="4" w:space="0" w:color="auto"/>
            </w:tcBorders>
          </w:tcPr>
          <w:p w:rsidR="00EA0A90" w:rsidRPr="0086222A" w:rsidP="00EA0A90">
            <w:pPr>
              <w:jc w:val="both"/>
              <w:rPr>
                <w:sz w:val="20"/>
              </w:rPr>
            </w:pP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O8</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8. Ak členský štát zistí, že loď nespĺňa normy pre lodné palivá, ktoré sú v súlade s touto smernicou, príslušný orgán členského štátu je oprávnený požadovať, aby loď: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 predložila záznam krokov prijatých v snahe o dosiahnutie súladu a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b) predložila dôkazy o tom, že sa pokúsila nakúpiť lodné palivo, ktoré je v súlade s touto smernicou, v súlade so svojím plánom plavby a v prípade, že nebolo k dispozícii v mieste plánovaného nákupu, sa pokúsila nájsť alternatívne zdroje tohto lodného paliva a že napriek maximálnemu úsiliu o získanie lodného paliva, ktoré je v súlade s touto smernicou, ho nebolo možné kúpiť.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Od lode sa nepožaduje, aby sa v záujme dosiahnutia súladu odchýlila od svojej plánovanej trasy alebo aby plavbu neprimerane odkladala.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Ak loď predloží informácie uvedené v prvom pododseku, príslušný členský štát zohľadní všetky náležité okolnosti a predložené dôkazy s cieľom určiť vhodné kroky, ktoré sa majú prijať vrátane upustenia od kontrolných opatrení.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Ak loď nemôže kúpiť lodné palivo, ktoré je v súlade s touto smernicou, oznámi to svojmu vlajkovému štátu a príslušnému orgánu daného cieľového prístavu.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Keď loď predloží dôkazy o nedostupnosti lodného paliva, ktoré je v súlade s touto smernicou, prístavný štát to oznámi Komisii.</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58076F" w:rsidP="00EA0A90"/>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r w:rsidRPr="00D52C0C">
              <w:rPr>
                <w:sz w:val="20"/>
              </w:rPr>
              <w:t>SR je vnútrozemský štát a nemá morský prístav.</w:t>
            </w: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O9</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9. Členské štáty v súlade s pravidlom 18 prílohy VI k dohovoru MARPOL: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 vedú verejne dostupný register miestnych dodávateľov lodných palív;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b) zabezpečujú, aby bol obsah síry vo všetkých lodných palivách predávaných na ich území zaevidovaný dodávateľom na dodacom liste pre nádrž lode s pripojením zapečatenej vzorky podpísanej zástupcom prijímajúcej lode;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c) podnikajú kroky voči dodávateľom lodných palív, u ktorých bolo zistené, že dodávajú palivo, ktoré nezodpovedá údajom uvedeným na dodacom liste pre nádrž lode;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d) zabezpečujú, že sa podniknú nápravné kroky na uvedenie zisteného nevyhovujúceho lodného paliva do súladu s požiadavkami.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r w:rsidRPr="00D52C0C">
              <w:rPr>
                <w:sz w:val="20"/>
              </w:rPr>
              <w:t>SR je vnútrozemský štát a nemá morský prístav.</w:t>
            </w:r>
          </w:p>
        </w:tc>
      </w:tr>
      <w:tr w:rsidTr="000B581A">
        <w:tblPrEx>
          <w:tblW w:w="14954" w:type="dxa"/>
          <w:tblLayout w:type="fixed"/>
          <w:tblCellMar>
            <w:left w:w="70" w:type="dxa"/>
            <w:right w:w="70" w:type="dxa"/>
          </w:tblCellMar>
          <w:tblLook w:val="0000"/>
        </w:tblPrEx>
        <w:trPr>
          <w:trHeight w:val="55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Č6</w:t>
            </w:r>
          </w:p>
          <w:p w:rsidR="00EA0A90" w:rsidRPr="00D52C0C" w:rsidP="00EA0A90">
            <w:pPr>
              <w:jc w:val="both"/>
              <w:rPr>
                <w:sz w:val="20"/>
              </w:rPr>
            </w:pPr>
            <w:r w:rsidRPr="00D52C0C">
              <w:rPr>
                <w:sz w:val="20"/>
              </w:rPr>
              <w:t>O10</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7. Členské štáty zabezpečia, aby sa na ich území neuvádzala na trh lodná motorová nafta, ak je jej obsah síry vyšší než 1,50 % hmotnosti.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RPr="00D52C0C" w:rsidP="00EA0A90">
            <w:pPr>
              <w:pStyle w:val="BodyText21"/>
              <w:spacing w:before="0"/>
            </w:pPr>
            <w:r>
              <w:t>O5</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060549" w:rsidP="00EA0A90">
            <w:pPr>
              <w:pStyle w:val="odsek1"/>
            </w:pPr>
            <w:r w:rsidRPr="00060549">
              <w:t>(5) Lodná motorová nafta uvádzaná na trh na území Slovenskej republiky nesmie obsahovať viac síry ako 1,5 % hmotnosti.</w:t>
            </w:r>
          </w:p>
          <w:p w:rsidR="00EA0A90" w:rsidRPr="00060549" w:rsidP="00EA0A90">
            <w:pPr>
              <w:pStyle w:val="Heading6"/>
              <w:rPr>
                <w:b w:val="0"/>
                <w:color w:val="231F20"/>
                <w:sz w:val="20"/>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80336D">
        <w:tblPrEx>
          <w:tblW w:w="14954" w:type="dxa"/>
          <w:tblLayout w:type="fixed"/>
          <w:tblCellMar>
            <w:left w:w="70" w:type="dxa"/>
            <w:right w:w="70" w:type="dxa"/>
          </w:tblCellMar>
          <w:tblLook w:val="0000"/>
        </w:tblPrEx>
        <w:trPr>
          <w:trHeight w:val="5249"/>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Č7</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7</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Maximálny obsah síry v lodných palivách používaných loďami kotviacimi v prístavoch Únie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1. Členské štáty prijmú všetky potrebné opatrenia na zabezpečenie toho, aby lode kotviace v prístavoch Únie nepoužívali lodné palivá, ak je ich obsah síry vyšší než 0,10 % hmotnosti, pričom sa posádke poskytne dostatok času na dokončenie všetkých potrebných operácií súvisiacich s výmenou paliva čo najskôr po priplávaní do kotviska a čo najneskôr pred odplávaním. </w:t>
            </w:r>
          </w:p>
          <w:p w:rsidR="00EA0A90" w:rsidRPr="00D52C0C" w:rsidP="00EA0A90">
            <w:pPr>
              <w:autoSpaceDE w:val="0"/>
              <w:autoSpaceDN w:val="0"/>
              <w:adjustRightInd w:val="0"/>
              <w:jc w:val="both"/>
              <w:rPr>
                <w:rFonts w:ascii="TimesNewRoman" w:hAnsi="TimesNewRoman" w:cs="TimesNewRoman"/>
                <w:color w:val="231F20"/>
                <w:sz w:val="20"/>
                <w:lang w:eastAsia="sk-SK"/>
              </w:rPr>
            </w:pP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Členské štáty vyžadujú, aby sa čas všetkých operácií súvisiacich s výmenou paliva zaznamenával do lodných denníkov.</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RPr="00D52C0C" w:rsidP="00EA0A90">
            <w:pPr>
              <w:pStyle w:val="BodyText21"/>
              <w:spacing w:before="0"/>
            </w:pPr>
            <w:r>
              <w:t>O4</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r>
              <w:t>O8</w:t>
            </w:r>
          </w:p>
          <w:p w:rsidR="00EA0A90" w:rsidP="00EA0A90">
            <w:pPr>
              <w:pStyle w:val="BodyText21"/>
              <w:spacing w:before="0"/>
            </w:pPr>
            <w:r>
              <w:t>Pa</w:t>
            </w: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p>
          <w:p w:rsidR="00EA0A90" w:rsidRPr="00D52C0C" w:rsidP="00EA0A90">
            <w:pPr>
              <w:pStyle w:val="BodyText21"/>
              <w:spacing w:before="0"/>
            </w:pP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060549" w:rsidP="00EA0A90">
            <w:pPr>
              <w:pStyle w:val="odsek1"/>
            </w:pPr>
            <w:r w:rsidRPr="00060549">
              <w:t>(4) Lodné palivo používané námornými loďami kotviacimi v prístavoch členských štátoch Európskej únie nesmie obsahovať viac síry ako 0,1 % hmotnosti.</w:t>
            </w:r>
          </w:p>
          <w:p w:rsidR="00EA0A90" w:rsidP="00EA0A90">
            <w:pPr>
              <w:pStyle w:val="ListParagraph"/>
              <w:tabs>
                <w:tab w:val="left" w:pos="851"/>
              </w:tabs>
              <w:spacing w:after="120"/>
              <w:ind w:left="0"/>
              <w:jc w:val="both"/>
              <w:rPr>
                <w:rFonts w:ascii="Times New Roman" w:eastAsia="Times New Roman" w:hAnsi="Times New Roman"/>
                <w:color w:val="231F20"/>
                <w:sz w:val="20"/>
                <w:szCs w:val="20"/>
                <w:lang w:eastAsia="sk-SK"/>
              </w:rPr>
            </w:pPr>
          </w:p>
          <w:p w:rsidR="00EA0A90" w:rsidRPr="00E30112" w:rsidP="00EA0A90">
            <w:pPr>
              <w:pStyle w:val="ListParagraph"/>
              <w:tabs>
                <w:tab w:val="left" w:pos="851"/>
              </w:tabs>
              <w:spacing w:after="120"/>
              <w:ind w:left="0"/>
              <w:jc w:val="both"/>
              <w:rPr>
                <w:rFonts w:ascii="Times New Roman" w:hAnsi="Times New Roman"/>
                <w:sz w:val="20"/>
                <w:szCs w:val="20"/>
              </w:rPr>
            </w:pPr>
            <w:r w:rsidRPr="00E30112">
              <w:rPr>
                <w:rFonts w:ascii="Times New Roman" w:eastAsia="Times New Roman" w:hAnsi="Times New Roman"/>
                <w:color w:val="231F20"/>
                <w:sz w:val="20"/>
                <w:szCs w:val="20"/>
                <w:lang w:eastAsia="sk-SK"/>
              </w:rPr>
              <w:t xml:space="preserve">(8) </w:t>
            </w:r>
            <w:r w:rsidRPr="00E30112">
              <w:rPr>
                <w:rFonts w:ascii="Times New Roman" w:hAnsi="Times New Roman"/>
                <w:sz w:val="20"/>
                <w:szCs w:val="20"/>
              </w:rPr>
              <w:t xml:space="preserve">Požiadavky na obsah síry v lodných palivách podľa odsekov 3 až 7 sa nevzťahujú </w:t>
            </w:r>
          </w:p>
          <w:p w:rsidR="00EA0A90" w:rsidP="00EA0A90">
            <w:pPr>
              <w:pStyle w:val="ListParagraph"/>
              <w:tabs>
                <w:tab w:val="left" w:pos="851"/>
              </w:tabs>
              <w:spacing w:after="120" w:line="240" w:lineRule="auto"/>
              <w:ind w:left="350" w:hanging="350"/>
              <w:contextualSpacing w:val="0"/>
              <w:jc w:val="both"/>
              <w:rPr>
                <w:rFonts w:ascii="Times New Roman" w:hAnsi="Times New Roman"/>
                <w:sz w:val="20"/>
                <w:szCs w:val="20"/>
              </w:rPr>
            </w:pPr>
            <w:r w:rsidRPr="00E30112">
              <w:rPr>
                <w:rFonts w:ascii="Times New Roman" w:hAnsi="Times New Roman"/>
                <w:sz w:val="20"/>
                <w:szCs w:val="20"/>
              </w:rPr>
              <w:t>a)  na čas nevyhnutne potrebný na dokončenie všetkých potrebných operácií súvisiacich s výmenou paliva po priplávaní námornej lode do prístavu kotvenia členského štátu Európskej únie, ako aj pred jej odplávaním z tohto prístavu kotvenia, pričom čas všetkých operácií súvisiacich s výmenou paliva sa zaznamenáva podľa osobitných predpisov,</w:t>
            </w:r>
            <w:r w:rsidRPr="0080336D">
              <w:rPr>
                <w:rFonts w:ascii="Times New Roman" w:hAnsi="Times New Roman"/>
                <w:sz w:val="20"/>
                <w:szCs w:val="20"/>
                <w:vertAlign w:val="superscript"/>
              </w:rPr>
              <w:t>25</w:t>
            </w:r>
            <w:r w:rsidRPr="00E30112">
              <w:rPr>
                <w:rFonts w:ascii="Times New Roman" w:hAnsi="Times New Roman"/>
                <w:sz w:val="20"/>
                <w:szCs w:val="20"/>
              </w:rPr>
              <w:t xml:space="preserve">) </w:t>
            </w:r>
          </w:p>
          <w:p w:rsidR="00EA0A90" w:rsidP="00EA0A90">
            <w:pPr>
              <w:spacing w:line="240" w:lineRule="atLeast"/>
              <w:ind w:left="-44" w:firstLine="44"/>
              <w:jc w:val="both"/>
            </w:pPr>
            <w:r>
              <w:rPr>
                <w:noProof/>
              </w:rPr>
              <w:pict>
                <v:shape id="_x0000_s1041" type="#_x0000_t32" style="width:58.2pt;height:0;margin-top:5.4pt;margin-left:0.1pt;position:absolute;z-index:251672576" o:connectortype="straight"/>
              </w:pict>
            </w:r>
          </w:p>
          <w:p w:rsidR="00EA0A90" w:rsidRPr="00964863" w:rsidP="00EA0A90">
            <w:pPr>
              <w:pStyle w:val="ListParagraph"/>
              <w:tabs>
                <w:tab w:val="left" w:pos="851"/>
              </w:tabs>
              <w:spacing w:after="120" w:line="240" w:lineRule="auto"/>
              <w:ind w:left="350" w:hanging="350"/>
              <w:contextualSpacing w:val="0"/>
              <w:jc w:val="both"/>
              <w:rPr>
                <w:b/>
                <w:color w:val="231F20"/>
                <w:sz w:val="20"/>
                <w:highlight w:val="yellow"/>
                <w:lang w:eastAsia="sk-SK"/>
              </w:rPr>
            </w:pPr>
            <w:r>
              <w:rPr>
                <w:sz w:val="18"/>
                <w:szCs w:val="18"/>
                <w:vertAlign w:val="superscript"/>
              </w:rPr>
              <w:t>25</w:t>
            </w:r>
            <w:r>
              <w:rPr>
                <w:sz w:val="18"/>
                <w:szCs w:val="18"/>
              </w:rPr>
              <w:t xml:space="preserve">) </w:t>
            </w:r>
            <w:r w:rsidRPr="00146157">
              <w:rPr>
                <w:rFonts w:ascii="Times New Roman" w:eastAsia="Times New Roman" w:hAnsi="Times New Roman"/>
                <w:sz w:val="18"/>
                <w:szCs w:val="18"/>
                <w:lang w:eastAsia="cs-CZ"/>
              </w:rPr>
              <w:t>§ 20 ods. 1 zákona č. 435/2000 Z. z. v znení zákona č. 440/2010 Z. z.</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rPr>
                <w:sz w:val="20"/>
              </w:rPr>
            </w:pPr>
          </w:p>
        </w:tc>
      </w:tr>
      <w:tr w:rsidTr="000B581A">
        <w:tblPrEx>
          <w:tblW w:w="14954" w:type="dxa"/>
          <w:tblLayout w:type="fixed"/>
          <w:tblCellMar>
            <w:left w:w="70" w:type="dxa"/>
            <w:right w:w="70" w:type="dxa"/>
          </w:tblCellMar>
          <w:tblLook w:val="0000"/>
        </w:tblPrEx>
        <w:trPr>
          <w:trHeight w:val="1524"/>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Č7</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2. Odsek 1 sa nevzťahuje na: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 prípady, keď podľa uverejneného cestovného poriadku má byť loď v kotvisku menej než dve hodiny; </w:t>
            </w:r>
          </w:p>
          <w:p w:rsidR="00EA0A90" w:rsidRPr="00D52C0C" w:rsidP="00EA0A90">
            <w:pPr>
              <w:pStyle w:val="CM4"/>
              <w:spacing w:before="60" w:after="60"/>
              <w:rPr>
                <w:rFonts w:ascii="TimesNewRoman" w:hAnsi="TimesNewRoman" w:cs="TimesNewRoman"/>
                <w:color w:val="231F20"/>
                <w:sz w:val="20"/>
              </w:rPr>
            </w:pPr>
            <w:r w:rsidRPr="00D52C0C">
              <w:rPr>
                <w:rFonts w:ascii="TimesNewRoman" w:hAnsi="TimesNewRoman" w:cs="TimesNewRoman"/>
                <w:color w:val="231F20"/>
                <w:sz w:val="20"/>
                <w:szCs w:val="20"/>
              </w:rPr>
              <w:t xml:space="preserve">b) lode, ktoré počas kotvenia v prístave vypnú všetky motory a používajú pobrežnú elektrinu.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rsidRPr="00D52C0C">
              <w:t>§6</w:t>
            </w:r>
          </w:p>
          <w:p w:rsidR="00EA0A90" w:rsidP="00EA0A90">
            <w:pPr>
              <w:pStyle w:val="BodyText21"/>
              <w:spacing w:before="0"/>
            </w:pPr>
            <w:r>
              <w:t>O8</w:t>
            </w:r>
          </w:p>
          <w:p w:rsidR="00EA0A90" w:rsidP="00EA0A90">
            <w:pPr>
              <w:pStyle w:val="BodyText21"/>
              <w:spacing w:before="0"/>
            </w:pPr>
            <w:r>
              <w:t>Pb</w:t>
            </w:r>
          </w:p>
          <w:p w:rsidR="00EA0A90" w:rsidRPr="00D52C0C" w:rsidP="00EA0A90">
            <w:pPr>
              <w:pStyle w:val="BodyText21"/>
            </w:pP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E30112" w:rsidP="00EA0A90">
            <w:pPr>
              <w:pStyle w:val="ListParagraph"/>
              <w:tabs>
                <w:tab w:val="left" w:pos="851"/>
              </w:tabs>
              <w:spacing w:after="120"/>
              <w:ind w:left="0"/>
              <w:jc w:val="both"/>
              <w:rPr>
                <w:rFonts w:ascii="Times New Roman" w:hAnsi="Times New Roman"/>
                <w:sz w:val="20"/>
                <w:szCs w:val="20"/>
              </w:rPr>
            </w:pPr>
            <w:r w:rsidRPr="00E30112">
              <w:rPr>
                <w:rFonts w:ascii="Times New Roman" w:eastAsia="Times New Roman" w:hAnsi="Times New Roman"/>
                <w:color w:val="231F20"/>
                <w:sz w:val="20"/>
                <w:szCs w:val="20"/>
                <w:lang w:eastAsia="sk-SK"/>
              </w:rPr>
              <w:t xml:space="preserve">(8) </w:t>
            </w:r>
            <w:r w:rsidRPr="00E30112">
              <w:rPr>
                <w:rFonts w:ascii="Times New Roman" w:hAnsi="Times New Roman"/>
                <w:sz w:val="20"/>
                <w:szCs w:val="20"/>
              </w:rPr>
              <w:t xml:space="preserve">Požiadavky na obsah síry v lodných palivách podľa odsekov 3 až 7 sa nevzťahujú </w:t>
            </w:r>
          </w:p>
          <w:p w:rsidR="00EA0A90" w:rsidRPr="00964863" w:rsidP="00EA0A90">
            <w:pPr>
              <w:pStyle w:val="ListParagraph"/>
              <w:tabs>
                <w:tab w:val="left" w:pos="851"/>
              </w:tabs>
              <w:spacing w:after="120" w:line="240" w:lineRule="auto"/>
              <w:ind w:left="350" w:hanging="350"/>
              <w:contextualSpacing w:val="0"/>
              <w:jc w:val="both"/>
              <w:rPr>
                <w:sz w:val="20"/>
                <w:highlight w:val="yellow"/>
              </w:rPr>
            </w:pPr>
            <w:r w:rsidRPr="00E30112">
              <w:rPr>
                <w:rFonts w:ascii="Times New Roman" w:hAnsi="Times New Roman"/>
                <w:sz w:val="20"/>
                <w:szCs w:val="20"/>
              </w:rPr>
              <w:t xml:space="preserve">b)  na prípady, keď sa námorná loď podľa uverejneného cestovného poriadku zdržuje v kotvisku menej ako dve hodiny alebo keď námorná loď počas kotvenia v prístave vypne všetky motory a používa pobrežnú elektrickú energiu, </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852"/>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Č7</w:t>
            </w:r>
          </w:p>
          <w:p w:rsidR="00EA0A90" w:rsidRPr="00D52C0C" w:rsidP="00EA0A90">
            <w:pPr>
              <w:jc w:val="both"/>
              <w:rPr>
                <w:sz w:val="20"/>
              </w:rPr>
            </w:pPr>
            <w:r w:rsidRPr="00D52C0C">
              <w:rPr>
                <w:sz w:val="20"/>
              </w:rPr>
              <w:t>O3</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color w:val="231F20"/>
                <w:sz w:val="20"/>
                <w:lang w:eastAsia="sk-SK"/>
              </w:rPr>
            </w:pPr>
            <w:r w:rsidRPr="00D52C0C">
              <w:rPr>
                <w:rFonts w:ascii="TimesNewRoman" w:hAnsi="TimesNewRoman" w:cs="TimesNewRoman"/>
                <w:color w:val="231F20"/>
                <w:sz w:val="20"/>
                <w:lang w:eastAsia="sk-SK"/>
              </w:rPr>
              <w:t>3. Členské štáty zabezpečia, aby sa na ich území neuvádzali na trh lodné plynové oleje, ak je ich obsah síry vyšší než 0,10 % hmotnosti.</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t>§6</w:t>
            </w:r>
          </w:p>
          <w:p w:rsidR="00EA0A90" w:rsidRPr="00D52C0C" w:rsidP="00EA0A90">
            <w:pPr>
              <w:pStyle w:val="BodyText21"/>
              <w:spacing w:before="0"/>
            </w:pPr>
            <w:r>
              <w:t>O6</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58076F" w:rsidP="00EA0A90">
            <w:pPr>
              <w:pStyle w:val="odsek1"/>
            </w:pPr>
            <w:r w:rsidRPr="0058076F">
              <w:t>(6) Lodný plynový olej uvádzaný na trh na území Slovenskej republiky nesmie obsahovať viac síry ako 0,1 % hmotnosti.</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41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Č8</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8</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Metódy znižovania emisií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1. Členské štáty umožnia používanie metód znižovania emisií loďami plaviacimi sa pod všetkými vlajkami v ich prístavoch, výsostných vodách, výlučných hospodárskych zónach a zónach kontroly znečisťovania ako alternatívu k používaniu lodných palív, ktoré spĺňajú požiadavky článkov 6 a 7, a to za podmienok stanovených v odsekoch 2 a 4 tohto článku.</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rsidRPr="00D52C0C">
              <w:t>§6</w:t>
            </w:r>
          </w:p>
          <w:p w:rsidR="00EA0A90" w:rsidRPr="00D52C0C" w:rsidP="00EA0A90">
            <w:pPr>
              <w:pStyle w:val="BodyText21"/>
              <w:spacing w:before="0"/>
            </w:pPr>
            <w:r>
              <w:t>O8</w:t>
            </w:r>
          </w:p>
          <w:p w:rsidR="00EA0A90" w:rsidRPr="00D52C0C" w:rsidP="00EA0A90">
            <w:pPr>
              <w:pStyle w:val="BodyText21"/>
              <w:spacing w:before="0"/>
            </w:pPr>
            <w:r>
              <w:t>Pf</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sidRPr="00BF05AB">
              <w:rPr>
                <w:b/>
                <w:sz w:val="20"/>
                <w:lang w:eastAsia="sk-SK"/>
              </w:rPr>
              <w:t>§ 6</w:t>
            </w:r>
          </w:p>
          <w:p w:rsidR="00EA0A90" w:rsidRPr="00BF05AB" w:rsidP="00EA0A90">
            <w:pPr>
              <w:tabs>
                <w:tab w:val="left" w:pos="851"/>
              </w:tabs>
              <w:spacing w:after="120"/>
              <w:jc w:val="both"/>
              <w:rPr>
                <w:b/>
                <w:sz w:val="20"/>
                <w:lang w:eastAsia="sk-SK"/>
              </w:rPr>
            </w:pPr>
            <w:r w:rsidRPr="00BF05AB">
              <w:rPr>
                <w:b/>
                <w:sz w:val="20"/>
                <w:lang w:eastAsia="sk-SK"/>
              </w:rPr>
              <w:t>Lodné palivá</w:t>
            </w:r>
          </w:p>
          <w:p w:rsidR="00EA0A90" w:rsidRPr="00E30112" w:rsidP="00EA0A90">
            <w:pPr>
              <w:pStyle w:val="ListParagraph"/>
              <w:tabs>
                <w:tab w:val="left" w:pos="851"/>
              </w:tabs>
              <w:spacing w:after="120"/>
              <w:ind w:left="0"/>
              <w:jc w:val="both"/>
              <w:rPr>
                <w:rFonts w:ascii="Times New Roman" w:hAnsi="Times New Roman"/>
                <w:sz w:val="20"/>
                <w:szCs w:val="20"/>
              </w:rPr>
            </w:pPr>
            <w:r w:rsidRPr="00E30112">
              <w:rPr>
                <w:rFonts w:ascii="Times New Roman" w:eastAsia="Times New Roman" w:hAnsi="Times New Roman"/>
                <w:color w:val="231F20"/>
                <w:sz w:val="20"/>
                <w:szCs w:val="20"/>
                <w:lang w:eastAsia="sk-SK"/>
              </w:rPr>
              <w:t xml:space="preserve">(8) </w:t>
            </w:r>
            <w:r w:rsidRPr="00E30112">
              <w:rPr>
                <w:rFonts w:ascii="Times New Roman" w:hAnsi="Times New Roman"/>
                <w:sz w:val="20"/>
                <w:szCs w:val="20"/>
              </w:rPr>
              <w:t xml:space="preserve">Požiadavky na obsah síry v lodných palivách podľa odsekov 3 až 7 sa nevzťahujú </w:t>
            </w:r>
          </w:p>
          <w:p w:rsidR="00EA0A90" w:rsidRPr="00964863" w:rsidP="00EA0A90">
            <w:pPr>
              <w:pStyle w:val="ListParagraph"/>
              <w:tabs>
                <w:tab w:val="left" w:pos="851"/>
              </w:tabs>
              <w:spacing w:after="120" w:line="240" w:lineRule="auto"/>
              <w:ind w:left="350" w:hanging="350"/>
              <w:contextualSpacing w:val="0"/>
              <w:jc w:val="both"/>
              <w:rPr>
                <w:sz w:val="20"/>
                <w:highlight w:val="yellow"/>
              </w:rPr>
            </w:pPr>
            <w:r>
              <w:rPr>
                <w:rFonts w:ascii="Times New Roman" w:hAnsi="Times New Roman"/>
                <w:sz w:val="20"/>
                <w:szCs w:val="20"/>
              </w:rPr>
              <w:t>f</w:t>
            </w:r>
            <w:r w:rsidRPr="00E30112">
              <w:rPr>
                <w:rFonts w:ascii="Times New Roman" w:hAnsi="Times New Roman"/>
                <w:sz w:val="20"/>
                <w:szCs w:val="20"/>
              </w:rPr>
              <w:t xml:space="preserve">)  </w:t>
            </w:r>
            <w:r>
              <w:rPr>
                <w:rFonts w:ascii="Times New Roman" w:hAnsi="Times New Roman"/>
                <w:sz w:val="20"/>
                <w:szCs w:val="20"/>
              </w:rPr>
              <w:t xml:space="preserve">na lodné palivá </w:t>
            </w:r>
            <w:r w:rsidRPr="0058076F">
              <w:rPr>
                <w:rFonts w:ascii="Times New Roman" w:hAnsi="Times New Roman"/>
                <w:sz w:val="20"/>
                <w:szCs w:val="20"/>
              </w:rPr>
              <w:t>používané na palubách námorných lodí plaviacich sa v prístavoch, výsostných vodách, výlučných hospodárskych zónach a v zónach kontroly znečisťovania, ktoré používajú metódy znižovania emisií za podmienok uvedených v prílohe č. 3 v uzatvorenom režime, bez</w:t>
            </w:r>
            <w:r>
              <w:rPr>
                <w:rFonts w:ascii="Times New Roman" w:hAnsi="Times New Roman"/>
                <w:sz w:val="20"/>
                <w:szCs w:val="20"/>
              </w:rPr>
              <w:t xml:space="preserve"> toho, aby bol dotknutý odsek 3.</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835"/>
        </w:trPr>
        <w:tc>
          <w:tcPr>
            <w:tcW w:w="779" w:type="dxa"/>
            <w:tcBorders>
              <w:top w:val="single" w:sz="4" w:space="0" w:color="auto"/>
              <w:bottom w:val="single" w:sz="4" w:space="0" w:color="auto"/>
            </w:tcBorders>
          </w:tcPr>
          <w:p w:rsidR="00EA0A90" w:rsidRPr="00D52C0C" w:rsidP="00EA0A90">
            <w:pPr>
              <w:jc w:val="both"/>
              <w:rPr>
                <w:sz w:val="20"/>
                <w:lang w:eastAsia="sk-SK"/>
              </w:rPr>
            </w:pPr>
            <w:r w:rsidRPr="00D52C0C">
              <w:rPr>
                <w:sz w:val="20"/>
                <w:lang w:eastAsia="sk-SK"/>
              </w:rPr>
              <w:t>Č8</w:t>
            </w:r>
          </w:p>
          <w:p w:rsidR="00EA0A90" w:rsidRPr="00D52C0C" w:rsidP="00EA0A90">
            <w:pPr>
              <w:jc w:val="both"/>
              <w:rPr>
                <w:sz w:val="20"/>
                <w:lang w:eastAsia="sk-SK"/>
              </w:rPr>
            </w:pPr>
            <w:r w:rsidRPr="00D52C0C">
              <w:rPr>
                <w:sz w:val="20"/>
                <w:lang w:eastAsia="sk-SK"/>
              </w:rPr>
              <w:t>O2</w:t>
            </w:r>
          </w:p>
          <w:p w:rsidR="00EA0A90" w:rsidRPr="00D52C0C" w:rsidP="00EA0A90">
            <w:pPr>
              <w:jc w:val="both"/>
              <w:rPr>
                <w:sz w:val="20"/>
                <w:lang w:eastAsia="sk-SK"/>
              </w:rPr>
            </w:pPr>
            <w:r w:rsidRPr="00D52C0C">
              <w:rPr>
                <w:sz w:val="20"/>
                <w:lang w:eastAsia="sk-SK"/>
              </w:rPr>
              <w:t>O3</w:t>
            </w:r>
          </w:p>
          <w:p w:rsidR="00EA0A90" w:rsidRPr="00D52C0C" w:rsidP="00EA0A90">
            <w:pPr>
              <w:jc w:val="both"/>
              <w:rPr>
                <w:sz w:val="20"/>
                <w:lang w:eastAsia="sk-SK"/>
              </w:rPr>
            </w:pPr>
            <w:r w:rsidRPr="00D52C0C">
              <w:rPr>
                <w:sz w:val="20"/>
                <w:lang w:eastAsia="sk-SK"/>
              </w:rPr>
              <w:t>O4</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sz w:val="20"/>
              </w:rPr>
            </w:pPr>
            <w:r w:rsidRPr="00D52C0C">
              <w:rPr>
                <w:sz w:val="20"/>
              </w:rPr>
              <w:t>2. Lode používajúce metódy znižovania emisií uvedené v odseku 1 nepretržite dosahujú zníženie emisií oxidu siričitého, ktoré je prinajmenšom ekvivalentné zníženiu, ktoré by dosiahli pri používaní lodných palív spĺňajúcich požiadavky článkov 6 a 7. Ekvivalentné hodnoty emisií sa určia v súlade s prílohou I.</w:t>
            </w:r>
          </w:p>
          <w:p w:rsidR="00EA0A90" w:rsidRPr="00D52C0C" w:rsidP="00EA0A90">
            <w:pPr>
              <w:autoSpaceDE w:val="0"/>
              <w:autoSpaceDN w:val="0"/>
              <w:adjustRightInd w:val="0"/>
              <w:jc w:val="both"/>
              <w:rPr>
                <w:sz w:val="20"/>
              </w:rPr>
            </w:pPr>
          </w:p>
          <w:p w:rsidR="00EA0A90" w:rsidRPr="00D52C0C" w:rsidP="00EA0A90">
            <w:pPr>
              <w:autoSpaceDE w:val="0"/>
              <w:autoSpaceDN w:val="0"/>
              <w:adjustRightInd w:val="0"/>
              <w:jc w:val="both"/>
              <w:rPr>
                <w:sz w:val="20"/>
              </w:rPr>
            </w:pPr>
            <w:r w:rsidRPr="00D52C0C">
              <w:rPr>
                <w:sz w:val="20"/>
              </w:rPr>
              <w:t>3. Ako alternatívne riešenie znižovania emisií podporujú členské štáty používanie systémov na dodávku pobrežnej elektrickej energie plavidlami v dokoch.</w:t>
            </w:r>
          </w:p>
          <w:p w:rsidR="00EA0A90" w:rsidRPr="00D52C0C" w:rsidP="00EA0A90">
            <w:pPr>
              <w:autoSpaceDE w:val="0"/>
              <w:autoSpaceDN w:val="0"/>
              <w:adjustRightInd w:val="0"/>
              <w:jc w:val="both"/>
              <w:rPr>
                <w:sz w:val="20"/>
              </w:rPr>
            </w:pPr>
          </w:p>
          <w:p w:rsidR="00EA0A90" w:rsidRPr="00D52C0C" w:rsidP="00EA0A90">
            <w:pPr>
              <w:autoSpaceDE w:val="0"/>
              <w:autoSpaceDN w:val="0"/>
              <w:adjustRightInd w:val="0"/>
              <w:jc w:val="both"/>
              <w:rPr>
                <w:sz w:val="20"/>
                <w:lang w:eastAsia="sk-SK"/>
              </w:rPr>
            </w:pPr>
            <w:r w:rsidRPr="00D52C0C">
              <w:rPr>
                <w:sz w:val="20"/>
              </w:rPr>
              <w:t>4. Metódy znižovania emisií uvedené v odseku 1 musia byť v súlade s kritériami stanovenými v nástrojoch uvedených v prílohe II.</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rsidRPr="00D52C0C">
              <w:t>Príloha č. 3</w:t>
            </w:r>
          </w:p>
        </w:tc>
        <w:tc>
          <w:tcPr>
            <w:tcW w:w="4961" w:type="dxa"/>
            <w:tcBorders>
              <w:top w:val="single" w:sz="4" w:space="0" w:color="auto"/>
              <w:bottom w:val="single" w:sz="4" w:space="0" w:color="auto"/>
            </w:tcBorders>
          </w:tcPr>
          <w:p w:rsidR="00EA0A90" w:rsidRPr="004A71A8" w:rsidP="00EA0A90">
            <w:pPr>
              <w:jc w:val="both"/>
              <w:rPr>
                <w:b/>
                <w:sz w:val="20"/>
              </w:rPr>
            </w:pPr>
            <w:r w:rsidRPr="004A71A8">
              <w:rPr>
                <w:b/>
                <w:sz w:val="20"/>
              </w:rPr>
              <w:t>EKVIVALENTNÉ HODNOTY EMISIÍ PRE METÓDY ZNIŽOVANIA EMISIÍ A KRITÉRIÁ PRE POUŽÍVANIE METÓD ZNIŽOVANIA EMISIÍ</w:t>
            </w:r>
          </w:p>
          <w:p w:rsidR="00EA0A90" w:rsidRPr="0058076F" w:rsidP="00EA0A90">
            <w:pPr>
              <w:jc w:val="both"/>
              <w:rPr>
                <w:sz w:val="20"/>
              </w:rPr>
            </w:pPr>
          </w:p>
          <w:p w:rsidR="00EA0A90" w:rsidP="00EA0A90">
            <w:pPr>
              <w:jc w:val="both"/>
              <w:rPr>
                <w:sz w:val="20"/>
              </w:rPr>
            </w:pPr>
            <w:r w:rsidRPr="0058076F">
              <w:rPr>
                <w:sz w:val="20"/>
              </w:rPr>
              <w:t>A. EKVIVALENTNÉ HODNOTY EMISIÍ PRE METÓDY ZNIŽOVANIA EMISIÍ</w:t>
            </w:r>
          </w:p>
          <w:p w:rsidR="00EA0A90" w:rsidRPr="0058076F" w:rsidP="00EA0A90">
            <w:pPr>
              <w:jc w:val="both"/>
              <w:rPr>
                <w:sz w:val="20"/>
              </w:rPr>
            </w:pPr>
          </w:p>
          <w:p w:rsidR="00EA0A90" w:rsidRPr="0058076F" w:rsidP="00EA0A90">
            <w:pPr>
              <w:tabs>
                <w:tab w:val="left" w:pos="851"/>
              </w:tabs>
              <w:spacing w:after="120"/>
              <w:jc w:val="both"/>
              <w:rPr>
                <w:sz w:val="20"/>
              </w:rPr>
            </w:pPr>
            <w:r w:rsidRPr="0058076F">
              <w:rPr>
                <w:sz w:val="20"/>
              </w:rPr>
              <w:t>Námorné lode používajúce metódy znižovania emisií musia nepretržite dosahovať také zníženie emisií oxidu siričitého, ktoré je ekvivalentné zníženiu, ktoré by dosiahli pri používaní lodných palív spĺňajúcich požiadavky uvedené v § 6 ods. 4 až 7. Schválenie používania metód znižovania emisií ustanovujú osobitné predpisy.</w:t>
            </w:r>
            <w:r>
              <w:rPr>
                <w:sz w:val="20"/>
                <w:vertAlign w:val="superscript"/>
              </w:rPr>
              <w:t>58</w:t>
            </w:r>
            <w:r w:rsidRPr="004A71A8">
              <w:rPr>
                <w:sz w:val="20"/>
              </w:rPr>
              <w:t>)</w:t>
            </w:r>
          </w:p>
          <w:p w:rsidR="00EA0A90" w:rsidRPr="0058076F" w:rsidP="00EA0A90">
            <w:pPr>
              <w:jc w:val="both"/>
              <w:rPr>
                <w:sz w:val="20"/>
              </w:rPr>
            </w:pPr>
            <w:r w:rsidRPr="0058076F">
              <w:rPr>
                <w:sz w:val="20"/>
              </w:rPr>
              <w:t>Ekvivalentné hodnoty emisií pre metódy znižovania emisií:</w:t>
            </w:r>
          </w:p>
          <w:tbl>
            <w:tblPr>
              <w:tblStyle w:val="TableNormal"/>
              <w:tblW w:w="0" w:type="auto"/>
              <w:tblInd w:w="108" w:type="dxa"/>
              <w:tblLayout w:type="fixed"/>
              <w:tblCellMar>
                <w:left w:w="0" w:type="dxa"/>
                <w:right w:w="0" w:type="dxa"/>
              </w:tblCellMar>
              <w:tblLook w:val="00A0"/>
            </w:tblPr>
            <w:tblGrid>
              <w:gridCol w:w="1985"/>
              <w:gridCol w:w="1985"/>
            </w:tblGrid>
            <w:tr w:rsidTr="00644F8C">
              <w:tblPrEx>
                <w:tblW w:w="0" w:type="auto"/>
                <w:tblInd w:w="108" w:type="dxa"/>
                <w:tblLayout w:type="fixed"/>
                <w:tblCellMar>
                  <w:left w:w="0" w:type="dxa"/>
                  <w:right w:w="0" w:type="dxa"/>
                </w:tblCellMar>
                <w:tblLook w:val="00A0"/>
              </w:tblPrEx>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 xml:space="preserve">Obsah síry v lodnom palive (% </w:t>
                  </w:r>
                  <w:r w:rsidRPr="0058076F">
                    <w:rPr>
                      <w:i/>
                      <w:sz w:val="16"/>
                      <w:szCs w:val="16"/>
                    </w:rPr>
                    <w:t>m/m</w:t>
                  </w:r>
                  <w:r w:rsidRPr="0058076F">
                    <w:rPr>
                      <w:sz w:val="16"/>
                      <w:szCs w:val="16"/>
                    </w:rPr>
                    <w: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Pomer emisií SO</w:t>
                  </w:r>
                  <w:r w:rsidRPr="0058076F">
                    <w:rPr>
                      <w:sz w:val="16"/>
                      <w:szCs w:val="16"/>
                      <w:vertAlign w:val="subscript"/>
                    </w:rPr>
                    <w:t>2</w:t>
                  </w:r>
                  <w:r w:rsidRPr="0058076F">
                    <w:rPr>
                      <w:sz w:val="16"/>
                      <w:szCs w:val="16"/>
                    </w:rPr>
                    <w:t xml:space="preserve"> (ppm)/CO</w:t>
                  </w:r>
                  <w:r w:rsidRPr="0058076F">
                    <w:rPr>
                      <w:sz w:val="16"/>
                      <w:szCs w:val="16"/>
                      <w:vertAlign w:val="subscript"/>
                    </w:rPr>
                    <w:t>2</w:t>
                  </w:r>
                  <w:r w:rsidRPr="0058076F">
                    <w:rPr>
                      <w:sz w:val="16"/>
                      <w:szCs w:val="16"/>
                    </w:rPr>
                    <w:t xml:space="preserve"> (% </w:t>
                  </w:r>
                  <w:r w:rsidRPr="0058076F">
                    <w:rPr>
                      <w:i/>
                      <w:sz w:val="16"/>
                      <w:szCs w:val="16"/>
                    </w:rPr>
                    <w:t>V/V</w:t>
                  </w:r>
                  <w:r w:rsidRPr="0058076F">
                    <w:rPr>
                      <w:sz w:val="16"/>
                      <w:szCs w:val="16"/>
                    </w:rPr>
                    <w:t>)</w:t>
                  </w:r>
                </w:p>
              </w:tc>
            </w:tr>
            <w:tr w:rsidTr="00644F8C">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3,5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151,7</w:t>
                  </w:r>
                </w:p>
              </w:tc>
            </w:tr>
            <w:tr w:rsidTr="00644F8C">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1,5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65,0</w:t>
                  </w:r>
                </w:p>
              </w:tc>
            </w:tr>
            <w:tr w:rsidTr="00644F8C">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43,3</w:t>
                  </w:r>
                </w:p>
              </w:tc>
            </w:tr>
            <w:tr w:rsidTr="00644F8C">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0,5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21,7</w:t>
                  </w:r>
                </w:p>
              </w:tc>
            </w:tr>
            <w:tr w:rsidTr="00644F8C">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0,1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4,3</w:t>
                  </w:r>
                </w:p>
              </w:tc>
            </w:tr>
          </w:tbl>
          <w:p w:rsidR="00EA0A90" w:rsidRPr="0058076F" w:rsidP="00EA0A90">
            <w:pPr>
              <w:spacing w:before="360"/>
              <w:rPr>
                <w:sz w:val="16"/>
                <w:szCs w:val="16"/>
              </w:rPr>
            </w:pPr>
            <w:r w:rsidRPr="0058076F">
              <w:rPr>
                <w:sz w:val="16"/>
                <w:szCs w:val="16"/>
              </w:rPr>
              <w:t>Poznámky:</w:t>
            </w:r>
          </w:p>
          <w:p w:rsidR="00EA0A90" w:rsidRPr="0058076F" w:rsidP="00EA0A90">
            <w:pPr>
              <w:pStyle w:val="Tiret0"/>
              <w:numPr>
                <w:ilvl w:val="1"/>
                <w:numId w:val="4"/>
              </w:numPr>
              <w:outlineLvl w:val="0"/>
              <w:rPr>
                <w:sz w:val="16"/>
                <w:szCs w:val="16"/>
                <w:lang w:eastAsia="cs-CZ"/>
              </w:rPr>
            </w:pPr>
            <w:r w:rsidRPr="0058076F">
              <w:rPr>
                <w:sz w:val="16"/>
                <w:szCs w:val="16"/>
                <w:lang w:eastAsia="cs-CZ"/>
              </w:rPr>
              <w:t>Používanie pomeru pre emisné limity sa uplatňuje len pri používaní destilátov alebo zvyškových vykurovacích olejov vyrobených na báze ropy.</w:t>
            </w:r>
          </w:p>
          <w:p w:rsidR="00EA0A90" w:rsidRPr="0058076F" w:rsidP="00EA0A90">
            <w:pPr>
              <w:pStyle w:val="Tiret0"/>
              <w:numPr>
                <w:ilvl w:val="1"/>
                <w:numId w:val="4"/>
              </w:numPr>
              <w:outlineLvl w:val="0"/>
              <w:rPr>
                <w:sz w:val="16"/>
                <w:szCs w:val="16"/>
                <w:lang w:eastAsia="cs-CZ"/>
              </w:rPr>
            </w:pPr>
            <w:r w:rsidRPr="0058076F">
              <w:rPr>
                <w:sz w:val="16"/>
                <w:szCs w:val="16"/>
                <w:lang w:eastAsia="cs-CZ"/>
              </w:rPr>
              <w:t>V odôvodnených prípadoch, keď je koncentrácia CO</w:t>
            </w:r>
            <w:r w:rsidRPr="0058076F">
              <w:rPr>
                <w:sz w:val="16"/>
                <w:szCs w:val="16"/>
                <w:vertAlign w:val="subscript"/>
                <w:lang w:eastAsia="cs-CZ"/>
              </w:rPr>
              <w:t>2</w:t>
            </w:r>
            <w:r w:rsidRPr="0058076F">
              <w:rPr>
                <w:sz w:val="16"/>
                <w:szCs w:val="16"/>
                <w:lang w:eastAsia="cs-CZ"/>
              </w:rPr>
              <w:t xml:space="preserve"> znížená pomocou jednotky na čistenie výfukových plynov, koncentráciu CO</w:t>
            </w:r>
            <w:r w:rsidRPr="0058076F">
              <w:rPr>
                <w:sz w:val="16"/>
                <w:szCs w:val="16"/>
                <w:vertAlign w:val="subscript"/>
                <w:lang w:eastAsia="cs-CZ"/>
              </w:rPr>
              <w:t>2</w:t>
            </w:r>
            <w:r w:rsidRPr="0058076F">
              <w:rPr>
                <w:sz w:val="16"/>
                <w:szCs w:val="16"/>
                <w:lang w:eastAsia="cs-CZ"/>
              </w:rPr>
              <w:t xml:space="preserve"> možno merať na vstupe tejto jednotky, pokiaľ je možné jasne preukázať správnosť takejto metodiky.</w:t>
            </w:r>
          </w:p>
          <w:p w:rsidR="00EA0A90" w:rsidRPr="0058076F" w:rsidP="00EA0A90">
            <w:pPr>
              <w:jc w:val="both"/>
              <w:rPr>
                <w:sz w:val="20"/>
              </w:rPr>
            </w:pPr>
            <w:r w:rsidRPr="0058076F">
              <w:rPr>
                <w:sz w:val="20"/>
              </w:rPr>
              <w:t>Ako alternatívne riešenie znižovania emisií je povolené používanie systémov na dodávku pobrežnej elektrickej energie plavidlami v dokoch.</w:t>
            </w:r>
          </w:p>
          <w:p w:rsidR="00EA0A90" w:rsidP="00EA0A90">
            <w:pPr>
              <w:spacing w:line="240" w:lineRule="atLeast"/>
              <w:ind w:left="-44" w:firstLine="44"/>
              <w:jc w:val="both"/>
            </w:pPr>
            <w:r>
              <w:rPr>
                <w:noProof/>
              </w:rPr>
              <w:pict>
                <v:shape id="_x0000_s1042" type="#_x0000_t32" style="width:58.2pt;height:0;margin-top:5.4pt;margin-left:0.1pt;position:absolute;z-index:251673600" o:connectortype="straight"/>
              </w:pict>
            </w:r>
          </w:p>
          <w:p w:rsidR="00EA0A90" w:rsidRPr="00EB2D62" w:rsidP="00EA0A90">
            <w:pPr>
              <w:pStyle w:val="FootnoteText"/>
              <w:jc w:val="both"/>
              <w:rPr>
                <w:sz w:val="18"/>
                <w:szCs w:val="18"/>
              </w:rPr>
            </w:pPr>
            <w:r>
              <w:rPr>
                <w:sz w:val="18"/>
                <w:szCs w:val="18"/>
                <w:vertAlign w:val="superscript"/>
              </w:rPr>
              <w:t>58</w:t>
            </w:r>
            <w:r>
              <w:rPr>
                <w:sz w:val="18"/>
                <w:szCs w:val="18"/>
              </w:rPr>
              <w:t xml:space="preserve">) </w:t>
            </w:r>
            <w:r w:rsidRPr="00EB2D62">
              <w:rPr>
                <w:sz w:val="18"/>
                <w:szCs w:val="18"/>
              </w:rPr>
              <w:t xml:space="preserve">Nariadenie vlády Slovenskej republiky č. 243/2001 Z. z., ktorým sa ustanovujú podrobnosti o technických  požiadavkách a postupoch posudzovania zhody na námorné vybavenie v znení neskorších predpisov.  </w:t>
            </w:r>
          </w:p>
          <w:p w:rsidR="00EA0A90" w:rsidRPr="00EB2D62" w:rsidP="00EA0A90">
            <w:pPr>
              <w:pStyle w:val="FootnoteText"/>
              <w:jc w:val="both"/>
              <w:rPr>
                <w:sz w:val="18"/>
                <w:szCs w:val="18"/>
              </w:rPr>
            </w:pPr>
            <w:r w:rsidRPr="00EB2D62">
              <w:rPr>
                <w:sz w:val="18"/>
                <w:szCs w:val="18"/>
              </w:rPr>
              <w:t xml:space="preserve">Článok 3 ods. 2 nariadenia Európskeho parlamentu a Rady (ES) č. 2099/2002 z 5. novembra 2002, ktorým sa ustanovuje Výbor pre bezpečnosť na mori a pre zabránenie znečisťovania z lodí (COSS) a menia a dopĺňajú sa nariadenia o námornej bezpečnosti a zabránení znečisťovania lodí (Ú. v. ES L 324, 29.11.2002). </w:t>
            </w:r>
          </w:p>
          <w:p w:rsidR="00EA0A90" w:rsidRPr="0058076F" w:rsidP="00EA0A90">
            <w:pPr>
              <w:jc w:val="both"/>
              <w:rPr>
                <w:sz w:val="20"/>
              </w:rPr>
            </w:pPr>
          </w:p>
          <w:p w:rsidR="00EA0A90" w:rsidRPr="0058076F" w:rsidP="00EA0A90">
            <w:pPr>
              <w:pStyle w:val="Tiret0"/>
              <w:numPr>
                <w:ilvl w:val="0"/>
                <w:numId w:val="0"/>
              </w:numPr>
              <w:jc w:val="left"/>
              <w:outlineLvl w:val="0"/>
              <w:rPr>
                <w:sz w:val="20"/>
                <w:szCs w:val="20"/>
                <w:lang w:eastAsia="cs-CZ"/>
              </w:rPr>
            </w:pPr>
            <w:r w:rsidRPr="0058076F">
              <w:rPr>
                <w:sz w:val="20"/>
                <w:szCs w:val="20"/>
                <w:lang w:eastAsia="cs-CZ"/>
              </w:rPr>
              <w:t xml:space="preserve">B. KRITÉRIA PRE POUŽÍVANIE METÓD ZNIŽOVANIA EMISIÍ </w:t>
            </w:r>
          </w:p>
          <w:p w:rsidR="00EA0A90" w:rsidRPr="0058076F" w:rsidP="00EA0A90">
            <w:pPr>
              <w:pStyle w:val="Tiret0"/>
              <w:numPr>
                <w:ilvl w:val="0"/>
                <w:numId w:val="0"/>
              </w:numPr>
              <w:outlineLvl w:val="0"/>
              <w:rPr>
                <w:sz w:val="20"/>
                <w:szCs w:val="20"/>
                <w:lang w:eastAsia="cs-CZ"/>
              </w:rPr>
            </w:pPr>
            <w:r w:rsidRPr="0058076F">
              <w:rPr>
                <w:sz w:val="20"/>
                <w:szCs w:val="20"/>
                <w:lang w:eastAsia="cs-CZ"/>
              </w:rPr>
              <w:t>Metódy znižovania emisií musia spĺňať podľa potreby aspoň tieto kritériá:</w:t>
            </w:r>
          </w:p>
          <w:tbl>
            <w:tblPr>
              <w:tblStyle w:val="TableNormal"/>
              <w:tblW w:w="4773" w:type="dxa"/>
              <w:tblInd w:w="108" w:type="dxa"/>
              <w:tblLayout w:type="fixed"/>
              <w:tblCellMar>
                <w:left w:w="0" w:type="dxa"/>
                <w:right w:w="0" w:type="dxa"/>
              </w:tblCellMar>
              <w:tblLook w:val="00A0"/>
            </w:tblPr>
            <w:tblGrid>
              <w:gridCol w:w="1796"/>
              <w:gridCol w:w="2977"/>
            </w:tblGrid>
            <w:tr w:rsidTr="00556F3A">
              <w:tblPrEx>
                <w:tblW w:w="4773" w:type="dxa"/>
                <w:tblInd w:w="108" w:type="dxa"/>
                <w:tblLayout w:type="fixed"/>
                <w:tblCellMar>
                  <w:left w:w="0" w:type="dxa"/>
                  <w:right w:w="0" w:type="dxa"/>
                </w:tblCellMar>
                <w:tblLook w:val="00A0"/>
              </w:tblPrEx>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Metóda znižovania emisií</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Kritéria používania</w:t>
                  </w:r>
                </w:p>
              </w:tc>
            </w:tr>
            <w:tr w:rsidTr="00556F3A">
              <w:tblPrEx>
                <w:tblW w:w="4773" w:type="dxa"/>
                <w:tblInd w:w="108" w:type="dxa"/>
                <w:tblLayout w:type="fixed"/>
                <w:tblCellMar>
                  <w:left w:w="0" w:type="dxa"/>
                  <w:right w:w="0" w:type="dxa"/>
                </w:tblCellMar>
                <w:tblLook w:val="00A0"/>
              </w:tblPrEx>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Zmes lodného paliva a odpareného plynu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Rozhodnutie Komisie 2010/769/EÚ z 13. decembra 2010 o stanovení kritérií používania technologických metód v cisternových lodiach na prepravu skvapalneného zemného plynu ako alternatívy k používaniu lodných palív s nízkym obsahom síry, ktoré spĺňajú kritériá článku 4b smernice Rady 1999/32/ES o znížení obsahu síry v niektorých kvapalných palivách, zmenenej a doplnenej smernicou Európskeho parlamentu a Rady 2005/33/ES o obsahu síry v lodných palivách.</w:t>
                  </w:r>
                </w:p>
              </w:tc>
            </w:tr>
            <w:tr w:rsidTr="00556F3A">
              <w:tblPrEx>
                <w:tblW w:w="4773" w:type="dxa"/>
                <w:tblInd w:w="108" w:type="dxa"/>
                <w:tblLayout w:type="fixed"/>
                <w:tblCellMar>
                  <w:left w:w="0" w:type="dxa"/>
                  <w:right w:w="0" w:type="dxa"/>
                </w:tblCellMar>
                <w:tblLook w:val="00A0"/>
              </w:tblPrEx>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Systémy čistenia výfukových plynov</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Rezolúcia MEPC.184(59) prijatá 17. júla 2009 ‚Preplachovacia voda zo systémov čistenia výfukových plynov, v ktorých sa používajú chemické látky, prídavné látky, prípravky a iné príslušné chemické látky vytvorené na mieste‘, ako sa uvádza v bode 10.1.6.1 rezolúcie MEPC.184(59), sa nevypúšťa do mora, a to ani v uzavretých prístavoch, prístavoch a ústiach riek, pokiaľ prevádzkovateľ lode nepreukáže, že vypustenie takejto preplachovacej vody nemá žiadny výrazný negatívny vplyv na ľudské zdravie a životné prostredie a nepredstavuje pre ne ani žiadne riziko. Ak je použitou chemickou látkou lúh sodný, postačuje, ak preplachovacia voda spĺňa kritériá stanovené v rezolúcii MEPC.184(59) a jej pH nepresahuje hodnotu 8,0.</w:t>
                  </w:r>
                </w:p>
              </w:tc>
            </w:tr>
            <w:tr w:rsidTr="00556F3A">
              <w:tblPrEx>
                <w:tblW w:w="4773" w:type="dxa"/>
                <w:tblInd w:w="108" w:type="dxa"/>
                <w:tblLayout w:type="fixed"/>
                <w:tblCellMar>
                  <w:left w:w="0" w:type="dxa"/>
                  <w:right w:w="0" w:type="dxa"/>
                </w:tblCellMar>
                <w:tblLook w:val="00A0"/>
              </w:tblPrEx>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Biopalivá</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Používanie biopalív, ako sú vymedzené v osobitných predpisoch.</w:t>
                  </w:r>
                  <w:r>
                    <w:rPr>
                      <w:sz w:val="16"/>
                      <w:szCs w:val="16"/>
                      <w:vertAlign w:val="superscript"/>
                    </w:rPr>
                    <w:t>59</w:t>
                  </w:r>
                  <w:r w:rsidRPr="00EB2D62">
                    <w:rPr>
                      <w:sz w:val="16"/>
                      <w:szCs w:val="16"/>
                    </w:rPr>
                    <w:t>)</w:t>
                  </w:r>
                  <w:r w:rsidRPr="0058076F">
                    <w:rPr>
                      <w:sz w:val="16"/>
                      <w:szCs w:val="16"/>
                    </w:rPr>
                    <w:t xml:space="preserve"> Zmesi biopalív a lodných palív musia spĺňať požiadavky týkajúce sa obsahu síry uvedené v § 6 ods. 3 až 7.</w:t>
                  </w:r>
                </w:p>
              </w:tc>
            </w:tr>
          </w:tbl>
          <w:p w:rsidR="00EA0A90" w:rsidP="00EA0A90">
            <w:pPr>
              <w:spacing w:line="240" w:lineRule="atLeast"/>
              <w:ind w:left="-44" w:firstLine="44"/>
              <w:jc w:val="both"/>
            </w:pPr>
            <w:r>
              <w:rPr>
                <w:noProof/>
              </w:rPr>
              <w:pict>
                <v:shape id="_x0000_s1043" type="#_x0000_t32" style="width:58.2pt;height:0;margin-top:5.4pt;margin-left:0.1pt;position:absolute;z-index:251674624" o:connectortype="straight"/>
              </w:pict>
            </w:r>
          </w:p>
          <w:p w:rsidR="00EA0A90" w:rsidRPr="00EB2D62" w:rsidP="00EA0A90">
            <w:pPr>
              <w:pStyle w:val="FootnoteText"/>
              <w:jc w:val="both"/>
              <w:rPr>
                <w:sz w:val="18"/>
                <w:szCs w:val="18"/>
              </w:rPr>
            </w:pPr>
            <w:r>
              <w:rPr>
                <w:sz w:val="18"/>
                <w:szCs w:val="18"/>
                <w:vertAlign w:val="superscript"/>
              </w:rPr>
              <w:t>59</w:t>
            </w:r>
            <w:r>
              <w:rPr>
                <w:sz w:val="18"/>
                <w:szCs w:val="18"/>
              </w:rPr>
              <w:t xml:space="preserve">) </w:t>
            </w:r>
            <w:r w:rsidRPr="00EB2D62">
              <w:rPr>
                <w:sz w:val="18"/>
                <w:szCs w:val="18"/>
              </w:rPr>
              <w:t xml:space="preserve">Zákon č. 309/2009 Z. z. </w:t>
            </w:r>
          </w:p>
          <w:p w:rsidR="00EA0A90" w:rsidRPr="00EB2D62" w:rsidP="00EA0A90">
            <w:pPr>
              <w:pStyle w:val="FootnoteText"/>
              <w:jc w:val="both"/>
              <w:rPr>
                <w:sz w:val="18"/>
                <w:szCs w:val="18"/>
              </w:rPr>
            </w:pPr>
            <w:r w:rsidRPr="00EB2D62">
              <w:rPr>
                <w:sz w:val="18"/>
                <w:szCs w:val="18"/>
              </w:rPr>
              <w:t xml:space="preserve">Vyhláška Ministerstva životného prostredia Slovenskej republiky č. 271/2011 Z. z., ktorou sa ustanovujú kritériá trvalej udržateľnosti a ciele na zníženie emisií skleníkových plynov z pohonných látok v znení neskorších predpisov. </w:t>
            </w:r>
          </w:p>
          <w:p w:rsidR="00EA0A90" w:rsidRPr="0058076F" w:rsidP="00EA0A90">
            <w:pPr>
              <w:jc w:val="both"/>
              <w:rPr>
                <w:sz w:val="20"/>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524"/>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Č8</w:t>
            </w:r>
          </w:p>
          <w:p w:rsidR="00EA0A90" w:rsidRPr="00D52C0C" w:rsidP="00EA0A90">
            <w:pPr>
              <w:jc w:val="both"/>
              <w:rPr>
                <w:sz w:val="20"/>
              </w:rPr>
            </w:pPr>
            <w:r w:rsidRPr="00D52C0C">
              <w:rPr>
                <w:sz w:val="20"/>
              </w:rPr>
              <w:t>O5</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5. V prípadoch, ktoré sú odôvodnené z hľadiska vedeckého a technického pokroku v oblasti alternatívnych metód znižovania emisií a s cieľom zabezpečiť prísny súlad s príslušnými nástrojmi a normami prijatými organizáciou IMO, Komisia: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 je splnomocnená v súlade s článkom 16 prijať delegované akty na zmenu a doplnenie príloh I a II;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b) prijíma vykonávacie akty, ktorými sa stanovia podrobné požiadavky na monitorovanie emisií tam, kde je to potrebné. Uvedené vykonávacie akty sa prijmú v súlade s postupom preskúmania uvedeným v článku 17 ods. 2.</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F36AFA">
        <w:tblPrEx>
          <w:tblW w:w="14954" w:type="dxa"/>
          <w:tblLayout w:type="fixed"/>
          <w:tblCellMar>
            <w:left w:w="70" w:type="dxa"/>
            <w:right w:w="70" w:type="dxa"/>
          </w:tblCellMar>
          <w:tblLook w:val="0000"/>
        </w:tblPrEx>
        <w:trPr>
          <w:trHeight w:val="2967"/>
        </w:trPr>
        <w:tc>
          <w:tcPr>
            <w:tcW w:w="779" w:type="dxa"/>
            <w:tcBorders>
              <w:top w:val="single" w:sz="4" w:space="0" w:color="auto"/>
              <w:bottom w:val="single" w:sz="4" w:space="0" w:color="auto"/>
            </w:tcBorders>
          </w:tcPr>
          <w:p w:rsidR="00E10976" w:rsidRPr="00D52C0C" w:rsidP="00E10976">
            <w:pPr>
              <w:jc w:val="both"/>
              <w:rPr>
                <w:sz w:val="20"/>
              </w:rPr>
            </w:pPr>
            <w:r w:rsidRPr="00D52C0C">
              <w:rPr>
                <w:sz w:val="20"/>
              </w:rPr>
              <w:t>Č9</w:t>
            </w:r>
          </w:p>
          <w:p w:rsidR="00E10976" w:rsidRPr="00D52C0C" w:rsidP="00E10976">
            <w:pPr>
              <w:jc w:val="both"/>
              <w:rPr>
                <w:sz w:val="20"/>
              </w:rPr>
            </w:pPr>
            <w:r w:rsidRPr="00D52C0C">
              <w:rPr>
                <w:sz w:val="20"/>
              </w:rPr>
              <w:t>O1</w:t>
            </w:r>
          </w:p>
          <w:p w:rsidR="00E10976" w:rsidRPr="00D52C0C" w:rsidP="00E10976">
            <w:pPr>
              <w:jc w:val="both"/>
              <w:rPr>
                <w:sz w:val="20"/>
              </w:rPr>
            </w:pPr>
            <w:r w:rsidRPr="00D52C0C">
              <w:rPr>
                <w:sz w:val="20"/>
              </w:rPr>
              <w:t>O2</w:t>
            </w:r>
          </w:p>
        </w:tc>
        <w:tc>
          <w:tcPr>
            <w:tcW w:w="4536" w:type="dxa"/>
            <w:tcBorders>
              <w:top w:val="single" w:sz="4" w:space="0" w:color="auto"/>
              <w:bottom w:val="single" w:sz="4" w:space="0" w:color="auto"/>
            </w:tcBorders>
          </w:tcPr>
          <w:p w:rsidR="00E10976" w:rsidRPr="00540616" w:rsidP="00E10976">
            <w:pPr>
              <w:pStyle w:val="CM4"/>
              <w:spacing w:before="60" w:after="60"/>
              <w:rPr>
                <w:rFonts w:ascii="TimesNewRoman" w:hAnsi="TimesNewRoman" w:cs="TimesNewRoman"/>
                <w:color w:val="231F20"/>
                <w:sz w:val="20"/>
                <w:szCs w:val="20"/>
              </w:rPr>
            </w:pPr>
            <w:r w:rsidRPr="00540616">
              <w:rPr>
                <w:rFonts w:ascii="TimesNewRoman" w:hAnsi="TimesNewRoman" w:cs="TimesNewRoman"/>
                <w:color w:val="231F20"/>
                <w:sz w:val="20"/>
                <w:szCs w:val="20"/>
              </w:rPr>
              <w:t>Článok 9</w:t>
            </w:r>
          </w:p>
          <w:p w:rsidR="00E10976" w:rsidRPr="00540616" w:rsidP="00E10976">
            <w:pPr>
              <w:pStyle w:val="CM4"/>
              <w:spacing w:before="60" w:after="60"/>
              <w:rPr>
                <w:rFonts w:ascii="TimesNewRoman" w:hAnsi="TimesNewRoman" w:cs="TimesNewRoman"/>
                <w:color w:val="231F20"/>
                <w:sz w:val="20"/>
                <w:szCs w:val="20"/>
              </w:rPr>
            </w:pPr>
            <w:r w:rsidRPr="00540616">
              <w:rPr>
                <w:rFonts w:ascii="TimesNewRoman" w:hAnsi="TimesNewRoman" w:cs="TimesNewRoman"/>
                <w:color w:val="231F20"/>
                <w:sz w:val="20"/>
                <w:szCs w:val="20"/>
              </w:rPr>
              <w:t xml:space="preserve">Schválenie používania metód znižovania emisií na palubách lodí plaviacich sa pod vlajkou členského štátu </w:t>
            </w:r>
          </w:p>
          <w:p w:rsidR="00E10976" w:rsidRPr="00540616" w:rsidP="00E10976">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1. Metódy znižovania emisií patriace do rozsahu pôsobnosti smernice Rady 96/98/ES (1) sa schvaľujú v súlade s uvedenou smernicou.</w:t>
            </w:r>
          </w:p>
          <w:p w:rsidR="00802095" w:rsidRPr="00540616" w:rsidP="00E10976">
            <w:pPr>
              <w:rPr>
                <w:lang w:eastAsia="sk-SK"/>
              </w:rPr>
            </w:pPr>
          </w:p>
          <w:p w:rsidR="00802095" w:rsidRPr="00540616" w:rsidP="00E10976">
            <w:pPr>
              <w:rPr>
                <w:lang w:eastAsia="sk-SK"/>
              </w:rPr>
            </w:pPr>
          </w:p>
          <w:p w:rsidR="00802095" w:rsidRPr="00540616" w:rsidP="00E10976">
            <w:pPr>
              <w:rPr>
                <w:lang w:eastAsia="sk-SK"/>
              </w:rPr>
            </w:pPr>
          </w:p>
          <w:p w:rsidR="00203CFB" w:rsidRPr="00540616" w:rsidP="00E10976">
            <w:pPr>
              <w:rPr>
                <w:lang w:eastAsia="sk-SK"/>
              </w:rPr>
            </w:pPr>
          </w:p>
          <w:p w:rsidR="00203CFB" w:rsidRPr="00540616" w:rsidP="00E10976">
            <w:pPr>
              <w:rPr>
                <w:lang w:eastAsia="sk-SK"/>
              </w:rPr>
            </w:pPr>
          </w:p>
          <w:p w:rsidR="00203CFB" w:rsidRPr="00540616" w:rsidP="00E10976">
            <w:pPr>
              <w:rPr>
                <w:lang w:eastAsia="sk-SK"/>
              </w:rPr>
            </w:pPr>
          </w:p>
          <w:p w:rsidR="00203CFB" w:rsidRPr="00540616" w:rsidP="00E10976">
            <w:pPr>
              <w:rPr>
                <w:lang w:eastAsia="sk-SK"/>
              </w:rPr>
            </w:pPr>
          </w:p>
          <w:p w:rsidR="00203CFB" w:rsidRPr="00540616" w:rsidP="00E10976">
            <w:pPr>
              <w:rPr>
                <w:lang w:eastAsia="sk-SK"/>
              </w:rPr>
            </w:pPr>
          </w:p>
          <w:p w:rsidR="00203CFB" w:rsidRPr="00540616" w:rsidP="00E10976">
            <w:pPr>
              <w:rPr>
                <w:lang w:eastAsia="sk-SK"/>
              </w:rPr>
            </w:pPr>
          </w:p>
          <w:p w:rsidR="00203CFB" w:rsidRPr="00540616" w:rsidP="00E10976">
            <w:pPr>
              <w:rPr>
                <w:lang w:eastAsia="sk-SK"/>
              </w:rPr>
            </w:pPr>
          </w:p>
          <w:p w:rsidR="00203CFB" w:rsidRPr="00540616" w:rsidP="00E10976">
            <w:pPr>
              <w:rPr>
                <w:lang w:eastAsia="sk-SK"/>
              </w:rPr>
            </w:pPr>
          </w:p>
          <w:p w:rsidR="00802095" w:rsidRPr="00540616" w:rsidP="00E10976">
            <w:pPr>
              <w:rPr>
                <w:lang w:eastAsia="sk-SK"/>
              </w:rPr>
            </w:pPr>
          </w:p>
          <w:p w:rsidR="00802095" w:rsidRPr="00540616" w:rsidP="00E10976">
            <w:pPr>
              <w:rPr>
                <w:lang w:eastAsia="sk-SK"/>
              </w:rPr>
            </w:pPr>
          </w:p>
          <w:p w:rsidR="00E10976" w:rsidRPr="00540616" w:rsidP="00E10976">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2. Metódy znižovania emisií, na ktoré sa nevzťahuje odsek 1 tohto článku, sa schvaľujú v súlade s postupom uvedeným v článku 3 ods. 2 nariadenia Európskeho parlamentu a Rady (ES) č. 2099/2002,  pričom sa zohľadňujú: </w:t>
            </w:r>
          </w:p>
          <w:p w:rsidR="00E10976" w:rsidRPr="00540616" w:rsidP="00E10976">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a) usmernenia vypracované organizáciou IMO; </w:t>
            </w:r>
          </w:p>
          <w:p w:rsidR="00E10976" w:rsidRPr="00540616" w:rsidP="00E10976">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b) výsledky všetkých skúšok uskutočnených podľa článku 10; </w:t>
            </w:r>
          </w:p>
          <w:p w:rsidR="00E10976" w:rsidRPr="00540616" w:rsidP="00E10976">
            <w:pPr>
              <w:pStyle w:val="CM4"/>
              <w:spacing w:before="60" w:after="60"/>
              <w:jc w:val="both"/>
              <w:rPr>
                <w:rFonts w:ascii="TimesNewRoman" w:hAnsi="TimesNewRoman" w:cs="TimesNewRoman"/>
                <w:color w:val="231F20"/>
                <w:sz w:val="20"/>
                <w:szCs w:val="20"/>
              </w:rPr>
            </w:pPr>
            <w:r w:rsidRPr="00540616">
              <w:rPr>
                <w:rFonts w:ascii="TimesNewRoman" w:hAnsi="TimesNewRoman" w:cs="TimesNewRoman"/>
                <w:color w:val="231F20"/>
                <w:sz w:val="20"/>
                <w:szCs w:val="20"/>
              </w:rPr>
              <w:t xml:space="preserve">c) účinky na životné prostredie vrátane dosiahnuteľných znížení emisií a vplyv na ekosystémy v uzavretých prístavoch, prístavoch a ústiach riek a </w:t>
            </w:r>
          </w:p>
          <w:p w:rsidR="00E10976" w:rsidRPr="00540616" w:rsidP="00E10976">
            <w:pPr>
              <w:rPr>
                <w:lang w:eastAsia="sk-SK"/>
              </w:rPr>
            </w:pPr>
            <w:r w:rsidRPr="00540616">
              <w:rPr>
                <w:rFonts w:ascii="TimesNewRoman" w:hAnsi="TimesNewRoman" w:cs="TimesNewRoman"/>
                <w:color w:val="231F20"/>
                <w:sz w:val="20"/>
              </w:rPr>
              <w:t>d) uskutočniteľnosť monitorovania a overovania.</w:t>
            </w:r>
          </w:p>
        </w:tc>
        <w:tc>
          <w:tcPr>
            <w:tcW w:w="851" w:type="dxa"/>
            <w:tcBorders>
              <w:top w:val="single" w:sz="4" w:space="0" w:color="auto"/>
              <w:bottom w:val="single" w:sz="4" w:space="0" w:color="auto"/>
            </w:tcBorders>
          </w:tcPr>
          <w:p w:rsidR="00E10976" w:rsidRPr="00540616" w:rsidP="00E10976">
            <w:pPr>
              <w:jc w:val="both"/>
              <w:rPr>
                <w:sz w:val="20"/>
              </w:rPr>
            </w:pPr>
            <w:r w:rsidRPr="00540616">
              <w:rPr>
                <w:sz w:val="20"/>
              </w:rPr>
              <w:t>N</w:t>
            </w: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r w:rsidRPr="00540616">
              <w:rPr>
                <w:sz w:val="20"/>
              </w:rPr>
              <w:t>n.a.</w:t>
            </w:r>
          </w:p>
        </w:tc>
        <w:tc>
          <w:tcPr>
            <w:tcW w:w="850" w:type="dxa"/>
            <w:tcBorders>
              <w:top w:val="single" w:sz="4" w:space="0" w:color="auto"/>
              <w:bottom w:val="single" w:sz="4" w:space="0" w:color="auto"/>
            </w:tcBorders>
          </w:tcPr>
          <w:p w:rsidR="00E10976" w:rsidRPr="00540616" w:rsidP="00E10976">
            <w:pPr>
              <w:jc w:val="both"/>
              <w:rPr>
                <w:sz w:val="20"/>
              </w:rPr>
            </w:pPr>
            <w:r w:rsidRPr="00540616">
              <w:rPr>
                <w:sz w:val="20"/>
              </w:rPr>
              <w:t>NV</w:t>
            </w:r>
          </w:p>
        </w:tc>
        <w:tc>
          <w:tcPr>
            <w:tcW w:w="851" w:type="dxa"/>
            <w:tcBorders>
              <w:top w:val="single" w:sz="4" w:space="0" w:color="auto"/>
              <w:bottom w:val="single" w:sz="4" w:space="0" w:color="auto"/>
            </w:tcBorders>
          </w:tcPr>
          <w:p w:rsidR="00E10976" w:rsidRPr="00540616" w:rsidP="00E10976">
            <w:pPr>
              <w:pStyle w:val="BodyText21"/>
              <w:spacing w:before="0"/>
            </w:pPr>
            <w:r w:rsidRPr="00540616">
              <w:t>Príloha č. 3</w:t>
            </w:r>
          </w:p>
        </w:tc>
        <w:tc>
          <w:tcPr>
            <w:tcW w:w="4961" w:type="dxa"/>
            <w:tcBorders>
              <w:top w:val="single" w:sz="4" w:space="0" w:color="auto"/>
              <w:bottom w:val="single" w:sz="4" w:space="0" w:color="auto"/>
            </w:tcBorders>
          </w:tcPr>
          <w:p w:rsidR="00E10976" w:rsidRPr="00540616" w:rsidP="00E10976">
            <w:pPr>
              <w:jc w:val="both"/>
              <w:rPr>
                <w:b/>
                <w:sz w:val="20"/>
              </w:rPr>
            </w:pPr>
            <w:r w:rsidRPr="00540616">
              <w:rPr>
                <w:b/>
                <w:sz w:val="20"/>
              </w:rPr>
              <w:t>EKVIVALENTNÉ HODNOTY EMISIÍ PRE METÓDY ZNIŽOVANIA EMISIÍ A KRITÉRIÁ PRE POUŽÍVANIE METÓD ZNIŽOVANIA EMISIÍ</w:t>
            </w:r>
          </w:p>
          <w:p w:rsidR="00E10976" w:rsidRPr="00540616" w:rsidP="00E10976">
            <w:pPr>
              <w:jc w:val="both"/>
              <w:rPr>
                <w:sz w:val="20"/>
              </w:rPr>
            </w:pPr>
          </w:p>
          <w:p w:rsidR="00E10976" w:rsidRPr="00540616" w:rsidP="00E10976">
            <w:pPr>
              <w:jc w:val="both"/>
              <w:rPr>
                <w:sz w:val="20"/>
              </w:rPr>
            </w:pPr>
            <w:r w:rsidRPr="00540616">
              <w:rPr>
                <w:sz w:val="20"/>
              </w:rPr>
              <w:t>A. EKVIVALENTNÉ HODNOTY EMISIÍ PRE METÓDY ZNIŽOVANIA EMISIÍ</w:t>
            </w:r>
          </w:p>
          <w:p w:rsidR="00E10976" w:rsidRPr="00540616" w:rsidP="00E10976">
            <w:pPr>
              <w:jc w:val="both"/>
              <w:rPr>
                <w:sz w:val="20"/>
              </w:rPr>
            </w:pPr>
          </w:p>
          <w:p w:rsidR="00E10976" w:rsidRPr="00540616" w:rsidP="00E10976">
            <w:pPr>
              <w:tabs>
                <w:tab w:val="left" w:pos="851"/>
              </w:tabs>
              <w:spacing w:after="120"/>
              <w:jc w:val="both"/>
              <w:rPr>
                <w:sz w:val="20"/>
              </w:rPr>
            </w:pPr>
            <w:r w:rsidRPr="00540616">
              <w:rPr>
                <w:sz w:val="20"/>
              </w:rPr>
              <w:t>Námorné lode používajúce metódy znižovania emisií musia nepretržite dosahovať také zníženie emisií oxidu siričitého, ktoré je ekvivalentné zníženiu, ktoré by dosiahli pri používaní lodných palív spĺňajúcich požiadavky uvedené v § 6 ods. 4 až 7. Schválenie používania metód znižovania emisií ustanovujú osobitné predpisy.</w:t>
            </w:r>
            <w:r w:rsidRPr="00540616">
              <w:rPr>
                <w:sz w:val="20"/>
                <w:vertAlign w:val="superscript"/>
              </w:rPr>
              <w:t>58</w:t>
            </w:r>
            <w:r w:rsidRPr="00540616">
              <w:rPr>
                <w:sz w:val="20"/>
              </w:rPr>
              <w:t>)</w:t>
            </w:r>
          </w:p>
          <w:p w:rsidR="00E10976" w:rsidRPr="00540616" w:rsidP="00E10976">
            <w:pPr>
              <w:spacing w:line="240" w:lineRule="atLeast"/>
              <w:ind w:left="-44" w:firstLine="44"/>
              <w:jc w:val="both"/>
            </w:pPr>
            <w:r>
              <w:rPr>
                <w:noProof/>
              </w:rPr>
              <w:pict>
                <v:shape id="_x0000_s1044" type="#_x0000_t32" style="width:58.2pt;height:0;margin-top:5.4pt;margin-left:0.1pt;position:absolute;z-index:251684864" o:connectortype="straight"/>
              </w:pict>
            </w:r>
          </w:p>
          <w:p w:rsidR="00E10976" w:rsidRPr="00540616" w:rsidP="00E10976">
            <w:pPr>
              <w:pStyle w:val="FootnoteText"/>
              <w:jc w:val="both"/>
              <w:rPr>
                <w:sz w:val="18"/>
                <w:szCs w:val="18"/>
              </w:rPr>
            </w:pPr>
            <w:r w:rsidRPr="00540616">
              <w:rPr>
                <w:sz w:val="18"/>
                <w:szCs w:val="18"/>
                <w:vertAlign w:val="superscript"/>
              </w:rPr>
              <w:t>58</w:t>
            </w:r>
            <w:r w:rsidRPr="00540616">
              <w:rPr>
                <w:sz w:val="18"/>
                <w:szCs w:val="18"/>
              </w:rPr>
              <w:t xml:space="preserve">) Nariadenie vlády Slovenskej republiky č. 243/2001 Z. z., ktorým sa ustanovujú podrobnosti o technických  požiadavkách a postupoch posudzovania zhody na námorné vybavenie v znení neskorších predpisov.  </w:t>
            </w:r>
          </w:p>
          <w:p w:rsidR="00E10976" w:rsidRPr="00540616" w:rsidP="00E10976">
            <w:pPr>
              <w:pStyle w:val="FootnoteText"/>
              <w:jc w:val="both"/>
              <w:rPr>
                <w:sz w:val="18"/>
                <w:szCs w:val="18"/>
              </w:rPr>
            </w:pPr>
            <w:r w:rsidRPr="00540616">
              <w:rPr>
                <w:sz w:val="18"/>
                <w:szCs w:val="18"/>
              </w:rPr>
              <w:t xml:space="preserve">Článok 3 ods. 2 nariadenia Európskeho parlamentu a Rady (ES) č. 2099/2002 z 5. novembra 2002, ktorým sa ustanovuje Výbor pre bezpečnosť na mori a pre zabránenie znečisťovania z lodí (COSS) a menia a dopĺňajú sa nariadenia o námornej bezpečnosti a zabránení znečisťovania lodí (Ú. v. ES L 324, 29.11.2002). </w:t>
            </w:r>
          </w:p>
          <w:p w:rsidR="00E10976" w:rsidRPr="00540616" w:rsidP="00E10976">
            <w:pPr>
              <w:tabs>
                <w:tab w:val="left" w:pos="851"/>
              </w:tabs>
              <w:spacing w:after="120"/>
              <w:jc w:val="both"/>
              <w:rPr>
                <w:sz w:val="20"/>
              </w:rPr>
            </w:pPr>
          </w:p>
          <w:p w:rsidR="00E10976" w:rsidRPr="00540616" w:rsidP="00E10976">
            <w:pPr>
              <w:pStyle w:val="Heading6"/>
              <w:rPr>
                <w:b w:val="0"/>
                <w:sz w:val="20"/>
              </w:rPr>
            </w:pPr>
          </w:p>
        </w:tc>
        <w:tc>
          <w:tcPr>
            <w:tcW w:w="709" w:type="dxa"/>
            <w:tcBorders>
              <w:top w:val="single" w:sz="4" w:space="0" w:color="auto"/>
              <w:bottom w:val="single" w:sz="4" w:space="0" w:color="auto"/>
            </w:tcBorders>
          </w:tcPr>
          <w:p w:rsidR="00E10976" w:rsidRPr="00540616" w:rsidP="00E10976">
            <w:pPr>
              <w:jc w:val="both"/>
              <w:rPr>
                <w:sz w:val="20"/>
              </w:rPr>
            </w:pPr>
            <w:r w:rsidRPr="00540616">
              <w:rPr>
                <w:sz w:val="20"/>
              </w:rPr>
              <w:t>Ú</w:t>
            </w: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P="00E10976">
            <w:pPr>
              <w:jc w:val="both"/>
              <w:rPr>
                <w:sz w:val="20"/>
              </w:rPr>
            </w:pPr>
          </w:p>
          <w:p w:rsidR="00336966"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r w:rsidRPr="00540616">
              <w:rPr>
                <w:sz w:val="20"/>
              </w:rPr>
              <w:t>n.a.</w:t>
            </w:r>
          </w:p>
        </w:tc>
        <w:tc>
          <w:tcPr>
            <w:tcW w:w="1417" w:type="dxa"/>
            <w:tcBorders>
              <w:top w:val="single" w:sz="4" w:space="0" w:color="auto"/>
              <w:bottom w:val="single" w:sz="4" w:space="0" w:color="auto"/>
            </w:tcBorders>
          </w:tcPr>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802095" w:rsidRPr="00540616" w:rsidP="00E10976">
            <w:pPr>
              <w:jc w:val="both"/>
              <w:rPr>
                <w:sz w:val="20"/>
              </w:rPr>
            </w:pPr>
          </w:p>
          <w:p w:rsidR="00E10976" w:rsidRPr="00540616" w:rsidP="00802095">
            <w:pPr>
              <w:jc w:val="both"/>
              <w:rPr>
                <w:sz w:val="20"/>
              </w:rPr>
            </w:pPr>
            <w:r w:rsidRPr="00540616" w:rsidR="00802095">
              <w:rPr>
                <w:sz w:val="20"/>
              </w:rPr>
              <w:t xml:space="preserve">Čl. 9 ods. 2 písm. a) až d) </w:t>
            </w:r>
            <w:r w:rsidRPr="00540616">
              <w:rPr>
                <w:sz w:val="20"/>
              </w:rPr>
              <w:t xml:space="preserve"> nie je predmetom transpozície, nakoľko z definície lodných palív vyplýva, že lodné palivá sú určené pre plavidlá nachádzajúce sa na mori a SR je vnútrozemský štát a nemá morský prístav. </w:t>
            </w:r>
          </w:p>
        </w:tc>
      </w:tr>
      <w:tr w:rsidTr="000B581A">
        <w:tblPrEx>
          <w:tblW w:w="14954" w:type="dxa"/>
          <w:tblLayout w:type="fixed"/>
          <w:tblCellMar>
            <w:left w:w="70" w:type="dxa"/>
            <w:right w:w="70" w:type="dxa"/>
          </w:tblCellMar>
          <w:tblLook w:val="0000"/>
        </w:tblPrEx>
        <w:trPr>
          <w:trHeight w:val="1524"/>
        </w:trPr>
        <w:tc>
          <w:tcPr>
            <w:tcW w:w="779" w:type="dxa"/>
            <w:tcBorders>
              <w:top w:val="single" w:sz="4" w:space="0" w:color="auto"/>
              <w:bottom w:val="single" w:sz="4" w:space="0" w:color="auto"/>
            </w:tcBorders>
          </w:tcPr>
          <w:p w:rsidR="00EA0A90" w:rsidRPr="00802095" w:rsidP="00EA0A90">
            <w:pPr>
              <w:jc w:val="both"/>
              <w:rPr>
                <w:sz w:val="20"/>
              </w:rPr>
            </w:pPr>
            <w:r w:rsidRPr="00802095">
              <w:rPr>
                <w:sz w:val="20"/>
              </w:rPr>
              <w:t>Č10</w:t>
            </w:r>
          </w:p>
        </w:tc>
        <w:tc>
          <w:tcPr>
            <w:tcW w:w="4536" w:type="dxa"/>
            <w:tcBorders>
              <w:top w:val="single" w:sz="4" w:space="0" w:color="auto"/>
              <w:bottom w:val="single" w:sz="4" w:space="0" w:color="auto"/>
            </w:tcBorders>
          </w:tcPr>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Článok 10</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Skúšky nových metód znižovania emisií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Členské štáty môžu, podľa potreby v spolupráci s inými členskými štátmi, povoliť skúšky metód znižovania emisií lodí na plavidlách plaviacich sa pod ich vlajkou alebo v morských oblastiach, ktoré patria do ich jurisdikcie. Počas týchto skúšok nie je povinné používanie lodných palív spĺňajúcich požiadavky článkov 6 a 7 za predpokladu, že boli splnené všetky tieto podmienky: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a) Komisia a ktorýkoľvek dotknutý prístavný štát sú o týchto skúškach písomne informovaní najmenej šesť mesiacov pred začatím týchto skúšok;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b) povolenia na skúšky nepresahujú dobu 18 mesiacov;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c) všetky zúčastnené lode majú nainštalované zariadenia znemožňujúce ich svojvoľnú manipuláciu na nepretržité monitorovanie emisií spalín a používajú ich počas trvania skúšok;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d) všetky zúčastnené lode dosahujú zníženie emisií, ktoré sa rovná aspoň zníženiu, ktoré by sa dosiahlo uplatňovaním limitných hodnôt pre obsah síry v palivách uvedených v tejto smernici;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e) na všetok odpad, ktorý tieto metódy znižovania emisií počas trvania skúšok vyprodukovali, sa používajú vhodné systémy odpadového hospodárstva;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f) počas trvania skúšok sa vyhodnocuje vplyv na morské prostredie, najmä na ekosystémy v uzavretých prístavoch, prístavoch a ústiach riek a </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g) výsledky sa v plnom rozsahu poskytnú Komisii a sprístupnia verejnosti do šiestich mesiacov od skončenia skúšok. </w:t>
            </w:r>
          </w:p>
          <w:p w:rsidR="00EA0A90" w:rsidRPr="00802095" w:rsidP="00EA0A90">
            <w:pPr>
              <w:pStyle w:val="CM4"/>
              <w:spacing w:before="60" w:after="60"/>
              <w:jc w:val="both"/>
              <w:rPr>
                <w:rFonts w:ascii="TimesNewRoman" w:hAnsi="TimesNewRoman" w:cs="TimesNewRoman"/>
                <w:color w:val="231F20"/>
                <w:sz w:val="20"/>
                <w:szCs w:val="20"/>
              </w:rPr>
            </w:pPr>
          </w:p>
        </w:tc>
        <w:tc>
          <w:tcPr>
            <w:tcW w:w="851" w:type="dxa"/>
            <w:tcBorders>
              <w:top w:val="single" w:sz="4" w:space="0" w:color="auto"/>
              <w:bottom w:val="single" w:sz="4" w:space="0" w:color="auto"/>
            </w:tcBorders>
          </w:tcPr>
          <w:p w:rsidR="00EA0A90" w:rsidRPr="00802095" w:rsidP="00EA0A90">
            <w:pPr>
              <w:jc w:val="both"/>
              <w:rPr>
                <w:sz w:val="20"/>
              </w:rPr>
            </w:pPr>
            <w:r w:rsidRPr="00802095">
              <w:rPr>
                <w:sz w:val="20"/>
              </w:rPr>
              <w:t>N</w:t>
            </w:r>
          </w:p>
        </w:tc>
        <w:tc>
          <w:tcPr>
            <w:tcW w:w="850" w:type="dxa"/>
            <w:tcBorders>
              <w:top w:val="single" w:sz="4" w:space="0" w:color="auto"/>
              <w:bottom w:val="single" w:sz="4" w:space="0" w:color="auto"/>
            </w:tcBorders>
          </w:tcPr>
          <w:p w:rsidR="00EA0A90" w:rsidRPr="00802095" w:rsidP="00EA0A90">
            <w:pPr>
              <w:jc w:val="both"/>
              <w:rPr>
                <w:sz w:val="20"/>
              </w:rPr>
            </w:pPr>
            <w:r w:rsidRPr="00802095">
              <w:rPr>
                <w:sz w:val="20"/>
              </w:rPr>
              <w:t>NV1</w:t>
            </w:r>
          </w:p>
        </w:tc>
        <w:tc>
          <w:tcPr>
            <w:tcW w:w="851" w:type="dxa"/>
            <w:tcBorders>
              <w:top w:val="single" w:sz="4" w:space="0" w:color="auto"/>
              <w:bottom w:val="single" w:sz="4" w:space="0" w:color="auto"/>
            </w:tcBorders>
          </w:tcPr>
          <w:p w:rsidR="00EA0A90" w:rsidRPr="00802095" w:rsidP="00EA0A90">
            <w:pPr>
              <w:pStyle w:val="BodyText21"/>
            </w:pPr>
            <w:r w:rsidRPr="00802095">
              <w:t>§2</w:t>
            </w:r>
          </w:p>
          <w:p w:rsidR="00EA0A90" w:rsidRPr="00802095" w:rsidP="00EA0A90">
            <w:pPr>
              <w:pStyle w:val="BodyText21"/>
            </w:pPr>
          </w:p>
          <w:p w:rsidR="00EA0A90" w:rsidRPr="00802095" w:rsidP="00EA0A90">
            <w:pPr>
              <w:pStyle w:val="BodyText21"/>
            </w:pPr>
          </w:p>
          <w:p w:rsidR="00EA0A90" w:rsidRPr="00802095" w:rsidP="00EA0A90">
            <w:pPr>
              <w:pStyle w:val="BodyText21"/>
            </w:pPr>
          </w:p>
          <w:p w:rsidR="00EA0A90" w:rsidRPr="00802095" w:rsidP="00EA0A90">
            <w:pPr>
              <w:pStyle w:val="BodyText21"/>
            </w:pPr>
          </w:p>
          <w:p w:rsidR="00EA0A90" w:rsidRPr="00802095" w:rsidP="00EA0A90">
            <w:pPr>
              <w:pStyle w:val="BodyText21"/>
            </w:pPr>
            <w:r w:rsidRPr="00802095">
              <w:t>Príloha č.1</w:t>
            </w:r>
          </w:p>
          <w:p w:rsidR="00EA0A90" w:rsidRPr="00802095" w:rsidP="00EA0A90">
            <w:pPr>
              <w:pStyle w:val="BodyText21"/>
            </w:pPr>
            <w:r w:rsidRPr="00802095">
              <w:t>P8</w:t>
            </w:r>
          </w:p>
        </w:tc>
        <w:tc>
          <w:tcPr>
            <w:tcW w:w="4961" w:type="dxa"/>
            <w:tcBorders>
              <w:top w:val="single" w:sz="4" w:space="0" w:color="auto"/>
              <w:bottom w:val="single" w:sz="4" w:space="0" w:color="auto"/>
            </w:tcBorders>
          </w:tcPr>
          <w:p w:rsidR="00EA0A90" w:rsidRPr="00802095" w:rsidP="00EA0A90">
            <w:pPr>
              <w:pStyle w:val="BodyText"/>
              <w:rPr>
                <w:b/>
                <w:sz w:val="20"/>
              </w:rPr>
            </w:pPr>
            <w:r w:rsidRPr="00802095">
              <w:rPr>
                <w:b/>
                <w:sz w:val="20"/>
              </w:rPr>
              <w:t>§ 2</w:t>
            </w:r>
          </w:p>
          <w:p w:rsidR="00EA0A90" w:rsidRPr="00802095" w:rsidP="00EA0A90">
            <w:pPr>
              <w:pStyle w:val="BodyText"/>
              <w:jc w:val="left"/>
              <w:rPr>
                <w:b/>
                <w:sz w:val="20"/>
              </w:rPr>
            </w:pPr>
            <w:r w:rsidRPr="00802095">
              <w:rPr>
                <w:b/>
                <w:sz w:val="20"/>
              </w:rPr>
              <w:t>Informácie a správy podávané Komisii notifikačným orgánom</w:t>
            </w:r>
          </w:p>
          <w:p w:rsidR="00EA0A90" w:rsidRPr="00802095" w:rsidP="00EA0A90">
            <w:pPr>
              <w:rPr>
                <w:szCs w:val="24"/>
              </w:rPr>
            </w:pPr>
          </w:p>
          <w:p w:rsidR="00EA0A90" w:rsidRPr="00802095" w:rsidP="00EA0A90">
            <w:pPr>
              <w:tabs>
                <w:tab w:val="left" w:pos="993"/>
              </w:tabs>
              <w:jc w:val="both"/>
              <w:rPr>
                <w:sz w:val="20"/>
              </w:rPr>
            </w:pPr>
            <w:r w:rsidRPr="00802095">
              <w:rPr>
                <w:sz w:val="20"/>
              </w:rPr>
              <w:t xml:space="preserve">Obsah a rozsah informácií a správ podávaných Komisii notifikačným orgánom podľa § </w:t>
            </w:r>
            <w:r w:rsidRPr="00802095" w:rsidR="008D7109">
              <w:rPr>
                <w:sz w:val="20"/>
              </w:rPr>
              <w:t>41</w:t>
            </w:r>
            <w:r w:rsidRPr="00802095">
              <w:rPr>
                <w:sz w:val="20"/>
              </w:rPr>
              <w:t xml:space="preserve"> písm. d) zákona a lehoty ich podávania sú uvedené v prílohe č. 1.</w:t>
            </w:r>
          </w:p>
          <w:p w:rsidR="00EA0A90" w:rsidRPr="00802095" w:rsidP="00EA0A90">
            <w:pPr>
              <w:tabs>
                <w:tab w:val="left" w:pos="993"/>
              </w:tabs>
              <w:jc w:val="both"/>
              <w:rPr>
                <w:sz w:val="20"/>
              </w:rPr>
            </w:pPr>
            <w:r w:rsidRPr="00802095">
              <w:rPr>
                <w:sz w:val="20"/>
              </w:rPr>
              <w:t xml:space="preserve"> </w:t>
            </w:r>
          </w:p>
          <w:p w:rsidR="00EA0A90" w:rsidRPr="00802095" w:rsidP="00EA0A90">
            <w:pPr>
              <w:tabs>
                <w:tab w:val="left" w:pos="993"/>
              </w:tabs>
              <w:jc w:val="both"/>
              <w:rPr>
                <w:sz w:val="20"/>
              </w:rPr>
            </w:pPr>
            <w:r w:rsidRPr="00802095">
              <w:rPr>
                <w:sz w:val="20"/>
              </w:rPr>
              <w:t xml:space="preserve">8. KVALITA PALÍV podľa § 37 zákona </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2"/>
              <w:gridCol w:w="1550"/>
              <w:gridCol w:w="1619"/>
            </w:tblGrid>
            <w:tr w:rsidTr="0098339E">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642" w:type="dxa"/>
                  <w:shd w:val="clear" w:color="auto" w:fill="auto"/>
                  <w:vAlign w:val="center"/>
                </w:tcPr>
                <w:p w:rsidR="00EA0A90" w:rsidRPr="00802095" w:rsidP="00EA0A90">
                  <w:pPr>
                    <w:widowControl w:val="0"/>
                    <w:ind w:right="-108"/>
                    <w:rPr>
                      <w:rFonts w:eastAsia="SimSun"/>
                      <w:b/>
                      <w:sz w:val="20"/>
                    </w:rPr>
                  </w:pPr>
                  <w:r w:rsidRPr="00802095">
                    <w:rPr>
                      <w:rFonts w:eastAsia="SimSun"/>
                      <w:b/>
                      <w:sz w:val="20"/>
                    </w:rPr>
                    <w:t xml:space="preserve">Predmet správy, oznámenia  </w:t>
                  </w:r>
                </w:p>
              </w:tc>
              <w:tc>
                <w:tcPr>
                  <w:tcW w:w="1550" w:type="dxa"/>
                  <w:shd w:val="clear" w:color="auto" w:fill="auto"/>
                  <w:vAlign w:val="center"/>
                </w:tcPr>
                <w:p w:rsidR="00EA0A90" w:rsidRPr="00802095" w:rsidP="00EA0A90">
                  <w:pPr>
                    <w:widowControl w:val="0"/>
                    <w:rPr>
                      <w:rFonts w:eastAsia="SimSun"/>
                      <w:b/>
                      <w:sz w:val="20"/>
                    </w:rPr>
                  </w:pPr>
                  <w:r w:rsidRPr="00802095">
                    <w:rPr>
                      <w:rFonts w:eastAsia="SimSun"/>
                      <w:b/>
                      <w:sz w:val="20"/>
                    </w:rPr>
                    <w:t xml:space="preserve">Údaje, ktoré treba oznamovať </w:t>
                  </w:r>
                </w:p>
              </w:tc>
              <w:tc>
                <w:tcPr>
                  <w:tcW w:w="1619" w:type="dxa"/>
                  <w:shd w:val="clear" w:color="auto" w:fill="auto"/>
                  <w:vAlign w:val="center"/>
                </w:tcPr>
                <w:p w:rsidR="00EA0A90" w:rsidRPr="00802095" w:rsidP="00EA0A90">
                  <w:pPr>
                    <w:widowControl w:val="0"/>
                    <w:rPr>
                      <w:rFonts w:eastAsia="SimSun"/>
                      <w:b/>
                      <w:sz w:val="20"/>
                    </w:rPr>
                  </w:pPr>
                  <w:r w:rsidRPr="00802095">
                    <w:rPr>
                      <w:rFonts w:eastAsia="SimSun"/>
                      <w:b/>
                      <w:sz w:val="20"/>
                    </w:rPr>
                    <w:t xml:space="preserve">Lehoty / termíny </w:t>
                  </w:r>
                </w:p>
              </w:tc>
            </w:tr>
            <w:tr w:rsidTr="0098339E">
              <w:tblPrEx>
                <w:tblW w:w="5000" w:type="pct"/>
                <w:jc w:val="center"/>
                <w:tblLayout w:type="fixed"/>
                <w:tblLook w:val="04A0"/>
              </w:tblPrEx>
              <w:trPr>
                <w:trHeight w:val="2683"/>
                <w:jc w:val="center"/>
              </w:trPr>
              <w:tc>
                <w:tcPr>
                  <w:tcW w:w="1642" w:type="dxa"/>
                  <w:shd w:val="clear" w:color="auto" w:fill="auto"/>
                </w:tcPr>
                <w:p w:rsidR="00EA0A90" w:rsidRPr="00802095" w:rsidP="00EA0A90">
                  <w:pPr>
                    <w:rPr>
                      <w:rFonts w:eastAsia="Trebuchet MS"/>
                      <w:sz w:val="20"/>
                    </w:rPr>
                  </w:pPr>
                  <w:r w:rsidRPr="00802095">
                    <w:rPr>
                      <w:rFonts w:eastAsia="Trebuchet MS"/>
                      <w:b/>
                      <w:sz w:val="20"/>
                      <w:lang w:eastAsia="zh-CN" w:bidi="ar"/>
                    </w:rPr>
                    <w:t>Oznámenie</w:t>
                  </w:r>
                  <w:r w:rsidRPr="00802095">
                    <w:rPr>
                      <w:rFonts w:eastAsia="Trebuchet MS"/>
                      <w:sz w:val="20"/>
                      <w:lang w:eastAsia="zh-CN" w:bidi="ar"/>
                    </w:rPr>
                    <w:br/>
                  </w:r>
                  <w:r w:rsidRPr="00802095">
                    <w:rPr>
                      <w:rFonts w:eastAsia="Trebuchet MS"/>
                      <w:b/>
                      <w:sz w:val="20"/>
                      <w:lang w:eastAsia="zh-CN" w:bidi="ar"/>
                    </w:rPr>
                    <w:t>o skúškach nových metód znižovania emisií lodí</w:t>
                  </w:r>
                </w:p>
              </w:tc>
              <w:tc>
                <w:tcPr>
                  <w:tcW w:w="1550" w:type="dxa"/>
                  <w:shd w:val="clear" w:color="auto" w:fill="auto"/>
                </w:tcPr>
                <w:p w:rsidR="00EA0A90" w:rsidRPr="00802095" w:rsidP="00EA0A90">
                  <w:pPr>
                    <w:rPr>
                      <w:rFonts w:eastAsia="Trebuchet MS"/>
                      <w:sz w:val="20"/>
                    </w:rPr>
                  </w:pPr>
                  <w:r w:rsidRPr="00802095">
                    <w:rPr>
                      <w:rFonts w:eastAsia="Trebuchet MS"/>
                      <w:sz w:val="20"/>
                      <w:lang w:eastAsia="zh-CN" w:bidi="ar"/>
                    </w:rPr>
                    <w:t>Informácia o používaní lodných palív nespĺňajúcich ustanovené požiadavky podľa tejto smernice počas skúšok nových metód znižovania emisií lodí na plavidlách plaviacich sa pod slovenskou vlajkou alebo v morských oblastiach, ktoré patria do jej jurisdikcie.</w:t>
                  </w:r>
                </w:p>
              </w:tc>
              <w:tc>
                <w:tcPr>
                  <w:tcW w:w="1619" w:type="dxa"/>
                  <w:shd w:val="clear" w:color="auto" w:fill="auto"/>
                </w:tcPr>
                <w:p w:rsidR="00EA0A90" w:rsidRPr="00802095" w:rsidP="00EA0A90">
                  <w:pPr>
                    <w:rPr>
                      <w:rFonts w:eastAsia="Trebuchet MS"/>
                      <w:sz w:val="20"/>
                    </w:rPr>
                  </w:pPr>
                  <w:r w:rsidRPr="00802095">
                    <w:rPr>
                      <w:rFonts w:eastAsia="Trebuchet MS"/>
                      <w:sz w:val="20"/>
                      <w:lang w:eastAsia="zh-CN" w:bidi="ar"/>
                    </w:rPr>
                    <w:t>Najmenej</w:t>
                    <w:br/>
                    <w:t>6 mesiacov pred začatím skúšok</w:t>
                  </w:r>
                </w:p>
              </w:tc>
            </w:tr>
            <w:tr w:rsidTr="0098339E">
              <w:tblPrEx>
                <w:tblW w:w="5000" w:type="pct"/>
                <w:jc w:val="center"/>
                <w:tblLayout w:type="fixed"/>
                <w:tblLook w:val="04A0"/>
              </w:tblPrEx>
              <w:trPr>
                <w:trHeight w:val="2683"/>
                <w:jc w:val="center"/>
              </w:trPr>
              <w:tc>
                <w:tcPr>
                  <w:tcW w:w="1642" w:type="dxa"/>
                  <w:shd w:val="clear" w:color="auto" w:fill="auto"/>
                </w:tcPr>
                <w:p w:rsidR="00EA0A90" w:rsidRPr="00802095" w:rsidP="00EA0A90">
                  <w:pPr>
                    <w:rPr>
                      <w:rFonts w:eastAsia="Trebuchet MS"/>
                      <w:sz w:val="20"/>
                    </w:rPr>
                  </w:pPr>
                  <w:r w:rsidRPr="00802095">
                    <w:rPr>
                      <w:rFonts w:eastAsia="Trebuchet MS"/>
                      <w:b/>
                      <w:sz w:val="20"/>
                      <w:lang w:eastAsia="zh-CN" w:bidi="ar"/>
                    </w:rPr>
                    <w:t>Správa</w:t>
                    <w:br/>
                    <w:t>o výsledku skúšok nových metód znižovania emisií lodí</w:t>
                  </w:r>
                </w:p>
              </w:tc>
              <w:tc>
                <w:tcPr>
                  <w:tcW w:w="1550" w:type="dxa"/>
                  <w:shd w:val="clear" w:color="auto" w:fill="auto"/>
                </w:tcPr>
                <w:p w:rsidR="00EA0A90" w:rsidRPr="00802095" w:rsidP="00EA0A90">
                  <w:pPr>
                    <w:rPr>
                      <w:rFonts w:eastAsia="Trebuchet MS"/>
                      <w:sz w:val="20"/>
                    </w:rPr>
                  </w:pPr>
                  <w:r w:rsidRPr="00802095">
                    <w:rPr>
                      <w:rFonts w:eastAsia="Trebuchet MS"/>
                      <w:sz w:val="20"/>
                      <w:lang w:eastAsia="zh-CN" w:bidi="ar"/>
                    </w:rPr>
                    <w:t>Výsledky skúšok nových metód znižovania emisií lodí.</w:t>
                  </w:r>
                </w:p>
              </w:tc>
              <w:tc>
                <w:tcPr>
                  <w:tcW w:w="1619" w:type="dxa"/>
                  <w:shd w:val="clear" w:color="auto" w:fill="auto"/>
                </w:tcPr>
                <w:p w:rsidR="00EA0A90" w:rsidRPr="00802095" w:rsidP="00EA0A90">
                  <w:pPr>
                    <w:rPr>
                      <w:rFonts w:eastAsia="Trebuchet MS"/>
                      <w:sz w:val="20"/>
                    </w:rPr>
                  </w:pPr>
                  <w:r w:rsidRPr="00802095">
                    <w:rPr>
                      <w:rFonts w:eastAsia="Trebuchet MS"/>
                      <w:sz w:val="20"/>
                      <w:lang w:eastAsia="zh-CN" w:bidi="ar"/>
                    </w:rPr>
                    <w:t>Do 6 mesiacov od skončenia skúšok</w:t>
                  </w:r>
                </w:p>
              </w:tc>
            </w:tr>
          </w:tbl>
          <w:p w:rsidR="00EA0A90" w:rsidRPr="00802095" w:rsidP="00EA0A90">
            <w:pPr>
              <w:tabs>
                <w:tab w:val="left" w:pos="993"/>
              </w:tabs>
              <w:jc w:val="both"/>
              <w:rPr>
                <w:sz w:val="20"/>
              </w:rPr>
            </w:pPr>
          </w:p>
          <w:p w:rsidR="00EA0A90" w:rsidRPr="00802095" w:rsidP="00EA0A90">
            <w:pPr>
              <w:rPr>
                <w:sz w:val="20"/>
              </w:rPr>
            </w:pPr>
          </w:p>
        </w:tc>
        <w:tc>
          <w:tcPr>
            <w:tcW w:w="709" w:type="dxa"/>
            <w:tcBorders>
              <w:top w:val="single" w:sz="4" w:space="0" w:color="auto"/>
              <w:bottom w:val="single" w:sz="4" w:space="0" w:color="auto"/>
            </w:tcBorders>
          </w:tcPr>
          <w:p w:rsidR="00EA0A90" w:rsidRPr="00802095" w:rsidP="00EA0A90">
            <w:pPr>
              <w:jc w:val="both"/>
              <w:rPr>
                <w:sz w:val="20"/>
              </w:rPr>
            </w:pPr>
            <w:r w:rsidRPr="00802095">
              <w:rPr>
                <w:sz w:val="20"/>
              </w:rPr>
              <w:t>U</w:t>
            </w:r>
          </w:p>
        </w:tc>
        <w:tc>
          <w:tcPr>
            <w:tcW w:w="1417" w:type="dxa"/>
            <w:tcBorders>
              <w:top w:val="single" w:sz="4" w:space="0" w:color="auto"/>
              <w:bottom w:val="single" w:sz="4" w:space="0" w:color="auto"/>
            </w:tcBorders>
          </w:tcPr>
          <w:p w:rsidR="00EA0A90" w:rsidRPr="00975AA4" w:rsidP="00EA0A90">
            <w:pPr>
              <w:jc w:val="both"/>
              <w:rPr>
                <w:sz w:val="20"/>
                <w:highlight w:val="cyan"/>
              </w:rPr>
            </w:pPr>
          </w:p>
        </w:tc>
      </w:tr>
      <w:tr w:rsidTr="000B581A">
        <w:tblPrEx>
          <w:tblW w:w="14954" w:type="dxa"/>
          <w:tblLayout w:type="fixed"/>
          <w:tblCellMar>
            <w:left w:w="70" w:type="dxa"/>
            <w:right w:w="70" w:type="dxa"/>
          </w:tblCellMar>
          <w:tblLook w:val="0000"/>
        </w:tblPrEx>
        <w:trPr>
          <w:trHeight w:val="1524"/>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11</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Finančné opatrenia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Členské štáty môžu prijať finančné opatrenia na podporu prevádzkovateľov, na ktorých má táto smernica dosah, pokiaľ sú takéto finančné opatrenia v súlade s pravidlami štátnej pomoci, ktoré v tejto oblasti platia či sa majú prijať.</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D</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693"/>
        </w:trPr>
        <w:tc>
          <w:tcPr>
            <w:tcW w:w="779" w:type="dxa"/>
            <w:tcBorders>
              <w:top w:val="single" w:sz="4" w:space="0" w:color="auto"/>
              <w:bottom w:val="single" w:sz="4" w:space="0" w:color="auto"/>
            </w:tcBorders>
          </w:tcPr>
          <w:p w:rsidR="00EA0A90" w:rsidRPr="00802095" w:rsidP="00EA0A90">
            <w:pPr>
              <w:jc w:val="both"/>
              <w:rPr>
                <w:sz w:val="20"/>
              </w:rPr>
            </w:pPr>
            <w:r w:rsidRPr="00802095">
              <w:rPr>
                <w:sz w:val="20"/>
              </w:rPr>
              <w:t>Č12</w:t>
            </w:r>
          </w:p>
        </w:tc>
        <w:tc>
          <w:tcPr>
            <w:tcW w:w="4536" w:type="dxa"/>
            <w:tcBorders>
              <w:top w:val="single" w:sz="4" w:space="0" w:color="auto"/>
              <w:bottom w:val="single" w:sz="4" w:space="0" w:color="auto"/>
            </w:tcBorders>
          </w:tcPr>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Článok 12</w:t>
            </w:r>
          </w:p>
          <w:p w:rsidR="00EA0A90" w:rsidRPr="00802095" w:rsidP="00EA0A90">
            <w:pPr>
              <w:pStyle w:val="CM4"/>
              <w:spacing w:before="60" w:after="60"/>
              <w:rPr>
                <w:rFonts w:ascii="TimesNewRoman" w:hAnsi="TimesNewRoman" w:cs="TimesNewRoman"/>
                <w:color w:val="231F20"/>
                <w:sz w:val="20"/>
                <w:szCs w:val="20"/>
              </w:rPr>
            </w:pPr>
            <w:r w:rsidRPr="00802095">
              <w:rPr>
                <w:rFonts w:ascii="TimesNewRoman" w:hAnsi="TimesNewRoman" w:cs="TimesNewRoman"/>
                <w:color w:val="231F20"/>
                <w:sz w:val="20"/>
                <w:szCs w:val="20"/>
              </w:rPr>
              <w:t xml:space="preserve">Zmena v dodávke palív </w:t>
            </w:r>
          </w:p>
          <w:p w:rsidR="00EA0A90" w:rsidRPr="00802095" w:rsidP="00EA0A90">
            <w:pPr>
              <w:autoSpaceDE w:val="0"/>
              <w:autoSpaceDN w:val="0"/>
              <w:adjustRightInd w:val="0"/>
              <w:jc w:val="both"/>
              <w:rPr>
                <w:rFonts w:ascii="TimesNewRoman" w:hAnsi="TimesNewRoman" w:cs="TimesNewRoman"/>
                <w:color w:val="231F20"/>
                <w:sz w:val="20"/>
                <w:lang w:eastAsia="sk-SK"/>
              </w:rPr>
            </w:pPr>
            <w:r w:rsidRPr="00802095">
              <w:rPr>
                <w:rFonts w:ascii="TimesNewRoman" w:hAnsi="TimesNewRoman" w:cs="TimesNewRoman"/>
                <w:color w:val="231F20"/>
                <w:sz w:val="20"/>
                <w:lang w:eastAsia="sk-SK"/>
              </w:rPr>
              <w:t>Ak v dôsledku náhlej zmeny v dodávke ropy, ropných produktov alebo iných uhľovodíkov vzniknú pre členský štát problémy s dodržiavaním limitov maximálneho obsahu síry, ktoré sú uvedené v článkoch 3 a 4, potom tento členský štát to oznámi Komisii. Komisia môže povoliť vyššiu hodnotu limitu, ktorá sa bude používať na území tohto členského štátu po dobu maximálne šiestich mesiacov; oznámi svoje rozhodnutie Rade a členským štátom. Každý členský štát môže postúpiť toto rozhodnutie Rade do jedného mesiaca. Rada, konajúca na základe kvalifikovanej väčšiny, môže do dvoch mesiacov prijať iné rozhodnutie.</w:t>
            </w:r>
          </w:p>
        </w:tc>
        <w:tc>
          <w:tcPr>
            <w:tcW w:w="851" w:type="dxa"/>
            <w:tcBorders>
              <w:top w:val="single" w:sz="4" w:space="0" w:color="auto"/>
              <w:bottom w:val="single" w:sz="4" w:space="0" w:color="auto"/>
            </w:tcBorders>
          </w:tcPr>
          <w:p w:rsidR="00EA0A90" w:rsidRPr="00802095" w:rsidP="00EA0A90">
            <w:pPr>
              <w:jc w:val="both"/>
              <w:rPr>
                <w:sz w:val="20"/>
              </w:rPr>
            </w:pPr>
            <w:r w:rsidRPr="00802095">
              <w:rPr>
                <w:sz w:val="20"/>
              </w:rPr>
              <w:t>N</w:t>
            </w:r>
          </w:p>
        </w:tc>
        <w:tc>
          <w:tcPr>
            <w:tcW w:w="850" w:type="dxa"/>
            <w:tcBorders>
              <w:top w:val="single" w:sz="4" w:space="0" w:color="auto"/>
              <w:bottom w:val="single" w:sz="4" w:space="0" w:color="auto"/>
            </w:tcBorders>
          </w:tcPr>
          <w:p w:rsidR="00EA0A90" w:rsidRPr="00802095" w:rsidP="00EA0A90">
            <w:pPr>
              <w:jc w:val="both"/>
              <w:rPr>
                <w:sz w:val="20"/>
              </w:rPr>
            </w:pPr>
            <w:r w:rsidRPr="00802095">
              <w:rPr>
                <w:sz w:val="20"/>
              </w:rPr>
              <w:t>NV1</w:t>
            </w:r>
          </w:p>
        </w:tc>
        <w:tc>
          <w:tcPr>
            <w:tcW w:w="851" w:type="dxa"/>
            <w:tcBorders>
              <w:top w:val="single" w:sz="4" w:space="0" w:color="auto"/>
              <w:bottom w:val="single" w:sz="4" w:space="0" w:color="auto"/>
            </w:tcBorders>
          </w:tcPr>
          <w:p w:rsidR="00EA0A90" w:rsidRPr="00802095" w:rsidP="00EA0A90">
            <w:pPr>
              <w:pStyle w:val="BodyText21"/>
            </w:pPr>
            <w:r w:rsidRPr="00802095">
              <w:t>§ 2</w:t>
            </w:r>
          </w:p>
          <w:p w:rsidR="00EA0A90" w:rsidRPr="00802095" w:rsidP="00EA0A90">
            <w:pPr>
              <w:pStyle w:val="BodyText21"/>
            </w:pPr>
          </w:p>
          <w:p w:rsidR="00EA0A90" w:rsidRPr="00802095" w:rsidP="00EA0A90">
            <w:pPr>
              <w:pStyle w:val="BodyText21"/>
            </w:pPr>
          </w:p>
          <w:p w:rsidR="00EA0A90" w:rsidRPr="00802095" w:rsidP="00EA0A90">
            <w:pPr>
              <w:pStyle w:val="BodyText21"/>
            </w:pPr>
          </w:p>
          <w:p w:rsidR="00EA0A90" w:rsidRPr="00802095" w:rsidP="00EA0A90">
            <w:pPr>
              <w:pStyle w:val="BodyText21"/>
            </w:pPr>
          </w:p>
          <w:p w:rsidR="00EA0A90" w:rsidRPr="00802095" w:rsidP="00EA0A90">
            <w:pPr>
              <w:pStyle w:val="BodyText21"/>
            </w:pPr>
            <w:r w:rsidRPr="00802095">
              <w:t>Príloha č.1</w:t>
            </w:r>
          </w:p>
          <w:p w:rsidR="00EA0A90" w:rsidRPr="00802095" w:rsidP="00EA0A90">
            <w:pPr>
              <w:pStyle w:val="BodyText21"/>
            </w:pPr>
            <w:r w:rsidRPr="00802095">
              <w:t>P8</w:t>
            </w:r>
          </w:p>
        </w:tc>
        <w:tc>
          <w:tcPr>
            <w:tcW w:w="4961" w:type="dxa"/>
            <w:tcBorders>
              <w:top w:val="single" w:sz="4" w:space="0" w:color="auto"/>
              <w:bottom w:val="single" w:sz="4" w:space="0" w:color="auto"/>
            </w:tcBorders>
          </w:tcPr>
          <w:p w:rsidR="00EA0A90" w:rsidRPr="00802095" w:rsidP="00EA0A90">
            <w:pPr>
              <w:pStyle w:val="BodyText"/>
              <w:rPr>
                <w:b/>
                <w:sz w:val="20"/>
              </w:rPr>
            </w:pPr>
            <w:r w:rsidRPr="00802095">
              <w:rPr>
                <w:b/>
                <w:sz w:val="20"/>
              </w:rPr>
              <w:t>§ 2</w:t>
            </w:r>
          </w:p>
          <w:p w:rsidR="00EA0A90" w:rsidRPr="00802095" w:rsidP="00EA0A90">
            <w:pPr>
              <w:pStyle w:val="BodyText"/>
              <w:jc w:val="left"/>
              <w:rPr>
                <w:b/>
                <w:sz w:val="20"/>
              </w:rPr>
            </w:pPr>
            <w:r w:rsidRPr="00802095">
              <w:rPr>
                <w:b/>
                <w:sz w:val="20"/>
              </w:rPr>
              <w:t>Informácie a správy podávané Komisii notifikačným orgánom</w:t>
            </w:r>
          </w:p>
          <w:p w:rsidR="00EA0A90" w:rsidRPr="00802095" w:rsidP="00EA0A90">
            <w:pPr>
              <w:rPr>
                <w:szCs w:val="24"/>
              </w:rPr>
            </w:pPr>
          </w:p>
          <w:p w:rsidR="00EA0A90" w:rsidRPr="00802095" w:rsidP="00EA0A90">
            <w:pPr>
              <w:tabs>
                <w:tab w:val="left" w:pos="993"/>
              </w:tabs>
              <w:jc w:val="both"/>
              <w:rPr>
                <w:sz w:val="20"/>
              </w:rPr>
            </w:pPr>
            <w:r w:rsidRPr="00802095">
              <w:rPr>
                <w:sz w:val="20"/>
              </w:rPr>
              <w:t xml:space="preserve">Obsah a rozsah informácií a správ podávaných Komisii notifikačným orgánom podľa § </w:t>
            </w:r>
            <w:r w:rsidRPr="00802095" w:rsidR="008D7109">
              <w:rPr>
                <w:sz w:val="20"/>
              </w:rPr>
              <w:t>41</w:t>
            </w:r>
            <w:r w:rsidRPr="00802095">
              <w:rPr>
                <w:sz w:val="20"/>
              </w:rPr>
              <w:t xml:space="preserve"> písm. d) zákona a lehoty ich podávania sú uvedené v prílohe č. 1.</w:t>
            </w:r>
          </w:p>
          <w:p w:rsidR="00EA0A90" w:rsidRPr="00802095" w:rsidP="00EA0A90">
            <w:pPr>
              <w:jc w:val="both"/>
              <w:rPr>
                <w:sz w:val="20"/>
              </w:rPr>
            </w:pPr>
          </w:p>
          <w:p w:rsidR="00EA0A90" w:rsidRPr="00802095" w:rsidP="00EA0A90">
            <w:pPr>
              <w:jc w:val="both"/>
              <w:rPr>
                <w:sz w:val="20"/>
              </w:rPr>
            </w:pPr>
            <w:r w:rsidRPr="00802095">
              <w:rPr>
                <w:sz w:val="20"/>
              </w:rPr>
              <w:t>8. KVALITA PALÍV podľa § 37 zákona</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2"/>
              <w:gridCol w:w="1550"/>
              <w:gridCol w:w="1619"/>
            </w:tblGrid>
            <w:tr w:rsidTr="00081488">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351" w:type="dxa"/>
                  <w:shd w:val="clear" w:color="auto" w:fill="auto"/>
                  <w:vAlign w:val="center"/>
                </w:tcPr>
                <w:p w:rsidR="00EA0A90" w:rsidRPr="00802095" w:rsidP="00EA0A90">
                  <w:pPr>
                    <w:widowControl w:val="0"/>
                    <w:ind w:right="-108"/>
                    <w:rPr>
                      <w:rFonts w:eastAsia="SimSun"/>
                      <w:b/>
                      <w:sz w:val="20"/>
                    </w:rPr>
                  </w:pPr>
                  <w:r w:rsidRPr="00802095">
                    <w:rPr>
                      <w:rFonts w:eastAsia="SimSun"/>
                      <w:b/>
                      <w:sz w:val="20"/>
                    </w:rPr>
                    <w:t xml:space="preserve">Predmet správy, oznámenia  </w:t>
                  </w:r>
                </w:p>
              </w:tc>
              <w:tc>
                <w:tcPr>
                  <w:tcW w:w="1276" w:type="dxa"/>
                  <w:shd w:val="clear" w:color="auto" w:fill="auto"/>
                  <w:vAlign w:val="center"/>
                </w:tcPr>
                <w:p w:rsidR="00EA0A90" w:rsidRPr="00802095" w:rsidP="00EA0A90">
                  <w:pPr>
                    <w:widowControl w:val="0"/>
                    <w:rPr>
                      <w:rFonts w:eastAsia="SimSun"/>
                      <w:b/>
                      <w:sz w:val="20"/>
                    </w:rPr>
                  </w:pPr>
                  <w:r w:rsidRPr="00802095">
                    <w:rPr>
                      <w:rFonts w:eastAsia="SimSun"/>
                      <w:b/>
                      <w:sz w:val="20"/>
                    </w:rPr>
                    <w:t xml:space="preserve">Údaje, ktoré treba oznamovať </w:t>
                  </w:r>
                </w:p>
              </w:tc>
              <w:tc>
                <w:tcPr>
                  <w:tcW w:w="1333" w:type="dxa"/>
                  <w:shd w:val="clear" w:color="auto" w:fill="auto"/>
                  <w:vAlign w:val="center"/>
                </w:tcPr>
                <w:p w:rsidR="00EA0A90" w:rsidRPr="00802095" w:rsidP="00EA0A90">
                  <w:pPr>
                    <w:widowControl w:val="0"/>
                    <w:rPr>
                      <w:rFonts w:eastAsia="SimSun"/>
                      <w:b/>
                      <w:sz w:val="20"/>
                    </w:rPr>
                  </w:pPr>
                  <w:r w:rsidRPr="00802095">
                    <w:rPr>
                      <w:rFonts w:eastAsia="SimSun"/>
                      <w:b/>
                      <w:sz w:val="20"/>
                    </w:rPr>
                    <w:t xml:space="preserve">Lehoty / termíny </w:t>
                  </w:r>
                </w:p>
              </w:tc>
            </w:tr>
            <w:tr w:rsidTr="00081488">
              <w:tblPrEx>
                <w:tblW w:w="5000" w:type="pct"/>
                <w:jc w:val="center"/>
                <w:tblLayout w:type="fixed"/>
                <w:tblLook w:val="04A0"/>
              </w:tblPrEx>
              <w:trPr>
                <w:trHeight w:val="2683"/>
                <w:jc w:val="center"/>
              </w:trPr>
              <w:tc>
                <w:tcPr>
                  <w:tcW w:w="1351" w:type="dxa"/>
                  <w:shd w:val="clear" w:color="auto" w:fill="auto"/>
                  <w:vAlign w:val="center"/>
                </w:tcPr>
                <w:p w:rsidR="00EA0A90" w:rsidRPr="00802095" w:rsidP="00EA0A90">
                  <w:pPr>
                    <w:widowControl w:val="0"/>
                    <w:ind w:right="-108"/>
                    <w:rPr>
                      <w:rFonts w:eastAsia="SimSun"/>
                      <w:b/>
                      <w:sz w:val="20"/>
                    </w:rPr>
                  </w:pPr>
                  <w:r w:rsidRPr="00802095">
                    <w:rPr>
                      <w:rFonts w:eastAsia="Trebuchet MS"/>
                      <w:b/>
                      <w:sz w:val="20"/>
                      <w:lang w:eastAsia="zh-CN" w:bidi="ar"/>
                    </w:rPr>
                    <w:t>Oznámenie</w:t>
                    <w:br/>
                    <w:t>o zmene v dodávke palív</w:t>
                  </w:r>
                  <w:r w:rsidRPr="00802095">
                    <w:rPr>
                      <w:rFonts w:eastAsia="SimSun"/>
                      <w:b/>
                      <w:sz w:val="20"/>
                    </w:rPr>
                    <w:t xml:space="preserve"> </w:t>
                  </w:r>
                </w:p>
              </w:tc>
              <w:tc>
                <w:tcPr>
                  <w:tcW w:w="1276" w:type="dxa"/>
                  <w:shd w:val="clear" w:color="auto" w:fill="auto"/>
                  <w:vAlign w:val="center"/>
                </w:tcPr>
                <w:p w:rsidR="00EA0A90" w:rsidRPr="00802095" w:rsidP="00EA0A90">
                  <w:pPr>
                    <w:keepNext/>
                    <w:widowControl w:val="0"/>
                    <w:rPr>
                      <w:rFonts w:ascii="TimesNewRomanBold" w:eastAsia="SimSun" w:hAnsi="TimesNewRomanBold" w:cs="TimesNewRomanBold"/>
                      <w:bCs/>
                      <w:sz w:val="20"/>
                    </w:rPr>
                  </w:pPr>
                  <w:r w:rsidRPr="00802095">
                    <w:rPr>
                      <w:rFonts w:eastAsia="Trebuchet MS"/>
                      <w:sz w:val="20"/>
                      <w:lang w:eastAsia="zh-CN" w:bidi="ar"/>
                    </w:rPr>
                    <w:t>Oznámenie o zmene v dodávke palív, ak v dôsledku náhlej zmeny v dodávke ropy, ropných produktov alebo iných uhľovodíkov vzniknú problémy s dodržiavaním limitov maximálneho obsahu síry v palivách podľa tejto smernice.</w:t>
                  </w:r>
                </w:p>
              </w:tc>
              <w:tc>
                <w:tcPr>
                  <w:tcW w:w="1333" w:type="dxa"/>
                  <w:shd w:val="clear" w:color="auto" w:fill="auto"/>
                  <w:vAlign w:val="center"/>
                </w:tcPr>
                <w:p w:rsidR="00EA0A90" w:rsidRPr="00802095" w:rsidP="00EA0A90">
                  <w:pPr>
                    <w:keepNext/>
                    <w:widowControl w:val="0"/>
                    <w:rPr>
                      <w:rFonts w:eastAsia="SimSun"/>
                      <w:sz w:val="20"/>
                    </w:rPr>
                  </w:pPr>
                  <w:r w:rsidRPr="00802095">
                    <w:rPr>
                      <w:rFonts w:eastAsia="SimSun"/>
                      <w:sz w:val="20"/>
                    </w:rPr>
                    <w:t>Bezodkladne</w:t>
                  </w:r>
                </w:p>
              </w:tc>
            </w:tr>
          </w:tbl>
          <w:p w:rsidR="00EA0A90" w:rsidRPr="00802095" w:rsidP="00EA0A90">
            <w:pPr>
              <w:jc w:val="both"/>
              <w:rPr>
                <w:sz w:val="20"/>
              </w:rPr>
            </w:pPr>
          </w:p>
          <w:p w:rsidR="00EA0A90" w:rsidRPr="00802095" w:rsidP="00EA0A90"/>
        </w:tc>
        <w:tc>
          <w:tcPr>
            <w:tcW w:w="709" w:type="dxa"/>
            <w:tcBorders>
              <w:top w:val="single" w:sz="4" w:space="0" w:color="auto"/>
              <w:bottom w:val="single" w:sz="4" w:space="0" w:color="auto"/>
            </w:tcBorders>
          </w:tcPr>
          <w:p w:rsidR="00EA0A90" w:rsidRPr="00D52C0C" w:rsidP="00EA0A90">
            <w:pPr>
              <w:jc w:val="both"/>
              <w:rPr>
                <w:sz w:val="20"/>
              </w:rPr>
            </w:pPr>
            <w:r>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390AB8">
        <w:tblPrEx>
          <w:tblW w:w="14954" w:type="dxa"/>
          <w:tblLayout w:type="fixed"/>
          <w:tblCellMar>
            <w:left w:w="70" w:type="dxa"/>
            <w:right w:w="70" w:type="dxa"/>
          </w:tblCellMar>
          <w:tblLook w:val="0000"/>
        </w:tblPrEx>
        <w:trPr>
          <w:trHeight w:val="155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Č13</w:t>
            </w:r>
          </w:p>
          <w:p w:rsidR="00EA0A90" w:rsidRPr="00D52C0C" w:rsidP="00EA0A90">
            <w:pPr>
              <w:jc w:val="both"/>
              <w:rPr>
                <w:sz w:val="20"/>
              </w:rPr>
            </w:pPr>
            <w:r w:rsidRPr="00D52C0C">
              <w:rPr>
                <w:sz w:val="20"/>
              </w:rPr>
              <w:t>O1</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390F74" w:rsidP="00EA0A90">
            <w:pPr>
              <w:pStyle w:val="CM4"/>
              <w:spacing w:before="60" w:after="60"/>
              <w:rPr>
                <w:rFonts w:ascii="TimesNewRoman" w:hAnsi="TimesNewRoman" w:cs="TimesNewRoman"/>
                <w:color w:val="231F20"/>
                <w:sz w:val="20"/>
                <w:szCs w:val="20"/>
              </w:rPr>
            </w:pPr>
            <w:r w:rsidRPr="00390F74">
              <w:rPr>
                <w:rFonts w:ascii="TimesNewRoman" w:hAnsi="TimesNewRoman" w:cs="TimesNewRoman"/>
                <w:color w:val="231F20"/>
                <w:sz w:val="20"/>
                <w:szCs w:val="20"/>
              </w:rPr>
              <w:t xml:space="preserve">Článok 13 </w:t>
            </w:r>
          </w:p>
          <w:p w:rsidR="00EA0A90" w:rsidRPr="00390F74" w:rsidP="00EA0A90">
            <w:pPr>
              <w:pStyle w:val="CM4"/>
              <w:spacing w:before="60" w:after="60"/>
              <w:rPr>
                <w:rFonts w:ascii="TimesNewRoman" w:hAnsi="TimesNewRoman" w:cs="TimesNewRoman"/>
                <w:color w:val="231F20"/>
                <w:sz w:val="20"/>
                <w:szCs w:val="20"/>
              </w:rPr>
            </w:pPr>
            <w:r w:rsidRPr="00390F74">
              <w:rPr>
                <w:rFonts w:ascii="TimesNewRoman" w:hAnsi="TimesNewRoman" w:cs="TimesNewRoman"/>
                <w:color w:val="231F20"/>
                <w:sz w:val="20"/>
                <w:szCs w:val="20"/>
              </w:rPr>
              <w:t xml:space="preserve">Odoberanie vzoriek a analýza </w:t>
            </w:r>
          </w:p>
          <w:p w:rsidR="00EA0A90" w:rsidRPr="00390F74" w:rsidP="00EA0A90">
            <w:pPr>
              <w:autoSpaceDE w:val="0"/>
              <w:autoSpaceDN w:val="0"/>
              <w:adjustRightInd w:val="0"/>
              <w:jc w:val="both"/>
              <w:rPr>
                <w:rFonts w:ascii="TimesNewRoman" w:hAnsi="TimesNewRoman" w:cs="TimesNewRoman"/>
                <w:color w:val="231F20"/>
                <w:sz w:val="20"/>
                <w:lang w:eastAsia="sk-SK"/>
              </w:rPr>
            </w:pPr>
            <w:r w:rsidRPr="00390F74">
              <w:rPr>
                <w:rFonts w:ascii="TimesNewRoman" w:hAnsi="TimesNewRoman" w:cs="TimesNewRoman"/>
                <w:color w:val="231F20"/>
                <w:sz w:val="20"/>
                <w:lang w:eastAsia="sk-SK"/>
              </w:rPr>
              <w:t>1. Členské štáty prijmú všetky potrebné opatrenia na overenie pomocou vzoriek, či je obsah síry v používaných palivách v súlade s článkami 3 až 7. Odbery vzoriek sa začnú dňom nadobudnutia platnosti príslušnej limitnej hodnoty pre maximálny obsah síry v palive. Vykonávajú sa pravidelne, dostatočne často a v dostatočnom množstve takým spôsobom, aby vzorky reprezentovali skúmané palivo, a v prípade lodného paliva, aby reprezentovali palivo, ktoré používajú plavidlá, kým sú v príslušných morských oblastiach a prístavoch. Vzorky sa bezodkladne analyzujú.</w:t>
            </w:r>
          </w:p>
          <w:p w:rsidR="00EA0A90" w:rsidRPr="00390F74" w:rsidP="00EA0A90">
            <w:pPr>
              <w:autoSpaceDE w:val="0"/>
              <w:autoSpaceDN w:val="0"/>
              <w:adjustRightInd w:val="0"/>
              <w:jc w:val="both"/>
              <w:rPr>
                <w:rFonts w:ascii="TimesNewRoman" w:hAnsi="TimesNewRoman" w:cs="TimesNewRoman"/>
                <w:color w:val="231F20"/>
                <w:sz w:val="20"/>
                <w:lang w:eastAsia="sk-SK"/>
              </w:rPr>
            </w:pPr>
          </w:p>
          <w:p w:rsidR="00EA0A90" w:rsidRPr="00390F74" w:rsidP="00EA0A90">
            <w:pPr>
              <w:pStyle w:val="CM4"/>
              <w:spacing w:before="60" w:after="60"/>
              <w:jc w:val="both"/>
              <w:rPr>
                <w:rFonts w:ascii="TimesNewRoman" w:hAnsi="TimesNewRoman" w:cs="TimesNewRoman"/>
                <w:color w:val="231F20"/>
                <w:sz w:val="20"/>
                <w:szCs w:val="20"/>
              </w:rPr>
            </w:pPr>
            <w:r w:rsidRPr="00390F74">
              <w:rPr>
                <w:rFonts w:ascii="TimesNewRoman" w:hAnsi="TimesNewRoman" w:cs="TimesNewRoman"/>
                <w:color w:val="231F20"/>
                <w:sz w:val="20"/>
                <w:szCs w:val="20"/>
              </w:rPr>
              <w:t xml:space="preserve">2. Použijú sa tieto spôsoby odberu vzoriek, analýzy a kontroly lodných palív: </w:t>
            </w:r>
          </w:p>
          <w:p w:rsidR="00EA0A90" w:rsidRPr="00390F74" w:rsidP="00EA0A90">
            <w:pPr>
              <w:pStyle w:val="CM4"/>
              <w:spacing w:before="60" w:after="60"/>
              <w:jc w:val="both"/>
              <w:rPr>
                <w:rFonts w:ascii="TimesNewRoman" w:hAnsi="TimesNewRoman" w:cs="TimesNewRoman"/>
                <w:color w:val="231F20"/>
                <w:sz w:val="20"/>
                <w:szCs w:val="20"/>
              </w:rPr>
            </w:pPr>
            <w:r w:rsidRPr="00390F74">
              <w:rPr>
                <w:rFonts w:ascii="TimesNewRoman" w:hAnsi="TimesNewRoman" w:cs="TimesNewRoman"/>
                <w:color w:val="231F20"/>
                <w:sz w:val="20"/>
                <w:szCs w:val="20"/>
              </w:rPr>
              <w:t xml:space="preserve">a) kontrola lodných denníkov a dodacích listov pre nádrž lode; </w:t>
            </w:r>
          </w:p>
          <w:p w:rsidR="00EA0A90" w:rsidRPr="00390F74" w:rsidP="00EA0A90">
            <w:pPr>
              <w:pStyle w:val="CM4"/>
              <w:spacing w:before="60" w:after="60"/>
              <w:jc w:val="both"/>
              <w:rPr>
                <w:rFonts w:ascii="TimesNewRoman" w:hAnsi="TimesNewRoman" w:cs="TimesNewRoman"/>
                <w:color w:val="231F20"/>
                <w:sz w:val="20"/>
                <w:szCs w:val="20"/>
              </w:rPr>
            </w:pPr>
            <w:r w:rsidRPr="00390F74">
              <w:rPr>
                <w:rFonts w:ascii="TimesNewRoman" w:hAnsi="TimesNewRoman" w:cs="TimesNewRoman"/>
                <w:color w:val="231F20"/>
                <w:sz w:val="20"/>
                <w:szCs w:val="20"/>
              </w:rPr>
              <w:t xml:space="preserve">a v prípade potreby tieto spôsoby odberu vzoriek a analýzy: </w:t>
            </w:r>
          </w:p>
          <w:p w:rsidR="00EA0A90" w:rsidRPr="00390F74" w:rsidP="00EA0A90">
            <w:pPr>
              <w:pStyle w:val="CM4"/>
              <w:spacing w:before="60" w:after="60"/>
              <w:jc w:val="both"/>
              <w:rPr>
                <w:rFonts w:ascii="TimesNewRoman" w:hAnsi="TimesNewRoman" w:cs="TimesNewRoman"/>
                <w:color w:val="231F20"/>
                <w:sz w:val="20"/>
                <w:szCs w:val="20"/>
              </w:rPr>
            </w:pPr>
            <w:r w:rsidRPr="00390F74">
              <w:rPr>
                <w:rFonts w:ascii="TimesNewRoman" w:hAnsi="TimesNewRoman" w:cs="TimesNewRoman"/>
                <w:color w:val="231F20"/>
                <w:sz w:val="20"/>
                <w:szCs w:val="20"/>
              </w:rPr>
              <w:t xml:space="preserve">b) odber vzoriek lodného paliva určeného na spaľovanie na palube počas jeho dodávania na loď podľa Usmernení pre odber vzoriek vykurovacieho oleja na určenie súladu s revidovanou prílohou VI k dohovoru MARPOL prijatých 17. júla 2009 rezolúciou 182(59) Výboru IMO pre ochranu morského prostredia (MEPC) a na analýzu jeho obsahu síry; alebo </w:t>
            </w:r>
          </w:p>
          <w:p w:rsidR="00802095" w:rsidRPr="00390F74" w:rsidP="00802095">
            <w:pPr>
              <w:rPr>
                <w:lang w:eastAsia="sk-SK"/>
              </w:rPr>
            </w:pPr>
          </w:p>
          <w:p w:rsidR="00EA0A90" w:rsidRPr="00390F74" w:rsidP="00EA0A90">
            <w:pPr>
              <w:autoSpaceDE w:val="0"/>
              <w:autoSpaceDN w:val="0"/>
              <w:adjustRightInd w:val="0"/>
              <w:jc w:val="both"/>
              <w:rPr>
                <w:rFonts w:ascii="TimesNewRoman" w:hAnsi="TimesNewRoman" w:cs="TimesNewRoman"/>
                <w:color w:val="231F20"/>
                <w:sz w:val="20"/>
                <w:lang w:eastAsia="sk-SK"/>
              </w:rPr>
            </w:pPr>
            <w:r w:rsidRPr="00390F74">
              <w:rPr>
                <w:rFonts w:ascii="TimesNewRoman" w:hAnsi="TimesNewRoman" w:cs="TimesNewRoman"/>
                <w:color w:val="231F20"/>
                <w:sz w:val="20"/>
                <w:lang w:eastAsia="sk-SK"/>
              </w:rPr>
              <w:t>c) odber vzoriek a analýza obsahu síry v lodnom palive určenom na spaľovanie na palube, ktoré je uložené v cisternách, pokiaľ je to technicky a ekonomicky možné, a v zapečatených vzorkách paliva z nádrže na palube lode.</w:t>
            </w:r>
          </w:p>
          <w:p w:rsidR="00EA0A90" w:rsidRPr="00390F74" w:rsidP="00EA0A90">
            <w:pPr>
              <w:autoSpaceDE w:val="0"/>
              <w:autoSpaceDN w:val="0"/>
              <w:adjustRightInd w:val="0"/>
              <w:jc w:val="both"/>
              <w:rPr>
                <w:rFonts w:ascii="TimesNewRoman" w:hAnsi="TimesNewRoman" w:cs="TimesNewRoman"/>
                <w:color w:val="231F20"/>
                <w:sz w:val="20"/>
                <w:lang w:eastAsia="sk-SK"/>
              </w:rPr>
            </w:pPr>
          </w:p>
          <w:p w:rsidR="00EA0A90" w:rsidRPr="00390F74" w:rsidP="002E218E">
            <w:pPr>
              <w:autoSpaceDE w:val="0"/>
              <w:autoSpaceDN w:val="0"/>
              <w:adjustRightInd w:val="0"/>
              <w:jc w:val="both"/>
              <w:rPr>
                <w:rFonts w:ascii="TimesNewRoman" w:hAnsi="TimesNewRoman" w:cs="TimesNewRoman"/>
                <w:color w:val="231F20"/>
                <w:sz w:val="20"/>
                <w:lang w:eastAsia="sk-SK"/>
              </w:rPr>
            </w:pPr>
          </w:p>
        </w:tc>
        <w:tc>
          <w:tcPr>
            <w:tcW w:w="851" w:type="dxa"/>
            <w:tcBorders>
              <w:top w:val="single" w:sz="4" w:space="0" w:color="auto"/>
              <w:bottom w:val="single" w:sz="4" w:space="0" w:color="auto"/>
            </w:tcBorders>
          </w:tcPr>
          <w:p w:rsidR="00EA0A90" w:rsidRPr="00540616" w:rsidP="00EA0A90">
            <w:pPr>
              <w:jc w:val="both"/>
              <w:rPr>
                <w:sz w:val="20"/>
              </w:rPr>
            </w:pPr>
            <w:r w:rsidRPr="00540616">
              <w:rPr>
                <w:sz w:val="20"/>
              </w:rPr>
              <w:t>N</w:t>
            </w: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2E218E" w:rsidRPr="00540616" w:rsidP="00EA0A90">
            <w:pPr>
              <w:jc w:val="both"/>
              <w:rPr>
                <w:sz w:val="20"/>
              </w:rPr>
            </w:pPr>
          </w:p>
          <w:p w:rsidR="002E218E" w:rsidRPr="00540616" w:rsidP="00EA0A90">
            <w:pPr>
              <w:jc w:val="both"/>
              <w:rPr>
                <w:sz w:val="20"/>
              </w:rPr>
            </w:pPr>
          </w:p>
          <w:p w:rsidR="002E218E" w:rsidRPr="00540616" w:rsidP="00EA0A90">
            <w:pPr>
              <w:jc w:val="both"/>
              <w:rPr>
                <w:sz w:val="20"/>
              </w:rPr>
            </w:pPr>
          </w:p>
          <w:p w:rsidR="002E218E" w:rsidRPr="00540616" w:rsidP="00EA0A90">
            <w:pPr>
              <w:jc w:val="both"/>
              <w:rPr>
                <w:sz w:val="20"/>
              </w:rPr>
            </w:pPr>
            <w:r w:rsidRPr="00540616">
              <w:rPr>
                <w:sz w:val="20"/>
              </w:rPr>
              <w:t>n.</w:t>
            </w:r>
            <w:r w:rsidRPr="00540616" w:rsidR="00540616">
              <w:rPr>
                <w:sz w:val="20"/>
              </w:rPr>
              <w:t>a.</w:t>
            </w: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802095" w:rsidRPr="00540616" w:rsidP="00EA0A90">
            <w:pPr>
              <w:jc w:val="both"/>
              <w:rPr>
                <w:sz w:val="20"/>
              </w:rPr>
            </w:pPr>
          </w:p>
          <w:p w:rsidR="00EA0A90" w:rsidRPr="00540616" w:rsidP="00EA0A90">
            <w:pPr>
              <w:jc w:val="both"/>
              <w:rPr>
                <w:sz w:val="20"/>
              </w:rPr>
            </w:pPr>
          </w:p>
          <w:p w:rsidR="00EA0A90" w:rsidRPr="00540616" w:rsidP="00EA0A90">
            <w:pPr>
              <w:jc w:val="both"/>
              <w:rPr>
                <w:sz w:val="20"/>
              </w:rPr>
            </w:pPr>
          </w:p>
          <w:p w:rsidR="00EA0A90" w:rsidRPr="00540616" w:rsidP="00EA0A90">
            <w:pPr>
              <w:jc w:val="both"/>
              <w:rPr>
                <w:sz w:val="20"/>
              </w:rPr>
            </w:pPr>
          </w:p>
          <w:p w:rsidR="00EA0A90" w:rsidRPr="00540616" w:rsidP="00EA0A90">
            <w:pPr>
              <w:jc w:val="both"/>
              <w:rPr>
                <w:sz w:val="20"/>
              </w:rPr>
            </w:pPr>
          </w:p>
          <w:p w:rsidR="00EA0A90" w:rsidRPr="00540616" w:rsidP="00EA0A90">
            <w:pPr>
              <w:jc w:val="both"/>
              <w:rPr>
                <w:sz w:val="20"/>
              </w:rPr>
            </w:pPr>
          </w:p>
          <w:p w:rsidR="00EA0A90" w:rsidRPr="00540616" w:rsidP="00EA0A90">
            <w:pPr>
              <w:jc w:val="both"/>
              <w:rPr>
                <w:sz w:val="20"/>
              </w:rPr>
            </w:pPr>
          </w:p>
        </w:tc>
        <w:tc>
          <w:tcPr>
            <w:tcW w:w="850" w:type="dxa"/>
            <w:tcBorders>
              <w:top w:val="single" w:sz="4" w:space="0" w:color="auto"/>
              <w:bottom w:val="single" w:sz="4" w:space="0" w:color="auto"/>
            </w:tcBorders>
          </w:tcPr>
          <w:p w:rsidR="00EA0A90" w:rsidRPr="00D52C0C" w:rsidP="00EA0A90">
            <w:pPr>
              <w:jc w:val="both"/>
              <w:rPr>
                <w:sz w:val="20"/>
                <w:lang w:eastAsia="sk-SK"/>
              </w:rPr>
            </w:pPr>
            <w:r w:rsidRPr="00D52C0C">
              <w:rPr>
                <w:sz w:val="20"/>
                <w:lang w:eastAsia="sk-SK"/>
              </w:rPr>
              <w:t>NZ</w:t>
            </w:r>
          </w:p>
          <w:p w:rsidR="00EA0A90" w:rsidRPr="00D52C0C" w:rsidP="00EA0A90">
            <w:pPr>
              <w:jc w:val="both"/>
              <w:rPr>
                <w:sz w:val="20"/>
              </w:rPr>
            </w:pPr>
          </w:p>
          <w:p w:rsidR="00EA0A90" w:rsidRPr="00D52C0C" w:rsidP="00EA0A90">
            <w:pPr>
              <w:jc w:val="both"/>
              <w:rPr>
                <w:sz w:val="20"/>
              </w:rPr>
            </w:pPr>
          </w:p>
          <w:p w:rsidR="00EA0A90" w:rsidRPr="00D52C0C"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RPr="00D52C0C" w:rsidP="00EA0A90">
            <w:pPr>
              <w:jc w:val="both"/>
              <w:rPr>
                <w:sz w:val="20"/>
              </w:rPr>
            </w:pPr>
          </w:p>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rsidRPr="00D52C0C">
              <w:t>§42</w:t>
            </w:r>
          </w:p>
          <w:p w:rsidR="00EA0A90" w:rsidRPr="00D52C0C" w:rsidP="00EA0A90">
            <w:pPr>
              <w:pStyle w:val="BodyText21"/>
              <w:spacing w:before="0"/>
            </w:pPr>
            <w:r w:rsidRPr="00D52C0C">
              <w:t>O2</w:t>
            </w:r>
          </w:p>
          <w:p w:rsidR="00EA0A90" w:rsidRPr="00D52C0C" w:rsidP="00EA0A90">
            <w:pPr>
              <w:pStyle w:val="BodyText21"/>
              <w:spacing w:before="0"/>
            </w:pPr>
            <w:r w:rsidRPr="00D52C0C">
              <w:t>Pk</w:t>
            </w:r>
          </w:p>
          <w:p w:rsidR="00EA0A90" w:rsidRPr="00D52C0C" w:rsidP="00EA0A90">
            <w:pPr>
              <w:pStyle w:val="BodyText21"/>
              <w:spacing w:before="0"/>
              <w:rPr>
                <w:lang w:eastAsia="sk-SK"/>
              </w:rPr>
            </w:pPr>
          </w:p>
          <w:p w:rsidR="00EA0A90" w:rsidP="00EA0A90">
            <w:pPr>
              <w:pStyle w:val="BodyText21"/>
              <w:spacing w:before="0"/>
              <w:rPr>
                <w:lang w:eastAsia="sk-SK"/>
              </w:rPr>
            </w:pPr>
          </w:p>
          <w:p w:rsidR="00EA0A90" w:rsidP="00EA0A90">
            <w:pPr>
              <w:pStyle w:val="BodyText21"/>
              <w:spacing w:before="0"/>
              <w:rPr>
                <w:lang w:eastAsia="sk-SK"/>
              </w:rPr>
            </w:pPr>
          </w:p>
          <w:p w:rsidR="00EA0A90" w:rsidP="00EA0A90">
            <w:pPr>
              <w:pStyle w:val="BodyText21"/>
              <w:spacing w:before="0"/>
              <w:rPr>
                <w:lang w:eastAsia="sk-SK"/>
              </w:rPr>
            </w:pPr>
          </w:p>
          <w:p w:rsidR="00EA0A90" w:rsidRPr="00D52C0C" w:rsidP="00EA0A90">
            <w:pPr>
              <w:pStyle w:val="BodyText21"/>
              <w:spacing w:before="0"/>
              <w:rPr>
                <w:lang w:eastAsia="sk-SK"/>
              </w:rPr>
            </w:pPr>
          </w:p>
          <w:p w:rsidR="00EA0A90" w:rsidP="00EA0A90">
            <w:pPr>
              <w:pStyle w:val="BodyText21"/>
              <w:spacing w:before="0"/>
              <w:rPr>
                <w:lang w:eastAsia="sk-SK"/>
              </w:rPr>
            </w:pPr>
            <w:r w:rsidRPr="00D52C0C">
              <w:rPr>
                <w:lang w:eastAsia="sk-SK"/>
              </w:rPr>
              <w:t>§9</w:t>
            </w:r>
          </w:p>
          <w:p w:rsidR="00EA0A90" w:rsidP="00EA0A90">
            <w:pPr>
              <w:pStyle w:val="BodyText21"/>
              <w:spacing w:before="0"/>
              <w:rPr>
                <w:lang w:eastAsia="sk-SK"/>
              </w:rPr>
            </w:pPr>
          </w:p>
          <w:p w:rsidR="00EA0A90" w:rsidRPr="00D52C0C" w:rsidP="00EA0A90">
            <w:pPr>
              <w:pStyle w:val="BodyText21"/>
              <w:spacing w:before="0"/>
              <w:rPr>
                <w:lang w:eastAsia="sk-SK"/>
              </w:rPr>
            </w:pPr>
          </w:p>
          <w:p w:rsidR="00EA0A90" w:rsidP="00EA0A90">
            <w:pPr>
              <w:pStyle w:val="BodyText21"/>
              <w:spacing w:before="0"/>
              <w:rPr>
                <w:lang w:eastAsia="sk-SK"/>
              </w:rPr>
            </w:pPr>
            <w:r w:rsidRPr="00D52C0C">
              <w:rPr>
                <w:lang w:eastAsia="sk-SK"/>
              </w:rPr>
              <w:t>O1</w:t>
            </w:r>
          </w:p>
          <w:p w:rsidR="00EA0A90" w:rsidRPr="00D52C0C" w:rsidP="00EA0A90">
            <w:pPr>
              <w:pStyle w:val="BodyText21"/>
              <w:spacing w:before="0"/>
              <w:rPr>
                <w:lang w:eastAsia="sk-SK"/>
              </w:rPr>
            </w:pPr>
          </w:p>
          <w:p w:rsidR="00EA0A90" w:rsidRPr="00D52C0C" w:rsidP="00EA0A90">
            <w:pPr>
              <w:pStyle w:val="BodyText21"/>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O2</w:t>
            </w:r>
          </w:p>
          <w:p w:rsidR="00EA0A90" w:rsidRPr="00D52C0C" w:rsidP="00EA0A90">
            <w:pPr>
              <w:pStyle w:val="BodyText21"/>
            </w:pPr>
          </w:p>
          <w:p w:rsidR="00EA0A90" w:rsidRPr="00D52C0C" w:rsidP="00EA0A90">
            <w:pPr>
              <w:pStyle w:val="BodyText21"/>
            </w:pPr>
          </w:p>
          <w:p w:rsidR="00EA0A90" w:rsidRPr="00D52C0C" w:rsidP="00EA0A90">
            <w:pPr>
              <w:pStyle w:val="BodyText21"/>
            </w:pPr>
          </w:p>
          <w:p w:rsidR="00EA0A90" w:rsidRPr="00D52C0C" w:rsidP="00EA0A90">
            <w:pPr>
              <w:pStyle w:val="BodyText21"/>
            </w:pPr>
          </w:p>
          <w:p w:rsidR="00EA0A90" w:rsidP="00EA0A90">
            <w:pPr>
              <w:pStyle w:val="BodyText21"/>
            </w:pPr>
          </w:p>
          <w:p w:rsidR="00EA0A90" w:rsidRPr="00D52C0C" w:rsidP="00EA0A90">
            <w:pPr>
              <w:pStyle w:val="BodyText21"/>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p>
          <w:p w:rsidR="00EA0A90" w:rsidRPr="00D52C0C" w:rsidP="00EA0A90">
            <w:pPr>
              <w:pStyle w:val="BodyText21"/>
              <w:spacing w:before="0"/>
            </w:pPr>
            <w:r w:rsidRPr="00D52C0C">
              <w:t>O3</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p>
          <w:p w:rsidR="00EA0A90" w:rsidRPr="00D52C0C" w:rsidP="00EA0A90">
            <w:pPr>
              <w:pStyle w:val="BodyText21"/>
              <w:spacing w:before="0"/>
            </w:pPr>
            <w:r>
              <w:t>O</w:t>
            </w:r>
            <w:r w:rsidRPr="00D52C0C">
              <w:t>11</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r w:rsidRPr="00D52C0C">
              <w:t>§10</w:t>
            </w:r>
          </w:p>
          <w:p w:rsidR="00EA0A90" w:rsidP="00EA0A90">
            <w:pPr>
              <w:pStyle w:val="BodyText21"/>
              <w:spacing w:before="0"/>
            </w:pPr>
          </w:p>
          <w:p w:rsidR="00EA0A90" w:rsidRPr="00D52C0C" w:rsidP="00EA0A90">
            <w:pPr>
              <w:pStyle w:val="BodyText21"/>
              <w:spacing w:before="0"/>
            </w:pPr>
          </w:p>
          <w:p w:rsidR="00EA0A90" w:rsidRPr="00D52C0C" w:rsidP="00EA0A90">
            <w:pPr>
              <w:pStyle w:val="BodyText21"/>
              <w:spacing w:before="0"/>
            </w:pPr>
            <w:r w:rsidRPr="00D52C0C">
              <w:t>O1</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O2</w:t>
            </w: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O3</w:t>
            </w: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r w:rsidRPr="00D52C0C">
              <w:t>O4</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r w:rsidRPr="00D52C0C">
              <w:t>O5</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Pr>
                <w:b/>
                <w:sz w:val="20"/>
                <w:lang w:eastAsia="sk-SK"/>
              </w:rPr>
              <w:t>§ 42</w:t>
            </w:r>
          </w:p>
          <w:p w:rsidR="00EA0A90" w:rsidRPr="00BF05AB" w:rsidP="00EA0A90">
            <w:pPr>
              <w:tabs>
                <w:tab w:val="left" w:pos="851"/>
              </w:tabs>
              <w:spacing w:after="120"/>
              <w:jc w:val="both"/>
              <w:rPr>
                <w:b/>
                <w:sz w:val="20"/>
                <w:lang w:eastAsia="sk-SK"/>
              </w:rPr>
            </w:pPr>
            <w:r>
              <w:rPr>
                <w:b/>
                <w:sz w:val="20"/>
                <w:lang w:eastAsia="sk-SK"/>
              </w:rPr>
              <w:t>Inšpekcia</w:t>
            </w:r>
          </w:p>
          <w:p w:rsidR="00EA0A90" w:rsidRPr="000C7FA1" w:rsidP="00EA0A90">
            <w:pPr>
              <w:jc w:val="both"/>
              <w:rPr>
                <w:sz w:val="20"/>
              </w:rPr>
            </w:pPr>
            <w:r>
              <w:rPr>
                <w:sz w:val="20"/>
              </w:rPr>
              <w:t xml:space="preserve">(2) </w:t>
            </w:r>
            <w:r w:rsidRPr="000C7FA1">
              <w:rPr>
                <w:sz w:val="20"/>
              </w:rPr>
              <w:t xml:space="preserve">Inšpekcia kontroluje </w:t>
            </w:r>
            <w:r>
              <w:rPr>
                <w:sz w:val="20"/>
              </w:rPr>
              <w:t>najmä</w:t>
            </w:r>
          </w:p>
          <w:p w:rsidR="00EA0A90" w:rsidRPr="000C7FA1" w:rsidP="00EA0A90">
            <w:pPr>
              <w:rPr>
                <w:sz w:val="20"/>
              </w:rPr>
            </w:pPr>
            <w:r w:rsidRPr="000C7FA1">
              <w:rPr>
                <w:sz w:val="20"/>
              </w:rPr>
              <w:t xml:space="preserve">k) plnenie povinností podnikateľa podľa § </w:t>
            </w:r>
            <w:r>
              <w:rPr>
                <w:sz w:val="20"/>
              </w:rPr>
              <w:t>37</w:t>
            </w:r>
            <w:r w:rsidRPr="000C7FA1">
              <w:rPr>
                <w:sz w:val="20"/>
              </w:rPr>
              <w:t xml:space="preserve">; na tento účel zabezpečuje odober vzoriek </w:t>
            </w:r>
            <w:r>
              <w:rPr>
                <w:sz w:val="20"/>
              </w:rPr>
              <w:t xml:space="preserve">paliva </w:t>
            </w:r>
            <w:r w:rsidRPr="000C7FA1">
              <w:rPr>
                <w:sz w:val="20"/>
              </w:rPr>
              <w:t>a ich analýzy,</w:t>
            </w:r>
          </w:p>
          <w:p w:rsidR="00EA0A90" w:rsidRPr="000C7FA1" w:rsidP="00EA0A90">
            <w:pPr>
              <w:rPr>
                <w:rFonts w:ascii="TimesNewRoman" w:hAnsi="TimesNewRoman" w:cs="TimesNewRoman"/>
                <w:color w:val="231F20"/>
                <w:sz w:val="20"/>
                <w:lang w:eastAsia="sk-SK"/>
              </w:rPr>
            </w:pPr>
          </w:p>
          <w:p w:rsidR="00EA0A90" w:rsidRPr="000C7FA1" w:rsidP="00EA0A90">
            <w:pPr>
              <w:rPr>
                <w:rFonts w:ascii="TimesNewRoman" w:hAnsi="TimesNewRoman" w:cs="TimesNewRoman"/>
                <w:color w:val="231F20"/>
                <w:sz w:val="20"/>
                <w:lang w:eastAsia="sk-SK"/>
              </w:rPr>
            </w:pPr>
          </w:p>
          <w:p w:rsidR="00EA0A90" w:rsidRPr="00BF05AB" w:rsidP="00EA0A90">
            <w:pPr>
              <w:tabs>
                <w:tab w:val="left" w:pos="851"/>
              </w:tabs>
              <w:spacing w:after="120"/>
              <w:jc w:val="both"/>
              <w:rPr>
                <w:b/>
                <w:sz w:val="20"/>
                <w:lang w:eastAsia="sk-SK"/>
              </w:rPr>
            </w:pPr>
            <w:r>
              <w:rPr>
                <w:b/>
                <w:sz w:val="20"/>
                <w:lang w:eastAsia="sk-SK"/>
              </w:rPr>
              <w:t>§ 9</w:t>
            </w:r>
          </w:p>
          <w:p w:rsidR="00EA0A90" w:rsidRPr="00BF05AB" w:rsidP="00EA0A90">
            <w:pPr>
              <w:tabs>
                <w:tab w:val="left" w:pos="851"/>
              </w:tabs>
              <w:spacing w:after="120"/>
              <w:jc w:val="both"/>
              <w:rPr>
                <w:b/>
                <w:sz w:val="20"/>
                <w:lang w:eastAsia="sk-SK"/>
              </w:rPr>
            </w:pPr>
            <w:r>
              <w:rPr>
                <w:b/>
                <w:sz w:val="20"/>
                <w:lang w:eastAsia="sk-SK"/>
              </w:rPr>
              <w:t>Kontrola kvality paliva</w:t>
            </w:r>
          </w:p>
          <w:p w:rsidR="00EA0A90" w:rsidRPr="000C7FA1" w:rsidP="00EA0A90">
            <w:pPr>
              <w:pStyle w:val="odsek1"/>
            </w:pPr>
            <w:r w:rsidRPr="000C7FA1">
              <w:t>(1) Podľa § 42 ods. 2 písm. k) zákona kvalitu palív kontroluje Slovenská inšpekcia životného prostredia (ďalej len „inšpekcia“)</w:t>
            </w:r>
          </w:p>
          <w:p w:rsidR="00EA0A90" w:rsidRPr="000C7FA1" w:rsidP="00EA0A90">
            <w:pPr>
              <w:pStyle w:val="ListParagraph"/>
              <w:tabs>
                <w:tab w:val="left" w:pos="851"/>
              </w:tabs>
              <w:spacing w:after="120" w:line="240" w:lineRule="auto"/>
              <w:ind w:left="357" w:hanging="291"/>
              <w:jc w:val="both"/>
              <w:rPr>
                <w:rFonts w:ascii="Times New Roman" w:hAnsi="Times New Roman"/>
                <w:sz w:val="20"/>
                <w:szCs w:val="20"/>
              </w:rPr>
            </w:pPr>
            <w:r w:rsidRPr="000C7FA1">
              <w:rPr>
                <w:rFonts w:ascii="Times New Roman" w:hAnsi="Times New Roman"/>
                <w:sz w:val="20"/>
                <w:szCs w:val="20"/>
              </w:rPr>
              <w:t xml:space="preserve">a) zabezpečením odberu reprezentatívnych vzoriek, ich analýzou bez zbytočného odkladu a zdokumentovaním údajov o zistenej kvalite v súlade s technickými normami </w:t>
            </w:r>
            <w:r w:rsidRPr="00A8176F">
              <w:rPr>
                <w:rFonts w:ascii="Times New Roman" w:hAnsi="Times New Roman"/>
                <w:sz w:val="20"/>
                <w:szCs w:val="20"/>
              </w:rPr>
              <w:t>alebo inými obdobnými technickými špecifikáciami s porovnateľnými alebo prísnejšími požiadavkami a ostatnými technickými požiadavkami podľa odsekov 2 až 11</w:t>
            </w:r>
            <w:r w:rsidRPr="000C7FA1">
              <w:rPr>
                <w:rFonts w:ascii="Times New Roman" w:hAnsi="Times New Roman"/>
                <w:sz w:val="20"/>
                <w:szCs w:val="20"/>
              </w:rPr>
              <w:t>,</w:t>
            </w:r>
          </w:p>
          <w:p w:rsidR="00EA0A90" w:rsidRPr="000C7FA1" w:rsidP="00EA0A90">
            <w:pPr>
              <w:pStyle w:val="ListParagraph"/>
              <w:tabs>
                <w:tab w:val="left" w:pos="851"/>
              </w:tabs>
              <w:spacing w:after="120" w:line="240" w:lineRule="auto"/>
              <w:ind w:left="357" w:hanging="291"/>
              <w:jc w:val="both"/>
              <w:rPr>
                <w:rFonts w:ascii="Times New Roman" w:hAnsi="Times New Roman"/>
                <w:sz w:val="20"/>
                <w:szCs w:val="20"/>
              </w:rPr>
            </w:pPr>
            <w:r w:rsidRPr="000C7FA1">
              <w:rPr>
                <w:rFonts w:ascii="Times New Roman" w:hAnsi="Times New Roman"/>
                <w:sz w:val="20"/>
                <w:szCs w:val="20"/>
              </w:rPr>
              <w:t>b) kontrolou plnenia požiadaviek na</w:t>
            </w:r>
          </w:p>
          <w:p w:rsidR="00EA0A90" w:rsidRPr="000C7FA1" w:rsidP="00EA0A90">
            <w:pPr>
              <w:pStyle w:val="ListParagraph"/>
              <w:numPr>
                <w:ilvl w:val="0"/>
                <w:numId w:val="14"/>
              </w:numPr>
              <w:tabs>
                <w:tab w:val="left" w:pos="851"/>
              </w:tabs>
              <w:spacing w:after="120" w:line="240" w:lineRule="auto"/>
              <w:jc w:val="both"/>
              <w:rPr>
                <w:rFonts w:ascii="Times New Roman" w:hAnsi="Times New Roman"/>
                <w:sz w:val="20"/>
                <w:szCs w:val="20"/>
              </w:rPr>
            </w:pPr>
            <w:r w:rsidRPr="000C7FA1">
              <w:rPr>
                <w:rFonts w:ascii="Times New Roman" w:hAnsi="Times New Roman"/>
                <w:sz w:val="20"/>
                <w:szCs w:val="20"/>
              </w:rPr>
              <w:t>zisťovanie a preukazovanie kvality dodávaných palív podľa druhu a spôsobu dodávky vrátane lodných denníkov a dodacích listov pre nádrž lode podľa § 10 až 11,</w:t>
            </w:r>
          </w:p>
          <w:p w:rsidR="00EA0A90" w:rsidRPr="000C7FA1" w:rsidP="00EA0A90">
            <w:pPr>
              <w:pStyle w:val="ListParagraph"/>
              <w:numPr>
                <w:ilvl w:val="0"/>
                <w:numId w:val="14"/>
              </w:numPr>
              <w:tabs>
                <w:tab w:val="left" w:pos="851"/>
              </w:tabs>
              <w:spacing w:after="240" w:line="240" w:lineRule="auto"/>
              <w:jc w:val="both"/>
              <w:rPr>
                <w:rFonts w:ascii="Times New Roman" w:hAnsi="Times New Roman"/>
                <w:sz w:val="20"/>
                <w:szCs w:val="20"/>
              </w:rPr>
            </w:pPr>
            <w:r w:rsidRPr="000C7FA1">
              <w:rPr>
                <w:rFonts w:ascii="Times New Roman" w:hAnsi="Times New Roman"/>
                <w:sz w:val="20"/>
                <w:szCs w:val="20"/>
              </w:rPr>
              <w:t>prevádzkovú evidenciu a poskytovanie údajov podľa druhu a spôsobu predaja paliva koncovému užívateľovi alebo spotrebiteľovi podľa § 12.</w:t>
            </w:r>
          </w:p>
          <w:p w:rsidR="00EA0A90" w:rsidRPr="000C7FA1" w:rsidP="00EA0A90">
            <w:pPr>
              <w:tabs>
                <w:tab w:val="left" w:pos="1276"/>
              </w:tabs>
              <w:spacing w:after="120"/>
              <w:jc w:val="both"/>
              <w:rPr>
                <w:sz w:val="20"/>
              </w:rPr>
            </w:pPr>
            <w:r w:rsidRPr="000C7FA1">
              <w:rPr>
                <w:sz w:val="20"/>
              </w:rPr>
              <w:t xml:space="preserve">(2) Reprezentatívne vzorky paliva sa odoberajú pravidelne, dostatočne často a v potrebnom množstve, aby reprezentovali kontrolované palivo, ak ide o </w:t>
            </w:r>
          </w:p>
          <w:p w:rsidR="00EA0A90" w:rsidRPr="000C7FA1" w:rsidP="00EA0A90">
            <w:pPr>
              <w:tabs>
                <w:tab w:val="left" w:pos="851"/>
              </w:tabs>
              <w:spacing w:after="120"/>
              <w:ind w:left="284" w:hanging="284"/>
              <w:jc w:val="both"/>
              <w:rPr>
                <w:sz w:val="20"/>
              </w:rPr>
            </w:pPr>
            <w:r w:rsidRPr="000C7FA1">
              <w:rPr>
                <w:sz w:val="20"/>
              </w:rPr>
              <w:t>a) lodné palivo podľa usmernenia pre odber vzoriek vykurovacieho oleja na určenie súladu  s požiadavkami podľa medzinárodnej zmluvy,</w:t>
            </w:r>
            <w:r w:rsidRPr="000C7FA1">
              <w:rPr>
                <w:rFonts w:eastAsia="Calibri"/>
                <w:sz w:val="20"/>
                <w:vertAlign w:val="superscript"/>
              </w:rPr>
              <w:t>24</w:t>
            </w:r>
            <w:r w:rsidRPr="000C7FA1">
              <w:rPr>
                <w:sz w:val="20"/>
              </w:rPr>
              <w:t>)</w:t>
            </w:r>
          </w:p>
          <w:p w:rsidR="00EA0A90" w:rsidP="00EA0A90">
            <w:pPr>
              <w:tabs>
                <w:tab w:val="left" w:pos="851"/>
              </w:tabs>
              <w:spacing w:after="240"/>
              <w:ind w:left="284" w:hanging="284"/>
              <w:jc w:val="both"/>
              <w:rPr>
                <w:sz w:val="20"/>
              </w:rPr>
            </w:pPr>
            <w:r w:rsidRPr="000C7FA1">
              <w:rPr>
                <w:sz w:val="20"/>
              </w:rPr>
              <w:t xml:space="preserve">b) ostatné palivá podľa príslušnej technickej normy </w:t>
            </w:r>
            <w:r w:rsidRPr="00A8176F">
              <w:rPr>
                <w:sz w:val="20"/>
              </w:rPr>
              <w:t>alebo inej obdobnej technickej špecifikácie s porovnateľnými alebo prísnejšími požiadavkami</w:t>
            </w:r>
            <w:r w:rsidRPr="000C7FA1">
              <w:rPr>
                <w:sz w:val="20"/>
              </w:rPr>
              <w:t xml:space="preserve"> pre kontrolovaný druh paliva.</w:t>
            </w:r>
            <w:r>
              <w:rPr>
                <w:sz w:val="20"/>
                <w:vertAlign w:val="superscript"/>
              </w:rPr>
              <w:t>38</w:t>
            </w:r>
            <w:r w:rsidRPr="00A8176F">
              <w:rPr>
                <w:sz w:val="20"/>
              </w:rPr>
              <w:t>)</w:t>
            </w:r>
          </w:p>
          <w:p w:rsidR="00EA0A90" w:rsidP="00EA0A90">
            <w:pPr>
              <w:spacing w:line="240" w:lineRule="atLeast"/>
              <w:ind w:left="-44" w:firstLine="44"/>
              <w:jc w:val="both"/>
            </w:pPr>
            <w:r>
              <w:rPr>
                <w:noProof/>
              </w:rPr>
              <w:pict>
                <v:shape id="_x0000_s1045" type="#_x0000_t32" style="width:58.2pt;height:0;margin-top:5.4pt;margin-left:0.1pt;position:absolute;z-index:251675648" o:connectortype="straight"/>
              </w:pict>
            </w:r>
          </w:p>
          <w:p w:rsidR="00EA0A90" w:rsidRPr="004B7FFE" w:rsidP="00EA0A90">
            <w:pPr>
              <w:jc w:val="both"/>
              <w:rPr>
                <w:color w:val="231F20"/>
                <w:sz w:val="20"/>
                <w:lang w:eastAsia="sk-SK"/>
              </w:rPr>
            </w:pPr>
            <w:r>
              <w:rPr>
                <w:sz w:val="18"/>
                <w:szCs w:val="18"/>
                <w:vertAlign w:val="superscript"/>
              </w:rPr>
              <w:t>24</w:t>
            </w:r>
            <w:r>
              <w:rPr>
                <w:sz w:val="18"/>
                <w:szCs w:val="18"/>
              </w:rPr>
              <w:t xml:space="preserve">) </w:t>
            </w:r>
            <w:r w:rsidRPr="00A8176F">
              <w:rPr>
                <w:sz w:val="18"/>
                <w:szCs w:val="18"/>
              </w:rPr>
              <w:t>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p>
          <w:p w:rsidR="00EA0A90" w:rsidP="00EA0A90">
            <w:pPr>
              <w:jc w:val="both"/>
              <w:rPr>
                <w:sz w:val="18"/>
                <w:szCs w:val="18"/>
              </w:rPr>
            </w:pPr>
            <w:r>
              <w:rPr>
                <w:sz w:val="18"/>
                <w:szCs w:val="18"/>
                <w:vertAlign w:val="superscript"/>
              </w:rPr>
              <w:t>38</w:t>
            </w:r>
            <w:r>
              <w:rPr>
                <w:sz w:val="18"/>
                <w:szCs w:val="18"/>
              </w:rPr>
              <w:t xml:space="preserve">) </w:t>
            </w:r>
            <w:r w:rsidRPr="00A8176F">
              <w:rPr>
                <w:sz w:val="18"/>
                <w:szCs w:val="18"/>
              </w:rPr>
              <w:t>Napríklad STN 44 1307</w:t>
            </w:r>
            <w:hyperlink r:id="rId5" w:history="1">
              <w:r w:rsidRPr="00A8176F">
                <w:rPr>
                  <w:sz w:val="18"/>
                  <w:szCs w:val="18"/>
                </w:rPr>
                <w:t xml:space="preserve"> Tuhé palivá. Postup prípravy zosypových vzoriek (44 1307)</w:t>
              </w:r>
            </w:hyperlink>
            <w:r w:rsidRPr="00A8176F">
              <w:rPr>
                <w:sz w:val="18"/>
                <w:szCs w:val="18"/>
              </w:rPr>
              <w:t xml:space="preserve">, </w:t>
            </w:r>
            <w:hyperlink r:id="rId6" w:history="1">
              <w:r w:rsidRPr="00A8176F">
                <w:rPr>
                  <w:sz w:val="18"/>
                  <w:szCs w:val="18"/>
                </w:rPr>
                <w:t xml:space="preserve">STN ISO 5069-1 </w:t>
              </w:r>
            </w:hyperlink>
            <w:r w:rsidRPr="00A8176F">
              <w:rPr>
                <w:sz w:val="18"/>
                <w:szCs w:val="18"/>
              </w:rPr>
              <w:t>Hnedé uhlie a lignity. Zásady odberu vzoriek. Časť 1: Odber vzoriek na stanovenie obsahu vody a na všeobecný rozbor (44 1314), STN EN ISO 3170 Ropné kvapaliny. Ručný odber vzoriek (ISO 3170) (65 6005), STN EN ISO 3171 Ropa a kvapalné ropné výrobky. Automatický odber vzoriek z potrubných rozvodov (ISO 3171) (65 6006), STN EN ISO 4257 Skvapalnené ropné plyny. Odber vzoriek (ISO 4257) (65 6486), STN EN 14274 Automobilové palivá. Určovanie kvality benzínu a motorovej nafty. Monitorovací systém kvality palív (FQMS) (65 6193), STN EN 14275 Automobilové palivá. Určovanie kvality benzínu a motorovej nafty. Odber vzoriek z výdajných stojanov na maloobchodných a komerčných miestach (65 6194), STN EN ISO 10715 Zemný plyn. Postupy na odber vzoriek (ISO 10715) (38 5519).</w:t>
            </w:r>
            <w:r w:rsidRPr="00800C75">
              <w:t xml:space="preserve">  </w:t>
            </w:r>
          </w:p>
          <w:p w:rsidR="00EA0A90" w:rsidP="00EA0A90">
            <w:pPr>
              <w:tabs>
                <w:tab w:val="left" w:pos="284"/>
                <w:tab w:val="left" w:pos="851"/>
              </w:tabs>
              <w:spacing w:after="120"/>
              <w:jc w:val="both"/>
              <w:rPr>
                <w:sz w:val="20"/>
              </w:rPr>
            </w:pPr>
          </w:p>
          <w:p w:rsidR="00EA0A90" w:rsidRPr="000C7FA1" w:rsidP="00EA0A90">
            <w:pPr>
              <w:tabs>
                <w:tab w:val="left" w:pos="284"/>
                <w:tab w:val="left" w:pos="851"/>
              </w:tabs>
              <w:spacing w:after="120"/>
              <w:jc w:val="both"/>
              <w:rPr>
                <w:sz w:val="20"/>
              </w:rPr>
            </w:pPr>
            <w:r w:rsidRPr="000C7FA1">
              <w:rPr>
                <w:sz w:val="20"/>
              </w:rPr>
              <w:t>(3) Obsah síry sa zisťuje na základe analytickej referenčnej metódy, ak ide o</w:t>
            </w:r>
          </w:p>
          <w:p w:rsidR="00EA0A90" w:rsidRPr="000C7FA1" w:rsidP="00EA0A90">
            <w:pPr>
              <w:pStyle w:val="ListParagraph"/>
              <w:numPr>
                <w:ilvl w:val="0"/>
                <w:numId w:val="15"/>
              </w:numPr>
              <w:spacing w:after="120" w:line="240" w:lineRule="auto"/>
              <w:ind w:left="350" w:hanging="284"/>
              <w:jc w:val="both"/>
              <w:rPr>
                <w:rFonts w:ascii="Times New Roman" w:hAnsi="Times New Roman"/>
                <w:sz w:val="20"/>
                <w:szCs w:val="20"/>
              </w:rPr>
            </w:pPr>
            <w:r w:rsidRPr="000C7FA1">
              <w:rPr>
                <w:rFonts w:ascii="Times New Roman" w:hAnsi="Times New Roman"/>
                <w:sz w:val="20"/>
                <w:szCs w:val="20"/>
              </w:rPr>
              <w:t>lodné palivo podľa postupu na kontrolu palív stanoveného v medzinárodnej zmluve, ktorou je Slovenská republika viazaná,</w:t>
            </w:r>
            <w:r w:rsidRPr="000C7FA1">
              <w:rPr>
                <w:rFonts w:ascii="Times New Roman" w:hAnsi="Times New Roman"/>
                <w:sz w:val="20"/>
                <w:szCs w:val="20"/>
                <w:vertAlign w:val="superscript"/>
              </w:rPr>
              <w:t>24</w:t>
            </w:r>
            <w:r w:rsidRPr="000C7FA1">
              <w:rPr>
                <w:rFonts w:ascii="Times New Roman" w:hAnsi="Times New Roman"/>
                <w:sz w:val="20"/>
                <w:szCs w:val="20"/>
              </w:rPr>
              <w:t>)</w:t>
            </w:r>
          </w:p>
          <w:p w:rsidR="00EA0A90" w:rsidP="00EA0A90">
            <w:pPr>
              <w:pStyle w:val="ListParagraph"/>
              <w:numPr>
                <w:ilvl w:val="0"/>
                <w:numId w:val="15"/>
              </w:numPr>
              <w:tabs>
                <w:tab w:val="left" w:pos="208"/>
              </w:tabs>
              <w:spacing w:after="240" w:line="240" w:lineRule="auto"/>
              <w:ind w:left="350" w:hanging="284"/>
              <w:jc w:val="both"/>
              <w:rPr>
                <w:rFonts w:ascii="Times New Roman" w:hAnsi="Times New Roman"/>
                <w:sz w:val="20"/>
                <w:szCs w:val="20"/>
              </w:rPr>
            </w:pPr>
            <w:r w:rsidRPr="000C7FA1">
              <w:rPr>
                <w:rFonts w:ascii="Times New Roman" w:hAnsi="Times New Roman"/>
                <w:sz w:val="20"/>
                <w:szCs w:val="20"/>
              </w:rPr>
              <w:t>vykurovací olej alebo motorový plynový olej podľa technickej normy</w:t>
            </w:r>
            <w:r>
              <w:rPr>
                <w:rFonts w:ascii="Times New Roman" w:hAnsi="Times New Roman"/>
                <w:sz w:val="20"/>
                <w:szCs w:val="20"/>
              </w:rPr>
              <w:t xml:space="preserve"> </w:t>
            </w:r>
            <w:r w:rsidRPr="00A8176F">
              <w:rPr>
                <w:rFonts w:ascii="Times New Roman" w:hAnsi="Times New Roman"/>
                <w:sz w:val="20"/>
                <w:szCs w:val="20"/>
              </w:rPr>
              <w:t>alebo inej obdobnej technickej špecifikácie s porovnateľnými alebo prísnejšími požiadavkami</w:t>
            </w:r>
            <w:r w:rsidRPr="000C7FA1">
              <w:rPr>
                <w:rFonts w:ascii="Times New Roman" w:hAnsi="Times New Roman"/>
                <w:sz w:val="20"/>
                <w:szCs w:val="20"/>
              </w:rPr>
              <w:t>.</w:t>
            </w:r>
            <w:r>
              <w:rPr>
                <w:rFonts w:ascii="Times New Roman" w:hAnsi="Times New Roman"/>
                <w:sz w:val="20"/>
                <w:szCs w:val="20"/>
                <w:vertAlign w:val="superscript"/>
              </w:rPr>
              <w:t>39</w:t>
            </w:r>
            <w:r w:rsidRPr="00A8176F">
              <w:rPr>
                <w:rFonts w:ascii="Times New Roman" w:hAnsi="Times New Roman"/>
                <w:sz w:val="20"/>
                <w:szCs w:val="20"/>
              </w:rPr>
              <w:t>)</w:t>
            </w:r>
          </w:p>
          <w:p w:rsidR="00EA0A90" w:rsidP="00EA0A90">
            <w:pPr>
              <w:spacing w:line="240" w:lineRule="atLeast"/>
              <w:ind w:left="-44" w:firstLine="44"/>
              <w:jc w:val="both"/>
            </w:pPr>
            <w:r>
              <w:rPr>
                <w:noProof/>
              </w:rPr>
              <w:pict>
                <v:shape id="_x0000_s1046" type="#_x0000_t32" style="width:58.2pt;height:0;margin-top:5.4pt;margin-left:0.1pt;position:absolute;z-index:251676672" o:connectortype="straight"/>
              </w:pict>
            </w:r>
          </w:p>
          <w:p w:rsidR="00EA0A90" w:rsidRPr="004B7FFE" w:rsidP="00EA0A90">
            <w:pPr>
              <w:jc w:val="both"/>
              <w:rPr>
                <w:color w:val="231F20"/>
                <w:sz w:val="20"/>
                <w:lang w:eastAsia="sk-SK"/>
              </w:rPr>
            </w:pPr>
            <w:r>
              <w:rPr>
                <w:sz w:val="18"/>
                <w:szCs w:val="18"/>
                <w:vertAlign w:val="superscript"/>
              </w:rPr>
              <w:t>24</w:t>
            </w:r>
            <w:r>
              <w:rPr>
                <w:sz w:val="18"/>
                <w:szCs w:val="18"/>
              </w:rPr>
              <w:t xml:space="preserve">) </w:t>
            </w:r>
            <w:r w:rsidRPr="00A8176F">
              <w:rPr>
                <w:sz w:val="18"/>
                <w:szCs w:val="18"/>
              </w:rPr>
              <w:t>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p>
          <w:p w:rsidR="00EA0A90" w:rsidRPr="00800C75" w:rsidP="00EA0A90">
            <w:pPr>
              <w:pStyle w:val="FootnoteText"/>
              <w:jc w:val="both"/>
            </w:pPr>
            <w:r>
              <w:rPr>
                <w:sz w:val="18"/>
                <w:szCs w:val="18"/>
                <w:vertAlign w:val="superscript"/>
              </w:rPr>
              <w:t>39</w:t>
            </w:r>
            <w:r>
              <w:rPr>
                <w:sz w:val="18"/>
                <w:szCs w:val="18"/>
              </w:rPr>
              <w:t xml:space="preserve">) </w:t>
            </w:r>
            <w:r w:rsidRPr="00A8176F">
              <w:rPr>
                <w:sz w:val="18"/>
                <w:szCs w:val="18"/>
              </w:rPr>
              <w:t>Napríklad STN EN ISO 8754 Ropné výrobky. Stanovenie obsahu síry. Energo-disperzná röntgenová fluorescenčná spektrometria (ISO 8754) (65 6114), STN EN ISO 14596 Ropné výrobky. Stanovenie obsahu síry. Vlnovodĺžková disperzná röntgenová fluorescenčná spektrometria (ISO 14596) (65 6115), STN EN ISO 20846 Ropné výrobky. Stanovenie obsahu síry v automobilových palivách. Ultrafialová fluorescenčná metóda (ISO 20846) (65 6111).</w:t>
            </w:r>
          </w:p>
          <w:p w:rsidR="00EA0A90" w:rsidRPr="000C7FA1" w:rsidP="00EA0A90">
            <w:pPr>
              <w:pStyle w:val="ListParagraph"/>
              <w:tabs>
                <w:tab w:val="left" w:pos="208"/>
              </w:tabs>
              <w:spacing w:after="240" w:line="240" w:lineRule="auto"/>
              <w:ind w:left="0"/>
              <w:jc w:val="both"/>
              <w:rPr>
                <w:rFonts w:ascii="Times New Roman" w:hAnsi="Times New Roman"/>
                <w:sz w:val="20"/>
                <w:szCs w:val="20"/>
              </w:rPr>
            </w:pPr>
          </w:p>
          <w:p w:rsidR="00EA0A90" w:rsidRPr="000C7FA1" w:rsidP="00EA0A90">
            <w:pPr>
              <w:pStyle w:val="odsek1"/>
            </w:pPr>
            <w:r w:rsidRPr="000C7FA1">
              <w:t xml:space="preserve"> (11) Odber reprezentatívnej vzorky paliva, zistenie kvalitatívnych parametrov analytickými metódami a zdokumentovanie výsledkov sa zabezpečuje osobou, ktorá má pre danú činnosť systém manažérstva podľa technickej normy</w:t>
            </w:r>
            <w:r>
              <w:t xml:space="preserve"> </w:t>
            </w:r>
            <w:r w:rsidRPr="0019255C">
              <w:t>alebo inej obdobnej technickej špecifikácie s porovnateľnými alebo prísnejšími požiadavkami</w:t>
            </w:r>
            <w:r w:rsidRPr="000C7FA1">
              <w:t>, ktorá určuje všeobecné požiadavky na kompetentnosť skúšobných laboratórií, inšpekčných orgánov,</w:t>
            </w:r>
            <w:r>
              <w:rPr>
                <w:vertAlign w:val="superscript"/>
              </w:rPr>
              <w:t>45</w:t>
            </w:r>
            <w:r w:rsidRPr="0019255C">
              <w:t>)</w:t>
            </w:r>
            <w:r w:rsidRPr="000C7FA1">
              <w:t xml:space="preserve"> alebo podľa alternatívneho systému, ktorý zabezpečuje rovnakú dôveryhodnosť výsledkov.</w:t>
            </w:r>
          </w:p>
          <w:p w:rsidR="00EA0A90" w:rsidP="00EA0A90">
            <w:pPr>
              <w:spacing w:line="240" w:lineRule="atLeast"/>
              <w:ind w:left="-44" w:firstLine="44"/>
              <w:jc w:val="both"/>
            </w:pPr>
            <w:r>
              <w:rPr>
                <w:noProof/>
              </w:rPr>
              <w:pict>
                <v:shape id="_x0000_s1047" type="#_x0000_t32" style="width:58.2pt;height:0;margin-top:5.4pt;margin-left:0.1pt;position:absolute;z-index:251677696" o:connectortype="straight"/>
              </w:pict>
            </w:r>
          </w:p>
          <w:p w:rsidR="00EA0A90" w:rsidRPr="004B7FFE" w:rsidP="00EA0A90">
            <w:pPr>
              <w:jc w:val="both"/>
              <w:rPr>
                <w:color w:val="231F20"/>
                <w:sz w:val="20"/>
                <w:lang w:eastAsia="sk-SK"/>
              </w:rPr>
            </w:pPr>
            <w:r>
              <w:rPr>
                <w:sz w:val="18"/>
                <w:szCs w:val="18"/>
                <w:vertAlign w:val="superscript"/>
              </w:rPr>
              <w:t>45</w:t>
            </w:r>
            <w:r>
              <w:rPr>
                <w:sz w:val="18"/>
                <w:szCs w:val="18"/>
              </w:rPr>
              <w:t xml:space="preserve">) </w:t>
            </w:r>
            <w:r w:rsidRPr="00E14621">
              <w:rPr>
                <w:sz w:val="18"/>
                <w:szCs w:val="18"/>
              </w:rPr>
              <w:t>Napríklad STN EN ISO/IEC 17025 Všeobecné požiadavky na kompetentnosť skúšobných a kalibračných laboratórií (ISO/IEC 17025) (01 5253), STN EN ISO/IEC 17020 Posudzovanie zhody. Požiadavky na činnosť rôznych typov orgánov vykonávajúcich inšpekciu (ISO/IEC 17020) (01 5260).</w:t>
            </w:r>
            <w:r w:rsidRPr="00800C75">
              <w:t xml:space="preserve">  </w:t>
            </w:r>
          </w:p>
          <w:p w:rsidR="00EA0A90" w:rsidRPr="000C7FA1" w:rsidP="00EA0A90">
            <w:pPr>
              <w:pStyle w:val="odsek1"/>
            </w:pPr>
          </w:p>
          <w:p w:rsidR="00EA0A90" w:rsidRPr="00BF05AB" w:rsidP="00EA0A90">
            <w:pPr>
              <w:tabs>
                <w:tab w:val="left" w:pos="851"/>
              </w:tabs>
              <w:spacing w:after="120"/>
              <w:jc w:val="both"/>
              <w:rPr>
                <w:b/>
                <w:sz w:val="20"/>
                <w:lang w:eastAsia="sk-SK"/>
              </w:rPr>
            </w:pPr>
            <w:r>
              <w:rPr>
                <w:b/>
                <w:sz w:val="20"/>
                <w:lang w:eastAsia="sk-SK"/>
              </w:rPr>
              <w:t>§ 10</w:t>
            </w:r>
          </w:p>
          <w:p w:rsidR="00EA0A90" w:rsidRPr="00BF05AB" w:rsidP="00EA0A90">
            <w:pPr>
              <w:tabs>
                <w:tab w:val="left" w:pos="851"/>
              </w:tabs>
              <w:spacing w:after="120"/>
              <w:jc w:val="both"/>
              <w:rPr>
                <w:b/>
                <w:sz w:val="20"/>
                <w:lang w:eastAsia="sk-SK"/>
              </w:rPr>
            </w:pPr>
            <w:r>
              <w:rPr>
                <w:b/>
                <w:sz w:val="20"/>
                <w:lang w:eastAsia="sk-SK"/>
              </w:rPr>
              <w:t>Zisťovanie a preukazovanie kvality dodávaných palív</w:t>
            </w:r>
          </w:p>
          <w:p w:rsidR="00EA0A90" w:rsidRPr="000C7FA1" w:rsidP="00EA0A90">
            <w:pPr>
              <w:pStyle w:val="odsek1"/>
            </w:pPr>
            <w:r w:rsidRPr="000C7FA1">
              <w:t xml:space="preserve">(1) Podnikateľ zisťuje a preukazuje kvalitu palív podľa § 3 až 6 a § 8 odberom reprezentatívnej vzorky, analýzou a zdokumentovaním údajov o kvalite pre každú dodávku paliva, ak nejde o rovnakú výrobnú šaržu.   </w:t>
            </w:r>
          </w:p>
          <w:p w:rsidR="00EA0A90" w:rsidRPr="000C7FA1" w:rsidP="00EA0A90">
            <w:pPr>
              <w:pStyle w:val="odsek1"/>
            </w:pPr>
            <w:r w:rsidRPr="000C7FA1">
              <w:t xml:space="preserve">(2) Podnikateľ pri tuhých fosílnych palivách okrem mernej sírnatosti podľa § 3 zisťuje údaje aj o obsahu vody a popola. </w:t>
            </w:r>
          </w:p>
          <w:p w:rsidR="00EA0A90" w:rsidRPr="000C7FA1" w:rsidP="00EA0A90">
            <w:pPr>
              <w:pStyle w:val="odsek1"/>
            </w:pPr>
            <w:r w:rsidRPr="000C7FA1">
              <w:t xml:space="preserve">  </w:t>
            </w:r>
          </w:p>
          <w:p w:rsidR="00EA0A90" w:rsidRPr="000C7FA1" w:rsidP="00EA0A90">
            <w:pPr>
              <w:pStyle w:val="odsek1"/>
            </w:pPr>
            <w:r w:rsidRPr="000C7FA1">
              <w:t xml:space="preserve">(3) Reprezentatívna vzorka dodávky paliva sa odoberá a kvalitatívny parameter podľa § 3 až 6 a § 8 sa analyticky zisťuje podľa § 9 podľa </w:t>
            </w:r>
            <w:r>
              <w:t>druhu dodávaného paliva.</w:t>
            </w:r>
          </w:p>
          <w:p w:rsidR="00EA0A90" w:rsidP="00EA0A90">
            <w:pPr>
              <w:pStyle w:val="odsek1"/>
            </w:pPr>
            <w:r w:rsidRPr="000C7FA1">
              <w:t xml:space="preserve">(4) </w:t>
            </w:r>
            <w:r w:rsidRPr="009321A1">
              <w:t>Reprezentatívne vzorky z dodávky paliva odoberá a kvalitatívne parametre analyticky zisťuje osoba alebo iné obdobné pracovisko, ktoré pre danú činnosť má systém manažérstva podľa technickej normy, ktorá určuje všeobecné požiadavky na kompetentnosť tejto osoby alebo iného obdobného pracoviska</w:t>
            </w:r>
            <w:r w:rsidRPr="009321A1">
              <w:rPr>
                <w:vertAlign w:val="superscript"/>
              </w:rPr>
              <w:t>46</w:t>
            </w:r>
            <w:r>
              <w:t>)</w:t>
            </w:r>
            <w:r w:rsidRPr="009321A1">
              <w:t>, alebo podľa osobitného predpisu.</w:t>
            </w:r>
            <w:r w:rsidRPr="009321A1">
              <w:rPr>
                <w:vertAlign w:val="superscript"/>
              </w:rPr>
              <w:t>47</w:t>
            </w:r>
            <w:r>
              <w:t>)</w:t>
            </w:r>
          </w:p>
          <w:p w:rsidR="00EA0A90" w:rsidP="00EA0A90">
            <w:pPr>
              <w:spacing w:line="240" w:lineRule="atLeast"/>
              <w:ind w:left="-44" w:firstLine="44"/>
              <w:jc w:val="both"/>
            </w:pPr>
            <w:r>
              <w:rPr>
                <w:noProof/>
              </w:rPr>
              <w:pict>
                <v:shape id="_x0000_s1048" type="#_x0000_t32" style="width:58.2pt;height:0;margin-top:5.4pt;margin-left:0.1pt;position:absolute;z-index:251678720" o:connectortype="straight"/>
              </w:pict>
            </w:r>
          </w:p>
          <w:p w:rsidR="00EA0A90" w:rsidRPr="004B7FFE" w:rsidP="00EA0A90">
            <w:pPr>
              <w:jc w:val="both"/>
              <w:rPr>
                <w:color w:val="231F20"/>
                <w:sz w:val="20"/>
                <w:lang w:eastAsia="sk-SK"/>
              </w:rPr>
            </w:pPr>
            <w:r>
              <w:rPr>
                <w:sz w:val="18"/>
                <w:szCs w:val="18"/>
                <w:vertAlign w:val="superscript"/>
              </w:rPr>
              <w:t>46</w:t>
            </w:r>
            <w:r>
              <w:rPr>
                <w:sz w:val="18"/>
                <w:szCs w:val="18"/>
              </w:rPr>
              <w:t xml:space="preserve">) </w:t>
            </w:r>
            <w:r w:rsidRPr="009321A1">
              <w:rPr>
                <w:sz w:val="18"/>
                <w:szCs w:val="18"/>
              </w:rPr>
              <w:t>Napríklad STN EN ISO/IEC 17025 Všeobecné požiadavky na kompetentnosť skúšobných a kalibračných laboratórií (ISO/IEC 17025) (01 5253), STN EN ISO 9001 Systémy manažérstva kvality. Požiadavky (ISO 9001) (01 0320), STN EN ISO/IEC 17065 Posudzovanie zhody. Požiadavky na orgány vykonávajúce certifikáciu výrobkov, procesov a služieb (ISO/IEC 17065) (01 5256), STN EN ISO 14001 Systémy manažérstva environmentu. Požiadavky s pokynmi na použitie (ISO 14001) (83 9001).</w:t>
            </w:r>
            <w:r w:rsidRPr="00800C75">
              <w:t xml:space="preserve">  </w:t>
            </w:r>
          </w:p>
          <w:p w:rsidR="00EA0A90" w:rsidRPr="00800C75" w:rsidP="00EA0A90">
            <w:pPr>
              <w:pStyle w:val="FootnoteText"/>
              <w:jc w:val="both"/>
            </w:pPr>
            <w:r>
              <w:rPr>
                <w:sz w:val="18"/>
                <w:szCs w:val="18"/>
                <w:vertAlign w:val="superscript"/>
              </w:rPr>
              <w:t>47</w:t>
            </w:r>
            <w:r>
              <w:rPr>
                <w:sz w:val="18"/>
                <w:szCs w:val="18"/>
              </w:rPr>
              <w:t xml:space="preserve">) </w:t>
            </w:r>
            <w:r w:rsidRPr="009321A1">
              <w:rPr>
                <w:sz w:val="18"/>
                <w:szCs w:val="18"/>
              </w:rPr>
              <w:t>Zákon č. 351/2012 Z. z. o environmentálnom overovaní a registrácii organizácií v schéme Európskej únie pre environmentálne manažérstvo a audit a o zmene a doplnení niektorých zákonov.</w:t>
            </w:r>
          </w:p>
          <w:p w:rsidR="00EA0A90" w:rsidRPr="000C7FA1" w:rsidP="00EA0A90">
            <w:pPr>
              <w:pStyle w:val="odsek1"/>
              <w:rPr>
                <w:rFonts w:ascii="TimesNewRoman" w:hAnsi="TimesNewRoman" w:cs="TimesNewRoman"/>
              </w:rPr>
            </w:pPr>
            <w:r w:rsidRPr="000C7FA1">
              <w:rPr>
                <w:rFonts w:ascii="TimesNewRoman" w:hAnsi="TimesNewRoman" w:cs="TimesNewRoman"/>
              </w:rPr>
              <w:t xml:space="preserve">(5) </w:t>
            </w:r>
            <w:r w:rsidRPr="000C7FA1">
              <w:rPr>
                <w:u w:color="008000"/>
              </w:rPr>
              <w:t>Kvalita dodávky sa odberateľovi preukazuje protokolom o skúške, certifikátom alebo iným zodpovedajúcim dokumentom vydaným osobou podľa odseku 4; poskytovanie údajov inšpekcii podľa § 9 ods. 1, orgánom štátnej správy a spotrebiteľom o kvalite palív podľa § 12 tým</w:t>
            </w:r>
            <w:r w:rsidRPr="000C7FA1">
              <w:t xml:space="preserve"> nie je dotknuté</w:t>
            </w:r>
            <w:r w:rsidRPr="000C7FA1">
              <w:rPr>
                <w:rFonts w:ascii="TimesNewRoman" w:hAnsi="TimesNewRoman" w:cs="TimesNewRoman"/>
              </w:rPr>
              <w:t xml:space="preserve">.   </w:t>
            </w:r>
          </w:p>
        </w:tc>
        <w:tc>
          <w:tcPr>
            <w:tcW w:w="709" w:type="dxa"/>
            <w:tcBorders>
              <w:top w:val="single" w:sz="4" w:space="0" w:color="auto"/>
              <w:bottom w:val="single" w:sz="4" w:space="0" w:color="auto"/>
            </w:tcBorders>
          </w:tcPr>
          <w:p w:rsidR="00EA0A90" w:rsidP="00EA0A90">
            <w:pPr>
              <w:jc w:val="both"/>
              <w:rPr>
                <w:sz w:val="20"/>
              </w:rPr>
            </w:pPr>
            <w:r w:rsidRPr="00D52C0C">
              <w:rPr>
                <w:sz w:val="20"/>
              </w:rPr>
              <w:t>Ú</w:t>
            </w: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P="00EA0A90">
            <w:pPr>
              <w:jc w:val="both"/>
              <w:rPr>
                <w:sz w:val="20"/>
              </w:rPr>
            </w:pPr>
          </w:p>
          <w:p w:rsidR="00802095" w:rsidRPr="00D52C0C" w:rsidP="00EA0A90">
            <w:pPr>
              <w:jc w:val="both"/>
              <w:rPr>
                <w:sz w:val="20"/>
              </w:rPr>
            </w:pPr>
          </w:p>
        </w:tc>
        <w:tc>
          <w:tcPr>
            <w:tcW w:w="1417" w:type="dxa"/>
            <w:tcBorders>
              <w:top w:val="single" w:sz="4" w:space="0" w:color="auto"/>
              <w:bottom w:val="single" w:sz="4" w:space="0" w:color="auto"/>
            </w:tcBorders>
          </w:tcPr>
          <w:p w:rsidR="00EA0A90" w:rsidRPr="005624A5" w:rsidP="00390F74">
            <w:pPr>
              <w:jc w:val="both"/>
              <w:rPr>
                <w:sz w:val="20"/>
              </w:rPr>
            </w:pPr>
            <w:r w:rsidRPr="005624A5" w:rsidR="006D7F59">
              <w:rPr>
                <w:sz w:val="20"/>
              </w:rPr>
              <w:t xml:space="preserve">Ustanovenia smernice týkajúce sa odoberania vzoriek a analýz lodných palív nie sú transponované v plnom rozsahu vzhľadom na existenciu </w:t>
            </w:r>
            <w:r w:rsidRPr="005624A5" w:rsidR="00390F74">
              <w:rPr>
                <w:sz w:val="20"/>
              </w:rPr>
              <w:t>vykonávacieho</w:t>
            </w:r>
            <w:r w:rsidRPr="005624A5" w:rsidR="006D7F59">
              <w:rPr>
                <w:sz w:val="20"/>
              </w:rPr>
              <w:t xml:space="preserve"> rozhodnutia Komisie (EÚ) 2015/253 zo 16. februára 2015, ktorým sa stanovujú pravidlá týkajúce sa odberu vzoriek a predkladania správ podľa smernice Rady 1999/32/ES, pokiaľ ide o obsah síry v lodných palivách, na základe ktorej je SR ako vnútrozemský štát z predmetných požiadaviek vyňatá. </w:t>
            </w:r>
          </w:p>
        </w:tc>
      </w:tr>
      <w:tr w:rsidTr="004E3C6E">
        <w:tblPrEx>
          <w:tblW w:w="14954" w:type="dxa"/>
          <w:tblLayout w:type="fixed"/>
          <w:tblCellMar>
            <w:left w:w="70" w:type="dxa"/>
            <w:right w:w="70" w:type="dxa"/>
          </w:tblCellMar>
          <w:tblLook w:val="0000"/>
        </w:tblPrEx>
        <w:trPr>
          <w:trHeight w:val="680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Č13</w:t>
            </w:r>
          </w:p>
          <w:p w:rsidR="00EA0A90" w:rsidRPr="00D52C0C" w:rsidP="00EA0A90">
            <w:pPr>
              <w:jc w:val="both"/>
              <w:rPr>
                <w:sz w:val="20"/>
              </w:rPr>
            </w:pPr>
            <w:r w:rsidRPr="00D52C0C">
              <w:rPr>
                <w:sz w:val="20"/>
              </w:rPr>
              <w:t>O3</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3. Ako referenčná metóda na určovanie obsahu síry sa bude používať metóda ISO 8754 (2003) alebo EN ISO 14596:2007.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S cieľom určiť, či je lodné palivo, ktoré bolo dodané a používané na palubách lodí, v súlade s limitnými hodnotami pre obsah síry, požadovanými v článkoch 4 až 7, sa používa postup na kontrolu palív stanovený v dodatku VI k prílohe VI k dohovoru MARPOL.</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spacing w:before="0"/>
            </w:pPr>
            <w:r w:rsidRPr="00D52C0C">
              <w:t>§9</w:t>
            </w:r>
          </w:p>
          <w:p w:rsidR="00EA0A90" w:rsidRPr="00D52C0C" w:rsidP="00EA0A90">
            <w:pPr>
              <w:pStyle w:val="BodyText21"/>
              <w:spacing w:before="0"/>
            </w:pPr>
            <w:r w:rsidRPr="00D52C0C">
              <w:t>O3</w:t>
            </w: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p w:rsidR="00EA0A90" w:rsidRPr="00D52C0C" w:rsidP="00EA0A90">
            <w:pPr>
              <w:pStyle w:val="BodyText21"/>
              <w:spacing w:before="0"/>
            </w:pP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Pr>
                <w:b/>
                <w:sz w:val="20"/>
                <w:lang w:eastAsia="sk-SK"/>
              </w:rPr>
              <w:t>§ 9</w:t>
            </w:r>
          </w:p>
          <w:p w:rsidR="00EA0A90" w:rsidRPr="00BF05AB" w:rsidP="00EA0A90">
            <w:pPr>
              <w:tabs>
                <w:tab w:val="left" w:pos="851"/>
              </w:tabs>
              <w:spacing w:after="120"/>
              <w:jc w:val="both"/>
              <w:rPr>
                <w:b/>
                <w:sz w:val="20"/>
                <w:lang w:eastAsia="sk-SK"/>
              </w:rPr>
            </w:pPr>
            <w:r>
              <w:rPr>
                <w:b/>
                <w:sz w:val="20"/>
                <w:lang w:eastAsia="sk-SK"/>
              </w:rPr>
              <w:t>Kontrola kvality paliva</w:t>
            </w:r>
          </w:p>
          <w:p w:rsidR="00EA0A90" w:rsidRPr="000C7FA1" w:rsidP="00EA0A90">
            <w:pPr>
              <w:tabs>
                <w:tab w:val="left" w:pos="284"/>
                <w:tab w:val="left" w:pos="851"/>
              </w:tabs>
              <w:spacing w:after="120"/>
              <w:jc w:val="both"/>
              <w:rPr>
                <w:sz w:val="20"/>
              </w:rPr>
            </w:pPr>
            <w:r w:rsidRPr="000C7FA1">
              <w:rPr>
                <w:sz w:val="20"/>
              </w:rPr>
              <w:t>(3) Obsah síry sa zisťuje na základe analytickej referenčnej metódy, ak ide o</w:t>
            </w:r>
          </w:p>
          <w:p w:rsidR="00EA0A90" w:rsidRPr="000C7FA1" w:rsidP="00EA0A90">
            <w:pPr>
              <w:pStyle w:val="ListParagraph"/>
              <w:numPr>
                <w:ilvl w:val="0"/>
                <w:numId w:val="24"/>
              </w:numPr>
              <w:spacing w:after="120" w:line="240" w:lineRule="auto"/>
              <w:jc w:val="both"/>
              <w:rPr>
                <w:rFonts w:ascii="Times New Roman" w:hAnsi="Times New Roman"/>
                <w:sz w:val="20"/>
                <w:szCs w:val="20"/>
              </w:rPr>
            </w:pPr>
            <w:r w:rsidRPr="000C7FA1">
              <w:rPr>
                <w:rFonts w:ascii="Times New Roman" w:hAnsi="Times New Roman"/>
                <w:sz w:val="20"/>
                <w:szCs w:val="20"/>
              </w:rPr>
              <w:t>lodné palivo podľa postupu na kontrolu palív stanoveného v medzinárodnej zmluve, ktorou je Slovenská republika viazaná,</w:t>
            </w:r>
            <w:r w:rsidRPr="000C7FA1">
              <w:rPr>
                <w:rFonts w:ascii="Times New Roman" w:hAnsi="Times New Roman"/>
                <w:sz w:val="20"/>
                <w:szCs w:val="20"/>
                <w:vertAlign w:val="superscript"/>
              </w:rPr>
              <w:t>24</w:t>
            </w:r>
            <w:r w:rsidRPr="000C7FA1">
              <w:rPr>
                <w:rFonts w:ascii="Times New Roman" w:hAnsi="Times New Roman"/>
                <w:sz w:val="20"/>
                <w:szCs w:val="20"/>
              </w:rPr>
              <w:t>)</w:t>
            </w:r>
          </w:p>
          <w:p w:rsidR="00EA0A90" w:rsidP="00EA0A90">
            <w:pPr>
              <w:pStyle w:val="ListParagraph"/>
              <w:numPr>
                <w:ilvl w:val="0"/>
                <w:numId w:val="24"/>
              </w:numPr>
              <w:tabs>
                <w:tab w:val="left" w:pos="208"/>
              </w:tabs>
              <w:spacing w:after="240" w:line="240" w:lineRule="auto"/>
              <w:ind w:left="350" w:hanging="284"/>
              <w:jc w:val="both"/>
              <w:rPr>
                <w:rFonts w:ascii="Times New Roman" w:hAnsi="Times New Roman"/>
                <w:sz w:val="20"/>
                <w:szCs w:val="20"/>
              </w:rPr>
            </w:pPr>
            <w:r w:rsidRPr="000C7FA1">
              <w:rPr>
                <w:rFonts w:ascii="Times New Roman" w:hAnsi="Times New Roman"/>
                <w:sz w:val="20"/>
                <w:szCs w:val="20"/>
              </w:rPr>
              <w:t>vykurovací olej alebo motorový plynový olej podľa technickej normy</w:t>
            </w:r>
            <w:r>
              <w:rPr>
                <w:rFonts w:ascii="Times New Roman" w:hAnsi="Times New Roman"/>
                <w:sz w:val="20"/>
                <w:szCs w:val="20"/>
              </w:rPr>
              <w:t xml:space="preserve"> </w:t>
            </w:r>
            <w:r w:rsidRPr="00A8176F">
              <w:rPr>
                <w:rFonts w:ascii="Times New Roman" w:hAnsi="Times New Roman"/>
                <w:sz w:val="20"/>
                <w:szCs w:val="20"/>
              </w:rPr>
              <w:t>alebo inej obdobnej technickej špecifikácie s porovnateľnými alebo prísnejšími požiadavkami</w:t>
            </w:r>
            <w:r w:rsidRPr="000C7FA1">
              <w:rPr>
                <w:rFonts w:ascii="Times New Roman" w:hAnsi="Times New Roman"/>
                <w:sz w:val="20"/>
                <w:szCs w:val="20"/>
              </w:rPr>
              <w:t>.</w:t>
            </w:r>
            <w:r>
              <w:rPr>
                <w:rFonts w:ascii="Times New Roman" w:hAnsi="Times New Roman"/>
                <w:sz w:val="20"/>
                <w:szCs w:val="20"/>
                <w:vertAlign w:val="superscript"/>
              </w:rPr>
              <w:t>39</w:t>
            </w:r>
            <w:r w:rsidRPr="00A8176F">
              <w:rPr>
                <w:rFonts w:ascii="Times New Roman" w:hAnsi="Times New Roman"/>
                <w:sz w:val="20"/>
                <w:szCs w:val="20"/>
              </w:rPr>
              <w:t>)</w:t>
            </w:r>
          </w:p>
          <w:p w:rsidR="00EA0A90" w:rsidP="00EA0A90">
            <w:pPr>
              <w:spacing w:line="240" w:lineRule="atLeast"/>
              <w:ind w:left="-44" w:firstLine="44"/>
              <w:jc w:val="both"/>
            </w:pPr>
            <w:r>
              <w:rPr>
                <w:noProof/>
              </w:rPr>
              <w:pict>
                <v:shape id="_x0000_s1049" type="#_x0000_t32" style="width:58.2pt;height:0;margin-top:5.4pt;margin-left:0.1pt;position:absolute;z-index:251679744" o:connectortype="straight"/>
              </w:pict>
            </w:r>
          </w:p>
          <w:p w:rsidR="00EA0A90" w:rsidRPr="004B7FFE" w:rsidP="00EA0A90">
            <w:pPr>
              <w:jc w:val="both"/>
              <w:rPr>
                <w:color w:val="231F20"/>
                <w:sz w:val="20"/>
                <w:lang w:eastAsia="sk-SK"/>
              </w:rPr>
            </w:pPr>
            <w:r>
              <w:rPr>
                <w:sz w:val="18"/>
                <w:szCs w:val="18"/>
                <w:vertAlign w:val="superscript"/>
              </w:rPr>
              <w:t>24</w:t>
            </w:r>
            <w:r>
              <w:rPr>
                <w:sz w:val="18"/>
                <w:szCs w:val="18"/>
              </w:rPr>
              <w:t xml:space="preserve">) </w:t>
            </w:r>
            <w:r w:rsidRPr="00A8176F">
              <w:rPr>
                <w:sz w:val="18"/>
                <w:szCs w:val="18"/>
              </w:rPr>
              <w:t>Protokol z roku 1997, ktorým sa mení a dopĺňa Protokol z roku 1978 k Medzinárodnému dohovoru o  zabránení znečisťovaniu z lodí, ktorého nedeliteľnou súčasťou je Medzinárodný dohovor o zabránení znečisťovaniu z lodí z roku 1973 (MARPOL PROT 1997) (Oznámenie Ministerstva zahraničných vecí a európskych záležitostí č. 344/2013 Z. z.).</w:t>
            </w:r>
          </w:p>
          <w:p w:rsidR="00EA0A90" w:rsidRPr="000C7FA1" w:rsidP="00EA0A90">
            <w:pPr>
              <w:pStyle w:val="FootnoteText"/>
              <w:jc w:val="both"/>
              <w:rPr>
                <w:sz w:val="20"/>
              </w:rPr>
            </w:pPr>
            <w:r>
              <w:rPr>
                <w:sz w:val="18"/>
                <w:szCs w:val="18"/>
                <w:vertAlign w:val="superscript"/>
              </w:rPr>
              <w:t>39</w:t>
            </w:r>
            <w:r>
              <w:rPr>
                <w:sz w:val="18"/>
                <w:szCs w:val="18"/>
              </w:rPr>
              <w:t xml:space="preserve">) </w:t>
            </w:r>
            <w:r w:rsidRPr="00A8176F">
              <w:rPr>
                <w:sz w:val="18"/>
                <w:szCs w:val="18"/>
              </w:rPr>
              <w:t>Napríklad STN EN ISO 8754 Ropné výrobky. Stanovenie obsahu síry. Energo-disperzná röntgenová fluorescenčná spektrometria (ISO 8754) (65 6114), STN EN ISO 14596 Ropné výrobky. Stanovenie obsahu síry. Vlnovodĺžková disperzná röntgenová fluorescenčná spektrometria (ISO 14596) (65 6115), STN EN ISO 20846 Ropné výrobky. Stanovenie obsahu síry v automobilových palivách. Ultrafialová fluorescenčná metóda (ISO 20846) (65 6111).</w:t>
            </w: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487"/>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Č13</w:t>
            </w:r>
          </w:p>
          <w:p w:rsidR="00EA0A90" w:rsidRPr="00D52C0C" w:rsidP="00EA0A90">
            <w:pPr>
              <w:jc w:val="both"/>
              <w:rPr>
                <w:sz w:val="20"/>
              </w:rPr>
            </w:pPr>
            <w:r w:rsidRPr="00D52C0C">
              <w:rPr>
                <w:sz w:val="20"/>
              </w:rPr>
              <w:t>O4</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4. Komisia je splnomocnená prijímať vykonávacie akty týkajúce sa: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 frekvencie odberu vzoriek;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b) metód odberu vzoriek;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 xml:space="preserve">c) vymedzenia reprezentatívnej vzorky skúmaného paliva. </w:t>
            </w:r>
          </w:p>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Uvedené vykonávacie akty sa prijmú v súlade s postupom preskúmania uvedeným v článku 17 ods. 2.</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lang w:eastAsia="sk-SK"/>
              </w:rPr>
            </w:pPr>
          </w:p>
        </w:tc>
        <w:tc>
          <w:tcPr>
            <w:tcW w:w="851" w:type="dxa"/>
            <w:tcBorders>
              <w:top w:val="single" w:sz="4" w:space="0" w:color="auto"/>
              <w:bottom w:val="single" w:sz="4" w:space="0" w:color="auto"/>
            </w:tcBorders>
          </w:tcPr>
          <w:p w:rsidR="00EA0A90" w:rsidRPr="00D52C0C" w:rsidP="00EA0A90">
            <w:pPr>
              <w:pStyle w:val="BodyText21"/>
              <w:spacing w:before="0"/>
              <w:rPr>
                <w:lang w:eastAsia="sk-SK"/>
              </w:rPr>
            </w:pPr>
          </w:p>
        </w:tc>
        <w:tc>
          <w:tcPr>
            <w:tcW w:w="4961" w:type="dxa"/>
            <w:tcBorders>
              <w:top w:val="single" w:sz="4" w:space="0" w:color="auto"/>
              <w:bottom w:val="single" w:sz="4" w:space="0" w:color="auto"/>
            </w:tcBorders>
          </w:tcPr>
          <w:p w:rsidR="00EA0A90" w:rsidRPr="00964863" w:rsidP="00EA0A90">
            <w:pPr>
              <w:jc w:val="both"/>
              <w:rPr>
                <w:rFonts w:ascii="TimesNewRoman" w:hAnsi="TimesNewRoman" w:cs="TimesNewRoman"/>
                <w:color w:val="231F20"/>
                <w:sz w:val="20"/>
                <w:highlight w:val="yellow"/>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338"/>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Č14</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Článok 7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Podávanie správ a skúmanie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1. Členské štáty predkladajú Komisii každoročne do 30. júna na základe výsledkov odberu vzoriek, analýz a kontrol vykonávaných v súlade s článkom 6 správu o dodržiavaní noriem pre síru stanovených v tejto smernici za predchádzajúci rok.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Na základe správ prijatých v súlade s prvým pododsekom tohto odseku a oznámení o nedostupnosti lodného paliva, ktoré spĺňa požiadavky tejto smernice, predložených členskými štátmi v súlade s článkom 6 ods. 8 piatym pododsekom Komisia do 12 mesiacov od dátumu uvedeného v prvom pododseku tohto odseku vypracuje a uverejní správu o vykonávaní tejto smernice. Komisia posúdi potrebu ďalšieho posilnenia príslušných ustanovení tejto smernice a na tento účel predloží príslušné legislatívne návrhy.</w:t>
            </w:r>
          </w:p>
        </w:tc>
        <w:tc>
          <w:tcPr>
            <w:tcW w:w="851" w:type="dxa"/>
            <w:tcBorders>
              <w:top w:val="single" w:sz="4" w:space="0" w:color="auto"/>
              <w:bottom w:val="single" w:sz="4" w:space="0" w:color="auto"/>
            </w:tcBorders>
          </w:tcPr>
          <w:p w:rsidR="00EA0A90" w:rsidRPr="003C3D09" w:rsidP="00EA0A90">
            <w:pPr>
              <w:jc w:val="both"/>
              <w:rPr>
                <w:sz w:val="20"/>
              </w:rPr>
            </w:pPr>
            <w:r w:rsidRPr="003C3D09">
              <w:rPr>
                <w:sz w:val="20"/>
              </w:rPr>
              <w:t>N</w:t>
            </w: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tc>
        <w:tc>
          <w:tcPr>
            <w:tcW w:w="850" w:type="dxa"/>
            <w:tcBorders>
              <w:top w:val="single" w:sz="4" w:space="0" w:color="auto"/>
              <w:bottom w:val="single" w:sz="4" w:space="0" w:color="auto"/>
            </w:tcBorders>
          </w:tcPr>
          <w:p w:rsidR="00EA0A90" w:rsidRPr="003C3D09" w:rsidP="00EA0A90">
            <w:pPr>
              <w:jc w:val="both"/>
              <w:rPr>
                <w:sz w:val="20"/>
              </w:rPr>
            </w:pPr>
            <w:r w:rsidRPr="003C3D09">
              <w:rPr>
                <w:sz w:val="20"/>
              </w:rPr>
              <w:t>NZ</w:t>
            </w: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P="00EA0A90">
            <w:pPr>
              <w:jc w:val="both"/>
              <w:rPr>
                <w:sz w:val="20"/>
              </w:rPr>
            </w:pPr>
          </w:p>
          <w:p w:rsidR="00C25023" w:rsidP="00EA0A90">
            <w:pPr>
              <w:jc w:val="both"/>
              <w:rPr>
                <w:sz w:val="20"/>
              </w:rPr>
            </w:pPr>
          </w:p>
          <w:p w:rsidR="00C25023" w:rsidRPr="003C3D09" w:rsidP="00EA0A90">
            <w:pPr>
              <w:jc w:val="both"/>
              <w:rPr>
                <w:sz w:val="20"/>
              </w:rPr>
            </w:pPr>
          </w:p>
          <w:p w:rsidR="00EA0A90" w:rsidRPr="003C3D09" w:rsidP="00EA0A90">
            <w:pPr>
              <w:jc w:val="both"/>
              <w:rPr>
                <w:sz w:val="20"/>
              </w:rPr>
            </w:pPr>
          </w:p>
          <w:p w:rsidR="00EA0A90" w:rsidRPr="003C3D09" w:rsidP="00EA0A90">
            <w:pPr>
              <w:jc w:val="both"/>
              <w:rPr>
                <w:sz w:val="20"/>
              </w:rPr>
            </w:pPr>
          </w:p>
          <w:p w:rsidR="00EA0A90" w:rsidRPr="003C3D09" w:rsidP="00EA0A90">
            <w:pPr>
              <w:jc w:val="both"/>
              <w:rPr>
                <w:sz w:val="20"/>
              </w:rPr>
            </w:pPr>
            <w:r w:rsidRPr="003C3D09">
              <w:rPr>
                <w:sz w:val="20"/>
              </w:rPr>
              <w:t>NV1</w:t>
            </w:r>
          </w:p>
        </w:tc>
        <w:tc>
          <w:tcPr>
            <w:tcW w:w="851" w:type="dxa"/>
            <w:tcBorders>
              <w:top w:val="single" w:sz="4" w:space="0" w:color="auto"/>
              <w:bottom w:val="single" w:sz="4" w:space="0" w:color="auto"/>
            </w:tcBorders>
          </w:tcPr>
          <w:p w:rsidR="00EA0A90" w:rsidRPr="003C3D09" w:rsidP="00EA0A90">
            <w:pPr>
              <w:pStyle w:val="BodyText21"/>
              <w:spacing w:before="0"/>
            </w:pPr>
            <w:r w:rsidRPr="003C3D09">
              <w:t>§</w:t>
            </w:r>
            <w:r>
              <w:t>41</w:t>
            </w:r>
          </w:p>
          <w:p w:rsidR="00EA0A90" w:rsidRPr="003C3D09" w:rsidP="00EA0A90">
            <w:pPr>
              <w:pStyle w:val="BodyText21"/>
              <w:spacing w:before="0"/>
            </w:pPr>
            <w:r w:rsidRPr="003C3D09">
              <w:t xml:space="preserve">Pd </w:t>
            </w:r>
          </w:p>
          <w:p w:rsidR="00EA0A90" w:rsidRPr="003C3D09" w:rsidP="00EA0A90">
            <w:pPr>
              <w:pStyle w:val="BodyText21"/>
              <w:spacing w:before="0"/>
            </w:pPr>
          </w:p>
          <w:p w:rsidR="00EA0A90" w:rsidRPr="003C3D09" w:rsidP="00EA0A90">
            <w:pPr>
              <w:pStyle w:val="BodyText21"/>
              <w:spacing w:before="0"/>
            </w:pPr>
          </w:p>
          <w:p w:rsidR="00EA0A90" w:rsidP="00EA0A90">
            <w:pPr>
              <w:pStyle w:val="BodyText21"/>
              <w:spacing w:before="0"/>
            </w:pPr>
          </w:p>
          <w:p w:rsidR="00EA0A90" w:rsidP="00EA0A90">
            <w:pPr>
              <w:pStyle w:val="BodyText21"/>
              <w:spacing w:before="0"/>
            </w:pPr>
          </w:p>
          <w:p w:rsidR="00C25023" w:rsidP="00EA0A90">
            <w:pPr>
              <w:pStyle w:val="BodyText21"/>
              <w:spacing w:before="0"/>
            </w:pPr>
          </w:p>
          <w:p w:rsidR="00C25023" w:rsidRPr="003C3D09" w:rsidP="00EA0A90">
            <w:pPr>
              <w:pStyle w:val="BodyText21"/>
              <w:spacing w:before="0"/>
            </w:pPr>
          </w:p>
          <w:p w:rsidR="00EA0A90" w:rsidRPr="003C3D09" w:rsidP="00EA0A90">
            <w:pPr>
              <w:pStyle w:val="BodyText21"/>
              <w:spacing w:before="0"/>
            </w:pPr>
          </w:p>
          <w:p w:rsidR="00EA0A90" w:rsidRPr="003C3D09" w:rsidP="00EA0A90">
            <w:pPr>
              <w:pStyle w:val="BodyText21"/>
              <w:spacing w:before="0"/>
            </w:pPr>
            <w:r w:rsidRPr="003C3D09">
              <w:t>Príloha č.1</w:t>
            </w:r>
          </w:p>
          <w:p w:rsidR="00EA0A90" w:rsidRPr="003C3D09" w:rsidP="00EA0A90">
            <w:pPr>
              <w:pStyle w:val="BodyText21"/>
              <w:spacing w:before="0"/>
            </w:pPr>
            <w:r w:rsidRPr="003C3D09">
              <w:t>P8</w:t>
            </w:r>
          </w:p>
        </w:tc>
        <w:tc>
          <w:tcPr>
            <w:tcW w:w="4961" w:type="dxa"/>
            <w:tcBorders>
              <w:top w:val="single" w:sz="4" w:space="0" w:color="auto"/>
              <w:bottom w:val="single" w:sz="4" w:space="0" w:color="auto"/>
            </w:tcBorders>
          </w:tcPr>
          <w:p w:rsidR="00EA0A90" w:rsidRPr="00BF05AB" w:rsidP="00EA0A90">
            <w:pPr>
              <w:tabs>
                <w:tab w:val="left" w:pos="851"/>
              </w:tabs>
              <w:spacing w:after="120"/>
              <w:jc w:val="both"/>
              <w:rPr>
                <w:b/>
                <w:sz w:val="20"/>
                <w:lang w:eastAsia="sk-SK"/>
              </w:rPr>
            </w:pPr>
            <w:r>
              <w:rPr>
                <w:b/>
                <w:sz w:val="20"/>
                <w:lang w:eastAsia="sk-SK"/>
              </w:rPr>
              <w:t>§ 41</w:t>
            </w:r>
          </w:p>
          <w:p w:rsidR="00EA0A90" w:rsidRPr="00BF05AB" w:rsidP="00EA0A90">
            <w:pPr>
              <w:tabs>
                <w:tab w:val="left" w:pos="851"/>
              </w:tabs>
              <w:spacing w:after="120"/>
              <w:jc w:val="both"/>
              <w:rPr>
                <w:b/>
                <w:sz w:val="20"/>
                <w:lang w:eastAsia="sk-SK"/>
              </w:rPr>
            </w:pPr>
            <w:r>
              <w:rPr>
                <w:b/>
                <w:sz w:val="20"/>
                <w:lang w:eastAsia="sk-SK"/>
              </w:rPr>
              <w:t>Ministerstvo</w:t>
            </w:r>
          </w:p>
          <w:p w:rsidR="00EA0A90" w:rsidRPr="0058076F" w:rsidP="00EA0A90">
            <w:pPr>
              <w:jc w:val="both"/>
              <w:rPr>
                <w:sz w:val="20"/>
              </w:rPr>
            </w:pPr>
            <w:r w:rsidRPr="0058076F">
              <w:rPr>
                <w:sz w:val="20"/>
              </w:rPr>
              <w:t>d) je vo vzťahu ku Komisii notifikačným orgánom, sprístupňuje a podáva Komisii ustanovené informácie a správy vo veciach ochrany ovzdušia a v ustanovených lehotách a rozsahu ustanovenom vykonávacím predpisom podľa § 62 písm. n),</w:t>
            </w:r>
          </w:p>
          <w:p w:rsidR="00EA0A90" w:rsidRPr="0058076F" w:rsidP="00EA0A90">
            <w:pPr>
              <w:jc w:val="both"/>
              <w:rPr>
                <w:sz w:val="20"/>
              </w:rPr>
            </w:pPr>
          </w:p>
          <w:p w:rsidR="00EA0A90" w:rsidRPr="0058076F" w:rsidP="00EA0A90">
            <w:pPr>
              <w:jc w:val="both"/>
              <w:rPr>
                <w:sz w:val="20"/>
              </w:rPr>
            </w:pPr>
            <w:r w:rsidRPr="0058076F">
              <w:rPr>
                <w:sz w:val="20"/>
              </w:rPr>
              <w:t xml:space="preserve">8. KVALITA PALÍV podľa § </w:t>
            </w:r>
            <w:r>
              <w:rPr>
                <w:sz w:val="20"/>
              </w:rPr>
              <w:t>37</w:t>
            </w:r>
            <w:r w:rsidRPr="0058076F">
              <w:rPr>
                <w:sz w:val="20"/>
              </w:rPr>
              <w:t xml:space="preserve"> zákona</w:t>
            </w:r>
          </w:p>
          <w:tbl>
            <w:tblPr>
              <w:tblStyle w:val="TableNormal"/>
              <w:tblW w:w="4811" w:type="dxa"/>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2"/>
              <w:gridCol w:w="1550"/>
              <w:gridCol w:w="1619"/>
            </w:tblGrid>
            <w:tr w:rsidTr="0099478A">
              <w:tblPrEx>
                <w:tblW w:w="4811" w:type="dxa"/>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97"/>
                <w:jc w:val="center"/>
              </w:trPr>
              <w:tc>
                <w:tcPr>
                  <w:tcW w:w="1642" w:type="dxa"/>
                  <w:shd w:val="clear" w:color="auto" w:fill="auto"/>
                  <w:vAlign w:val="center"/>
                </w:tcPr>
                <w:p w:rsidR="00EA0A90" w:rsidRPr="00536F08" w:rsidP="00EA0A90">
                  <w:pPr>
                    <w:widowControl w:val="0"/>
                    <w:ind w:right="-108"/>
                    <w:rPr>
                      <w:rFonts w:eastAsia="SimSun"/>
                      <w:b/>
                      <w:sz w:val="20"/>
                    </w:rPr>
                  </w:pPr>
                  <w:r w:rsidRPr="00536F08">
                    <w:rPr>
                      <w:rFonts w:eastAsia="SimSun"/>
                      <w:b/>
                      <w:sz w:val="20"/>
                    </w:rPr>
                    <w:t xml:space="preserve">Predmet správy, oznámenia  </w:t>
                  </w:r>
                </w:p>
              </w:tc>
              <w:tc>
                <w:tcPr>
                  <w:tcW w:w="1550" w:type="dxa"/>
                  <w:shd w:val="clear" w:color="auto" w:fill="auto"/>
                  <w:vAlign w:val="center"/>
                </w:tcPr>
                <w:p w:rsidR="00EA0A90" w:rsidRPr="00536F08" w:rsidP="00EA0A90">
                  <w:pPr>
                    <w:widowControl w:val="0"/>
                    <w:rPr>
                      <w:rFonts w:eastAsia="SimSun"/>
                      <w:b/>
                      <w:sz w:val="20"/>
                    </w:rPr>
                  </w:pPr>
                  <w:r w:rsidRPr="00536F08">
                    <w:rPr>
                      <w:rFonts w:eastAsia="SimSun"/>
                      <w:b/>
                      <w:sz w:val="20"/>
                    </w:rPr>
                    <w:t xml:space="preserve">Údaje, ktoré treba oznamovať </w:t>
                  </w:r>
                </w:p>
              </w:tc>
              <w:tc>
                <w:tcPr>
                  <w:tcW w:w="1619" w:type="dxa"/>
                  <w:shd w:val="clear" w:color="auto" w:fill="auto"/>
                  <w:vAlign w:val="center"/>
                </w:tcPr>
                <w:p w:rsidR="00EA0A90" w:rsidRPr="00536F08" w:rsidP="00EA0A90">
                  <w:pPr>
                    <w:widowControl w:val="0"/>
                    <w:rPr>
                      <w:rFonts w:eastAsia="SimSun"/>
                      <w:b/>
                      <w:sz w:val="20"/>
                    </w:rPr>
                  </w:pPr>
                  <w:r w:rsidRPr="00536F08">
                    <w:rPr>
                      <w:rFonts w:eastAsia="SimSun"/>
                      <w:b/>
                      <w:sz w:val="20"/>
                    </w:rPr>
                    <w:t xml:space="preserve">Lehoty / termíny </w:t>
                  </w:r>
                </w:p>
              </w:tc>
            </w:tr>
            <w:tr w:rsidTr="0099478A">
              <w:tblPrEx>
                <w:tblW w:w="4811" w:type="dxa"/>
                <w:jc w:val="center"/>
                <w:tblInd w:w="3" w:type="dxa"/>
                <w:tblLayout w:type="fixed"/>
                <w:tblLook w:val="04A0"/>
              </w:tblPrEx>
              <w:trPr>
                <w:trHeight w:val="2683"/>
                <w:jc w:val="center"/>
              </w:trPr>
              <w:tc>
                <w:tcPr>
                  <w:tcW w:w="1642" w:type="dxa"/>
                  <w:shd w:val="clear" w:color="auto" w:fill="auto"/>
                  <w:vAlign w:val="center"/>
                </w:tcPr>
                <w:p w:rsidR="00EA0A90" w:rsidRPr="00536F08" w:rsidP="00EA0A90">
                  <w:pPr>
                    <w:widowControl w:val="0"/>
                    <w:ind w:right="-108"/>
                    <w:rPr>
                      <w:rFonts w:eastAsia="SimSun"/>
                      <w:b/>
                      <w:sz w:val="20"/>
                    </w:rPr>
                  </w:pPr>
                  <w:r w:rsidRPr="00A756ED">
                    <w:rPr>
                      <w:rFonts w:eastAsia="Trebuchet MS"/>
                      <w:b/>
                      <w:sz w:val="20"/>
                      <w:lang w:eastAsia="zh-CN" w:bidi="ar"/>
                    </w:rPr>
                    <w:t>Správa</w:t>
                    <w:br/>
                    <w:t>o dodržiavaní noriem pre síru</w:t>
                  </w:r>
                </w:p>
              </w:tc>
              <w:tc>
                <w:tcPr>
                  <w:tcW w:w="1550" w:type="dxa"/>
                  <w:shd w:val="clear" w:color="auto" w:fill="auto"/>
                  <w:vAlign w:val="center"/>
                </w:tcPr>
                <w:p w:rsidR="00EA0A90" w:rsidRPr="00536F08" w:rsidP="00EA0A90">
                  <w:pPr>
                    <w:keepNext/>
                    <w:widowControl w:val="0"/>
                    <w:rPr>
                      <w:rFonts w:ascii="TimesNewRomanBold" w:eastAsia="SimSun" w:hAnsi="TimesNewRomanBold" w:cs="TimesNewRomanBold"/>
                      <w:bCs/>
                      <w:sz w:val="20"/>
                    </w:rPr>
                  </w:pPr>
                  <w:r w:rsidRPr="0058076F">
                    <w:rPr>
                      <w:rFonts w:eastAsia="Trebuchet MS"/>
                      <w:sz w:val="20"/>
                      <w:lang w:eastAsia="zh-CN" w:bidi="ar"/>
                    </w:rPr>
                    <w:t>Informácie o dodržiavaní obsahu síry v kvapalných palivách za predchádzajúci rok na základe výsledkov odberu vzoriek, analýz a vykonaných kontrol.</w:t>
                  </w:r>
                </w:p>
              </w:tc>
              <w:tc>
                <w:tcPr>
                  <w:tcW w:w="1619" w:type="dxa"/>
                  <w:shd w:val="clear" w:color="auto" w:fill="auto"/>
                </w:tcPr>
                <w:p w:rsidR="00EA0A90" w:rsidRPr="0058076F" w:rsidP="00EA0A90">
                  <w:pPr>
                    <w:rPr>
                      <w:rFonts w:eastAsia="Trebuchet MS"/>
                      <w:sz w:val="20"/>
                    </w:rPr>
                  </w:pPr>
                  <w:r w:rsidRPr="0058076F">
                    <w:rPr>
                      <w:rFonts w:eastAsia="Trebuchet MS"/>
                      <w:sz w:val="20"/>
                      <w:lang w:eastAsia="zh-CN" w:bidi="ar"/>
                    </w:rPr>
                    <w:t>Každoročne</w:t>
                    <w:br/>
                    <w:t>/do 30. júna/</w:t>
                  </w:r>
                </w:p>
              </w:tc>
            </w:tr>
          </w:tbl>
          <w:p w:rsidR="00EA0A90" w:rsidRPr="0058076F" w:rsidP="00EA0A90">
            <w:pPr>
              <w:jc w:val="both"/>
              <w:rPr>
                <w:sz w:val="20"/>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Ú</w:t>
            </w: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P="00EA0A90">
            <w:pPr>
              <w:jc w:val="both"/>
              <w:rPr>
                <w:sz w:val="20"/>
              </w:rPr>
            </w:pPr>
          </w:p>
          <w:p w:rsidR="00EA0A90" w:rsidRPr="00D52C0C" w:rsidP="00EA0A90">
            <w:pPr>
              <w:jc w:val="both"/>
              <w:rPr>
                <w:sz w:val="20"/>
              </w:rPr>
            </w:pP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338"/>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Č14</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2. Komisia do 31. decembra 2013 predloží Európskemu parlamentu a Rade správu, ktorú v prípade potreby doplní o legislatívne návrhy. Komisia vo svojej správe posúdi potenciál zníženia znečistenia ovzdušia, pričom okrem iného zohľadní: výročné správy predložené v súlade s odsekmi 1 a 3, pozorovanú kvalitu ovzdušia a acidifikáciu, náklady na palivo, potenciálny ekonomický vplyv a pozorovaný prechod na iný spôsob dopravy a pokrok pri znižovaní emisií z lodí. </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ind w:left="284" w:hanging="284"/>
              <w:jc w:val="both"/>
              <w:rPr>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1338"/>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Č14</w:t>
            </w:r>
          </w:p>
          <w:p w:rsidR="00EA0A90" w:rsidRPr="00D52C0C" w:rsidP="00EA0A90">
            <w:pPr>
              <w:jc w:val="both"/>
              <w:rPr>
                <w:sz w:val="20"/>
              </w:rPr>
            </w:pPr>
            <w:r w:rsidRPr="00D52C0C">
              <w:rPr>
                <w:sz w:val="20"/>
              </w:rPr>
              <w:t>O3</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1a. Komisia môže prijať vykonávacie akty týkajúce sa informácií, ktoré majú byť súčasťou správy, a formátu správy. Uvedené vykonávacie akty sa prijmú v súlade s postupom preskúmania uvedeným v článku  17 ods. 2.</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rPr>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699"/>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Č15</w:t>
            </w:r>
          </w:p>
          <w:p w:rsidR="00EA0A90" w:rsidRPr="00D52C0C" w:rsidP="00EA0A90">
            <w:pPr>
              <w:jc w:val="both"/>
              <w:rPr>
                <w:sz w:val="20"/>
              </w:rPr>
            </w:pPr>
          </w:p>
        </w:tc>
        <w:tc>
          <w:tcPr>
            <w:tcW w:w="4536"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Článok 15</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Prispôsobenie vedeckému a technickému pokroku</w:t>
            </w:r>
          </w:p>
          <w:p w:rsidR="00EA0A90" w:rsidRPr="00D52C0C" w:rsidP="00EA0A90">
            <w:pPr>
              <w:autoSpaceDE w:val="0"/>
              <w:autoSpaceDN w:val="0"/>
              <w:adjustRightInd w:val="0"/>
              <w:jc w:val="both"/>
              <w:rPr>
                <w:rFonts w:ascii="TimesNewRoman" w:hAnsi="TimesNewRoman" w:cs="TimesNewRoman"/>
                <w:color w:val="231F20"/>
                <w:sz w:val="20"/>
                <w:lang w:eastAsia="sk-SK"/>
              </w:rPr>
            </w:pP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Komisia je splnomocnená prijímať delegované akty v súlade s článkom 16 týkajúce sa prispôsobenia článku 2 písm. a) až e) a p), článku 13 ods. 2 písm. b) bod i) a článku 13 ods. 3 vedeckému a technickému pokroku. Takéto prispôsobenia nesmú spôsobiť žiadne priame zmeny rozsahu pôsobnosti tejto smernice, ani limitných hodnôt pre obsah síry v palivách uvedených v tejto smernici.</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ind w:left="-70"/>
              <w:rPr>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Č16</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16</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Vykonávanie delegovania právomoci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1. Právomoc prijímať delegované akty sa Komisii udeľuje za podmienok stanovených v tomto článku.</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Č16</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2. Právomoc prijímať delegové akty uvedené v článku 8 ods. 5 a článku 15 sa Komisii udeľuje na obdobie piatich rokov od 17. decembra 2012. Komisia predloží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Č16</w:t>
            </w:r>
          </w:p>
          <w:p w:rsidR="00EA0A90" w:rsidRPr="00D52C0C" w:rsidP="00EA0A90">
            <w:pPr>
              <w:jc w:val="both"/>
              <w:rPr>
                <w:sz w:val="20"/>
              </w:rPr>
            </w:pPr>
            <w:r w:rsidRPr="00D52C0C">
              <w:rPr>
                <w:sz w:val="20"/>
              </w:rPr>
              <w:t>O3</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3. Delegovanie právomoci uvedené v článku 8 ods. 5 a článku 15 môže Európsky parlament alebo Rada kedykoľvek odvolať. Rozhodnutím o odvolaní sa ukončuje delegovanie právomoci v ňom uvedenej.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Č16</w:t>
            </w:r>
          </w:p>
          <w:p w:rsidR="00EA0A90" w:rsidRPr="00D52C0C" w:rsidP="00EA0A90">
            <w:pPr>
              <w:jc w:val="both"/>
              <w:rPr>
                <w:sz w:val="20"/>
              </w:rPr>
            </w:pPr>
            <w:r w:rsidRPr="00D52C0C">
              <w:rPr>
                <w:sz w:val="20"/>
              </w:rPr>
              <w:t>O4</w:t>
            </w:r>
          </w:p>
        </w:tc>
        <w:tc>
          <w:tcPr>
            <w:tcW w:w="4536" w:type="dxa"/>
            <w:tcBorders>
              <w:top w:val="single" w:sz="4" w:space="0" w:color="auto"/>
              <w:bottom w:val="single" w:sz="4" w:space="0" w:color="auto"/>
            </w:tcBorders>
          </w:tcPr>
          <w:p w:rsidR="00EA0A90" w:rsidRPr="00D52C0C" w:rsidP="00EA0A90">
            <w:pPr>
              <w:pStyle w:val="CM4"/>
              <w:spacing w:before="60" w:after="60"/>
              <w:jc w:val="both"/>
              <w:rPr>
                <w:rFonts w:ascii="TimesNewRoman" w:hAnsi="TimesNewRoman" w:cs="TimesNewRoman"/>
                <w:color w:val="231F20"/>
                <w:sz w:val="20"/>
                <w:szCs w:val="20"/>
              </w:rPr>
            </w:pPr>
            <w:r w:rsidRPr="00D52C0C">
              <w:rPr>
                <w:rFonts w:ascii="TimesNewRoman" w:hAnsi="TimesNewRoman" w:cs="TimesNewRoman"/>
                <w:color w:val="231F20"/>
                <w:sz w:val="20"/>
                <w:szCs w:val="20"/>
              </w:rPr>
              <w:t>4. Komisia oznamuje delegovaný akt Európskemu parlamentu a Rade súčasne, a to hneď po jeho prijatí.</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Č16</w:t>
            </w:r>
          </w:p>
          <w:p w:rsidR="00EA0A90" w:rsidRPr="00D52C0C" w:rsidP="00EA0A90">
            <w:pPr>
              <w:jc w:val="both"/>
              <w:rPr>
                <w:sz w:val="20"/>
              </w:rPr>
            </w:pPr>
            <w:r w:rsidRPr="00D52C0C">
              <w:rPr>
                <w:sz w:val="20"/>
              </w:rPr>
              <w:t>O5</w:t>
            </w:r>
          </w:p>
        </w:tc>
        <w:tc>
          <w:tcPr>
            <w:tcW w:w="4536" w:type="dxa"/>
            <w:tcBorders>
              <w:top w:val="single" w:sz="4" w:space="0" w:color="auto"/>
              <w:bottom w:val="single" w:sz="4" w:space="0" w:color="auto"/>
            </w:tcBorders>
          </w:tcPr>
          <w:p w:rsidR="00EA0A90" w:rsidRPr="00D52C0C" w:rsidP="00EA0A90">
            <w:pPr>
              <w:pStyle w:val="CM1"/>
              <w:spacing w:before="200" w:after="200"/>
              <w:jc w:val="both"/>
              <w:rPr>
                <w:rFonts w:ascii="TimesNewRoman" w:hAnsi="TimesNewRoman" w:cs="TimesNewRoman"/>
                <w:color w:val="231F20"/>
                <w:sz w:val="20"/>
                <w:szCs w:val="20"/>
              </w:rPr>
            </w:pPr>
            <w:r w:rsidRPr="00D52C0C">
              <w:rPr>
                <w:rFonts w:ascii="TimesNewRoman" w:hAnsi="TimesNewRoman" w:cs="TimesNewRoman"/>
                <w:color w:val="231F20"/>
                <w:sz w:val="20"/>
                <w:szCs w:val="20"/>
              </w:rPr>
              <w:t>5. Delegovaný akt prijatý podľa článku 8 ods. 5 a článku 15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Č17</w:t>
            </w:r>
          </w:p>
          <w:p w:rsidR="00EA0A90" w:rsidRPr="00D52C0C" w:rsidP="00EA0A90">
            <w:pPr>
              <w:jc w:val="both"/>
              <w:rPr>
                <w:sz w:val="20"/>
              </w:rPr>
            </w:pPr>
            <w:r w:rsidRPr="00D52C0C">
              <w:rPr>
                <w:sz w:val="20"/>
              </w:rPr>
              <w:t>O1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17</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Postup výboru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1. Komisii pomáha výbor. Uvedený výbor je výborom v zmysle nariadenia Európskeho parlamentu a Rady (EÚ) č. 182/2011.</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71"/>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Č17</w:t>
            </w:r>
          </w:p>
          <w:p w:rsidR="00EA0A90" w:rsidRPr="00D52C0C" w:rsidP="00EA0A90">
            <w:pPr>
              <w:jc w:val="both"/>
              <w:rPr>
                <w:sz w:val="20"/>
              </w:rPr>
            </w:pPr>
            <w:r w:rsidRPr="00D52C0C">
              <w:rPr>
                <w:sz w:val="20"/>
              </w:rPr>
              <w:t>O2</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2. Ak sa odkazuje na tento odsek, uplatňuje sa článok 5 nariadenia (EÚ) č. 182/2011.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Ak výbor nevydá žiadne stanovisko, Komisia neprijme návrh vykonávacieho aktu a uplatňuje sa článok 5 ods. 4 tretí pododsek nariadenia (EÚ) č. 182/2011.</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EE707B">
        <w:tblPrEx>
          <w:tblW w:w="14954" w:type="dxa"/>
          <w:tblLayout w:type="fixed"/>
          <w:tblCellMar>
            <w:left w:w="70" w:type="dxa"/>
            <w:right w:w="70" w:type="dxa"/>
          </w:tblCellMar>
          <w:tblLook w:val="0000"/>
        </w:tblPrEx>
        <w:trPr>
          <w:trHeight w:val="1266"/>
        </w:trPr>
        <w:tc>
          <w:tcPr>
            <w:tcW w:w="779" w:type="dxa"/>
            <w:tcBorders>
              <w:top w:val="single" w:sz="4" w:space="0" w:color="auto"/>
              <w:bottom w:val="single" w:sz="4" w:space="0" w:color="auto"/>
            </w:tcBorders>
          </w:tcPr>
          <w:p w:rsidR="00084E82" w:rsidRPr="00D52C0C" w:rsidP="00084E82">
            <w:pPr>
              <w:rPr>
                <w:sz w:val="20"/>
              </w:rPr>
            </w:pPr>
            <w:r w:rsidRPr="00D52C0C">
              <w:rPr>
                <w:sz w:val="20"/>
              </w:rPr>
              <w:t>Č18</w:t>
            </w:r>
          </w:p>
        </w:tc>
        <w:tc>
          <w:tcPr>
            <w:tcW w:w="4536" w:type="dxa"/>
            <w:tcBorders>
              <w:top w:val="single" w:sz="4" w:space="0" w:color="auto"/>
              <w:bottom w:val="single" w:sz="4" w:space="0" w:color="auto"/>
            </w:tcBorders>
          </w:tcPr>
          <w:p w:rsidR="00084E82" w:rsidRPr="00D52C0C" w:rsidP="00084E82">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18</w:t>
            </w:r>
          </w:p>
          <w:p w:rsidR="00084E82" w:rsidRPr="00D52C0C" w:rsidP="00084E82">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Sankcie </w:t>
            </w:r>
          </w:p>
          <w:p w:rsidR="00084E82" w:rsidRPr="00D52C0C" w:rsidP="00084E82">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rPr>
              <w:t>Členské štáty stanovia sankcie uplatniteľné pri porušení vnútroštátnych ustanovení prijatých podľa tejto smernice.</w:t>
            </w:r>
          </w:p>
          <w:p w:rsidR="00084E82" w:rsidRPr="00D52C0C" w:rsidP="00084E82">
            <w:pPr>
              <w:autoSpaceDE w:val="0"/>
              <w:autoSpaceDN w:val="0"/>
              <w:adjustRightInd w:val="0"/>
              <w:jc w:val="both"/>
              <w:rPr>
                <w:rFonts w:ascii="TimesNewRoman" w:hAnsi="TimesNewRoman" w:cs="TimesNewRoman"/>
                <w:color w:val="231F20"/>
                <w:sz w:val="20"/>
                <w:lang w:eastAsia="sk-SK"/>
              </w:rPr>
            </w:pPr>
          </w:p>
          <w:p w:rsidR="00084E82" w:rsidRPr="00D52C0C" w:rsidP="00084E82">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rPr>
              <w:t>Stanovené sankcie musia byť účinné, primerané a odrádzajúce a môžu zahŕňať pokuty vypočítané tak, aby sa zabezpečilo, že pokuty prinajmenšom zbavia tých, ktorí sú zodpovední za porušenie, ekonomických výhod vyplývajúcich z porušenia a že tieto pokuty sa budú v prípade opakovaného porušenia postupne zvyšovať.</w:t>
            </w:r>
          </w:p>
        </w:tc>
        <w:tc>
          <w:tcPr>
            <w:tcW w:w="851" w:type="dxa"/>
            <w:tcBorders>
              <w:top w:val="single" w:sz="4" w:space="0" w:color="auto"/>
              <w:bottom w:val="single" w:sz="4" w:space="0" w:color="auto"/>
            </w:tcBorders>
          </w:tcPr>
          <w:p w:rsidR="00084E82" w:rsidRPr="00D52C0C" w:rsidP="00084E82">
            <w:pPr>
              <w:jc w:val="both"/>
              <w:rPr>
                <w:sz w:val="20"/>
              </w:rPr>
            </w:pPr>
            <w:r w:rsidRPr="00D52C0C">
              <w:rPr>
                <w:sz w:val="20"/>
              </w:rPr>
              <w:t>N</w:t>
            </w:r>
          </w:p>
        </w:tc>
        <w:tc>
          <w:tcPr>
            <w:tcW w:w="850" w:type="dxa"/>
            <w:tcBorders>
              <w:top w:val="single" w:sz="4" w:space="0" w:color="auto"/>
              <w:bottom w:val="single" w:sz="4" w:space="0" w:color="auto"/>
            </w:tcBorders>
          </w:tcPr>
          <w:p w:rsidR="00084E82" w:rsidRPr="00D52C0C" w:rsidP="00084E82">
            <w:pPr>
              <w:jc w:val="both"/>
              <w:rPr>
                <w:sz w:val="20"/>
              </w:rPr>
            </w:pPr>
            <w:r w:rsidRPr="00D52C0C">
              <w:rPr>
                <w:sz w:val="20"/>
              </w:rPr>
              <w:t>NZ</w:t>
            </w:r>
          </w:p>
        </w:tc>
        <w:tc>
          <w:tcPr>
            <w:tcW w:w="851" w:type="dxa"/>
            <w:tcBorders>
              <w:top w:val="single" w:sz="4" w:space="0" w:color="auto"/>
              <w:bottom w:val="single" w:sz="4" w:space="0" w:color="auto"/>
            </w:tcBorders>
          </w:tcPr>
          <w:p w:rsidR="00084E82" w:rsidP="00084E82">
            <w:pPr>
              <w:pStyle w:val="BodyText21"/>
              <w:spacing w:before="0"/>
              <w:rPr>
                <w:lang w:eastAsia="sk-SK"/>
              </w:rPr>
            </w:pPr>
            <w:r w:rsidRPr="00D52C0C">
              <w:rPr>
                <w:lang w:eastAsia="sk-SK"/>
              </w:rPr>
              <w:t>§55</w:t>
            </w:r>
          </w:p>
          <w:p w:rsidR="00084E82" w:rsidP="00084E82">
            <w:pPr>
              <w:pStyle w:val="BodyText21"/>
              <w:spacing w:before="0"/>
              <w:rPr>
                <w:lang w:eastAsia="sk-SK"/>
              </w:rPr>
            </w:pPr>
          </w:p>
          <w:p w:rsidR="00084E82" w:rsidP="00084E82">
            <w:pPr>
              <w:pStyle w:val="BodyText21"/>
              <w:spacing w:before="0"/>
              <w:rPr>
                <w:lang w:eastAsia="sk-SK"/>
              </w:rPr>
            </w:pPr>
          </w:p>
          <w:p w:rsidR="00084E82" w:rsidRPr="00D52C0C" w:rsidP="00084E82">
            <w:pPr>
              <w:pStyle w:val="BodyText21"/>
              <w:spacing w:before="0"/>
              <w:rPr>
                <w:lang w:eastAsia="sk-SK"/>
              </w:rPr>
            </w:pPr>
            <w:r w:rsidR="00D74678">
              <w:rPr>
                <w:lang w:eastAsia="sk-SK"/>
              </w:rPr>
              <w:t>O6</w:t>
            </w:r>
          </w:p>
          <w:p w:rsidR="00084E82" w:rsidRPr="00D52C0C" w:rsidP="00084E82">
            <w:pPr>
              <w:pStyle w:val="BodyText21"/>
              <w:spacing w:before="0"/>
              <w:rPr>
                <w:lang w:eastAsia="sk-SK"/>
              </w:rPr>
            </w:pPr>
          </w:p>
          <w:p w:rsidR="00084E82" w:rsidRPr="00D52C0C" w:rsidP="00084E82">
            <w:pPr>
              <w:pStyle w:val="BodyText21"/>
              <w:spacing w:before="0"/>
              <w:rPr>
                <w:lang w:eastAsia="sk-SK"/>
              </w:rPr>
            </w:pPr>
          </w:p>
          <w:p w:rsidR="00084E82" w:rsidRPr="00D52C0C"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D74678" w:rsidP="00084E82">
            <w:pPr>
              <w:pStyle w:val="BodyText21"/>
              <w:spacing w:before="0"/>
              <w:rPr>
                <w:lang w:eastAsia="sk-SK"/>
              </w:rPr>
            </w:pPr>
          </w:p>
          <w:p w:rsidR="00D74678" w:rsidP="00084E82">
            <w:pPr>
              <w:pStyle w:val="BodyText21"/>
              <w:spacing w:before="0"/>
              <w:rPr>
                <w:lang w:eastAsia="sk-SK"/>
              </w:rPr>
            </w:pPr>
          </w:p>
          <w:p w:rsidR="00D74678" w:rsidP="00084E82">
            <w:pPr>
              <w:pStyle w:val="BodyText21"/>
              <w:spacing w:before="0"/>
              <w:rPr>
                <w:lang w:eastAsia="sk-SK"/>
              </w:rPr>
            </w:pPr>
          </w:p>
          <w:p w:rsidR="00084E82" w:rsidP="00084E82">
            <w:pPr>
              <w:pStyle w:val="BodyText21"/>
              <w:spacing w:before="0"/>
              <w:rPr>
                <w:lang w:eastAsia="sk-SK"/>
              </w:rPr>
            </w:pPr>
          </w:p>
          <w:p w:rsidR="00D74678" w:rsidRPr="00D52C0C" w:rsidP="00084E82">
            <w:pPr>
              <w:pStyle w:val="BodyText21"/>
              <w:spacing w:before="0"/>
              <w:rPr>
                <w:lang w:eastAsia="sk-SK"/>
              </w:rPr>
            </w:pPr>
          </w:p>
          <w:p w:rsidR="00084E82" w:rsidP="00084E82">
            <w:pPr>
              <w:pStyle w:val="BodyText21"/>
              <w:spacing w:before="0"/>
              <w:rPr>
                <w:lang w:eastAsia="sk-SK"/>
              </w:rPr>
            </w:pPr>
            <w:r>
              <w:rPr>
                <w:lang w:eastAsia="sk-SK"/>
              </w:rPr>
              <w:t>O11</w:t>
            </w:r>
          </w:p>
          <w:p w:rsidR="00084E82"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084E82" w:rsidP="00084E82">
            <w:pPr>
              <w:pStyle w:val="BodyText21"/>
              <w:spacing w:before="0"/>
              <w:rPr>
                <w:lang w:eastAsia="sk-SK"/>
              </w:rPr>
            </w:pPr>
          </w:p>
          <w:p w:rsidR="00084E82" w:rsidRPr="00D52C0C" w:rsidP="00084E82">
            <w:pPr>
              <w:pStyle w:val="BodyText21"/>
              <w:spacing w:before="0"/>
              <w:rPr>
                <w:lang w:eastAsia="sk-SK"/>
              </w:rPr>
            </w:pPr>
            <w:r w:rsidR="004A4480">
              <w:rPr>
                <w:lang w:eastAsia="sk-SK"/>
              </w:rPr>
              <w:t>O12</w:t>
            </w:r>
          </w:p>
          <w:p w:rsidR="00084E82" w:rsidRPr="00D52C0C" w:rsidP="00084E82">
            <w:pPr>
              <w:pStyle w:val="BodyText21"/>
              <w:spacing w:before="0"/>
              <w:rPr>
                <w:lang w:eastAsia="sk-SK"/>
              </w:rPr>
            </w:pPr>
          </w:p>
          <w:p w:rsidR="00084E82" w:rsidRPr="00D52C0C" w:rsidP="00084E82">
            <w:pPr>
              <w:pStyle w:val="BodyText21"/>
              <w:spacing w:before="0"/>
              <w:rPr>
                <w:lang w:eastAsia="sk-SK"/>
              </w:rPr>
            </w:pPr>
          </w:p>
          <w:p w:rsidR="00084E82" w:rsidRPr="00D52C0C" w:rsidP="00084E82">
            <w:pPr>
              <w:pStyle w:val="BodyText21"/>
              <w:spacing w:before="0"/>
              <w:rPr>
                <w:lang w:eastAsia="sk-SK"/>
              </w:rPr>
            </w:pPr>
          </w:p>
          <w:p w:rsidR="00084E82" w:rsidRPr="00D52C0C" w:rsidP="00084E82">
            <w:pPr>
              <w:pStyle w:val="BodyText21"/>
              <w:spacing w:before="0"/>
              <w:rPr>
                <w:lang w:eastAsia="sk-SK"/>
              </w:rPr>
            </w:pPr>
          </w:p>
        </w:tc>
        <w:tc>
          <w:tcPr>
            <w:tcW w:w="4961" w:type="dxa"/>
            <w:tcBorders>
              <w:top w:val="single" w:sz="4" w:space="0" w:color="auto"/>
              <w:bottom w:val="single" w:sz="4" w:space="0" w:color="auto"/>
            </w:tcBorders>
          </w:tcPr>
          <w:p w:rsidR="00084E82" w:rsidRPr="00390F74" w:rsidP="00084E82">
            <w:pPr>
              <w:tabs>
                <w:tab w:val="left" w:pos="851"/>
              </w:tabs>
              <w:spacing w:after="120"/>
              <w:jc w:val="both"/>
              <w:rPr>
                <w:b/>
                <w:sz w:val="20"/>
                <w:lang w:eastAsia="sk-SK"/>
              </w:rPr>
            </w:pPr>
            <w:r w:rsidRPr="00390F74">
              <w:rPr>
                <w:b/>
                <w:sz w:val="20"/>
                <w:lang w:eastAsia="sk-SK"/>
              </w:rPr>
              <w:t>§ 55</w:t>
            </w:r>
          </w:p>
          <w:p w:rsidR="00084E82" w:rsidRPr="00390F74" w:rsidP="00084E82">
            <w:pPr>
              <w:tabs>
                <w:tab w:val="left" w:pos="851"/>
              </w:tabs>
              <w:spacing w:after="120"/>
              <w:jc w:val="both"/>
              <w:rPr>
                <w:b/>
                <w:sz w:val="20"/>
                <w:lang w:eastAsia="sk-SK"/>
              </w:rPr>
            </w:pPr>
            <w:r w:rsidR="00F338D8">
              <w:rPr>
                <w:b/>
                <w:sz w:val="20"/>
                <w:lang w:eastAsia="sk-SK"/>
              </w:rPr>
              <w:t>Iné správne delikty</w:t>
            </w:r>
          </w:p>
          <w:p w:rsidR="00084E82" w:rsidRPr="00500C1E" w:rsidP="00084E82">
            <w:pPr>
              <w:pStyle w:val="ListParagraph"/>
              <w:spacing w:after="0" w:line="240" w:lineRule="auto"/>
              <w:ind w:left="0"/>
              <w:contextualSpacing w:val="0"/>
              <w:jc w:val="both"/>
              <w:rPr>
                <w:rFonts w:ascii="Times New Roman" w:eastAsia="Times New Roman" w:hAnsi="Times New Roman"/>
                <w:sz w:val="20"/>
                <w:szCs w:val="20"/>
                <w:lang w:eastAsia="cs-CZ"/>
              </w:rPr>
            </w:pPr>
            <w:r w:rsidR="00D74678">
              <w:rPr>
                <w:rFonts w:ascii="Times New Roman" w:eastAsia="Times New Roman" w:hAnsi="Times New Roman"/>
                <w:sz w:val="20"/>
                <w:szCs w:val="20"/>
                <w:lang w:eastAsia="cs-CZ"/>
              </w:rPr>
              <w:t xml:space="preserve"> (6</w:t>
            </w:r>
            <w:r w:rsidRPr="00390F74">
              <w:rPr>
                <w:rFonts w:ascii="Times New Roman" w:eastAsia="Times New Roman" w:hAnsi="Times New Roman"/>
                <w:sz w:val="20"/>
                <w:szCs w:val="20"/>
                <w:lang w:eastAsia="cs-CZ"/>
              </w:rPr>
              <w:t xml:space="preserve">) </w:t>
            </w:r>
            <w:r w:rsidRPr="00500C1E">
              <w:rPr>
                <w:rFonts w:ascii="Times New Roman" w:eastAsia="Times New Roman" w:hAnsi="Times New Roman"/>
                <w:sz w:val="20"/>
                <w:szCs w:val="20"/>
                <w:lang w:eastAsia="cs-CZ"/>
              </w:rPr>
              <w:t xml:space="preserve">Okresný úrad alebo inšpekcia </w:t>
            </w:r>
            <w:r w:rsidRPr="00D74678" w:rsidR="00D74678">
              <w:rPr>
                <w:rFonts w:ascii="Times New Roman" w:eastAsia="Times New Roman" w:hAnsi="Times New Roman"/>
                <w:sz w:val="20"/>
                <w:szCs w:val="20"/>
                <w:lang w:eastAsia="cs-CZ"/>
              </w:rPr>
              <w:t>uloží pokutu právnickej osobe a fyzickej osobe - podnikateľovi,</w:t>
            </w:r>
            <w:r w:rsidRPr="00D74678" w:rsidR="00D74678">
              <w:rPr>
                <w:rFonts w:ascii="Times New Roman" w:eastAsia="Times New Roman" w:hAnsi="Times New Roman"/>
                <w:sz w:val="20"/>
                <w:szCs w:val="20"/>
                <w:vertAlign w:val="superscript"/>
                <w:lang w:eastAsia="cs-CZ"/>
              </w:rPr>
              <w:fldChar w:fldCharType="begin"/>
            </w:r>
            <w:r w:rsidRPr="00D74678" w:rsidR="00D74678">
              <w:rPr>
                <w:rFonts w:ascii="Times New Roman" w:eastAsia="Times New Roman" w:hAnsi="Times New Roman"/>
                <w:sz w:val="20"/>
                <w:szCs w:val="20"/>
                <w:vertAlign w:val="superscript"/>
                <w:lang w:eastAsia="cs-CZ"/>
              </w:rPr>
              <w:instrText xml:space="preserve"> NOTEREF _Ref114573558 \h  \* MERGEFORMAT </w:instrText>
            </w:r>
            <w:r w:rsidRPr="00D74678" w:rsidR="00D74678">
              <w:rPr>
                <w:rFonts w:ascii="Times New Roman" w:eastAsia="Times New Roman" w:hAnsi="Times New Roman"/>
                <w:sz w:val="20"/>
                <w:szCs w:val="20"/>
                <w:vertAlign w:val="superscript"/>
                <w:lang w:eastAsia="cs-CZ"/>
              </w:rPr>
              <w:fldChar w:fldCharType="separate"/>
            </w:r>
            <w:r w:rsidRPr="00D74678" w:rsidR="00D74678">
              <w:rPr>
                <w:rFonts w:ascii="Times New Roman" w:eastAsia="Times New Roman" w:hAnsi="Times New Roman"/>
                <w:sz w:val="20"/>
                <w:szCs w:val="20"/>
                <w:vertAlign w:val="superscript"/>
                <w:lang w:eastAsia="cs-CZ"/>
              </w:rPr>
              <w:t>74</w:t>
            </w:r>
            <w:r w:rsidRPr="00D74678" w:rsidR="00D74678">
              <w:rPr>
                <w:rFonts w:ascii="Times New Roman" w:eastAsia="Times New Roman" w:hAnsi="Times New Roman"/>
                <w:sz w:val="20"/>
                <w:szCs w:val="20"/>
                <w:vertAlign w:val="superscript"/>
                <w:lang w:eastAsia="cs-CZ"/>
              </w:rPr>
              <w:fldChar w:fldCharType="end"/>
            </w:r>
            <w:r w:rsidRPr="00D74678" w:rsidR="00D74678">
              <w:rPr>
                <w:rFonts w:ascii="Times New Roman" w:eastAsia="Times New Roman" w:hAnsi="Times New Roman"/>
                <w:sz w:val="20"/>
                <w:szCs w:val="20"/>
                <w:lang w:eastAsia="cs-CZ"/>
              </w:rPr>
              <w:t>) ktorý uvádza na trh alebo predáva palivá za porušenie povinnosti podľa</w:t>
            </w:r>
            <w:r w:rsidR="000E0727">
              <w:rPr>
                <w:rFonts w:ascii="Times New Roman" w:eastAsia="Times New Roman" w:hAnsi="Times New Roman"/>
                <w:sz w:val="20"/>
                <w:szCs w:val="20"/>
                <w:lang w:eastAsia="cs-CZ"/>
              </w:rPr>
              <w:t xml:space="preserve"> </w:t>
            </w:r>
          </w:p>
          <w:p w:rsidR="00084E82" w:rsidRPr="00390F74" w:rsidP="00084E82">
            <w:pPr>
              <w:pStyle w:val="ListParagraph"/>
              <w:spacing w:after="0" w:line="240" w:lineRule="auto"/>
              <w:ind w:left="0"/>
              <w:contextualSpacing w:val="0"/>
              <w:jc w:val="both"/>
              <w:rPr>
                <w:rFonts w:ascii="Times New Roman" w:eastAsia="Times New Roman" w:hAnsi="Times New Roman"/>
                <w:sz w:val="20"/>
                <w:szCs w:val="20"/>
                <w:lang w:eastAsia="cs-CZ"/>
              </w:rPr>
            </w:pPr>
          </w:p>
          <w:p w:rsidR="00084E82" w:rsidRPr="00390F74" w:rsidP="00084E82">
            <w:pPr>
              <w:pStyle w:val="ListParagraph"/>
              <w:numPr>
                <w:ilvl w:val="0"/>
                <w:numId w:val="26"/>
              </w:numPr>
              <w:tabs>
                <w:tab w:val="left" w:pos="0"/>
              </w:tabs>
              <w:spacing w:after="0" w:line="240" w:lineRule="auto"/>
              <w:ind w:left="284" w:hanging="284"/>
              <w:jc w:val="both"/>
              <w:rPr>
                <w:rFonts w:ascii="Times New Roman" w:eastAsia="Times New Roman" w:hAnsi="Times New Roman"/>
                <w:sz w:val="20"/>
                <w:szCs w:val="20"/>
                <w:lang w:eastAsia="cs-CZ"/>
              </w:rPr>
            </w:pPr>
            <w:r w:rsidRPr="00500C1E">
              <w:rPr>
                <w:rFonts w:ascii="Times New Roman" w:eastAsia="Times New Roman" w:hAnsi="Times New Roman"/>
                <w:sz w:val="20"/>
                <w:szCs w:val="20"/>
                <w:lang w:eastAsia="cs-CZ"/>
              </w:rPr>
              <w:t>§ 37 ods. 1 písm. a) až c) a e)  § 37 ods. 2 a 3 vo výške od 10 000 eur do 1 000 000 eur</w:t>
            </w:r>
            <w:r w:rsidRPr="00390F74">
              <w:rPr>
                <w:rFonts w:ascii="Times New Roman" w:eastAsia="Times New Roman" w:hAnsi="Times New Roman"/>
                <w:sz w:val="20"/>
                <w:szCs w:val="20"/>
                <w:lang w:eastAsia="cs-CZ"/>
              </w:rPr>
              <w:t>,</w:t>
            </w:r>
          </w:p>
          <w:p w:rsidR="00084E82" w:rsidP="00084E82">
            <w:pPr>
              <w:pStyle w:val="ListParagraph"/>
              <w:numPr>
                <w:ilvl w:val="0"/>
                <w:numId w:val="26"/>
              </w:numPr>
              <w:tabs>
                <w:tab w:val="left" w:pos="0"/>
              </w:tabs>
              <w:spacing w:after="360" w:line="240" w:lineRule="auto"/>
              <w:ind w:left="284" w:hanging="284"/>
              <w:contextualSpacing w:val="0"/>
              <w:jc w:val="both"/>
              <w:rPr>
                <w:rFonts w:ascii="Times New Roman" w:eastAsia="Times New Roman" w:hAnsi="Times New Roman"/>
                <w:sz w:val="20"/>
                <w:szCs w:val="20"/>
                <w:lang w:eastAsia="cs-CZ"/>
              </w:rPr>
            </w:pPr>
            <w:r w:rsidRPr="00500C1E">
              <w:rPr>
                <w:rFonts w:ascii="Times New Roman" w:eastAsia="Times New Roman" w:hAnsi="Times New Roman"/>
                <w:sz w:val="20"/>
                <w:szCs w:val="20"/>
                <w:lang w:eastAsia="cs-CZ"/>
              </w:rPr>
              <w:t>§ 37 ods. 1 písm. d) a § 37 ods. 5 od 2500 eur do 250 000 eur</w:t>
            </w:r>
            <w:r w:rsidRPr="00390F74">
              <w:rPr>
                <w:rFonts w:ascii="Times New Roman" w:eastAsia="Times New Roman" w:hAnsi="Times New Roman"/>
                <w:sz w:val="20"/>
                <w:szCs w:val="20"/>
                <w:lang w:eastAsia="cs-CZ"/>
              </w:rPr>
              <w:t>.</w:t>
            </w:r>
          </w:p>
          <w:p w:rsidR="00D74678" w:rsidP="00D74678">
            <w:pPr>
              <w:spacing w:line="240" w:lineRule="atLeast"/>
              <w:ind w:left="-44" w:firstLine="44"/>
              <w:jc w:val="both"/>
            </w:pPr>
            <w:r>
              <w:rPr>
                <w:noProof/>
              </w:rPr>
              <w:pict>
                <v:shape id="_x0000_s1050" type="#_x0000_t32" style="width:58.2pt;height:0;margin-top:5.4pt;margin-left:0.1pt;position:absolute;z-index:251685888" o:connectortype="straight"/>
              </w:pict>
            </w:r>
          </w:p>
          <w:p w:rsidR="00D74678" w:rsidRPr="004B7FFE" w:rsidP="00D74678">
            <w:pPr>
              <w:jc w:val="both"/>
              <w:rPr>
                <w:color w:val="231F20"/>
                <w:sz w:val="20"/>
                <w:lang w:eastAsia="sk-SK"/>
              </w:rPr>
            </w:pPr>
            <w:r>
              <w:rPr>
                <w:sz w:val="18"/>
                <w:szCs w:val="18"/>
                <w:vertAlign w:val="superscript"/>
              </w:rPr>
              <w:t>74</w:t>
            </w:r>
            <w:r>
              <w:rPr>
                <w:sz w:val="18"/>
                <w:szCs w:val="18"/>
              </w:rPr>
              <w:t xml:space="preserve">) </w:t>
            </w:r>
            <w:r w:rsidRPr="00D74678">
              <w:rPr>
                <w:sz w:val="18"/>
                <w:szCs w:val="18"/>
              </w:rPr>
              <w:t>§ 2 ods. 2 zákona č. 513/1991 Zb. Obchodný zákonník</w:t>
            </w:r>
            <w:r>
              <w:rPr>
                <w:sz w:val="18"/>
                <w:szCs w:val="18"/>
              </w:rPr>
              <w:t>.</w:t>
            </w:r>
          </w:p>
          <w:p w:rsidR="00D74678" w:rsidP="00084E82">
            <w:pPr>
              <w:pStyle w:val="ListParagraph"/>
              <w:tabs>
                <w:tab w:val="left" w:pos="0"/>
              </w:tabs>
              <w:spacing w:after="360" w:line="240" w:lineRule="auto"/>
              <w:ind w:left="0"/>
              <w:contextualSpacing w:val="0"/>
              <w:jc w:val="both"/>
              <w:rPr>
                <w:rFonts w:ascii="Times New Roman" w:eastAsia="Times New Roman" w:hAnsi="Times New Roman"/>
                <w:sz w:val="20"/>
                <w:szCs w:val="20"/>
                <w:lang w:eastAsia="cs-CZ"/>
              </w:rPr>
            </w:pPr>
          </w:p>
          <w:p w:rsidR="00084E82" w:rsidRPr="00390F74" w:rsidP="00084E82">
            <w:pPr>
              <w:pStyle w:val="ListParagraph"/>
              <w:tabs>
                <w:tab w:val="left" w:pos="0"/>
              </w:tabs>
              <w:spacing w:after="360" w:line="240" w:lineRule="auto"/>
              <w:ind w:left="0"/>
              <w:contextualSpacing w:val="0"/>
              <w:jc w:val="both"/>
              <w:rPr>
                <w:rFonts w:ascii="Times New Roman" w:eastAsia="Times New Roman" w:hAnsi="Times New Roman"/>
                <w:sz w:val="20"/>
                <w:szCs w:val="20"/>
                <w:lang w:eastAsia="cs-CZ"/>
              </w:rPr>
            </w:pPr>
            <w:r w:rsidRPr="00390F74">
              <w:rPr>
                <w:rFonts w:ascii="Times New Roman" w:eastAsia="Times New Roman" w:hAnsi="Times New Roman"/>
                <w:sz w:val="20"/>
                <w:szCs w:val="20"/>
                <w:lang w:eastAsia="cs-CZ"/>
              </w:rPr>
              <w:t xml:space="preserve">(11) Ak v lehote do jedného roka odo dňa nadobudnutia právoplatnosti rozhodnutia o uložení pokuty dôjde k opätovnému porušeniu povinnosti, za ktoré bola pokuta uložená alebo neboli splnené opatrenia na nápravu v určenej lehote, konajúci orgán uloží pokutu až do dvojnásobku hornej hranice pokút za príslušný správny delikt. </w:t>
            </w:r>
          </w:p>
          <w:p w:rsidR="00084E82" w:rsidRPr="004A4480" w:rsidP="004A4480">
            <w:pPr>
              <w:pStyle w:val="ListParagraph"/>
              <w:tabs>
                <w:tab w:val="left" w:pos="0"/>
              </w:tabs>
              <w:spacing w:after="360" w:line="240" w:lineRule="auto"/>
              <w:ind w:left="0"/>
              <w:contextualSpacing w:val="0"/>
              <w:jc w:val="both"/>
              <w:rPr>
                <w:rFonts w:ascii="Times New Roman" w:hAnsi="Times New Roman"/>
                <w:sz w:val="24"/>
                <w:lang w:eastAsia="cs-CZ"/>
              </w:rPr>
            </w:pPr>
            <w:r w:rsidR="004A4480">
              <w:rPr>
                <w:rFonts w:ascii="Times New Roman" w:eastAsia="Times New Roman" w:hAnsi="Times New Roman"/>
                <w:sz w:val="20"/>
                <w:szCs w:val="20"/>
                <w:lang w:eastAsia="cs-CZ"/>
              </w:rPr>
              <w:t>(12</w:t>
            </w:r>
            <w:r w:rsidRPr="00390F74">
              <w:rPr>
                <w:rFonts w:ascii="Times New Roman" w:eastAsia="Times New Roman" w:hAnsi="Times New Roman"/>
                <w:sz w:val="20"/>
                <w:szCs w:val="20"/>
                <w:lang w:eastAsia="cs-CZ"/>
              </w:rPr>
              <w:t>) Pri rozhodovaní o výške pokuty prihliada orgán dozoru na závažnosť a rozsah porušenia povinností, na okolnosti, ktoré viedli k tomuto porušeniu, na čas trvania protiprávneho stavu.</w:t>
            </w:r>
          </w:p>
        </w:tc>
        <w:tc>
          <w:tcPr>
            <w:tcW w:w="709" w:type="dxa"/>
            <w:tcBorders>
              <w:top w:val="single" w:sz="4" w:space="0" w:color="auto"/>
              <w:bottom w:val="single" w:sz="4" w:space="0" w:color="auto"/>
            </w:tcBorders>
          </w:tcPr>
          <w:p w:rsidR="00084E82" w:rsidRPr="00D52C0C" w:rsidP="00084E82">
            <w:pPr>
              <w:jc w:val="both"/>
              <w:rPr>
                <w:sz w:val="20"/>
              </w:rPr>
            </w:pPr>
            <w:r w:rsidRPr="00D52C0C">
              <w:rPr>
                <w:sz w:val="20"/>
              </w:rPr>
              <w:t>Ú</w:t>
            </w:r>
          </w:p>
        </w:tc>
        <w:tc>
          <w:tcPr>
            <w:tcW w:w="1417" w:type="dxa"/>
            <w:tcBorders>
              <w:top w:val="single" w:sz="4" w:space="0" w:color="auto"/>
              <w:bottom w:val="single" w:sz="4" w:space="0" w:color="auto"/>
            </w:tcBorders>
          </w:tcPr>
          <w:p w:rsidR="00084E82" w:rsidRPr="00D52C0C" w:rsidP="00084E82">
            <w:pPr>
              <w:jc w:val="both"/>
              <w:rPr>
                <w:sz w:val="20"/>
              </w:rPr>
            </w:pPr>
          </w:p>
        </w:tc>
      </w:tr>
      <w:tr w:rsidTr="000B581A">
        <w:tblPrEx>
          <w:tblW w:w="14954" w:type="dxa"/>
          <w:tblLayout w:type="fixed"/>
          <w:tblCellMar>
            <w:left w:w="70" w:type="dxa"/>
            <w:right w:w="70" w:type="dxa"/>
          </w:tblCellMar>
          <w:tblLook w:val="0000"/>
        </w:tblPrEx>
        <w:trPr>
          <w:trHeight w:val="557"/>
        </w:trPr>
        <w:tc>
          <w:tcPr>
            <w:tcW w:w="779" w:type="dxa"/>
            <w:tcBorders>
              <w:top w:val="single" w:sz="4" w:space="0" w:color="auto"/>
              <w:bottom w:val="single" w:sz="4" w:space="0" w:color="auto"/>
            </w:tcBorders>
          </w:tcPr>
          <w:p w:rsidR="00EA0A90" w:rsidRPr="00D52C0C" w:rsidP="00EA0A90">
            <w:pPr>
              <w:rPr>
                <w:sz w:val="20"/>
              </w:rPr>
            </w:pPr>
            <w:r w:rsidRPr="00D52C0C">
              <w:rPr>
                <w:sz w:val="20"/>
              </w:rPr>
              <w:t>Č19</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19</w:t>
            </w:r>
          </w:p>
          <w:p w:rsidR="00EA0A90" w:rsidRPr="00D52C0C" w:rsidP="00EA0A90">
            <w:pPr>
              <w:pStyle w:val="CM4"/>
              <w:spacing w:before="60" w:after="60"/>
            </w:pPr>
            <w:r w:rsidRPr="00D52C0C">
              <w:rPr>
                <w:rFonts w:ascii="TimesNewRoman" w:hAnsi="TimesNewRoman" w:cs="TimesNewRoman"/>
                <w:color w:val="231F20"/>
                <w:sz w:val="20"/>
                <w:szCs w:val="20"/>
              </w:rPr>
              <w:t>Zrušenie</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Smernica 1999/32/ES, zmenená aktmi uvedenými v prílohe III, časť A, sa zrušuje bez toho, aby boli dotknuté povinnosti členských štátov týkajúce sa lehôt na transpozíciu tých smerníc do vnútroštátneho práva, ktoré sú uvedené v prílohe III, časť B.</w:t>
            </w:r>
          </w:p>
          <w:p w:rsidR="00EA0A90" w:rsidRPr="00D52C0C" w:rsidP="00EA0A90">
            <w:pPr>
              <w:rPr>
                <w:lang w:eastAsia="sk-SK"/>
              </w:rPr>
            </w:pPr>
          </w:p>
          <w:p w:rsidR="00EA0A90" w:rsidRPr="00D52C0C" w:rsidP="00EA0A90">
            <w:pPr>
              <w:rPr>
                <w:lang w:eastAsia="sk-SK"/>
              </w:rPr>
            </w:pPr>
            <w:r w:rsidRPr="00D52C0C">
              <w:rPr>
                <w:rFonts w:ascii="TimesNewRoman" w:hAnsi="TimesNewRoman" w:cs="TimesNewRoman"/>
                <w:color w:val="231F20"/>
                <w:sz w:val="20"/>
                <w:lang w:eastAsia="sk-SK"/>
              </w:rPr>
              <w:t>Odkazy na zrušenú smernicu sa považujú za odkazy na túto smernicu a znejú v súlade s tabuľkou zhody uvedenou v prílohe IV.</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spacing w:before="0"/>
              <w:rPr>
                <w:lang w:eastAsia="sk-SK"/>
              </w:rPr>
            </w:pPr>
          </w:p>
        </w:tc>
        <w:tc>
          <w:tcPr>
            <w:tcW w:w="4961" w:type="dxa"/>
            <w:tcBorders>
              <w:top w:val="single" w:sz="4" w:space="0" w:color="auto"/>
              <w:bottom w:val="single" w:sz="4" w:space="0" w:color="auto"/>
            </w:tcBorders>
          </w:tcPr>
          <w:p w:rsidR="00EA0A90" w:rsidRPr="00964863" w:rsidP="00EA0A90">
            <w:pPr>
              <w:jc w:val="both"/>
              <w:rPr>
                <w:rFonts w:ascii="EUAlbertina" w:hAnsi="EUAlbertina"/>
                <w:sz w:val="20"/>
                <w:highlight w:val="yellow"/>
                <w:lang w:eastAsia="sk-SK"/>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88761F" w:rsidP="00EA0A90">
            <w:pPr>
              <w:jc w:val="both"/>
              <w:rPr>
                <w:rFonts w:ascii="TimesNewRomanBold" w:hAnsi="TimesNewRomanBold" w:cs="TimesNewRomanBold"/>
                <w:bCs/>
                <w:sz w:val="20"/>
                <w:lang w:eastAsia="sk-SK"/>
              </w:rPr>
            </w:pPr>
            <w:r w:rsidRPr="0088761F">
              <w:rPr>
                <w:rFonts w:ascii="TimesNewRomanBold" w:hAnsi="TimesNewRomanBold" w:cs="TimesNewRomanBold"/>
                <w:bCs/>
                <w:sz w:val="20"/>
                <w:lang w:eastAsia="sk-SK"/>
              </w:rPr>
              <w:t xml:space="preserve">Predmetná smernica EP a R bola prebratá do slovenského právneho poriadku zákonom č. 137/2010 Z. z. o ovzduší v znení neskorších predpisov a vyhláškou MŽP SR č. </w:t>
            </w:r>
            <w:r>
              <w:rPr>
                <w:rFonts w:ascii="TimesNewRomanBold" w:hAnsi="TimesNewRomanBold" w:cs="TimesNewRomanBold"/>
                <w:bCs/>
                <w:sz w:val="20"/>
                <w:lang w:eastAsia="sk-SK"/>
              </w:rPr>
              <w:t>228</w:t>
            </w:r>
            <w:r w:rsidRPr="0088761F">
              <w:rPr>
                <w:rFonts w:ascii="TimesNewRomanBold" w:hAnsi="TimesNewRomanBold" w:cs="TimesNewRomanBold"/>
                <w:bCs/>
                <w:sz w:val="20"/>
                <w:lang w:eastAsia="sk-SK"/>
              </w:rPr>
              <w:t>/</w:t>
            </w:r>
            <w:r>
              <w:rPr>
                <w:rFonts w:ascii="TimesNewRomanBold" w:hAnsi="TimesNewRomanBold" w:cs="TimesNewRomanBold"/>
                <w:bCs/>
                <w:sz w:val="20"/>
                <w:lang w:eastAsia="sk-SK"/>
              </w:rPr>
              <w:t>2014</w:t>
            </w:r>
            <w:r w:rsidRPr="0088761F">
              <w:rPr>
                <w:rFonts w:ascii="TimesNewRomanBold" w:hAnsi="TimesNewRomanBold" w:cs="TimesNewRomanBold"/>
                <w:bCs/>
                <w:sz w:val="20"/>
                <w:lang w:eastAsia="sk-SK"/>
              </w:rPr>
              <w:t xml:space="preserve"> Z. z., ktorou sa ustanovujú požiadavky </w:t>
            </w:r>
            <w:r>
              <w:rPr>
                <w:rFonts w:ascii="TimesNewRomanBold" w:hAnsi="TimesNewRomanBold" w:cs="TimesNewRomanBold"/>
                <w:bCs/>
                <w:sz w:val="20"/>
                <w:lang w:eastAsia="sk-SK"/>
              </w:rPr>
              <w:t>n</w:t>
            </w:r>
            <w:r w:rsidRPr="0088761F">
              <w:rPr>
                <w:rFonts w:ascii="TimesNewRomanBold" w:hAnsi="TimesNewRomanBold" w:cs="TimesNewRomanBold"/>
                <w:bCs/>
                <w:sz w:val="20"/>
                <w:lang w:eastAsia="sk-SK"/>
              </w:rPr>
              <w:t>a</w:t>
            </w:r>
            <w:r>
              <w:rPr>
                <w:rFonts w:ascii="TimesNewRomanBold" w:hAnsi="TimesNewRomanBold" w:cs="TimesNewRomanBold"/>
                <w:bCs/>
                <w:sz w:val="20"/>
                <w:lang w:eastAsia="sk-SK"/>
              </w:rPr>
              <w:t xml:space="preserve"> kvalitu palív a vedenie prevádzkovej evidencie o palivách</w:t>
            </w:r>
            <w:r w:rsidRPr="0088761F">
              <w:rPr>
                <w:rFonts w:ascii="TimesNewRomanBold" w:hAnsi="TimesNewRomanBold" w:cs="TimesNewRomanBold"/>
                <w:bCs/>
                <w:sz w:val="20"/>
                <w:lang w:eastAsia="sk-SK"/>
              </w:rPr>
              <w:t>.</w:t>
            </w:r>
          </w:p>
        </w:tc>
      </w:tr>
      <w:tr w:rsidTr="000B581A">
        <w:tblPrEx>
          <w:tblW w:w="14954" w:type="dxa"/>
          <w:tblLayout w:type="fixed"/>
          <w:tblCellMar>
            <w:left w:w="70" w:type="dxa"/>
            <w:right w:w="70" w:type="dxa"/>
          </w:tblCellMar>
          <w:tblLook w:val="0000"/>
        </w:tblPrEx>
        <w:trPr>
          <w:trHeight w:val="1194"/>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Č20</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Článok 20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Účinnosť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Táto smernica nadobúda účinnosť dvadsiatym dňom jej uverejnení v Úradnom vestníku Európskych únie.</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pStyle w:val="Heading6"/>
              <w:rPr>
                <w:b w:val="0"/>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p w:rsidR="00EA0A90" w:rsidRPr="00D52C0C" w:rsidP="00EA0A90">
            <w:pPr>
              <w:jc w:val="both"/>
              <w:rPr>
                <w:sz w:val="20"/>
              </w:rPr>
            </w:pP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Č21</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Článok 21</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Adresáti </w:t>
            </w: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Táto smernica je určená členským štátom.</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pStyle w:val="Header"/>
              <w:tabs>
                <w:tab w:val="clear" w:pos="4536"/>
                <w:tab w:val="clear" w:pos="9072"/>
              </w:tabs>
              <w:rPr>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jc w:val="both"/>
              <w:rPr>
                <w:sz w:val="20"/>
              </w:rPr>
            </w:pPr>
          </w:p>
        </w:tc>
      </w:tr>
      <w:tr w:rsidTr="000B581A">
        <w:tblPrEx>
          <w:tblW w:w="14954" w:type="dxa"/>
          <w:tblLayout w:type="fixed"/>
          <w:tblCellMar>
            <w:left w:w="70" w:type="dxa"/>
            <w:right w:w="70" w:type="dxa"/>
          </w:tblCellMar>
          <w:tblLook w:val="0000"/>
        </w:tblPrEx>
        <w:trPr>
          <w:trHeight w:val="7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Príloha I, II</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PRÍLOHA I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EKVIVALENTNÉ HODNOTY EMISIÍ PRE METÓDY ZNIŽOVANIA EMISIÍ UVEDENÉ V ČLÁNKU 4c ODS. 2 </w:t>
            </w:r>
          </w:p>
          <w:p w:rsidR="00EA0A90" w:rsidRPr="00D52C0C" w:rsidP="00EA0A90">
            <w:pPr>
              <w:autoSpaceDE w:val="0"/>
              <w:autoSpaceDN w:val="0"/>
              <w:adjustRightInd w:val="0"/>
              <w:jc w:val="both"/>
              <w:rPr>
                <w:rFonts w:ascii="TimesNewRoman" w:hAnsi="TimesNewRoman" w:cs="TimesNewRoman"/>
                <w:color w:val="231F20"/>
                <w:sz w:val="20"/>
                <w:lang w:eastAsia="sk-SK"/>
              </w:rPr>
            </w:pPr>
          </w:p>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 xml:space="preserve">PRÍLOHA II </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rPr>
              <w:t>KRITÉRIÁ PRE POUŽÍVANIE METÓD ZNIŽOVANIA EMISIÍ UVEDENÝCH V ČLÁNKU 4c ODS. 3</w:t>
            </w: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w:t>
            </w:r>
          </w:p>
        </w:tc>
        <w:tc>
          <w:tcPr>
            <w:tcW w:w="850" w:type="dxa"/>
            <w:tcBorders>
              <w:top w:val="single" w:sz="4" w:space="0" w:color="auto"/>
              <w:bottom w:val="single" w:sz="4" w:space="0" w:color="auto"/>
            </w:tcBorders>
          </w:tcPr>
          <w:p w:rsidR="00EA0A90" w:rsidRPr="00D52C0C" w:rsidP="00EA0A90">
            <w:pPr>
              <w:jc w:val="both"/>
              <w:rPr>
                <w:sz w:val="20"/>
              </w:rPr>
            </w:pPr>
            <w:r w:rsidRPr="00D52C0C">
              <w:rPr>
                <w:sz w:val="20"/>
              </w:rPr>
              <w:t>NV</w:t>
            </w:r>
          </w:p>
        </w:tc>
        <w:tc>
          <w:tcPr>
            <w:tcW w:w="851" w:type="dxa"/>
            <w:tcBorders>
              <w:top w:val="single" w:sz="4" w:space="0" w:color="auto"/>
              <w:bottom w:val="single" w:sz="4" w:space="0" w:color="auto"/>
            </w:tcBorders>
          </w:tcPr>
          <w:p w:rsidR="00EA0A90" w:rsidRPr="00D52C0C" w:rsidP="00EA0A90">
            <w:pPr>
              <w:pStyle w:val="BodyText21"/>
            </w:pPr>
            <w:r w:rsidRPr="00D52C0C">
              <w:t>Príloha č. 3</w:t>
            </w:r>
          </w:p>
        </w:tc>
        <w:tc>
          <w:tcPr>
            <w:tcW w:w="4961" w:type="dxa"/>
            <w:tcBorders>
              <w:top w:val="single" w:sz="4" w:space="0" w:color="auto"/>
              <w:bottom w:val="single" w:sz="4" w:space="0" w:color="auto"/>
            </w:tcBorders>
          </w:tcPr>
          <w:p w:rsidR="00BC5F14" w:rsidP="00EA0A90">
            <w:pPr>
              <w:jc w:val="both"/>
              <w:rPr>
                <w:b/>
                <w:sz w:val="20"/>
              </w:rPr>
            </w:pPr>
            <w:r>
              <w:rPr>
                <w:b/>
                <w:sz w:val="20"/>
              </w:rPr>
              <w:t>Príloha č. 3</w:t>
            </w:r>
          </w:p>
          <w:p w:rsidR="00BC5F14" w:rsidP="00EA0A90">
            <w:pPr>
              <w:jc w:val="both"/>
              <w:rPr>
                <w:b/>
                <w:sz w:val="20"/>
              </w:rPr>
            </w:pPr>
          </w:p>
          <w:p w:rsidR="00EA0A90" w:rsidRPr="004A71A8" w:rsidP="00EA0A90">
            <w:pPr>
              <w:jc w:val="both"/>
              <w:rPr>
                <w:b/>
                <w:sz w:val="20"/>
              </w:rPr>
            </w:pPr>
            <w:r w:rsidRPr="004A71A8">
              <w:rPr>
                <w:b/>
                <w:sz w:val="20"/>
              </w:rPr>
              <w:t>EKVIVALENTNÉ HODNOTY EMISIÍ PRE METÓDY ZNIŽOVANIA EMISIÍ A KRITÉRIÁ PRE POUŽÍVANIE METÓD ZNIŽOVANIA EMISIÍ</w:t>
            </w:r>
          </w:p>
          <w:p w:rsidR="00EA0A90" w:rsidRPr="0058076F" w:rsidP="00EA0A90">
            <w:pPr>
              <w:jc w:val="both"/>
              <w:rPr>
                <w:sz w:val="20"/>
              </w:rPr>
            </w:pPr>
          </w:p>
          <w:p w:rsidR="00EA0A90" w:rsidP="00EA0A90">
            <w:pPr>
              <w:jc w:val="both"/>
              <w:rPr>
                <w:sz w:val="20"/>
              </w:rPr>
            </w:pPr>
            <w:r w:rsidRPr="0058076F">
              <w:rPr>
                <w:sz w:val="20"/>
              </w:rPr>
              <w:t>A. EKVIVALENTNÉ HODNOTY EMISIÍ PRE METÓDY ZNIŽOVANIA EMISIÍ</w:t>
            </w:r>
          </w:p>
          <w:p w:rsidR="00EA0A90" w:rsidRPr="0058076F" w:rsidP="00EA0A90">
            <w:pPr>
              <w:jc w:val="both"/>
              <w:rPr>
                <w:sz w:val="20"/>
              </w:rPr>
            </w:pPr>
          </w:p>
          <w:p w:rsidR="00EA0A90" w:rsidRPr="0058076F" w:rsidP="00EA0A90">
            <w:pPr>
              <w:tabs>
                <w:tab w:val="left" w:pos="851"/>
              </w:tabs>
              <w:spacing w:after="120"/>
              <w:jc w:val="both"/>
              <w:rPr>
                <w:sz w:val="20"/>
              </w:rPr>
            </w:pPr>
            <w:r w:rsidRPr="0058076F">
              <w:rPr>
                <w:sz w:val="20"/>
              </w:rPr>
              <w:t>Námorné lode používajúce metódy znižovania emisií musia nepretržite dosahovať také zníženie emisií oxidu siričitého, ktoré je ekvivalentné zníženiu, ktoré by dosiahli pri používaní lodných palív spĺňajúcich požiadavky uvedené v § 6 ods. 4 až 7. Schválenie používania metód znižovania emisií ustanovujú osobitné predpisy.</w:t>
            </w:r>
            <w:r>
              <w:rPr>
                <w:sz w:val="20"/>
                <w:vertAlign w:val="superscript"/>
              </w:rPr>
              <w:t>58</w:t>
            </w:r>
            <w:r w:rsidRPr="004A71A8">
              <w:rPr>
                <w:sz w:val="20"/>
              </w:rPr>
              <w:t>)</w:t>
            </w:r>
          </w:p>
          <w:p w:rsidR="00EA0A90" w:rsidRPr="0058076F" w:rsidP="00EA0A90">
            <w:pPr>
              <w:jc w:val="both"/>
              <w:rPr>
                <w:sz w:val="20"/>
              </w:rPr>
            </w:pPr>
            <w:r w:rsidRPr="0058076F">
              <w:rPr>
                <w:sz w:val="20"/>
              </w:rPr>
              <w:t>Ekvivalentné hodnoty emisií pre metódy znižovania emisií:</w:t>
            </w:r>
          </w:p>
          <w:tbl>
            <w:tblPr>
              <w:tblStyle w:val="TableNormal"/>
              <w:tblW w:w="0" w:type="auto"/>
              <w:tblInd w:w="108" w:type="dxa"/>
              <w:tblLayout w:type="fixed"/>
              <w:tblCellMar>
                <w:left w:w="0" w:type="dxa"/>
                <w:right w:w="0" w:type="dxa"/>
              </w:tblCellMar>
              <w:tblLook w:val="00A0"/>
            </w:tblPr>
            <w:tblGrid>
              <w:gridCol w:w="1985"/>
              <w:gridCol w:w="1985"/>
            </w:tblGrid>
            <w:tr w:rsidTr="00081488">
              <w:tblPrEx>
                <w:tblW w:w="0" w:type="auto"/>
                <w:tblInd w:w="108" w:type="dxa"/>
                <w:tblLayout w:type="fixed"/>
                <w:tblCellMar>
                  <w:left w:w="0" w:type="dxa"/>
                  <w:right w:w="0" w:type="dxa"/>
                </w:tblCellMar>
                <w:tblLook w:val="00A0"/>
              </w:tblPrEx>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 xml:space="preserve">Obsah síry v lodnom palive (% </w:t>
                  </w:r>
                  <w:r w:rsidRPr="0058076F">
                    <w:rPr>
                      <w:i/>
                      <w:sz w:val="16"/>
                      <w:szCs w:val="16"/>
                    </w:rPr>
                    <w:t>m/m</w:t>
                  </w:r>
                  <w:r w:rsidRPr="0058076F">
                    <w:rPr>
                      <w:sz w:val="16"/>
                      <w:szCs w:val="16"/>
                    </w:rPr>
                    <w: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Pomer emisií SO</w:t>
                  </w:r>
                  <w:r w:rsidRPr="0058076F">
                    <w:rPr>
                      <w:sz w:val="16"/>
                      <w:szCs w:val="16"/>
                      <w:vertAlign w:val="subscript"/>
                    </w:rPr>
                    <w:t>2</w:t>
                  </w:r>
                  <w:r w:rsidRPr="0058076F">
                    <w:rPr>
                      <w:sz w:val="16"/>
                      <w:szCs w:val="16"/>
                    </w:rPr>
                    <w:t xml:space="preserve"> (ppm)/CO</w:t>
                  </w:r>
                  <w:r w:rsidRPr="0058076F">
                    <w:rPr>
                      <w:sz w:val="16"/>
                      <w:szCs w:val="16"/>
                      <w:vertAlign w:val="subscript"/>
                    </w:rPr>
                    <w:t>2</w:t>
                  </w:r>
                  <w:r w:rsidRPr="0058076F">
                    <w:rPr>
                      <w:sz w:val="16"/>
                      <w:szCs w:val="16"/>
                    </w:rPr>
                    <w:t xml:space="preserve"> (% </w:t>
                  </w:r>
                  <w:r w:rsidRPr="0058076F">
                    <w:rPr>
                      <w:i/>
                      <w:sz w:val="16"/>
                      <w:szCs w:val="16"/>
                    </w:rPr>
                    <w:t>V/V</w:t>
                  </w:r>
                  <w:r w:rsidRPr="0058076F">
                    <w:rPr>
                      <w:sz w:val="16"/>
                      <w:szCs w:val="16"/>
                    </w:rPr>
                    <w:t>)</w:t>
                  </w:r>
                </w:p>
              </w:tc>
            </w:tr>
            <w:tr w:rsidTr="00081488">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3,5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151,7</w:t>
                  </w:r>
                </w:p>
              </w:tc>
            </w:tr>
            <w:tr w:rsidTr="00081488">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1,5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65,0</w:t>
                  </w:r>
                </w:p>
              </w:tc>
            </w:tr>
            <w:tr w:rsidTr="00081488">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43,3</w:t>
                  </w:r>
                </w:p>
              </w:tc>
            </w:tr>
            <w:tr w:rsidTr="00081488">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0,5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21,7</w:t>
                  </w:r>
                </w:p>
              </w:tc>
            </w:tr>
            <w:tr w:rsidTr="00081488">
              <w:tblPrEx>
                <w:tblW w:w="0" w:type="auto"/>
                <w:tblInd w:w="108" w:type="dxa"/>
                <w:tblLayout w:type="fixed"/>
                <w:tblCellMar>
                  <w:left w:w="0" w:type="dxa"/>
                  <w:right w:w="0" w:type="dxa"/>
                </w:tblCellMar>
                <w:tblLook w:val="00A0"/>
              </w:tblPrEx>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0,1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4,3</w:t>
                  </w:r>
                </w:p>
              </w:tc>
            </w:tr>
          </w:tbl>
          <w:p w:rsidR="00EA0A90" w:rsidRPr="0058076F" w:rsidP="00EA0A90">
            <w:pPr>
              <w:spacing w:before="360"/>
              <w:rPr>
                <w:sz w:val="16"/>
                <w:szCs w:val="16"/>
              </w:rPr>
            </w:pPr>
            <w:r w:rsidRPr="0058076F">
              <w:rPr>
                <w:sz w:val="16"/>
                <w:szCs w:val="16"/>
              </w:rPr>
              <w:t>Poznámky:</w:t>
            </w:r>
          </w:p>
          <w:p w:rsidR="00EA0A90" w:rsidRPr="0058076F" w:rsidP="00EA0A90">
            <w:pPr>
              <w:pStyle w:val="Tiret0"/>
              <w:numPr>
                <w:ilvl w:val="1"/>
                <w:numId w:val="4"/>
              </w:numPr>
              <w:outlineLvl w:val="0"/>
              <w:rPr>
                <w:sz w:val="16"/>
                <w:szCs w:val="16"/>
                <w:lang w:eastAsia="cs-CZ"/>
              </w:rPr>
            </w:pPr>
            <w:r w:rsidRPr="0058076F">
              <w:rPr>
                <w:sz w:val="16"/>
                <w:szCs w:val="16"/>
                <w:lang w:eastAsia="cs-CZ"/>
              </w:rPr>
              <w:t>Používanie pomeru pre emisné limity sa uplatňuje len pri používaní destilátov alebo zvyškových vykurovacích olejov vyrobených na báze ropy.</w:t>
            </w:r>
          </w:p>
          <w:p w:rsidR="00EA0A90" w:rsidRPr="0058076F" w:rsidP="00EA0A90">
            <w:pPr>
              <w:pStyle w:val="Tiret0"/>
              <w:numPr>
                <w:ilvl w:val="1"/>
                <w:numId w:val="4"/>
              </w:numPr>
              <w:outlineLvl w:val="0"/>
              <w:rPr>
                <w:sz w:val="16"/>
                <w:szCs w:val="16"/>
                <w:lang w:eastAsia="cs-CZ"/>
              </w:rPr>
            </w:pPr>
            <w:r w:rsidRPr="0058076F">
              <w:rPr>
                <w:sz w:val="16"/>
                <w:szCs w:val="16"/>
                <w:lang w:eastAsia="cs-CZ"/>
              </w:rPr>
              <w:t>V odôvodnených prípadoch, keď je koncentrácia CO</w:t>
            </w:r>
            <w:r w:rsidRPr="0058076F">
              <w:rPr>
                <w:sz w:val="16"/>
                <w:szCs w:val="16"/>
                <w:vertAlign w:val="subscript"/>
                <w:lang w:eastAsia="cs-CZ"/>
              </w:rPr>
              <w:t>2</w:t>
            </w:r>
            <w:r w:rsidRPr="0058076F">
              <w:rPr>
                <w:sz w:val="16"/>
                <w:szCs w:val="16"/>
                <w:lang w:eastAsia="cs-CZ"/>
              </w:rPr>
              <w:t xml:space="preserve"> znížená pomocou jednotky na čistenie výfukových plynov, koncentráciu CO</w:t>
            </w:r>
            <w:r w:rsidRPr="0058076F">
              <w:rPr>
                <w:sz w:val="16"/>
                <w:szCs w:val="16"/>
                <w:vertAlign w:val="subscript"/>
                <w:lang w:eastAsia="cs-CZ"/>
              </w:rPr>
              <w:t>2</w:t>
            </w:r>
            <w:r w:rsidRPr="0058076F">
              <w:rPr>
                <w:sz w:val="16"/>
                <w:szCs w:val="16"/>
                <w:lang w:eastAsia="cs-CZ"/>
              </w:rPr>
              <w:t xml:space="preserve"> možno merať na vstupe tejto jednotky, pokiaľ je možné jasne preukázať správnosť takejto metodiky.</w:t>
            </w:r>
          </w:p>
          <w:p w:rsidR="00EA0A90" w:rsidRPr="0058076F" w:rsidP="00EA0A90">
            <w:pPr>
              <w:jc w:val="both"/>
              <w:rPr>
                <w:sz w:val="20"/>
              </w:rPr>
            </w:pPr>
            <w:r w:rsidRPr="0058076F">
              <w:rPr>
                <w:sz w:val="20"/>
              </w:rPr>
              <w:t>Ako alternatívne riešenie znižovania emisií je povolené používanie systémov na dodávku pobrežnej elektrickej energie plavidlami v dokoch.</w:t>
            </w:r>
          </w:p>
          <w:p w:rsidR="00EA0A90" w:rsidP="00EA0A90">
            <w:pPr>
              <w:spacing w:line="240" w:lineRule="atLeast"/>
              <w:ind w:left="-44" w:firstLine="44"/>
              <w:jc w:val="both"/>
            </w:pPr>
            <w:r>
              <w:rPr>
                <w:noProof/>
              </w:rPr>
              <w:pict>
                <v:shape id="_x0000_s1051" type="#_x0000_t32" style="width:58.2pt;height:0;margin-top:5.4pt;margin-left:0.1pt;position:absolute;z-index:251680768" o:connectortype="straight"/>
              </w:pict>
            </w:r>
          </w:p>
          <w:p w:rsidR="00EA0A90" w:rsidRPr="00EB2D62" w:rsidP="00EA0A90">
            <w:pPr>
              <w:pStyle w:val="FootnoteText"/>
              <w:jc w:val="both"/>
              <w:rPr>
                <w:sz w:val="18"/>
                <w:szCs w:val="18"/>
              </w:rPr>
            </w:pPr>
            <w:r>
              <w:rPr>
                <w:sz w:val="18"/>
                <w:szCs w:val="18"/>
                <w:vertAlign w:val="superscript"/>
              </w:rPr>
              <w:t>58</w:t>
            </w:r>
            <w:r>
              <w:rPr>
                <w:sz w:val="18"/>
                <w:szCs w:val="18"/>
              </w:rPr>
              <w:t xml:space="preserve">) </w:t>
            </w:r>
            <w:r w:rsidRPr="00EB2D62">
              <w:rPr>
                <w:sz w:val="18"/>
                <w:szCs w:val="18"/>
              </w:rPr>
              <w:t xml:space="preserve">Nariadenie vlády Slovenskej republiky č. 243/2001 Z. z., ktorým sa ustanovujú podrobnosti o technických  požiadavkách a postupoch posudzovania zhody na námorné vybavenie v znení neskorších predpisov.  </w:t>
            </w:r>
          </w:p>
          <w:p w:rsidR="00EA0A90" w:rsidRPr="00EB2D62" w:rsidP="00EA0A90">
            <w:pPr>
              <w:pStyle w:val="FootnoteText"/>
              <w:jc w:val="both"/>
              <w:rPr>
                <w:sz w:val="18"/>
                <w:szCs w:val="18"/>
              </w:rPr>
            </w:pPr>
            <w:r w:rsidRPr="00EB2D62">
              <w:rPr>
                <w:sz w:val="18"/>
                <w:szCs w:val="18"/>
              </w:rPr>
              <w:t xml:space="preserve">Článok 3 ods. 2 nariadenia Európskeho parlamentu a Rady (ES) č. 2099/2002 z 5. novembra 2002, ktorým sa ustanovuje Výbor pre bezpečnosť na mori a pre zabránenie znečisťovania z lodí (COSS) a menia a dopĺňajú sa nariadenia o námornej bezpečnosti a zabránení znečisťovania lodí (Ú. v. ES L 324, 29.11.2002). </w:t>
            </w:r>
          </w:p>
          <w:p w:rsidR="00EA0A90" w:rsidRPr="0058076F" w:rsidP="00EA0A90">
            <w:pPr>
              <w:jc w:val="both"/>
              <w:rPr>
                <w:sz w:val="20"/>
              </w:rPr>
            </w:pPr>
          </w:p>
          <w:p w:rsidR="00EA0A90" w:rsidRPr="0058076F" w:rsidP="00EA0A90">
            <w:pPr>
              <w:pStyle w:val="Tiret0"/>
              <w:numPr>
                <w:ilvl w:val="0"/>
                <w:numId w:val="0"/>
              </w:numPr>
              <w:jc w:val="left"/>
              <w:outlineLvl w:val="0"/>
              <w:rPr>
                <w:sz w:val="20"/>
                <w:szCs w:val="20"/>
                <w:lang w:eastAsia="cs-CZ"/>
              </w:rPr>
            </w:pPr>
            <w:r w:rsidRPr="0058076F">
              <w:rPr>
                <w:sz w:val="20"/>
                <w:szCs w:val="20"/>
                <w:lang w:eastAsia="cs-CZ"/>
              </w:rPr>
              <w:t xml:space="preserve">B. KRITÉRIA PRE POUŽÍVANIE METÓD ZNIŽOVANIA EMISIÍ </w:t>
            </w:r>
          </w:p>
          <w:p w:rsidR="00EA0A90" w:rsidRPr="0058076F" w:rsidP="00EA0A90">
            <w:pPr>
              <w:pStyle w:val="Tiret0"/>
              <w:numPr>
                <w:ilvl w:val="0"/>
                <w:numId w:val="0"/>
              </w:numPr>
              <w:outlineLvl w:val="0"/>
              <w:rPr>
                <w:sz w:val="20"/>
                <w:szCs w:val="20"/>
                <w:lang w:eastAsia="cs-CZ"/>
              </w:rPr>
            </w:pPr>
            <w:r w:rsidRPr="0058076F">
              <w:rPr>
                <w:sz w:val="20"/>
                <w:szCs w:val="20"/>
                <w:lang w:eastAsia="cs-CZ"/>
              </w:rPr>
              <w:t>Metódy znižovania emisií musia spĺňať podľa potreby aspoň tieto kritériá:</w:t>
            </w:r>
          </w:p>
          <w:tbl>
            <w:tblPr>
              <w:tblStyle w:val="TableNormal"/>
              <w:tblW w:w="4773" w:type="dxa"/>
              <w:tblInd w:w="108" w:type="dxa"/>
              <w:tblLayout w:type="fixed"/>
              <w:tblCellMar>
                <w:left w:w="0" w:type="dxa"/>
                <w:right w:w="0" w:type="dxa"/>
              </w:tblCellMar>
              <w:tblLook w:val="00A0"/>
            </w:tblPr>
            <w:tblGrid>
              <w:gridCol w:w="1796"/>
              <w:gridCol w:w="2977"/>
            </w:tblGrid>
            <w:tr w:rsidTr="00081488">
              <w:tblPrEx>
                <w:tblW w:w="4773" w:type="dxa"/>
                <w:tblInd w:w="108" w:type="dxa"/>
                <w:tblLayout w:type="fixed"/>
                <w:tblCellMar>
                  <w:left w:w="0" w:type="dxa"/>
                  <w:right w:w="0" w:type="dxa"/>
                </w:tblCellMar>
                <w:tblLook w:val="00A0"/>
              </w:tblPrEx>
              <w:tc>
                <w:tcPr>
                  <w:tcW w:w="1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Metóda znižovania emisií</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0A90" w:rsidRPr="0058076F" w:rsidP="00EA0A90">
                  <w:pPr>
                    <w:jc w:val="center"/>
                    <w:rPr>
                      <w:sz w:val="16"/>
                      <w:szCs w:val="16"/>
                    </w:rPr>
                  </w:pPr>
                  <w:r w:rsidRPr="0058076F">
                    <w:rPr>
                      <w:sz w:val="16"/>
                      <w:szCs w:val="16"/>
                    </w:rPr>
                    <w:t>Kritéria používania</w:t>
                  </w:r>
                </w:p>
              </w:tc>
            </w:tr>
            <w:tr w:rsidTr="00081488">
              <w:tblPrEx>
                <w:tblW w:w="4773" w:type="dxa"/>
                <w:tblInd w:w="108" w:type="dxa"/>
                <w:tblLayout w:type="fixed"/>
                <w:tblCellMar>
                  <w:left w:w="0" w:type="dxa"/>
                  <w:right w:w="0" w:type="dxa"/>
                </w:tblCellMar>
                <w:tblLook w:val="00A0"/>
              </w:tblPrEx>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Zmes lodného paliva a odpareného plynu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Rozhodnutie Komisie 2010/769/EÚ z 13. decembra 2010 o stanovení kritérií používania technologických metód v cisternových lodiach na prepravu skvapalneného zemného plynu ako alternatívy k používaniu lodných palív s nízkym obsahom síry, ktoré spĺňajú kritériá článku 4b smernice Rady 1999/32/ES o znížení obsahu síry v niektorých kvapalných palivách, zmenenej a doplnenej smernicou Európskeho parlamentu a Rady 2005/33/ES o obsahu síry v lodných palivách.</w:t>
                  </w:r>
                </w:p>
              </w:tc>
            </w:tr>
            <w:tr w:rsidTr="00081488">
              <w:tblPrEx>
                <w:tblW w:w="4773" w:type="dxa"/>
                <w:tblInd w:w="108" w:type="dxa"/>
                <w:tblLayout w:type="fixed"/>
                <w:tblCellMar>
                  <w:left w:w="0" w:type="dxa"/>
                  <w:right w:w="0" w:type="dxa"/>
                </w:tblCellMar>
                <w:tblLook w:val="00A0"/>
              </w:tblPrEx>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Systémy čistenia výfukových plynov</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Rezolúcia MEPC.184(59) prijatá 17. júla 2009 ‚Preplachovacia voda zo systémov čistenia výfukových plynov, v ktorých sa používajú chemické látky, prídavné látky, prípravky a iné príslušné chemické látky vytvorené na mieste‘, ako sa uvádza v bode 10.1.6.1 rezolúcie MEPC.184(59), sa nevypúšťa do mora, a to ani v uzavretých prístavoch, prístavoch a ústiach riek, pokiaľ prevádzkovateľ lode nepreukáže, že vypustenie takejto preplachovacej vody nemá žiadny výrazný negatívny vplyv na ľudské zdravie a životné prostredie a nepredstavuje pre ne ani žiadne riziko. Ak je použitou chemickou látkou lúh sodný, postačuje, ak preplachovacia voda spĺňa kritériá stanovené v rezolúcii MEPC.184(59) a jej pH nepresahuje hodnotu 8,0.</w:t>
                  </w:r>
                </w:p>
              </w:tc>
            </w:tr>
            <w:tr w:rsidTr="00081488">
              <w:tblPrEx>
                <w:tblW w:w="4773" w:type="dxa"/>
                <w:tblInd w:w="108" w:type="dxa"/>
                <w:tblLayout w:type="fixed"/>
                <w:tblCellMar>
                  <w:left w:w="0" w:type="dxa"/>
                  <w:right w:w="0" w:type="dxa"/>
                </w:tblCellMar>
                <w:tblLook w:val="00A0"/>
              </w:tblPrEx>
              <w:tc>
                <w:tcPr>
                  <w:tcW w:w="1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Biopalivá</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EA0A90" w:rsidRPr="0058076F" w:rsidP="00EA0A90">
                  <w:pPr>
                    <w:jc w:val="both"/>
                    <w:rPr>
                      <w:sz w:val="16"/>
                      <w:szCs w:val="16"/>
                    </w:rPr>
                  </w:pPr>
                  <w:r w:rsidRPr="0058076F">
                    <w:rPr>
                      <w:sz w:val="16"/>
                      <w:szCs w:val="16"/>
                    </w:rPr>
                    <w:t>Používanie biopalív, ako sú vymedzené v osobitných predpisoch.</w:t>
                  </w:r>
                  <w:r>
                    <w:rPr>
                      <w:sz w:val="16"/>
                      <w:szCs w:val="16"/>
                      <w:vertAlign w:val="superscript"/>
                    </w:rPr>
                    <w:t>59</w:t>
                  </w:r>
                  <w:r w:rsidRPr="00EB2D62">
                    <w:rPr>
                      <w:sz w:val="16"/>
                      <w:szCs w:val="16"/>
                    </w:rPr>
                    <w:t>)</w:t>
                  </w:r>
                  <w:r w:rsidRPr="0058076F">
                    <w:rPr>
                      <w:sz w:val="16"/>
                      <w:szCs w:val="16"/>
                    </w:rPr>
                    <w:t xml:space="preserve"> Zmesi biopalív a lodných palív musia spĺňať požiadavky týkajúce sa obsahu síry uvedené v § 6 ods. 3 až 7.</w:t>
                  </w:r>
                </w:p>
              </w:tc>
            </w:tr>
          </w:tbl>
          <w:p w:rsidR="00EA0A90" w:rsidP="00EA0A90">
            <w:pPr>
              <w:spacing w:line="240" w:lineRule="atLeast"/>
              <w:ind w:left="-44" w:firstLine="44"/>
              <w:jc w:val="both"/>
            </w:pPr>
            <w:r>
              <w:rPr>
                <w:noProof/>
              </w:rPr>
              <w:pict>
                <v:shape id="_x0000_s1052" type="#_x0000_t32" style="width:58.2pt;height:0;margin-top:5.4pt;margin-left:0.1pt;position:absolute;z-index:251681792" o:connectortype="straight"/>
              </w:pict>
            </w:r>
          </w:p>
          <w:p w:rsidR="00EA0A90" w:rsidRPr="00EB2D62" w:rsidP="00EA0A90">
            <w:pPr>
              <w:pStyle w:val="FootnoteText"/>
              <w:jc w:val="both"/>
              <w:rPr>
                <w:sz w:val="18"/>
                <w:szCs w:val="18"/>
              </w:rPr>
            </w:pPr>
            <w:r>
              <w:rPr>
                <w:sz w:val="18"/>
                <w:szCs w:val="18"/>
                <w:vertAlign w:val="superscript"/>
              </w:rPr>
              <w:t>59</w:t>
            </w:r>
            <w:r>
              <w:rPr>
                <w:sz w:val="18"/>
                <w:szCs w:val="18"/>
              </w:rPr>
              <w:t xml:space="preserve">) </w:t>
            </w:r>
            <w:r w:rsidRPr="00EB2D62">
              <w:rPr>
                <w:sz w:val="18"/>
                <w:szCs w:val="18"/>
              </w:rPr>
              <w:t xml:space="preserve">Zákon č. 309/2009 Z. z. </w:t>
            </w:r>
          </w:p>
          <w:p w:rsidR="00EA0A90" w:rsidRPr="00EB2D62" w:rsidP="00EA0A90">
            <w:pPr>
              <w:pStyle w:val="FootnoteText"/>
              <w:jc w:val="both"/>
              <w:rPr>
                <w:sz w:val="18"/>
                <w:szCs w:val="18"/>
              </w:rPr>
            </w:pPr>
            <w:r w:rsidRPr="00EB2D62">
              <w:rPr>
                <w:sz w:val="18"/>
                <w:szCs w:val="18"/>
              </w:rPr>
              <w:t xml:space="preserve">Vyhláška Ministerstva životného prostredia Slovenskej republiky č. 271/2011 Z. z., ktorou sa ustanovujú kritériá trvalej udržateľnosti a ciele na zníženie emisií skleníkových plynov z pohonných látok v znení neskorších predpisov. </w:t>
            </w:r>
          </w:p>
          <w:p w:rsidR="00EA0A90" w:rsidRPr="00964863" w:rsidP="00EA0A90">
            <w:pPr>
              <w:jc w:val="both"/>
              <w:rPr>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p>
        </w:tc>
        <w:tc>
          <w:tcPr>
            <w:tcW w:w="1417"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p>
        </w:tc>
      </w:tr>
      <w:tr w:rsidTr="000B581A">
        <w:tblPrEx>
          <w:tblW w:w="14954" w:type="dxa"/>
          <w:tblLayout w:type="fixed"/>
          <w:tblCellMar>
            <w:left w:w="70" w:type="dxa"/>
            <w:right w:w="70" w:type="dxa"/>
          </w:tblCellMar>
          <w:tblLook w:val="0000"/>
        </w:tblPrEx>
        <w:trPr>
          <w:trHeight w:val="7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Príloha III</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PRÍLOHA III</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ČASŤ A</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 xml:space="preserve">Zrušená smernica so zoznamom jej neskorších zmien (v zmysle článku 19) </w:t>
            </w:r>
          </w:p>
          <w:p w:rsidR="00EA0A90" w:rsidRPr="00D52C0C" w:rsidP="00EA0A90">
            <w:pPr>
              <w:autoSpaceDE w:val="0"/>
              <w:autoSpaceDN w:val="0"/>
              <w:adjustRightInd w:val="0"/>
              <w:jc w:val="both"/>
              <w:rPr>
                <w:rFonts w:ascii="TimesNewRoman" w:hAnsi="TimesNewRoman" w:cs="TimesNewRoman"/>
                <w:color w:val="231F20"/>
                <w:sz w:val="20"/>
                <w:lang w:eastAsia="sk-SK"/>
              </w:rPr>
            </w:pPr>
          </w:p>
        </w:tc>
        <w:tc>
          <w:tcPr>
            <w:tcW w:w="851"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D52C0C" w:rsidP="00EA0A90">
            <w:pPr>
              <w:jc w:val="both"/>
              <w:rPr>
                <w:sz w:val="20"/>
              </w:rPr>
            </w:pPr>
          </w:p>
        </w:tc>
        <w:tc>
          <w:tcPr>
            <w:tcW w:w="851" w:type="dxa"/>
            <w:tcBorders>
              <w:top w:val="single" w:sz="4" w:space="0" w:color="auto"/>
              <w:bottom w:val="single" w:sz="4" w:space="0" w:color="auto"/>
            </w:tcBorders>
          </w:tcPr>
          <w:p w:rsidR="00EA0A90" w:rsidRPr="00D52C0C" w:rsidP="00EA0A90">
            <w:pPr>
              <w:pStyle w:val="BodyText21"/>
            </w:pPr>
          </w:p>
        </w:tc>
        <w:tc>
          <w:tcPr>
            <w:tcW w:w="4961" w:type="dxa"/>
            <w:tcBorders>
              <w:top w:val="single" w:sz="4" w:space="0" w:color="auto"/>
              <w:bottom w:val="single" w:sz="4" w:space="0" w:color="auto"/>
            </w:tcBorders>
          </w:tcPr>
          <w:p w:rsidR="00EA0A90" w:rsidRPr="00964863" w:rsidP="00EA0A90">
            <w:pPr>
              <w:jc w:val="both"/>
              <w:rPr>
                <w:sz w:val="20"/>
                <w:highlight w:val="yellow"/>
              </w:rPr>
            </w:pPr>
          </w:p>
        </w:tc>
        <w:tc>
          <w:tcPr>
            <w:tcW w:w="709" w:type="dxa"/>
            <w:tcBorders>
              <w:top w:val="single" w:sz="4" w:space="0" w:color="auto"/>
              <w:bottom w:val="single" w:sz="4" w:space="0" w:color="auto"/>
            </w:tcBorders>
          </w:tcPr>
          <w:p w:rsidR="00EA0A90" w:rsidRPr="00D52C0C"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D52C0C" w:rsidP="00EA0A90">
            <w:pPr>
              <w:autoSpaceDE w:val="0"/>
              <w:autoSpaceDN w:val="0"/>
              <w:adjustRightInd w:val="0"/>
              <w:jc w:val="both"/>
              <w:rPr>
                <w:rFonts w:ascii="TimesNewRoman" w:hAnsi="TimesNewRoman" w:cs="TimesNewRoman"/>
                <w:color w:val="231F20"/>
                <w:sz w:val="20"/>
                <w:lang w:eastAsia="sk-SK"/>
              </w:rPr>
            </w:pPr>
          </w:p>
        </w:tc>
      </w:tr>
      <w:tr w:rsidTr="000B581A">
        <w:tblPrEx>
          <w:tblW w:w="14954" w:type="dxa"/>
          <w:tblLayout w:type="fixed"/>
          <w:tblCellMar>
            <w:left w:w="70" w:type="dxa"/>
            <w:right w:w="70" w:type="dxa"/>
          </w:tblCellMar>
          <w:tblLook w:val="0000"/>
        </w:tblPrEx>
        <w:trPr>
          <w:trHeight w:val="720"/>
        </w:trPr>
        <w:tc>
          <w:tcPr>
            <w:tcW w:w="779" w:type="dxa"/>
            <w:tcBorders>
              <w:top w:val="single" w:sz="4" w:space="0" w:color="auto"/>
              <w:bottom w:val="single" w:sz="4" w:space="0" w:color="auto"/>
            </w:tcBorders>
          </w:tcPr>
          <w:p w:rsidR="00EA0A90" w:rsidRPr="00D52C0C" w:rsidP="00EA0A90">
            <w:pPr>
              <w:jc w:val="both"/>
              <w:rPr>
                <w:sz w:val="20"/>
              </w:rPr>
            </w:pPr>
            <w:r w:rsidRPr="00D52C0C">
              <w:rPr>
                <w:sz w:val="20"/>
              </w:rPr>
              <w:t>Príloha</w:t>
            </w:r>
          </w:p>
          <w:p w:rsidR="00EA0A90" w:rsidRPr="00D52C0C" w:rsidP="00EA0A90">
            <w:pPr>
              <w:jc w:val="both"/>
              <w:rPr>
                <w:sz w:val="20"/>
              </w:rPr>
            </w:pPr>
            <w:r w:rsidRPr="00D52C0C">
              <w:rPr>
                <w:sz w:val="20"/>
              </w:rPr>
              <w:t xml:space="preserve">IV </w:t>
            </w:r>
          </w:p>
        </w:tc>
        <w:tc>
          <w:tcPr>
            <w:tcW w:w="4536" w:type="dxa"/>
            <w:tcBorders>
              <w:top w:val="single" w:sz="4" w:space="0" w:color="auto"/>
              <w:bottom w:val="single" w:sz="4" w:space="0" w:color="auto"/>
            </w:tcBorders>
          </w:tcPr>
          <w:p w:rsidR="00EA0A90" w:rsidRPr="00D52C0C" w:rsidP="00EA0A90">
            <w:pPr>
              <w:pStyle w:val="CM4"/>
              <w:spacing w:before="60" w:after="60"/>
              <w:rPr>
                <w:rFonts w:ascii="TimesNewRoman" w:hAnsi="TimesNewRoman" w:cs="TimesNewRoman"/>
                <w:color w:val="231F20"/>
                <w:sz w:val="20"/>
                <w:szCs w:val="20"/>
              </w:rPr>
            </w:pPr>
            <w:r w:rsidRPr="00D52C0C">
              <w:rPr>
                <w:rFonts w:ascii="TimesNewRoman" w:hAnsi="TimesNewRoman" w:cs="TimesNewRoman"/>
                <w:color w:val="231F20"/>
                <w:sz w:val="20"/>
                <w:szCs w:val="20"/>
              </w:rPr>
              <w:t>PRÍLOHA IV</w:t>
            </w:r>
          </w:p>
          <w:p w:rsidR="00EA0A90" w:rsidRPr="00D52C0C" w:rsidP="00EA0A90">
            <w:pPr>
              <w:autoSpaceDE w:val="0"/>
              <w:autoSpaceDN w:val="0"/>
              <w:adjustRightInd w:val="0"/>
              <w:jc w:val="both"/>
              <w:rPr>
                <w:rFonts w:ascii="TimesNewRoman" w:hAnsi="TimesNewRoman" w:cs="TimesNewRoman"/>
                <w:color w:val="231F20"/>
                <w:sz w:val="20"/>
                <w:lang w:eastAsia="sk-SK"/>
              </w:rPr>
            </w:pPr>
            <w:r w:rsidRPr="00D52C0C">
              <w:rPr>
                <w:rFonts w:ascii="TimesNewRoman" w:hAnsi="TimesNewRoman" w:cs="TimesNewRoman"/>
                <w:color w:val="231F20"/>
                <w:sz w:val="20"/>
                <w:lang w:eastAsia="sk-SK"/>
              </w:rPr>
              <w:t>TABUĽKY ZHODY</w:t>
            </w:r>
          </w:p>
        </w:tc>
        <w:tc>
          <w:tcPr>
            <w:tcW w:w="851" w:type="dxa"/>
            <w:tcBorders>
              <w:top w:val="single" w:sz="4" w:space="0" w:color="auto"/>
              <w:bottom w:val="single" w:sz="4" w:space="0" w:color="auto"/>
            </w:tcBorders>
          </w:tcPr>
          <w:p w:rsidR="00EA0A90" w:rsidRPr="00BC5CE9" w:rsidP="00EA0A90">
            <w:pPr>
              <w:jc w:val="both"/>
              <w:rPr>
                <w:sz w:val="20"/>
              </w:rPr>
            </w:pPr>
            <w:r w:rsidRPr="00D52C0C">
              <w:rPr>
                <w:sz w:val="20"/>
              </w:rPr>
              <w:t>n.a.</w:t>
            </w:r>
          </w:p>
        </w:tc>
        <w:tc>
          <w:tcPr>
            <w:tcW w:w="850" w:type="dxa"/>
            <w:tcBorders>
              <w:top w:val="single" w:sz="4" w:space="0" w:color="auto"/>
              <w:bottom w:val="single" w:sz="4" w:space="0" w:color="auto"/>
            </w:tcBorders>
          </w:tcPr>
          <w:p w:rsidR="00EA0A90" w:rsidRPr="00BC5CE9" w:rsidP="00EA0A90">
            <w:pPr>
              <w:jc w:val="both"/>
              <w:rPr>
                <w:sz w:val="20"/>
              </w:rPr>
            </w:pPr>
          </w:p>
        </w:tc>
        <w:tc>
          <w:tcPr>
            <w:tcW w:w="851" w:type="dxa"/>
            <w:tcBorders>
              <w:top w:val="single" w:sz="4" w:space="0" w:color="auto"/>
              <w:bottom w:val="single" w:sz="4" w:space="0" w:color="auto"/>
            </w:tcBorders>
          </w:tcPr>
          <w:p w:rsidR="00EA0A90" w:rsidRPr="00BC5CE9" w:rsidP="00EA0A90">
            <w:pPr>
              <w:pStyle w:val="BodyText21"/>
            </w:pPr>
          </w:p>
        </w:tc>
        <w:tc>
          <w:tcPr>
            <w:tcW w:w="4961" w:type="dxa"/>
            <w:tcBorders>
              <w:top w:val="single" w:sz="4" w:space="0" w:color="auto"/>
              <w:bottom w:val="single" w:sz="4" w:space="0" w:color="auto"/>
            </w:tcBorders>
          </w:tcPr>
          <w:p w:rsidR="00EA0A90" w:rsidRPr="00964863" w:rsidP="00EA0A90">
            <w:pPr>
              <w:jc w:val="both"/>
              <w:rPr>
                <w:sz w:val="20"/>
                <w:highlight w:val="yellow"/>
              </w:rPr>
            </w:pPr>
          </w:p>
        </w:tc>
        <w:tc>
          <w:tcPr>
            <w:tcW w:w="709" w:type="dxa"/>
            <w:tcBorders>
              <w:top w:val="single" w:sz="4" w:space="0" w:color="auto"/>
              <w:bottom w:val="single" w:sz="4" w:space="0" w:color="auto"/>
            </w:tcBorders>
          </w:tcPr>
          <w:p w:rsidR="00EA0A90" w:rsidRPr="00BC5CE9" w:rsidP="00EA0A90">
            <w:pPr>
              <w:jc w:val="both"/>
              <w:rPr>
                <w:sz w:val="20"/>
              </w:rPr>
            </w:pPr>
            <w:r w:rsidRPr="00D52C0C">
              <w:rPr>
                <w:sz w:val="20"/>
              </w:rPr>
              <w:t>n.a.</w:t>
            </w:r>
          </w:p>
        </w:tc>
        <w:tc>
          <w:tcPr>
            <w:tcW w:w="1417" w:type="dxa"/>
            <w:tcBorders>
              <w:top w:val="single" w:sz="4" w:space="0" w:color="auto"/>
              <w:bottom w:val="single" w:sz="4" w:space="0" w:color="auto"/>
            </w:tcBorders>
          </w:tcPr>
          <w:p w:rsidR="00EA0A90" w:rsidRPr="00BC5CE9" w:rsidP="00EA0A90">
            <w:pPr>
              <w:jc w:val="both"/>
              <w:rPr>
                <w:sz w:val="20"/>
              </w:rPr>
            </w:pPr>
          </w:p>
        </w:tc>
      </w:tr>
    </w:tbl>
    <w:p w:rsidR="000E6117" w:rsidRPr="00BC5CE9">
      <w:pPr>
        <w:pStyle w:val="BodyText21"/>
        <w:spacing w:before="0" w:line="240" w:lineRule="auto"/>
      </w:pPr>
    </w:p>
    <w:sectPr w:rsidSect="002F2B1C">
      <w:footerReference w:type="default" r:id="rId7"/>
      <w:pgSz w:w="16840" w:h="11907" w:orient="landscape" w:code="9"/>
      <w:pgMar w:top="993" w:right="1418" w:bottom="993"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auto"/>
    <w:pitch w:val="variable"/>
    <w:sig w:usb0="00000001" w:usb1="1000E0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imesNewRomanBold">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7F">
    <w:pPr>
      <w:pStyle w:val="Footer"/>
      <w:framePr w:w="331" w:vAnchor="text" w:hAnchor="page" w:x="8296" w:y="3"/>
      <w:rPr>
        <w:rStyle w:val="PageNumber"/>
      </w:rPr>
    </w:pPr>
    <w:r>
      <w:rPr>
        <w:rStyle w:val="PageNumber"/>
      </w:rPr>
      <w:fldChar w:fldCharType="begin"/>
    </w:r>
    <w:r>
      <w:rPr>
        <w:rStyle w:val="PageNumber"/>
      </w:rPr>
      <w:instrText xml:space="preserve">PAGE  </w:instrText>
    </w:r>
    <w:r>
      <w:rPr>
        <w:rStyle w:val="PageNumber"/>
      </w:rPr>
      <w:fldChar w:fldCharType="separate"/>
    </w:r>
    <w:r w:rsidR="00336966">
      <w:rPr>
        <w:rStyle w:val="PageNumber"/>
        <w:noProof/>
      </w:rPr>
      <w:t>40</w:t>
    </w:r>
    <w:r>
      <w:rPr>
        <w:rStyle w:val="PageNumber"/>
      </w:rPr>
      <w:fldChar w:fldCharType="end"/>
    </w:r>
  </w:p>
  <w:p w:rsidR="005F757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0F2"/>
    <w:multiLevelType w:val="hybridMultilevel"/>
    <w:tmpl w:val="4266CE24"/>
    <w:lvl w:ilvl="0">
      <w:start w:val="1"/>
      <w:numFmt w:val="lowerLetter"/>
      <w:lvlText w:val="%1)"/>
      <w:lvlJc w:val="left"/>
      <w:pPr>
        <w:tabs>
          <w:tab w:val="num" w:pos="357"/>
        </w:tabs>
        <w:ind w:left="357" w:hanging="357"/>
      </w:pPr>
      <w:rPr>
        <w:rFonts w:hint="default"/>
        <w:b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C04277"/>
    <w:multiLevelType w:val="hybridMultilevel"/>
    <w:tmpl w:val="2E1C701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05040794"/>
    <w:multiLevelType w:val="singleLevel"/>
    <w:tmpl w:val="0AEA0972"/>
    <w:name w:val="Tiret 0__1"/>
    <w:lvl w:ilvl="0">
      <w:start w:val="1"/>
      <w:numFmt w:val="bullet"/>
      <w:pStyle w:val="Tiret0"/>
      <w:lvlText w:val="–"/>
      <w:lvlJc w:val="left"/>
      <w:pPr>
        <w:tabs>
          <w:tab w:val="num" w:pos="850"/>
        </w:tabs>
        <w:ind w:left="850" w:hanging="850"/>
      </w:pPr>
    </w:lvl>
  </w:abstractNum>
  <w:abstractNum w:abstractNumId="3">
    <w:nsid w:val="06F05D8A"/>
    <w:multiLevelType w:val="hybridMultilevel"/>
    <w:tmpl w:val="6F2C7C98"/>
    <w:lvl w:ilvl="0">
      <w:start w:val="2"/>
      <w:numFmt w:val="decimal"/>
      <w:lvlText w:val="(%1)"/>
      <w:lvlJc w:val="left"/>
      <w:pPr>
        <w:ind w:left="1211" w:hanging="360"/>
      </w:pPr>
      <w:rPr>
        <w:rFonts w:hint="default"/>
        <w:strike w:val="0"/>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4">
    <w:nsid w:val="07DE7BD7"/>
    <w:multiLevelType w:val="singleLevel"/>
    <w:tmpl w:val="54D295B4"/>
    <w:lvl w:ilvl="0">
      <w:start w:val="1"/>
      <w:numFmt w:val="lowerLetter"/>
      <w:pStyle w:val="pismeno"/>
      <w:lvlText w:val="%1)"/>
      <w:lvlJc w:val="left"/>
      <w:pPr>
        <w:tabs>
          <w:tab w:val="num" w:pos="360"/>
        </w:tabs>
        <w:ind w:left="340" w:hanging="340"/>
      </w:pPr>
      <w:rPr>
        <w:caps w:val="0"/>
        <w:strike w:val="0"/>
        <w:dstrike w:val="0"/>
        <w:shadow w:val="0"/>
        <w:emboss w:val="0"/>
        <w:imprint w:val="0"/>
        <w:vanish w:val="0"/>
        <w:color w:val="auto"/>
        <w:vertAlign w:val="baseline"/>
      </w:rPr>
    </w:lvl>
  </w:abstractNum>
  <w:abstractNum w:abstractNumId="5">
    <w:nsid w:val="08567E0C"/>
    <w:multiLevelType w:val="hybridMultilevel"/>
    <w:tmpl w:val="ED462F8E"/>
    <w:lvl w:ilvl="0">
      <w:start w:val="1"/>
      <w:numFmt w:val="bullet"/>
      <w:pStyle w:val="ListBullet"/>
      <w:lvlText w:val=""/>
      <w:lvlJc w:val="left"/>
      <w:pPr>
        <w:tabs>
          <w:tab w:val="num" w:pos="585"/>
        </w:tabs>
        <w:ind w:left="565" w:hanging="340"/>
      </w:pPr>
      <w:rPr>
        <w:rFonts w:ascii="Symbol" w:hAnsi="Symbol" w:hint="default"/>
        <w:color w:val="auto"/>
      </w:rPr>
    </w:lvl>
    <w:lvl w:ilvl="1" w:tentative="1">
      <w:start w:val="1"/>
      <w:numFmt w:val="bullet"/>
      <w:lvlText w:val="o"/>
      <w:lvlJc w:val="left"/>
      <w:pPr>
        <w:tabs>
          <w:tab w:val="num" w:pos="945"/>
        </w:tabs>
        <w:ind w:left="945" w:hanging="360"/>
      </w:pPr>
      <w:rPr>
        <w:rFonts w:ascii="Courier New" w:hAnsi="Courier New" w:hint="default"/>
      </w:rPr>
    </w:lvl>
    <w:lvl w:ilvl="2" w:tentative="1">
      <w:start w:val="1"/>
      <w:numFmt w:val="bullet"/>
      <w:lvlText w:val=""/>
      <w:lvlJc w:val="left"/>
      <w:pPr>
        <w:tabs>
          <w:tab w:val="num" w:pos="1665"/>
        </w:tabs>
        <w:ind w:left="1665" w:hanging="360"/>
      </w:pPr>
      <w:rPr>
        <w:rFonts w:ascii="Wingdings" w:hAnsi="Wingdings" w:hint="default"/>
      </w:rPr>
    </w:lvl>
    <w:lvl w:ilvl="3" w:tentative="1">
      <w:start w:val="1"/>
      <w:numFmt w:val="bullet"/>
      <w:lvlText w:val=""/>
      <w:lvlJc w:val="left"/>
      <w:pPr>
        <w:tabs>
          <w:tab w:val="num" w:pos="2385"/>
        </w:tabs>
        <w:ind w:left="2385" w:hanging="360"/>
      </w:pPr>
      <w:rPr>
        <w:rFonts w:ascii="Symbol" w:hAnsi="Symbol" w:hint="default"/>
      </w:rPr>
    </w:lvl>
    <w:lvl w:ilvl="4" w:tentative="1">
      <w:start w:val="1"/>
      <w:numFmt w:val="bullet"/>
      <w:lvlText w:val="o"/>
      <w:lvlJc w:val="left"/>
      <w:pPr>
        <w:tabs>
          <w:tab w:val="num" w:pos="3105"/>
        </w:tabs>
        <w:ind w:left="3105" w:hanging="360"/>
      </w:pPr>
      <w:rPr>
        <w:rFonts w:ascii="Courier New" w:hAnsi="Courier New" w:hint="default"/>
      </w:rPr>
    </w:lvl>
    <w:lvl w:ilvl="5" w:tentative="1">
      <w:start w:val="1"/>
      <w:numFmt w:val="bullet"/>
      <w:lvlText w:val=""/>
      <w:lvlJc w:val="left"/>
      <w:pPr>
        <w:tabs>
          <w:tab w:val="num" w:pos="3825"/>
        </w:tabs>
        <w:ind w:left="3825" w:hanging="360"/>
      </w:pPr>
      <w:rPr>
        <w:rFonts w:ascii="Wingdings" w:hAnsi="Wingdings" w:hint="default"/>
      </w:rPr>
    </w:lvl>
    <w:lvl w:ilvl="6" w:tentative="1">
      <w:start w:val="1"/>
      <w:numFmt w:val="bullet"/>
      <w:lvlText w:val=""/>
      <w:lvlJc w:val="left"/>
      <w:pPr>
        <w:tabs>
          <w:tab w:val="num" w:pos="4545"/>
        </w:tabs>
        <w:ind w:left="4545" w:hanging="360"/>
      </w:pPr>
      <w:rPr>
        <w:rFonts w:ascii="Symbol" w:hAnsi="Symbol" w:hint="default"/>
      </w:rPr>
    </w:lvl>
    <w:lvl w:ilvl="7" w:tentative="1">
      <w:start w:val="1"/>
      <w:numFmt w:val="bullet"/>
      <w:lvlText w:val="o"/>
      <w:lvlJc w:val="left"/>
      <w:pPr>
        <w:tabs>
          <w:tab w:val="num" w:pos="5265"/>
        </w:tabs>
        <w:ind w:left="5265" w:hanging="360"/>
      </w:pPr>
      <w:rPr>
        <w:rFonts w:ascii="Courier New" w:hAnsi="Courier New" w:hint="default"/>
      </w:rPr>
    </w:lvl>
    <w:lvl w:ilvl="8" w:tentative="1">
      <w:start w:val="1"/>
      <w:numFmt w:val="bullet"/>
      <w:lvlText w:val=""/>
      <w:lvlJc w:val="left"/>
      <w:pPr>
        <w:tabs>
          <w:tab w:val="num" w:pos="5985"/>
        </w:tabs>
        <w:ind w:left="5985" w:hanging="360"/>
      </w:pPr>
      <w:rPr>
        <w:rFonts w:ascii="Wingdings" w:hAnsi="Wingdings" w:hint="default"/>
      </w:rPr>
    </w:lvl>
  </w:abstractNum>
  <w:abstractNum w:abstractNumId="6">
    <w:nsid w:val="0F026B61"/>
    <w:multiLevelType w:val="hybridMultilevel"/>
    <w:tmpl w:val="103882D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D3613F"/>
    <w:multiLevelType w:val="singleLevel"/>
    <w:tmpl w:val="ACF2636C"/>
    <w:lvl w:ilvl="0">
      <w:start w:val="1"/>
      <w:numFmt w:val="lowerLetter"/>
      <w:pStyle w:val="Textpsmene"/>
      <w:lvlText w:val="%1)"/>
      <w:lvlJc w:val="left"/>
      <w:pPr>
        <w:tabs>
          <w:tab w:val="num" w:pos="360"/>
        </w:tabs>
        <w:ind w:left="360" w:hanging="360"/>
      </w:pPr>
    </w:lvl>
  </w:abstractNum>
  <w:abstractNum w:abstractNumId="8">
    <w:nsid w:val="210B6C4F"/>
    <w:multiLevelType w:val="hybridMultilevel"/>
    <w:tmpl w:val="C19895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06EAA"/>
    <w:multiLevelType w:val="hybridMultilevel"/>
    <w:tmpl w:val="1D7EC08C"/>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437"/>
        </w:tabs>
        <w:ind w:left="1437" w:hanging="357"/>
      </w:pPr>
      <w:rPr>
        <w:rFonts w:hint="default"/>
        <w:b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1B3AE1"/>
    <w:multiLevelType w:val="hybridMultilevel"/>
    <w:tmpl w:val="39827C84"/>
    <w:lvl w:ilvl="0">
      <w:start w:val="5"/>
      <w:numFmt w:val="lowerLetter"/>
      <w:lvlText w:val="%1)"/>
      <w:lvlJc w:val="left"/>
      <w:pPr>
        <w:tabs>
          <w:tab w:val="num" w:pos="1437"/>
        </w:tabs>
        <w:ind w:left="1437" w:hanging="357"/>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C572CB"/>
    <w:multiLevelType w:val="hybridMultilevel"/>
    <w:tmpl w:val="175A457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D15267"/>
    <w:multiLevelType w:val="hybridMultilevel"/>
    <w:tmpl w:val="D3D8A7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EAF6D70"/>
    <w:multiLevelType w:val="hybridMultilevel"/>
    <w:tmpl w:val="81D09712"/>
    <w:lvl w:ilvl="0">
      <w:start w:val="1"/>
      <w:numFmt w:val="lowerLetter"/>
      <w:pStyle w:val="adda"/>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EE0F0E"/>
    <w:multiLevelType w:val="hybridMultilevel"/>
    <w:tmpl w:val="6A7EE3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D94C30"/>
    <w:multiLevelType w:val="hybridMultilevel"/>
    <w:tmpl w:val="F91898D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360"/>
        </w:tabs>
        <w:ind w:left="360" w:hanging="360"/>
      </w:pPr>
      <w:rPr>
        <w:rFonts w:hint="default"/>
        <w:vertAlign w:val="superscrip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541613D"/>
    <w:multiLevelType w:val="hybridMultilevel"/>
    <w:tmpl w:val="AB6495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C72E16"/>
    <w:multiLevelType w:val="hybridMultilevel"/>
    <w:tmpl w:val="836C29A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7E107F"/>
    <w:multiLevelType w:val="hybridMultilevel"/>
    <w:tmpl w:val="B19EA61A"/>
    <w:lvl w:ilvl="0">
      <w:start w:val="1"/>
      <w:numFmt w:val="decimal"/>
      <w:lvlText w:val="(%1)"/>
      <w:lvlJc w:val="left"/>
      <w:pPr>
        <w:ind w:left="720" w:hanging="360"/>
      </w:pPr>
      <w:rPr>
        <w:rFonts w:ascii="Times New Roman" w:eastAsia="Times New Roman" w:hAnsi="Times New Roman"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CC37B9"/>
    <w:multiLevelType w:val="hybridMultilevel"/>
    <w:tmpl w:val="872C3CD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8E41E4"/>
    <w:multiLevelType w:val="hybridMultilevel"/>
    <w:tmpl w:val="6212BE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741D53"/>
    <w:multiLevelType w:val="hybridMultilevel"/>
    <w:tmpl w:val="20B4F0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2FE7E97"/>
    <w:multiLevelType w:val="hybridMultilevel"/>
    <w:tmpl w:val="BFFCB7E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EF1400"/>
    <w:multiLevelType w:val="hybridMultilevel"/>
    <w:tmpl w:val="AB6495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5C09BD"/>
    <w:multiLevelType w:val="hybridMultilevel"/>
    <w:tmpl w:val="AE4ACD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75103A"/>
    <w:multiLevelType w:val="multilevel"/>
    <w:tmpl w:val="46E6676C"/>
    <w:lvl w:ilvl="0">
      <w:start w:val="1"/>
      <w:numFmt w:val="decimal"/>
      <w:lvlText w:val="(%1)"/>
      <w:lvlJc w:val="left"/>
      <w:pPr>
        <w:ind w:left="6882" w:hanging="360"/>
      </w:pPr>
      <w:rPr>
        <w:rFonts w:hint="default"/>
        <w:strike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nsid w:val="79981FBD"/>
    <w:multiLevelType w:val="hybridMultilevel"/>
    <w:tmpl w:val="14B6DAFA"/>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7">
    <w:nsid w:val="7A561206"/>
    <w:multiLevelType w:val="hybridMultilevel"/>
    <w:tmpl w:val="FEE2E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D0554C"/>
    <w:multiLevelType w:val="multilevel"/>
    <w:tmpl w:val="7AD055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5"/>
  </w:num>
  <w:num w:numId="4">
    <w:abstractNumId w:val="15"/>
  </w:num>
  <w:num w:numId="5">
    <w:abstractNumId w:val="0"/>
  </w:num>
  <w:num w:numId="6">
    <w:abstractNumId w:val="9"/>
  </w:num>
  <w:num w:numId="7">
    <w:abstractNumId w:val="13"/>
  </w:num>
  <w:num w:numId="8">
    <w:abstractNumId w:val="2"/>
  </w:num>
  <w:num w:numId="9">
    <w:abstractNumId w:val="10"/>
  </w:num>
  <w:num w:numId="10">
    <w:abstractNumId w:val="14"/>
  </w:num>
  <w:num w:numId="11">
    <w:abstractNumId w:val="1"/>
  </w:num>
  <w:num w:numId="12">
    <w:abstractNumId w:val="20"/>
  </w:num>
  <w:num w:numId="13">
    <w:abstractNumId w:val="8"/>
  </w:num>
  <w:num w:numId="14">
    <w:abstractNumId w:val="26"/>
  </w:num>
  <w:num w:numId="15">
    <w:abstractNumId w:val="16"/>
  </w:num>
  <w:num w:numId="16">
    <w:abstractNumId w:val="22"/>
  </w:num>
  <w:num w:numId="17">
    <w:abstractNumId w:val="3"/>
  </w:num>
  <w:num w:numId="18">
    <w:abstractNumId w:val="21"/>
  </w:num>
  <w:num w:numId="19">
    <w:abstractNumId w:val="27"/>
  </w:num>
  <w:num w:numId="20">
    <w:abstractNumId w:val="11"/>
  </w:num>
  <w:num w:numId="21">
    <w:abstractNumId w:val="19"/>
  </w:num>
  <w:num w:numId="22">
    <w:abstractNumId w:val="17"/>
  </w:num>
  <w:num w:numId="23">
    <w:abstractNumId w:val="6"/>
  </w:num>
  <w:num w:numId="24">
    <w:abstractNumId w:val="23"/>
  </w:num>
  <w:num w:numId="25">
    <w:abstractNumId w:val="25"/>
  </w:num>
  <w:num w:numId="26">
    <w:abstractNumId w:val="28"/>
  </w:num>
  <w:num w:numId="27">
    <w:abstractNumId w:val="12"/>
  </w:num>
  <w:num w:numId="28">
    <w:abstractNumId w:val="1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556"/>
    <w:rsid w:val="00005E3C"/>
    <w:rsid w:val="00007C78"/>
    <w:rsid w:val="00010197"/>
    <w:rsid w:val="000123FB"/>
    <w:rsid w:val="0001572E"/>
    <w:rsid w:val="00023853"/>
    <w:rsid w:val="000246DD"/>
    <w:rsid w:val="00026715"/>
    <w:rsid w:val="00027385"/>
    <w:rsid w:val="00030C29"/>
    <w:rsid w:val="0003348D"/>
    <w:rsid w:val="00042555"/>
    <w:rsid w:val="00052814"/>
    <w:rsid w:val="00060549"/>
    <w:rsid w:val="000624DA"/>
    <w:rsid w:val="000641C7"/>
    <w:rsid w:val="00065C4D"/>
    <w:rsid w:val="000758B4"/>
    <w:rsid w:val="00081488"/>
    <w:rsid w:val="00084D6E"/>
    <w:rsid w:val="00084E82"/>
    <w:rsid w:val="00090AB5"/>
    <w:rsid w:val="000A03E1"/>
    <w:rsid w:val="000A0C4E"/>
    <w:rsid w:val="000A367F"/>
    <w:rsid w:val="000A3B29"/>
    <w:rsid w:val="000A559F"/>
    <w:rsid w:val="000A78CB"/>
    <w:rsid w:val="000B1082"/>
    <w:rsid w:val="000B28EB"/>
    <w:rsid w:val="000B581A"/>
    <w:rsid w:val="000C548F"/>
    <w:rsid w:val="000C7C7E"/>
    <w:rsid w:val="000C7FA1"/>
    <w:rsid w:val="000D3568"/>
    <w:rsid w:val="000D3EC5"/>
    <w:rsid w:val="000E0727"/>
    <w:rsid w:val="000E540D"/>
    <w:rsid w:val="000E6117"/>
    <w:rsid w:val="000F10B8"/>
    <w:rsid w:val="000F4987"/>
    <w:rsid w:val="0010378C"/>
    <w:rsid w:val="00103D5F"/>
    <w:rsid w:val="0010411F"/>
    <w:rsid w:val="00111BC2"/>
    <w:rsid w:val="0012447C"/>
    <w:rsid w:val="001328FF"/>
    <w:rsid w:val="001338CC"/>
    <w:rsid w:val="001404D3"/>
    <w:rsid w:val="00140EF9"/>
    <w:rsid w:val="00146157"/>
    <w:rsid w:val="001540D8"/>
    <w:rsid w:val="0015612A"/>
    <w:rsid w:val="00156B7C"/>
    <w:rsid w:val="0016278D"/>
    <w:rsid w:val="001665D9"/>
    <w:rsid w:val="00171819"/>
    <w:rsid w:val="001778A0"/>
    <w:rsid w:val="001837B5"/>
    <w:rsid w:val="00187EB0"/>
    <w:rsid w:val="00190211"/>
    <w:rsid w:val="00190473"/>
    <w:rsid w:val="0019255C"/>
    <w:rsid w:val="001A0FF3"/>
    <w:rsid w:val="001A493E"/>
    <w:rsid w:val="001A495F"/>
    <w:rsid w:val="001A6051"/>
    <w:rsid w:val="001B634E"/>
    <w:rsid w:val="001C06B8"/>
    <w:rsid w:val="001D04AB"/>
    <w:rsid w:val="001D153C"/>
    <w:rsid w:val="001D1557"/>
    <w:rsid w:val="001D609F"/>
    <w:rsid w:val="002007F4"/>
    <w:rsid w:val="00203CFB"/>
    <w:rsid w:val="00210BEE"/>
    <w:rsid w:val="00213973"/>
    <w:rsid w:val="002172DB"/>
    <w:rsid w:val="00225BB5"/>
    <w:rsid w:val="00225D3E"/>
    <w:rsid w:val="002408D7"/>
    <w:rsid w:val="00241825"/>
    <w:rsid w:val="00244888"/>
    <w:rsid w:val="002578E1"/>
    <w:rsid w:val="00257AB0"/>
    <w:rsid w:val="00272C81"/>
    <w:rsid w:val="00280ABB"/>
    <w:rsid w:val="0029654D"/>
    <w:rsid w:val="002A693E"/>
    <w:rsid w:val="002B074D"/>
    <w:rsid w:val="002B19AE"/>
    <w:rsid w:val="002C5CB5"/>
    <w:rsid w:val="002D511F"/>
    <w:rsid w:val="002D6DF8"/>
    <w:rsid w:val="002E03C4"/>
    <w:rsid w:val="002E0AD4"/>
    <w:rsid w:val="002E218E"/>
    <w:rsid w:val="002E49AC"/>
    <w:rsid w:val="002F16E5"/>
    <w:rsid w:val="002F2B1C"/>
    <w:rsid w:val="002F756F"/>
    <w:rsid w:val="003027AC"/>
    <w:rsid w:val="003060AB"/>
    <w:rsid w:val="00310E9C"/>
    <w:rsid w:val="00311587"/>
    <w:rsid w:val="00320DFC"/>
    <w:rsid w:val="00324D71"/>
    <w:rsid w:val="00330133"/>
    <w:rsid w:val="0033225D"/>
    <w:rsid w:val="0033262C"/>
    <w:rsid w:val="00336966"/>
    <w:rsid w:val="0036491E"/>
    <w:rsid w:val="00366A43"/>
    <w:rsid w:val="00367959"/>
    <w:rsid w:val="00377783"/>
    <w:rsid w:val="0038037E"/>
    <w:rsid w:val="00382C3C"/>
    <w:rsid w:val="00390AB8"/>
    <w:rsid w:val="00390F74"/>
    <w:rsid w:val="00393AB4"/>
    <w:rsid w:val="00394F6A"/>
    <w:rsid w:val="0039756C"/>
    <w:rsid w:val="003B208B"/>
    <w:rsid w:val="003B414D"/>
    <w:rsid w:val="003C03C3"/>
    <w:rsid w:val="003C3D09"/>
    <w:rsid w:val="003C57E1"/>
    <w:rsid w:val="003C5893"/>
    <w:rsid w:val="003D2BDA"/>
    <w:rsid w:val="003D7B57"/>
    <w:rsid w:val="003E1CB9"/>
    <w:rsid w:val="003E2826"/>
    <w:rsid w:val="003E35D6"/>
    <w:rsid w:val="003E58B5"/>
    <w:rsid w:val="003E7446"/>
    <w:rsid w:val="003F0F66"/>
    <w:rsid w:val="003F1442"/>
    <w:rsid w:val="003F2B92"/>
    <w:rsid w:val="003F390B"/>
    <w:rsid w:val="00404DA9"/>
    <w:rsid w:val="00410C0D"/>
    <w:rsid w:val="00417A95"/>
    <w:rsid w:val="004243A9"/>
    <w:rsid w:val="00427F74"/>
    <w:rsid w:val="0043304A"/>
    <w:rsid w:val="0043372C"/>
    <w:rsid w:val="00433757"/>
    <w:rsid w:val="004359AB"/>
    <w:rsid w:val="00442E9A"/>
    <w:rsid w:val="00443B05"/>
    <w:rsid w:val="00455627"/>
    <w:rsid w:val="00463B46"/>
    <w:rsid w:val="004734C2"/>
    <w:rsid w:val="004743BA"/>
    <w:rsid w:val="00476B6A"/>
    <w:rsid w:val="004821D7"/>
    <w:rsid w:val="004A4480"/>
    <w:rsid w:val="004A531C"/>
    <w:rsid w:val="004A71A8"/>
    <w:rsid w:val="004B1E29"/>
    <w:rsid w:val="004B7FFE"/>
    <w:rsid w:val="004C2389"/>
    <w:rsid w:val="004C3D5C"/>
    <w:rsid w:val="004C7381"/>
    <w:rsid w:val="004C73D8"/>
    <w:rsid w:val="004C7832"/>
    <w:rsid w:val="004E3C6E"/>
    <w:rsid w:val="004F07B9"/>
    <w:rsid w:val="004F2084"/>
    <w:rsid w:val="004F3389"/>
    <w:rsid w:val="00500C1E"/>
    <w:rsid w:val="0050367A"/>
    <w:rsid w:val="005103D6"/>
    <w:rsid w:val="00511C81"/>
    <w:rsid w:val="005147DB"/>
    <w:rsid w:val="00517686"/>
    <w:rsid w:val="00520278"/>
    <w:rsid w:val="0052764F"/>
    <w:rsid w:val="00536869"/>
    <w:rsid w:val="00536F08"/>
    <w:rsid w:val="00540616"/>
    <w:rsid w:val="00540F66"/>
    <w:rsid w:val="00546A86"/>
    <w:rsid w:val="0055211E"/>
    <w:rsid w:val="00553BC2"/>
    <w:rsid w:val="00556F3A"/>
    <w:rsid w:val="005614C4"/>
    <w:rsid w:val="005624A5"/>
    <w:rsid w:val="00567B01"/>
    <w:rsid w:val="00570587"/>
    <w:rsid w:val="00577C93"/>
    <w:rsid w:val="0058076F"/>
    <w:rsid w:val="005931CA"/>
    <w:rsid w:val="0059477A"/>
    <w:rsid w:val="00596C12"/>
    <w:rsid w:val="005A1024"/>
    <w:rsid w:val="005A15AC"/>
    <w:rsid w:val="005A41C5"/>
    <w:rsid w:val="005A5B6D"/>
    <w:rsid w:val="005A6304"/>
    <w:rsid w:val="005B2A2B"/>
    <w:rsid w:val="005C4C68"/>
    <w:rsid w:val="005D1C30"/>
    <w:rsid w:val="005E35E7"/>
    <w:rsid w:val="005E692F"/>
    <w:rsid w:val="005E7CF8"/>
    <w:rsid w:val="005F1C4D"/>
    <w:rsid w:val="005F6667"/>
    <w:rsid w:val="005F69C0"/>
    <w:rsid w:val="005F757F"/>
    <w:rsid w:val="005F7E07"/>
    <w:rsid w:val="006000BA"/>
    <w:rsid w:val="00607556"/>
    <w:rsid w:val="0061667D"/>
    <w:rsid w:val="00616EFF"/>
    <w:rsid w:val="006228B0"/>
    <w:rsid w:val="00624491"/>
    <w:rsid w:val="00631515"/>
    <w:rsid w:val="00631EEC"/>
    <w:rsid w:val="00636204"/>
    <w:rsid w:val="006448BF"/>
    <w:rsid w:val="00644F8C"/>
    <w:rsid w:val="006536CB"/>
    <w:rsid w:val="00663158"/>
    <w:rsid w:val="00685CEC"/>
    <w:rsid w:val="0068630A"/>
    <w:rsid w:val="00695191"/>
    <w:rsid w:val="006A73BC"/>
    <w:rsid w:val="006C019A"/>
    <w:rsid w:val="006C2446"/>
    <w:rsid w:val="006C6526"/>
    <w:rsid w:val="006D0DE3"/>
    <w:rsid w:val="006D494A"/>
    <w:rsid w:val="006D7F59"/>
    <w:rsid w:val="006E4BC1"/>
    <w:rsid w:val="006E6129"/>
    <w:rsid w:val="006F20DC"/>
    <w:rsid w:val="006F4FE5"/>
    <w:rsid w:val="006F7BE5"/>
    <w:rsid w:val="00706957"/>
    <w:rsid w:val="0072172F"/>
    <w:rsid w:val="00727D16"/>
    <w:rsid w:val="00731BA5"/>
    <w:rsid w:val="00733D12"/>
    <w:rsid w:val="00734F91"/>
    <w:rsid w:val="00735246"/>
    <w:rsid w:val="00751E44"/>
    <w:rsid w:val="00753AD2"/>
    <w:rsid w:val="0076184C"/>
    <w:rsid w:val="00766559"/>
    <w:rsid w:val="00770886"/>
    <w:rsid w:val="0077621D"/>
    <w:rsid w:val="00777AC6"/>
    <w:rsid w:val="00781B6F"/>
    <w:rsid w:val="0078619F"/>
    <w:rsid w:val="00787114"/>
    <w:rsid w:val="007A055D"/>
    <w:rsid w:val="007B0E24"/>
    <w:rsid w:val="007B2928"/>
    <w:rsid w:val="007C4400"/>
    <w:rsid w:val="007C7052"/>
    <w:rsid w:val="007E1B74"/>
    <w:rsid w:val="007E41F2"/>
    <w:rsid w:val="007F434C"/>
    <w:rsid w:val="00800C75"/>
    <w:rsid w:val="00802095"/>
    <w:rsid w:val="0080336D"/>
    <w:rsid w:val="00822F99"/>
    <w:rsid w:val="00825F78"/>
    <w:rsid w:val="00852643"/>
    <w:rsid w:val="0085791C"/>
    <w:rsid w:val="0086222A"/>
    <w:rsid w:val="00867220"/>
    <w:rsid w:val="00870344"/>
    <w:rsid w:val="00873165"/>
    <w:rsid w:val="008819BB"/>
    <w:rsid w:val="0088761F"/>
    <w:rsid w:val="00892BCE"/>
    <w:rsid w:val="008977D0"/>
    <w:rsid w:val="008A4698"/>
    <w:rsid w:val="008A77E6"/>
    <w:rsid w:val="008B0B3C"/>
    <w:rsid w:val="008B22D0"/>
    <w:rsid w:val="008B2B5B"/>
    <w:rsid w:val="008B4AA3"/>
    <w:rsid w:val="008C0916"/>
    <w:rsid w:val="008C09F7"/>
    <w:rsid w:val="008D2E6C"/>
    <w:rsid w:val="008D7109"/>
    <w:rsid w:val="008D775D"/>
    <w:rsid w:val="008E3864"/>
    <w:rsid w:val="008E7D9D"/>
    <w:rsid w:val="00901ADE"/>
    <w:rsid w:val="00912C16"/>
    <w:rsid w:val="0091476B"/>
    <w:rsid w:val="00915817"/>
    <w:rsid w:val="00922D6A"/>
    <w:rsid w:val="00923806"/>
    <w:rsid w:val="00924BD9"/>
    <w:rsid w:val="00925060"/>
    <w:rsid w:val="0092679A"/>
    <w:rsid w:val="00926842"/>
    <w:rsid w:val="00927D9C"/>
    <w:rsid w:val="00930FF2"/>
    <w:rsid w:val="009321A1"/>
    <w:rsid w:val="009360CF"/>
    <w:rsid w:val="00960939"/>
    <w:rsid w:val="00960EB0"/>
    <w:rsid w:val="00963C34"/>
    <w:rsid w:val="00964863"/>
    <w:rsid w:val="00975AA4"/>
    <w:rsid w:val="00977068"/>
    <w:rsid w:val="009800C4"/>
    <w:rsid w:val="00980C15"/>
    <w:rsid w:val="0098339E"/>
    <w:rsid w:val="00986992"/>
    <w:rsid w:val="0099478A"/>
    <w:rsid w:val="009A4C4B"/>
    <w:rsid w:val="009A5178"/>
    <w:rsid w:val="009B0767"/>
    <w:rsid w:val="009B3908"/>
    <w:rsid w:val="009C3CFE"/>
    <w:rsid w:val="009D1B87"/>
    <w:rsid w:val="009D34BA"/>
    <w:rsid w:val="009E34A8"/>
    <w:rsid w:val="009E7796"/>
    <w:rsid w:val="00A0026A"/>
    <w:rsid w:val="00A0212A"/>
    <w:rsid w:val="00A02679"/>
    <w:rsid w:val="00A1228F"/>
    <w:rsid w:val="00A1472D"/>
    <w:rsid w:val="00A15259"/>
    <w:rsid w:val="00A20346"/>
    <w:rsid w:val="00A215EA"/>
    <w:rsid w:val="00A23767"/>
    <w:rsid w:val="00A23AA3"/>
    <w:rsid w:val="00A32358"/>
    <w:rsid w:val="00A3292C"/>
    <w:rsid w:val="00A334A1"/>
    <w:rsid w:val="00A3455F"/>
    <w:rsid w:val="00A36526"/>
    <w:rsid w:val="00A366EE"/>
    <w:rsid w:val="00A402D9"/>
    <w:rsid w:val="00A41D89"/>
    <w:rsid w:val="00A51834"/>
    <w:rsid w:val="00A5489A"/>
    <w:rsid w:val="00A56D5F"/>
    <w:rsid w:val="00A64010"/>
    <w:rsid w:val="00A71561"/>
    <w:rsid w:val="00A74358"/>
    <w:rsid w:val="00A749BE"/>
    <w:rsid w:val="00A755D5"/>
    <w:rsid w:val="00A756ED"/>
    <w:rsid w:val="00A8176F"/>
    <w:rsid w:val="00A910B4"/>
    <w:rsid w:val="00AA2212"/>
    <w:rsid w:val="00AB011F"/>
    <w:rsid w:val="00AB5D92"/>
    <w:rsid w:val="00AC03A1"/>
    <w:rsid w:val="00AC4CEE"/>
    <w:rsid w:val="00AD7337"/>
    <w:rsid w:val="00AE2023"/>
    <w:rsid w:val="00AE3E3E"/>
    <w:rsid w:val="00AF40A3"/>
    <w:rsid w:val="00AF4B99"/>
    <w:rsid w:val="00AF6DEA"/>
    <w:rsid w:val="00B02CC0"/>
    <w:rsid w:val="00B04DE8"/>
    <w:rsid w:val="00B04E65"/>
    <w:rsid w:val="00B065A9"/>
    <w:rsid w:val="00B10524"/>
    <w:rsid w:val="00B137AE"/>
    <w:rsid w:val="00B14C3C"/>
    <w:rsid w:val="00B15A05"/>
    <w:rsid w:val="00B1603F"/>
    <w:rsid w:val="00B23EBD"/>
    <w:rsid w:val="00B27F17"/>
    <w:rsid w:val="00B33F10"/>
    <w:rsid w:val="00B40780"/>
    <w:rsid w:val="00B4761E"/>
    <w:rsid w:val="00B5671C"/>
    <w:rsid w:val="00B82B48"/>
    <w:rsid w:val="00B84BC0"/>
    <w:rsid w:val="00B85300"/>
    <w:rsid w:val="00B949E4"/>
    <w:rsid w:val="00B95236"/>
    <w:rsid w:val="00B95BBB"/>
    <w:rsid w:val="00B96159"/>
    <w:rsid w:val="00B963E2"/>
    <w:rsid w:val="00BA1AA5"/>
    <w:rsid w:val="00BA318D"/>
    <w:rsid w:val="00BB066B"/>
    <w:rsid w:val="00BB3A6E"/>
    <w:rsid w:val="00BB5AC6"/>
    <w:rsid w:val="00BB6D77"/>
    <w:rsid w:val="00BB7F93"/>
    <w:rsid w:val="00BC5CE9"/>
    <w:rsid w:val="00BC5F14"/>
    <w:rsid w:val="00BC6352"/>
    <w:rsid w:val="00BD402C"/>
    <w:rsid w:val="00BF05AB"/>
    <w:rsid w:val="00BF1E33"/>
    <w:rsid w:val="00BF7C24"/>
    <w:rsid w:val="00C00A9E"/>
    <w:rsid w:val="00C0627B"/>
    <w:rsid w:val="00C11CAB"/>
    <w:rsid w:val="00C14D39"/>
    <w:rsid w:val="00C21463"/>
    <w:rsid w:val="00C25023"/>
    <w:rsid w:val="00C256BF"/>
    <w:rsid w:val="00C463ED"/>
    <w:rsid w:val="00C52172"/>
    <w:rsid w:val="00C57554"/>
    <w:rsid w:val="00C65331"/>
    <w:rsid w:val="00C71150"/>
    <w:rsid w:val="00C8547C"/>
    <w:rsid w:val="00C873F1"/>
    <w:rsid w:val="00CA05B1"/>
    <w:rsid w:val="00CA1D66"/>
    <w:rsid w:val="00CA701F"/>
    <w:rsid w:val="00CB345E"/>
    <w:rsid w:val="00CD0E7A"/>
    <w:rsid w:val="00CD4913"/>
    <w:rsid w:val="00CE1A1A"/>
    <w:rsid w:val="00CF2048"/>
    <w:rsid w:val="00CF48B5"/>
    <w:rsid w:val="00CF64E6"/>
    <w:rsid w:val="00D03777"/>
    <w:rsid w:val="00D13743"/>
    <w:rsid w:val="00D16907"/>
    <w:rsid w:val="00D269EA"/>
    <w:rsid w:val="00D316C0"/>
    <w:rsid w:val="00D32914"/>
    <w:rsid w:val="00D33B51"/>
    <w:rsid w:val="00D42BA8"/>
    <w:rsid w:val="00D42D2D"/>
    <w:rsid w:val="00D500DA"/>
    <w:rsid w:val="00D5073D"/>
    <w:rsid w:val="00D5130A"/>
    <w:rsid w:val="00D52C0C"/>
    <w:rsid w:val="00D54F43"/>
    <w:rsid w:val="00D60A8F"/>
    <w:rsid w:val="00D70F38"/>
    <w:rsid w:val="00D74678"/>
    <w:rsid w:val="00D74F57"/>
    <w:rsid w:val="00D7551E"/>
    <w:rsid w:val="00D815CD"/>
    <w:rsid w:val="00D84538"/>
    <w:rsid w:val="00D861DE"/>
    <w:rsid w:val="00D87A01"/>
    <w:rsid w:val="00D87BEE"/>
    <w:rsid w:val="00D97276"/>
    <w:rsid w:val="00DA5B9E"/>
    <w:rsid w:val="00DA6F3E"/>
    <w:rsid w:val="00DB197B"/>
    <w:rsid w:val="00DB29E4"/>
    <w:rsid w:val="00DB434D"/>
    <w:rsid w:val="00DB5C23"/>
    <w:rsid w:val="00DC26E9"/>
    <w:rsid w:val="00DD6E7C"/>
    <w:rsid w:val="00DE0081"/>
    <w:rsid w:val="00DE15CC"/>
    <w:rsid w:val="00DE6D38"/>
    <w:rsid w:val="00E019D4"/>
    <w:rsid w:val="00E022A6"/>
    <w:rsid w:val="00E03941"/>
    <w:rsid w:val="00E05AB6"/>
    <w:rsid w:val="00E10976"/>
    <w:rsid w:val="00E14621"/>
    <w:rsid w:val="00E17F15"/>
    <w:rsid w:val="00E20E49"/>
    <w:rsid w:val="00E22511"/>
    <w:rsid w:val="00E30112"/>
    <w:rsid w:val="00E373B3"/>
    <w:rsid w:val="00E41785"/>
    <w:rsid w:val="00E54A2A"/>
    <w:rsid w:val="00E54ACB"/>
    <w:rsid w:val="00E56CC1"/>
    <w:rsid w:val="00E57CFA"/>
    <w:rsid w:val="00E60B77"/>
    <w:rsid w:val="00E6267B"/>
    <w:rsid w:val="00E67921"/>
    <w:rsid w:val="00E72012"/>
    <w:rsid w:val="00E8322F"/>
    <w:rsid w:val="00E85396"/>
    <w:rsid w:val="00E938F5"/>
    <w:rsid w:val="00E95FE9"/>
    <w:rsid w:val="00E9795E"/>
    <w:rsid w:val="00EA0A90"/>
    <w:rsid w:val="00EA1423"/>
    <w:rsid w:val="00EA1F57"/>
    <w:rsid w:val="00EB2D62"/>
    <w:rsid w:val="00EB3836"/>
    <w:rsid w:val="00EB4F07"/>
    <w:rsid w:val="00EB6E33"/>
    <w:rsid w:val="00EB7638"/>
    <w:rsid w:val="00EC20EF"/>
    <w:rsid w:val="00EC77D9"/>
    <w:rsid w:val="00ED46FB"/>
    <w:rsid w:val="00ED661B"/>
    <w:rsid w:val="00EE2A41"/>
    <w:rsid w:val="00EE4919"/>
    <w:rsid w:val="00EE707B"/>
    <w:rsid w:val="00EF2A64"/>
    <w:rsid w:val="00EF30FC"/>
    <w:rsid w:val="00EF5374"/>
    <w:rsid w:val="00F057A8"/>
    <w:rsid w:val="00F16D04"/>
    <w:rsid w:val="00F30100"/>
    <w:rsid w:val="00F338D8"/>
    <w:rsid w:val="00F36AFA"/>
    <w:rsid w:val="00F40982"/>
    <w:rsid w:val="00F45A75"/>
    <w:rsid w:val="00F507AB"/>
    <w:rsid w:val="00F57217"/>
    <w:rsid w:val="00F664AC"/>
    <w:rsid w:val="00F674EA"/>
    <w:rsid w:val="00F73BAF"/>
    <w:rsid w:val="00F77DC4"/>
    <w:rsid w:val="00F827F8"/>
    <w:rsid w:val="00F82D72"/>
    <w:rsid w:val="00F965BD"/>
    <w:rsid w:val="00FA2FF3"/>
    <w:rsid w:val="00FB40C1"/>
    <w:rsid w:val="00FC39B8"/>
    <w:rsid w:val="00FC731F"/>
    <w:rsid w:val="00FD03B3"/>
    <w:rsid w:val="00FE0AC1"/>
    <w:rsid w:val="00FF441F"/>
    <w:rsid w:val="00FF5D1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qFormat="1"/>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nhideWhenUsed="0" w:qFormat="1"/>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8D2E6C"/>
    <w:rPr>
      <w:sz w:val="24"/>
      <w:lang w:val="sk-SK" w:eastAsia="cs-CZ" w:bidi="ar-SA"/>
    </w:rPr>
  </w:style>
  <w:style w:type="paragraph" w:styleId="Heading1">
    <w:name w:val="heading 1"/>
    <w:basedOn w:val="Normal"/>
    <w:next w:val="Normal"/>
    <w:qFormat/>
    <w:pPr>
      <w:keepNext/>
      <w:spacing w:before="240"/>
      <w:jc w:val="center"/>
      <w:outlineLvl w:val="0"/>
    </w:pPr>
    <w:rPr>
      <w:b/>
      <w:noProof w:val="0"/>
      <w:kern w:val="28"/>
    </w:rPr>
  </w:style>
  <w:style w:type="paragraph" w:styleId="Heading2">
    <w:name w:val="heading 2"/>
    <w:basedOn w:val="Normal"/>
    <w:next w:val="Normal"/>
    <w:qFormat/>
    <w:pPr>
      <w:keepNext/>
      <w:widowControl w:val="0"/>
      <w:ind w:left="705" w:hanging="705"/>
      <w:jc w:val="center"/>
      <w:outlineLvl w:val="1"/>
    </w:pPr>
    <w:rPr>
      <w:rFonts w:ascii="Bookman Old Style" w:hAnsi="Bookman Old Style"/>
      <w:b/>
      <w:spacing w:val="-5"/>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link w:val="Nadpis6Char"/>
    <w:qFormat/>
    <w:pPr>
      <w:keepNext/>
      <w:jc w:val="both"/>
      <w:outlineLvl w:val="5"/>
    </w:pPr>
    <w:rPr>
      <w:b/>
      <w:sz w:val="16"/>
    </w:rPr>
  </w:style>
  <w:style w:type="paragraph" w:styleId="Heading7">
    <w:name w:val="heading 7"/>
    <w:basedOn w:val="Normal"/>
    <w:next w:val="Normal"/>
    <w:qFormat/>
    <w:pPr>
      <w:keepNext/>
      <w:ind w:left="567"/>
      <w:jc w:val="both"/>
      <w:outlineLvl w:val="6"/>
    </w:pPr>
    <w:rPr>
      <w:b/>
      <w:bCs/>
      <w:i/>
      <w:iCs/>
    </w:rPr>
  </w:style>
  <w:style w:type="paragraph" w:styleId="Heading8">
    <w:name w:val="heading 8"/>
    <w:basedOn w:val="Normal"/>
    <w:next w:val="Normal"/>
    <w:qFormat/>
    <w:pPr>
      <w:keepNext/>
      <w:jc w:val="center"/>
      <w:outlineLvl w:val="7"/>
    </w:pPr>
    <w:rPr>
      <w:i/>
      <w:iCs/>
      <w:sz w:val="20"/>
    </w:rPr>
  </w:style>
  <w:style w:type="paragraph" w:styleId="Heading9">
    <w:name w:val="heading 9"/>
    <w:basedOn w:val="Normal"/>
    <w:next w:val="Normal"/>
    <w:qFormat/>
    <w:pPr>
      <w:keepNext/>
      <w:ind w:left="567"/>
      <w:jc w:val="both"/>
      <w:outlineLvl w:val="8"/>
    </w:pPr>
    <w:rPr>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customStyle="1" w:styleId="BodyText21">
    <w:name w:val="Body Text 21"/>
    <w:basedOn w:val="Normal"/>
    <w:pPr>
      <w:spacing w:before="120" w:line="240" w:lineRule="atLeast"/>
      <w:jc w:val="both"/>
    </w:pPr>
    <w:rPr>
      <w:sz w:val="20"/>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jc w:val="both"/>
    </w:pPr>
    <w:rPr>
      <w:color w:val="FF0000"/>
      <w:sz w:val="20"/>
    </w:rPr>
  </w:style>
  <w:style w:type="paragraph" w:styleId="BodyTextIndent2">
    <w:name w:val="Body Text Indent 2"/>
    <w:basedOn w:val="Normal"/>
    <w:pPr>
      <w:ind w:left="-44"/>
    </w:pPr>
    <w:rPr>
      <w:sz w:val="20"/>
    </w:rPr>
  </w:style>
  <w:style w:type="paragraph" w:styleId="BodyTextIndent3">
    <w:name w:val="Body Text Indent 3"/>
    <w:basedOn w:val="Normal"/>
    <w:pPr>
      <w:ind w:left="426" w:hanging="426"/>
      <w:jc w:val="both"/>
    </w:pPr>
  </w:style>
  <w:style w:type="paragraph" w:customStyle="1" w:styleId="odsek">
    <w:name w:val="odsek"/>
    <w:basedOn w:val="Normal"/>
    <w:pPr>
      <w:spacing w:before="240"/>
      <w:jc w:val="both"/>
    </w:pPr>
    <w:rPr>
      <w:noProof w:val="0"/>
      <w:color w:val="000000"/>
    </w:rPr>
  </w:style>
  <w:style w:type="character" w:styleId="FootnoteReference">
    <w:name w:val="footnote reference"/>
    <w:uiPriority w:val="99"/>
    <w:qFormat/>
    <w:rPr>
      <w:vertAlign w:val="superscript"/>
    </w:rPr>
  </w:style>
  <w:style w:type="paragraph" w:styleId="FootnoteText">
    <w:name w:val="footnote text"/>
    <w:basedOn w:val="Normal"/>
    <w:link w:val="TextpoznmkypodiarouChar"/>
    <w:uiPriority w:val="99"/>
    <w:qFormat/>
    <w:rPr>
      <w:noProof w:val="0"/>
    </w:rPr>
  </w:style>
  <w:style w:type="paragraph" w:customStyle="1" w:styleId="pismeno">
    <w:name w:val="pismeno"/>
    <w:basedOn w:val="Normal"/>
    <w:pPr>
      <w:numPr>
        <w:ilvl w:val="0"/>
        <w:numId w:val="1"/>
      </w:numPr>
      <w:tabs>
        <w:tab w:val="left" w:pos="426"/>
      </w:tabs>
      <w:spacing w:before="60"/>
      <w:jc w:val="both"/>
    </w:pPr>
    <w:rPr>
      <w:noProof w:val="0"/>
    </w:rPr>
  </w:style>
  <w:style w:type="character" w:styleId="CommentReference">
    <w:name w:val="annotation reference"/>
    <w:semiHidden/>
    <w:rPr>
      <w:sz w:val="16"/>
    </w:rPr>
  </w:style>
  <w:style w:type="paragraph" w:styleId="CommentText">
    <w:name w:val="annotation text"/>
    <w:basedOn w:val="Normal"/>
    <w:link w:val="TextkomentraChar"/>
    <w:semiHidden/>
    <w:rPr>
      <w:noProof w:val="0"/>
    </w:rPr>
  </w:style>
  <w:style w:type="paragraph" w:customStyle="1" w:styleId="zaklad">
    <w:name w:val="zaklad"/>
    <w:basedOn w:val="BodyText"/>
    <w:pPr>
      <w:widowControl w:val="0"/>
      <w:jc w:val="left"/>
    </w:pPr>
    <w:rPr>
      <w:noProof w:val="0"/>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color w:val="339966"/>
    </w:rPr>
  </w:style>
  <w:style w:type="paragraph" w:styleId="BodyText3">
    <w:name w:val="Body Text 3"/>
    <w:basedOn w:val="Normal"/>
    <w:pPr>
      <w:jc w:val="both"/>
    </w:pPr>
    <w:rPr>
      <w:color w:val="339966"/>
    </w:rPr>
  </w:style>
  <w:style w:type="paragraph" w:customStyle="1" w:styleId="Textpsmene">
    <w:name w:val="Text písmene"/>
    <w:basedOn w:val="Normal"/>
    <w:pPr>
      <w:numPr>
        <w:ilvl w:val="0"/>
        <w:numId w:val="2"/>
      </w:numPr>
      <w:jc w:val="both"/>
    </w:pPr>
    <w:rPr>
      <w:noProof w:val="0"/>
      <w:lang w:val="cs-CZ"/>
    </w:rPr>
  </w:style>
  <w:style w:type="paragraph" w:styleId="ListBullet">
    <w:name w:val="List Bullet"/>
    <w:basedOn w:val="Normal"/>
    <w:autoRedefine/>
    <w:pPr>
      <w:numPr>
        <w:ilvl w:val="0"/>
        <w:numId w:val="3"/>
      </w:numPr>
    </w:pPr>
  </w:style>
  <w:style w:type="paragraph" w:styleId="Header">
    <w:name w:val="header"/>
    <w:basedOn w:val="Normal"/>
    <w:pPr>
      <w:tabs>
        <w:tab w:val="center" w:pos="4536"/>
        <w:tab w:val="right" w:pos="9072"/>
      </w:tabs>
    </w:pPr>
    <w:rPr>
      <w:sz w:val="20"/>
      <w:lang w:eastAsia="sk-SK"/>
    </w:rPr>
  </w:style>
  <w:style w:type="paragraph" w:styleId="BodyTextFirstIndent">
    <w:name w:val="Body Text First Indent"/>
    <w:basedOn w:val="BodyText"/>
    <w:pPr>
      <w:spacing w:after="120"/>
      <w:ind w:firstLine="210"/>
      <w:jc w:val="left"/>
    </w:pPr>
    <w:rPr>
      <w:lang w:eastAsia="sk-SK"/>
    </w:rPr>
  </w:style>
  <w:style w:type="paragraph" w:customStyle="1" w:styleId="Zkladntext">
    <w:name w:val="Z‡kladn’ text"/>
    <w:basedOn w:val="Normal"/>
    <w:rPr>
      <w:b/>
      <w:noProof w:val="0"/>
      <w:lang w:val="cs-CZ"/>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J-formtdokumentu">
    <w:name w:val="J-formát dokumentu"/>
    <w:basedOn w:val="Normal"/>
    <w:pPr>
      <w:spacing w:before="120"/>
      <w:jc w:val="both"/>
    </w:pPr>
    <w:rPr>
      <w:rFonts w:ascii="Arial" w:hAnsi="Arial"/>
      <w:sz w:val="22"/>
      <w:lang w:eastAsia="en-US"/>
    </w:rPr>
  </w:style>
  <w:style w:type="paragraph" w:customStyle="1" w:styleId="BodyText20">
    <w:name w:val="Body Text 2"/>
    <w:basedOn w:val="Normal"/>
    <w:pPr>
      <w:ind w:left="426" w:hanging="426"/>
      <w:jc w:val="both"/>
    </w:pPr>
  </w:style>
  <w:style w:type="paragraph" w:styleId="Subtitle">
    <w:name w:val="Subtitle"/>
    <w:basedOn w:val="Normal"/>
    <w:qFormat/>
    <w:rsid w:val="00DE0081"/>
    <w:pPr>
      <w:spacing w:after="60"/>
      <w:jc w:val="center"/>
      <w:outlineLvl w:val="1"/>
    </w:pPr>
    <w:rPr>
      <w:rFonts w:ascii="Arial" w:hAnsi="Arial"/>
    </w:rPr>
  </w:style>
  <w:style w:type="paragraph" w:styleId="Salutation">
    <w:name w:val="Salutation"/>
    <w:basedOn w:val="Normal"/>
    <w:next w:val="Normal"/>
    <w:rsid w:val="00DE0081"/>
  </w:style>
  <w:style w:type="paragraph" w:styleId="List">
    <w:name w:val="List"/>
    <w:basedOn w:val="Normal"/>
    <w:rsid w:val="003060AB"/>
    <w:pPr>
      <w:ind w:left="283" w:hanging="283"/>
    </w:pPr>
  </w:style>
  <w:style w:type="paragraph" w:customStyle="1" w:styleId="CM1">
    <w:name w:val="CM1"/>
    <w:basedOn w:val="Normal"/>
    <w:next w:val="Normal"/>
    <w:uiPriority w:val="99"/>
    <w:rsid w:val="00B4761E"/>
    <w:pPr>
      <w:autoSpaceDE w:val="0"/>
      <w:autoSpaceDN w:val="0"/>
      <w:adjustRightInd w:val="0"/>
    </w:pPr>
    <w:rPr>
      <w:szCs w:val="24"/>
      <w:lang w:eastAsia="sk-SK"/>
    </w:rPr>
  </w:style>
  <w:style w:type="paragraph" w:customStyle="1" w:styleId="CM3">
    <w:name w:val="CM3"/>
    <w:basedOn w:val="Normal"/>
    <w:next w:val="Normal"/>
    <w:uiPriority w:val="99"/>
    <w:rsid w:val="00B4761E"/>
    <w:pPr>
      <w:autoSpaceDE w:val="0"/>
      <w:autoSpaceDN w:val="0"/>
      <w:adjustRightInd w:val="0"/>
    </w:pPr>
    <w:rPr>
      <w:szCs w:val="24"/>
      <w:lang w:eastAsia="sk-SK"/>
    </w:rPr>
  </w:style>
  <w:style w:type="paragraph" w:customStyle="1" w:styleId="CM4">
    <w:name w:val="CM4"/>
    <w:basedOn w:val="Normal"/>
    <w:next w:val="Normal"/>
    <w:uiPriority w:val="99"/>
    <w:rsid w:val="00C65331"/>
    <w:pPr>
      <w:autoSpaceDE w:val="0"/>
      <w:autoSpaceDN w:val="0"/>
      <w:adjustRightInd w:val="0"/>
    </w:pPr>
    <w:rPr>
      <w:szCs w:val="24"/>
      <w:lang w:eastAsia="sk-SK"/>
    </w:rPr>
  </w:style>
  <w:style w:type="character" w:customStyle="1" w:styleId="TextpoznmkypodiarouChar">
    <w:name w:val="Text poznámky pod čiarou Char"/>
    <w:link w:val="FootnoteText"/>
    <w:uiPriority w:val="99"/>
    <w:rsid w:val="00A02679"/>
    <w:rPr>
      <w:sz w:val="24"/>
      <w:lang w:eastAsia="cs-CZ"/>
    </w:rPr>
  </w:style>
  <w:style w:type="paragraph" w:customStyle="1" w:styleId="odsek1">
    <w:name w:val="odsek1"/>
    <w:basedOn w:val="odsek"/>
    <w:autoRedefine/>
    <w:qFormat/>
    <w:rsid w:val="000C7FA1"/>
    <w:pPr>
      <w:keepNext/>
      <w:spacing w:before="60" w:after="60"/>
    </w:pPr>
    <w:rPr>
      <w:color w:val="231F20"/>
      <w:sz w:val="20"/>
      <w:lang w:eastAsia="sk-SK"/>
    </w:rPr>
  </w:style>
  <w:style w:type="paragraph" w:customStyle="1" w:styleId="adda">
    <w:name w:val="adda"/>
    <w:basedOn w:val="Normal"/>
    <w:autoRedefine/>
    <w:qFormat/>
    <w:rsid w:val="00DE15CC"/>
    <w:pPr>
      <w:keepNext/>
      <w:numPr>
        <w:ilvl w:val="0"/>
        <w:numId w:val="7"/>
      </w:numPr>
      <w:spacing w:before="60" w:after="60"/>
      <w:ind w:left="357" w:hanging="357"/>
      <w:jc w:val="both"/>
    </w:pPr>
    <w:rPr>
      <w:rFonts w:eastAsia="Calibri"/>
      <w:szCs w:val="22"/>
      <w:lang w:eastAsia="en-US"/>
    </w:rPr>
  </w:style>
  <w:style w:type="paragraph" w:customStyle="1" w:styleId="Tiret0">
    <w:name w:val="Tiret 0"/>
    <w:basedOn w:val="Normal"/>
    <w:rsid w:val="00394F6A"/>
    <w:pPr>
      <w:numPr>
        <w:ilvl w:val="0"/>
        <w:numId w:val="8"/>
      </w:numPr>
      <w:spacing w:before="120" w:after="120"/>
      <w:jc w:val="both"/>
    </w:pPr>
    <w:rPr>
      <w:szCs w:val="24"/>
      <w:lang w:eastAsia="en-US"/>
    </w:rPr>
  </w:style>
  <w:style w:type="paragraph" w:styleId="EndnoteText">
    <w:name w:val="endnote text"/>
    <w:aliases w:val="Text koncovej poznámky"/>
    <w:basedOn w:val="Normal"/>
    <w:link w:val="TextkoncovejpoznmkyChar"/>
    <w:rsid w:val="00394F6A"/>
    <w:rPr>
      <w:sz w:val="20"/>
    </w:rPr>
  </w:style>
  <w:style w:type="character" w:customStyle="1" w:styleId="TextkoncovejpoznmkyChar">
    <w:name w:val="Text koncovej poznámky Char"/>
    <w:link w:val="EndnoteText"/>
    <w:rsid w:val="00394F6A"/>
    <w:rPr>
      <w:lang w:eastAsia="cs-CZ"/>
    </w:rPr>
  </w:style>
  <w:style w:type="character" w:styleId="EndnoteReference">
    <w:name w:val="endnote reference"/>
    <w:aliases w:val="Odkaz na koncovú poznámku"/>
    <w:rsid w:val="00394F6A"/>
    <w:rPr>
      <w:vertAlign w:val="superscript"/>
    </w:rPr>
  </w:style>
  <w:style w:type="character" w:customStyle="1" w:styleId="formtext">
    <w:name w:val="formtext"/>
    <w:basedOn w:val="DefaultParagraphFont"/>
    <w:rsid w:val="00B14C3C"/>
  </w:style>
  <w:style w:type="character" w:customStyle="1" w:styleId="Nadpis6Char">
    <w:name w:val="Nadpis 6 Char"/>
    <w:link w:val="Heading6"/>
    <w:rsid w:val="002B19AE"/>
    <w:rPr>
      <w:b/>
      <w:sz w:val="16"/>
      <w:lang w:eastAsia="cs-CZ"/>
    </w:rPr>
  </w:style>
  <w:style w:type="paragraph" w:styleId="BalloonText">
    <w:name w:val="Balloon Text"/>
    <w:basedOn w:val="Normal"/>
    <w:link w:val="TextbublinyChar"/>
    <w:rsid w:val="00F16D04"/>
    <w:rPr>
      <w:rFonts w:ascii="Tahoma" w:hAnsi="Tahoma" w:cs="Tahoma"/>
      <w:sz w:val="16"/>
      <w:szCs w:val="16"/>
    </w:rPr>
  </w:style>
  <w:style w:type="character" w:customStyle="1" w:styleId="TextbublinyChar">
    <w:name w:val="Text bubliny Char"/>
    <w:link w:val="BalloonText"/>
    <w:rsid w:val="00F16D04"/>
    <w:rPr>
      <w:rFonts w:ascii="Tahoma" w:hAnsi="Tahoma" w:cs="Tahoma"/>
      <w:sz w:val="16"/>
      <w:szCs w:val="16"/>
      <w:lang w:eastAsia="cs-CZ"/>
    </w:rPr>
  </w:style>
  <w:style w:type="paragraph" w:customStyle="1" w:styleId="83ErlText">
    <w:name w:val="83_ErlText"/>
    <w:basedOn w:val="Normal"/>
    <w:rsid w:val="005F69C0"/>
    <w:pPr>
      <w:snapToGrid w:val="0"/>
      <w:spacing w:before="80" w:line="220" w:lineRule="exact"/>
      <w:jc w:val="both"/>
    </w:pPr>
    <w:rPr>
      <w:color w:val="000000"/>
      <w:sz w:val="20"/>
      <w:lang w:val="de-DE" w:eastAsia="de-DE"/>
    </w:rPr>
  </w:style>
  <w:style w:type="character" w:customStyle="1" w:styleId="formtitle">
    <w:name w:val="formtitle"/>
    <w:rsid w:val="005F69C0"/>
  </w:style>
  <w:style w:type="paragraph" w:styleId="EnvelopeReturn">
    <w:name w:val="envelope return"/>
    <w:basedOn w:val="Normal"/>
    <w:rsid w:val="00F674EA"/>
    <w:rPr>
      <w:rFonts w:ascii="Arial" w:hAnsi="Arial" w:cs="Arial"/>
      <w:szCs w:val="24"/>
    </w:rPr>
  </w:style>
  <w:style w:type="paragraph" w:styleId="CommentSubject">
    <w:name w:val="annotation subject"/>
    <w:basedOn w:val="CommentText"/>
    <w:next w:val="CommentText"/>
    <w:link w:val="PredmetkomentraChar"/>
    <w:rsid w:val="003D2BDA"/>
    <w:rPr>
      <w:b/>
      <w:bCs/>
      <w:sz w:val="20"/>
    </w:rPr>
  </w:style>
  <w:style w:type="character" w:customStyle="1" w:styleId="TextkomentraChar">
    <w:name w:val="Text komentára Char"/>
    <w:link w:val="CommentText"/>
    <w:semiHidden/>
    <w:rsid w:val="003D2BDA"/>
    <w:rPr>
      <w:sz w:val="24"/>
      <w:lang w:eastAsia="cs-CZ"/>
    </w:rPr>
  </w:style>
  <w:style w:type="character" w:customStyle="1" w:styleId="PredmetkomentraChar">
    <w:name w:val="Predmet komentára Char"/>
    <w:link w:val="CommentSubject"/>
    <w:rsid w:val="003D2BDA"/>
    <w:rPr>
      <w:b/>
      <w:bCs/>
      <w:sz w:val="24"/>
      <w:lang w:eastAsia="cs-CZ"/>
    </w:rPr>
  </w:style>
  <w:style w:type="paragraph" w:styleId="ListParagraph">
    <w:name w:val="List Paragraph"/>
    <w:basedOn w:val="Normal"/>
    <w:link w:val="OdsekzoznamuChar"/>
    <w:uiPriority w:val="34"/>
    <w:qFormat/>
    <w:rsid w:val="00964863"/>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link w:val="ListParagraph"/>
    <w:uiPriority w:val="34"/>
    <w:qFormat/>
    <w:locked/>
    <w:rsid w:val="00964863"/>
    <w:rPr>
      <w:rFonts w:ascii="Calibri" w:eastAsia="Calibri" w:hAnsi="Calibri"/>
      <w:sz w:val="22"/>
      <w:szCs w:val="22"/>
      <w:lang w:eastAsia="en-US"/>
    </w:rPr>
  </w:style>
  <w:style w:type="paragraph" w:styleId="NormalWeb">
    <w:name w:val="Normal (Web)"/>
    <w:basedOn w:val="Normal"/>
    <w:uiPriority w:val="99"/>
    <w:unhideWhenUsed/>
    <w:qFormat/>
    <w:rsid w:val="002A693E"/>
    <w:pPr>
      <w:spacing w:after="120" w:line="276" w:lineRule="auto"/>
    </w:pPr>
    <w:rPr>
      <w:rFonts w:eastAsia="Calibri"/>
      <w:szCs w:val="24"/>
      <w:lang w:eastAsia="sk-SK"/>
    </w:rPr>
  </w:style>
  <w:style w:type="paragraph" w:customStyle="1" w:styleId="Paragrafyzkona">
    <w:name w:val="Paragrafy zákona"/>
    <w:basedOn w:val="Heading2"/>
    <w:qFormat/>
    <w:rsid w:val="002A693E"/>
    <w:pPr>
      <w:keepLines/>
      <w:widowControl/>
      <w:spacing w:before="360" w:line="276" w:lineRule="auto"/>
      <w:ind w:left="0" w:firstLine="0"/>
    </w:pPr>
    <w:rPr>
      <w:rFonts w:ascii="Times New Roman" w:hAnsi="Times New Roman"/>
      <w:spacing w:val="0"/>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tn.sk/eshop/public/standard_detail.aspx?id=63077" TargetMode="External" /><Relationship Id="rId6" Type="http://schemas.openxmlformats.org/officeDocument/2006/relationships/hyperlink" Target="http://www.sutn.sk/eshop/public/standard_detail.aspx?id=90248" TargetMode="Externa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3100-CCFC-4935-8E26-607AC01A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11055</Words>
  <Characters>63018</Characters>
  <Application>Microsoft Office Word</Application>
  <DocSecurity>0</DocSecurity>
  <Lines>525</Lines>
  <Paragraphs>147</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MZP</Company>
  <LinksUpToDate>false</LinksUpToDate>
  <CharactersWithSpaces>73926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Andrea</cp:lastModifiedBy>
  <cp:revision>5</cp:revision>
  <cp:lastPrinted>2015-03-04T11:30:00Z</cp:lastPrinted>
  <dcterms:created xsi:type="dcterms:W3CDTF">2022-09-30T07:49:00Z</dcterms:created>
  <dcterms:modified xsi:type="dcterms:W3CDTF">2022-09-30T08:14:00Z</dcterms:modified>
</cp:coreProperties>
</file>