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4B03A" w14:textId="77777777" w:rsidR="00166D22" w:rsidRPr="003549B4" w:rsidRDefault="00166D22" w:rsidP="006137DE">
      <w:pPr>
        <w:pStyle w:val="Bezriadkovania"/>
        <w:spacing w:after="120"/>
        <w:jc w:val="center"/>
        <w:rPr>
          <w:rFonts w:eastAsia="Arial"/>
          <w:lang w:val="sk-SK" w:bidi="cs-CZ"/>
        </w:rPr>
      </w:pPr>
      <w:r w:rsidRPr="003549B4">
        <w:rPr>
          <w:rFonts w:eastAsia="Arial"/>
          <w:lang w:val="sk-SK" w:bidi="cs-CZ"/>
        </w:rPr>
        <w:t>TABUĽKA ZHODY</w:t>
      </w:r>
    </w:p>
    <w:p w14:paraId="4C498A6B" w14:textId="77777777" w:rsidR="00166D22" w:rsidRPr="003549B4" w:rsidRDefault="00166D22" w:rsidP="006137DE">
      <w:pPr>
        <w:pStyle w:val="Odstavec"/>
        <w:spacing w:before="0" w:after="120"/>
        <w:jc w:val="center"/>
        <w:rPr>
          <w:rFonts w:eastAsia="Arial"/>
          <w:b/>
          <w:bCs/>
        </w:rPr>
      </w:pPr>
      <w:r w:rsidRPr="003549B4">
        <w:rPr>
          <w:rFonts w:eastAsia="Arial"/>
          <w:b/>
          <w:bCs/>
        </w:rPr>
        <w:t xml:space="preserve">  právneho predpisu s právom Európskej únie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7047"/>
        <w:gridCol w:w="8335"/>
      </w:tblGrid>
      <w:tr w:rsidR="006137DE" w:rsidRPr="003549B4" w14:paraId="20628420" w14:textId="77777777" w:rsidTr="006137DE">
        <w:trPr>
          <w:jc w:val="center"/>
        </w:trPr>
        <w:tc>
          <w:tcPr>
            <w:tcW w:w="7047" w:type="dxa"/>
            <w:tcBorders>
              <w:top w:val="single" w:sz="6" w:space="0" w:color="000000"/>
              <w:left w:val="single" w:sz="6" w:space="0" w:color="000000"/>
              <w:bottom w:val="single" w:sz="6" w:space="0" w:color="000000"/>
              <w:right w:val="single" w:sz="6" w:space="0" w:color="000000"/>
            </w:tcBorders>
            <w:vAlign w:val="center"/>
          </w:tcPr>
          <w:p w14:paraId="3C50138C" w14:textId="77777777" w:rsidR="006137DE" w:rsidRPr="003549B4" w:rsidRDefault="006137DE" w:rsidP="006137DE">
            <w:pPr>
              <w:spacing w:after="120" w:line="240" w:lineRule="auto"/>
              <w:ind w:left="215" w:hanging="215"/>
              <w:rPr>
                <w:rFonts w:ascii="Times New Roman" w:eastAsia="Arial" w:hAnsi="Times New Roman" w:cs="Times New Roman"/>
                <w:b/>
                <w:sz w:val="20"/>
                <w:szCs w:val="20"/>
                <w:lang w:bidi="cs-CZ"/>
              </w:rPr>
            </w:pPr>
            <w:r w:rsidRPr="003549B4">
              <w:rPr>
                <w:rFonts w:ascii="Times New Roman" w:eastAsia="Arial" w:hAnsi="Times New Roman" w:cs="Times New Roman"/>
                <w:b/>
                <w:bCs/>
                <w:sz w:val="20"/>
                <w:szCs w:val="20"/>
                <w:lang w:bidi="cs-CZ"/>
              </w:rPr>
              <w:t>Právny predpis EÚ</w:t>
            </w:r>
          </w:p>
        </w:tc>
        <w:tc>
          <w:tcPr>
            <w:tcW w:w="8335" w:type="dxa"/>
            <w:tcBorders>
              <w:top w:val="single" w:sz="6" w:space="0" w:color="000000"/>
              <w:left w:val="single" w:sz="6" w:space="0" w:color="000000"/>
              <w:bottom w:val="single" w:sz="6" w:space="0" w:color="000000"/>
              <w:right w:val="single" w:sz="6" w:space="0" w:color="000000"/>
            </w:tcBorders>
            <w:vAlign w:val="center"/>
          </w:tcPr>
          <w:p w14:paraId="670AB22E" w14:textId="77777777" w:rsidR="006137DE" w:rsidRPr="003549B4" w:rsidRDefault="006137DE" w:rsidP="006137DE">
            <w:pPr>
              <w:spacing w:after="120" w:line="240" w:lineRule="auto"/>
              <w:rPr>
                <w:rFonts w:ascii="Times New Roman" w:eastAsia="Arial" w:hAnsi="Times New Roman" w:cs="Times New Roman"/>
                <w:b/>
                <w:sz w:val="20"/>
                <w:szCs w:val="20"/>
                <w:lang w:bidi="cs-CZ"/>
              </w:rPr>
            </w:pPr>
            <w:r w:rsidRPr="003549B4">
              <w:rPr>
                <w:rFonts w:ascii="Times New Roman" w:eastAsia="Arial" w:hAnsi="Times New Roman" w:cs="Times New Roman"/>
                <w:b/>
                <w:bCs/>
                <w:sz w:val="20"/>
                <w:szCs w:val="20"/>
              </w:rPr>
              <w:t>Právny predpis SR</w:t>
            </w:r>
          </w:p>
        </w:tc>
      </w:tr>
      <w:tr w:rsidR="006137DE" w:rsidRPr="003549B4" w14:paraId="59171005" w14:textId="77777777" w:rsidTr="006137DE">
        <w:trPr>
          <w:jc w:val="center"/>
        </w:trPr>
        <w:tc>
          <w:tcPr>
            <w:tcW w:w="7047" w:type="dxa"/>
            <w:tcBorders>
              <w:top w:val="single" w:sz="6" w:space="0" w:color="000000"/>
              <w:left w:val="single" w:sz="6" w:space="0" w:color="000000"/>
              <w:bottom w:val="single" w:sz="6" w:space="0" w:color="000000"/>
              <w:right w:val="single" w:sz="6" w:space="0" w:color="000000"/>
            </w:tcBorders>
            <w:vAlign w:val="center"/>
          </w:tcPr>
          <w:p w14:paraId="7E738B4D" w14:textId="77777777" w:rsidR="006137DE" w:rsidRPr="003549B4" w:rsidRDefault="006137DE" w:rsidP="006137DE">
            <w:pPr>
              <w:spacing w:after="0" w:line="240" w:lineRule="auto"/>
              <w:rPr>
                <w:rFonts w:ascii="Times New Roman" w:hAnsi="Times New Roman" w:cs="Times New Roman"/>
                <w:b/>
                <w:sz w:val="20"/>
                <w:szCs w:val="20"/>
              </w:rPr>
            </w:pPr>
            <w:r w:rsidRPr="003549B4">
              <w:rPr>
                <w:rFonts w:ascii="Times New Roman" w:hAnsi="Times New Roman" w:cs="Times New Roman"/>
                <w:b/>
                <w:sz w:val="20"/>
                <w:szCs w:val="20"/>
              </w:rPr>
              <w:t>SMERNICA EURÓPSKEHO PARLAMENTU A RADY (EÚ) 2015/2193</w:t>
            </w:r>
          </w:p>
          <w:p w14:paraId="31B3F459" w14:textId="77777777" w:rsidR="006137DE" w:rsidRPr="003549B4" w:rsidRDefault="006137DE" w:rsidP="006137DE">
            <w:pPr>
              <w:spacing w:after="0" w:line="240" w:lineRule="auto"/>
              <w:rPr>
                <w:rFonts w:ascii="Times New Roman" w:hAnsi="Times New Roman" w:cs="Times New Roman"/>
                <w:b/>
                <w:sz w:val="20"/>
                <w:szCs w:val="20"/>
              </w:rPr>
            </w:pPr>
            <w:r w:rsidRPr="003549B4">
              <w:rPr>
                <w:rFonts w:ascii="Times New Roman" w:hAnsi="Times New Roman" w:cs="Times New Roman"/>
                <w:b/>
                <w:sz w:val="20"/>
                <w:szCs w:val="20"/>
              </w:rPr>
              <w:t>z 25. novembra 2015 o obmedzení emisií určitých znečisťujúcich látok do ovzdušia zo stredne veľkých spaľovacích zariadení</w:t>
            </w:r>
          </w:p>
          <w:p w14:paraId="5FB1B90C" w14:textId="77777777" w:rsidR="006137DE" w:rsidRPr="003549B4" w:rsidRDefault="006137DE" w:rsidP="006137DE">
            <w:pPr>
              <w:spacing w:after="0" w:line="240" w:lineRule="auto"/>
              <w:rPr>
                <w:rFonts w:ascii="Times New Roman" w:hAnsi="Times New Roman" w:cs="Times New Roman"/>
                <w:b/>
                <w:sz w:val="20"/>
                <w:szCs w:val="20"/>
              </w:rPr>
            </w:pPr>
            <w:r w:rsidRPr="003549B4">
              <w:rPr>
                <w:rFonts w:ascii="Times New Roman" w:hAnsi="Times New Roman" w:cs="Times New Roman"/>
                <w:b/>
                <w:sz w:val="20"/>
                <w:szCs w:val="20"/>
              </w:rPr>
              <w:t>(Ú. v. EÚ L 313, 28.11.2015)</w:t>
            </w:r>
          </w:p>
          <w:p w14:paraId="4014DC79" w14:textId="77777777" w:rsidR="006137DE" w:rsidRPr="003549B4" w:rsidRDefault="006137DE" w:rsidP="006137DE">
            <w:pPr>
              <w:rPr>
                <w:rFonts w:ascii="Times New Roman" w:eastAsia="Arial" w:hAnsi="Times New Roman" w:cs="Times New Roman"/>
                <w:b/>
                <w:sz w:val="20"/>
                <w:szCs w:val="20"/>
                <w:lang w:bidi="cs-CZ"/>
              </w:rPr>
            </w:pPr>
          </w:p>
        </w:tc>
        <w:tc>
          <w:tcPr>
            <w:tcW w:w="8335" w:type="dxa"/>
            <w:tcBorders>
              <w:top w:val="single" w:sz="6" w:space="0" w:color="000000"/>
              <w:left w:val="single" w:sz="6" w:space="0" w:color="000000"/>
              <w:bottom w:val="single" w:sz="6" w:space="0" w:color="000000"/>
              <w:right w:val="single" w:sz="6" w:space="0" w:color="000000"/>
            </w:tcBorders>
            <w:vAlign w:val="center"/>
          </w:tcPr>
          <w:p w14:paraId="7B5AE2FF" w14:textId="77777777" w:rsidR="006137DE" w:rsidRPr="003549B4" w:rsidRDefault="006137DE" w:rsidP="006137DE">
            <w:pPr>
              <w:spacing w:after="120" w:line="240" w:lineRule="auto"/>
              <w:rPr>
                <w:rFonts w:ascii="Times New Roman" w:eastAsia="Arial" w:hAnsi="Times New Roman" w:cs="Times New Roman"/>
                <w:b/>
                <w:bCs/>
                <w:sz w:val="20"/>
                <w:szCs w:val="20"/>
                <w:lang w:bidi="cs-CZ"/>
              </w:rPr>
            </w:pPr>
            <w:r w:rsidRPr="003549B4">
              <w:rPr>
                <w:rFonts w:ascii="Times New Roman" w:eastAsia="Arial" w:hAnsi="Times New Roman" w:cs="Times New Roman"/>
                <w:b/>
                <w:bCs/>
                <w:sz w:val="20"/>
                <w:szCs w:val="20"/>
              </w:rPr>
              <w:t>Návrh zákona o ochrane ovzdušia a o zmene a doplnení niektorých zákonov. (NZ)</w:t>
            </w:r>
          </w:p>
          <w:p w14:paraId="68C3570E" w14:textId="6337C906" w:rsidR="006137DE" w:rsidRPr="003549B4" w:rsidRDefault="003A7D48" w:rsidP="006137DE">
            <w:pPr>
              <w:spacing w:after="120" w:line="240" w:lineRule="auto"/>
              <w:rPr>
                <w:rFonts w:ascii="Times New Roman" w:eastAsia="Arial" w:hAnsi="Times New Roman" w:cs="Times New Roman"/>
                <w:b/>
                <w:bCs/>
                <w:sz w:val="20"/>
                <w:szCs w:val="20"/>
                <w:lang w:bidi="cs-CZ"/>
              </w:rPr>
            </w:pPr>
            <w:r w:rsidRPr="003549B4">
              <w:rPr>
                <w:rFonts w:ascii="Times New Roman" w:eastAsia="Arial" w:hAnsi="Times New Roman" w:cs="Times New Roman"/>
                <w:b/>
                <w:bCs/>
                <w:sz w:val="20"/>
                <w:szCs w:val="20"/>
                <w:lang w:bidi="cs-CZ"/>
              </w:rPr>
              <w:t xml:space="preserve">Tézy návrhu </w:t>
            </w:r>
            <w:r w:rsidR="006137DE" w:rsidRPr="003549B4">
              <w:rPr>
                <w:rFonts w:ascii="Times New Roman" w:eastAsia="Arial" w:hAnsi="Times New Roman" w:cs="Times New Roman"/>
                <w:b/>
                <w:bCs/>
                <w:sz w:val="20"/>
                <w:szCs w:val="20"/>
                <w:lang w:bidi="cs-CZ"/>
              </w:rPr>
              <w:t>vyhlášky Ministerstva životného prostredia Slovenskej republiky o požiadavkách na stacionárne zdroje znečisťovania ovzdušia (NV</w:t>
            </w:r>
            <w:r w:rsidR="00635391" w:rsidRPr="003549B4">
              <w:rPr>
                <w:rFonts w:ascii="Times New Roman" w:eastAsia="Arial" w:hAnsi="Times New Roman" w:cs="Times New Roman"/>
                <w:b/>
                <w:bCs/>
                <w:sz w:val="20"/>
                <w:szCs w:val="20"/>
                <w:lang w:bidi="cs-CZ"/>
              </w:rPr>
              <w:t>1</w:t>
            </w:r>
            <w:r w:rsidR="006137DE" w:rsidRPr="003549B4">
              <w:rPr>
                <w:rFonts w:ascii="Times New Roman" w:eastAsia="Arial" w:hAnsi="Times New Roman" w:cs="Times New Roman"/>
                <w:b/>
                <w:bCs/>
                <w:sz w:val="20"/>
                <w:szCs w:val="20"/>
                <w:lang w:bidi="cs-CZ"/>
              </w:rPr>
              <w:t>)</w:t>
            </w:r>
          </w:p>
          <w:p w14:paraId="28EFAF32" w14:textId="16231A74" w:rsidR="00635391" w:rsidRPr="003549B4" w:rsidRDefault="003A7D48" w:rsidP="00635391">
            <w:pPr>
              <w:spacing w:after="120" w:line="240" w:lineRule="auto"/>
              <w:rPr>
                <w:rFonts w:ascii="Times New Roman" w:eastAsia="Arial" w:hAnsi="Times New Roman" w:cs="Times New Roman"/>
                <w:b/>
                <w:bCs/>
                <w:sz w:val="20"/>
                <w:szCs w:val="20"/>
                <w:lang w:bidi="cs-CZ"/>
              </w:rPr>
            </w:pPr>
            <w:r w:rsidRPr="003549B4">
              <w:rPr>
                <w:rFonts w:ascii="Times New Roman" w:eastAsia="Arial" w:hAnsi="Times New Roman" w:cs="Times New Roman"/>
                <w:b/>
                <w:bCs/>
                <w:sz w:val="20"/>
                <w:szCs w:val="20"/>
                <w:lang w:bidi="cs-CZ"/>
              </w:rPr>
              <w:t xml:space="preserve">Tézy návrhu </w:t>
            </w:r>
            <w:r w:rsidR="00635391" w:rsidRPr="003549B4">
              <w:rPr>
                <w:rFonts w:ascii="Times New Roman" w:eastAsia="Arial" w:hAnsi="Times New Roman" w:cs="Times New Roman"/>
                <w:b/>
                <w:bCs/>
                <w:sz w:val="20"/>
                <w:szCs w:val="20"/>
                <w:lang w:bidi="cs-CZ"/>
              </w:rPr>
              <w:t>vyhlášky Ministerstva životného prostredia Slovenskej republiky o monitorovaní emisií zo stacionárnych zdrojov znečisťovania ovzdušia a kvality ovzdušia v ich okolí (NV2)</w:t>
            </w:r>
          </w:p>
          <w:p w14:paraId="0E20D55A" w14:textId="6E5C603F" w:rsidR="006137DE" w:rsidRPr="003549B4" w:rsidRDefault="003A7D48" w:rsidP="006137DE">
            <w:pPr>
              <w:spacing w:after="120" w:line="240" w:lineRule="auto"/>
              <w:rPr>
                <w:rFonts w:ascii="Times New Roman" w:eastAsia="Arial" w:hAnsi="Times New Roman" w:cs="Times New Roman"/>
                <w:b/>
                <w:bCs/>
                <w:sz w:val="20"/>
                <w:szCs w:val="20"/>
                <w:lang w:bidi="cs-CZ"/>
              </w:rPr>
            </w:pPr>
            <w:r w:rsidRPr="003549B4">
              <w:rPr>
                <w:rFonts w:ascii="Times New Roman" w:eastAsia="Arial" w:hAnsi="Times New Roman" w:cs="Times New Roman"/>
                <w:b/>
                <w:bCs/>
                <w:sz w:val="20"/>
                <w:szCs w:val="20"/>
                <w:lang w:bidi="cs-CZ"/>
              </w:rPr>
              <w:t xml:space="preserve">Tézy návrhu </w:t>
            </w:r>
            <w:r w:rsidR="006137DE" w:rsidRPr="003549B4">
              <w:rPr>
                <w:rFonts w:ascii="Times New Roman" w:eastAsia="Arial" w:hAnsi="Times New Roman" w:cs="Times New Roman"/>
                <w:b/>
                <w:bCs/>
                <w:sz w:val="20"/>
                <w:szCs w:val="20"/>
                <w:lang w:bidi="cs-CZ"/>
              </w:rPr>
              <w:t>vyhlášky MŽP SR, ktorou sa vykonávajú niektoré ustanovenia zákona o ochrane ovzdušia (NV3)</w:t>
            </w:r>
          </w:p>
          <w:p w14:paraId="1CA59C6A" w14:textId="1CCC7C62" w:rsidR="006137DE" w:rsidRPr="003549B4" w:rsidRDefault="003A7D48" w:rsidP="006137DE">
            <w:pPr>
              <w:spacing w:after="120" w:line="240" w:lineRule="auto"/>
              <w:rPr>
                <w:rFonts w:ascii="Times New Roman" w:eastAsia="Arial" w:hAnsi="Times New Roman" w:cs="Times New Roman"/>
                <w:b/>
                <w:bCs/>
                <w:sz w:val="20"/>
                <w:szCs w:val="20"/>
                <w:lang w:bidi="cs-CZ"/>
              </w:rPr>
            </w:pPr>
            <w:r w:rsidRPr="003549B4">
              <w:rPr>
                <w:rFonts w:ascii="Times New Roman" w:eastAsia="Arial" w:hAnsi="Times New Roman" w:cs="Times New Roman"/>
                <w:b/>
                <w:bCs/>
                <w:sz w:val="20"/>
                <w:szCs w:val="20"/>
                <w:lang w:bidi="cs-CZ"/>
              </w:rPr>
              <w:t xml:space="preserve">Tézy návrhu </w:t>
            </w:r>
            <w:r w:rsidR="006137DE" w:rsidRPr="003549B4">
              <w:rPr>
                <w:rFonts w:ascii="Times New Roman" w:eastAsia="Arial" w:hAnsi="Times New Roman" w:cs="Times New Roman"/>
                <w:b/>
                <w:bCs/>
                <w:sz w:val="20"/>
                <w:szCs w:val="20"/>
                <w:lang w:bidi="cs-CZ"/>
              </w:rPr>
              <w:t>vyhlášky Ministerstva životného prostredia Slovenskej republiky ktorou sa ustanovujú informácie podávané Európskej komisii a požiadavky na vypracovanie národných emisných inventúr</w:t>
            </w:r>
            <w:r w:rsidR="005A4AB8" w:rsidRPr="003549B4">
              <w:rPr>
                <w:rFonts w:ascii="Times New Roman" w:eastAsia="Arial" w:hAnsi="Times New Roman" w:cs="Times New Roman"/>
                <w:b/>
                <w:bCs/>
                <w:sz w:val="20"/>
                <w:szCs w:val="20"/>
                <w:lang w:bidi="cs-CZ"/>
              </w:rPr>
              <w:t xml:space="preserve"> </w:t>
            </w:r>
            <w:r w:rsidR="006137DE" w:rsidRPr="003549B4">
              <w:rPr>
                <w:rFonts w:ascii="Times New Roman" w:eastAsia="Arial" w:hAnsi="Times New Roman" w:cs="Times New Roman"/>
                <w:b/>
                <w:bCs/>
                <w:sz w:val="20"/>
                <w:szCs w:val="20"/>
                <w:lang w:bidi="cs-CZ"/>
              </w:rPr>
              <w:t>(NV4)</w:t>
            </w:r>
          </w:p>
          <w:p w14:paraId="186E4343" w14:textId="77777777" w:rsidR="00CE3A47" w:rsidRPr="003549B4" w:rsidRDefault="00CE3A47" w:rsidP="00751905">
            <w:pPr>
              <w:spacing w:after="120" w:line="240" w:lineRule="auto"/>
              <w:rPr>
                <w:rFonts w:ascii="Times New Roman" w:eastAsia="Arial" w:hAnsi="Times New Roman" w:cs="Times New Roman"/>
                <w:b/>
                <w:bCs/>
                <w:sz w:val="20"/>
                <w:szCs w:val="20"/>
                <w:lang w:bidi="cs-CZ"/>
              </w:rPr>
            </w:pPr>
            <w:r w:rsidRPr="003549B4">
              <w:rPr>
                <w:rFonts w:ascii="Times New Roman" w:eastAsia="Arial" w:hAnsi="Times New Roman" w:cs="Times New Roman"/>
                <w:b/>
                <w:bCs/>
                <w:sz w:val="20"/>
                <w:szCs w:val="20"/>
                <w:lang w:bidi="cs-CZ"/>
              </w:rPr>
              <w:t>Zákon č. 575/2001 Z. z. o organizácii činnosti vlády a organizácii ústrednej štátnej správy v znení neskorších predpisov</w:t>
            </w:r>
            <w:r w:rsidR="004B4E4E" w:rsidRPr="003549B4">
              <w:rPr>
                <w:rFonts w:ascii="Times New Roman" w:eastAsia="Arial" w:hAnsi="Times New Roman" w:cs="Times New Roman"/>
                <w:b/>
                <w:bCs/>
                <w:sz w:val="20"/>
                <w:szCs w:val="20"/>
                <w:lang w:bidi="cs-CZ"/>
              </w:rPr>
              <w:t xml:space="preserve"> (Z575)</w:t>
            </w:r>
          </w:p>
        </w:tc>
      </w:tr>
    </w:tbl>
    <w:p w14:paraId="64CE6FDF" w14:textId="77777777" w:rsidR="001D0587" w:rsidRPr="003549B4" w:rsidRDefault="001D0587" w:rsidP="008F3AC2">
      <w:pPr>
        <w:spacing w:after="120" w:line="240" w:lineRule="auto"/>
        <w:jc w:val="center"/>
        <w:rPr>
          <w:b/>
          <w:bCs/>
        </w:rPr>
      </w:pPr>
    </w:p>
    <w:tbl>
      <w:tblPr>
        <w:tblW w:w="500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562"/>
        <w:gridCol w:w="6229"/>
        <w:gridCol w:w="431"/>
        <w:gridCol w:w="569"/>
        <w:gridCol w:w="566"/>
        <w:gridCol w:w="5951"/>
        <w:gridCol w:w="427"/>
        <w:gridCol w:w="656"/>
      </w:tblGrid>
      <w:tr w:rsidR="00F17024" w:rsidRPr="003549B4" w14:paraId="461EF72B" w14:textId="77777777" w:rsidTr="008F3AC2">
        <w:trPr>
          <w:cantSplit/>
          <w:trHeight w:val="1184"/>
          <w:jc w:val="center"/>
        </w:trPr>
        <w:tc>
          <w:tcPr>
            <w:tcW w:w="565" w:type="dxa"/>
            <w:tcBorders>
              <w:top w:val="single" w:sz="6" w:space="0" w:color="000000"/>
              <w:left w:val="single" w:sz="6" w:space="0" w:color="000000"/>
              <w:bottom w:val="single" w:sz="4" w:space="0" w:color="000000"/>
              <w:right w:val="single" w:sz="6" w:space="0" w:color="000000"/>
            </w:tcBorders>
            <w:textDirection w:val="btLr"/>
            <w:vAlign w:val="center"/>
          </w:tcPr>
          <w:p w14:paraId="5EA6B8F8" w14:textId="77777777" w:rsidR="00F17024" w:rsidRPr="003549B4" w:rsidRDefault="00F17024" w:rsidP="00751905">
            <w:pPr>
              <w:spacing w:before="30"/>
              <w:ind w:right="-70"/>
              <w:jc w:val="center"/>
              <w:rPr>
                <w:rFonts w:ascii="Times New Roman" w:eastAsia="Arial" w:hAnsi="Times New Roman" w:cs="Times New Roman"/>
                <w:b/>
                <w:bCs/>
                <w:sz w:val="20"/>
                <w:szCs w:val="20"/>
                <w:lang w:bidi="cs-CZ"/>
              </w:rPr>
            </w:pPr>
            <w:r w:rsidRPr="003549B4">
              <w:rPr>
                <w:rFonts w:ascii="Times New Roman" w:eastAsia="Arial" w:hAnsi="Times New Roman" w:cs="Times New Roman"/>
                <w:b/>
                <w:bCs/>
                <w:sz w:val="20"/>
                <w:szCs w:val="20"/>
                <w:lang w:bidi="cs-CZ"/>
              </w:rPr>
              <w:t>Článok</w:t>
            </w:r>
          </w:p>
        </w:tc>
        <w:tc>
          <w:tcPr>
            <w:tcW w:w="6287" w:type="dxa"/>
            <w:tcBorders>
              <w:top w:val="single" w:sz="6" w:space="0" w:color="000000"/>
              <w:left w:val="single" w:sz="6" w:space="0" w:color="000000"/>
              <w:bottom w:val="single" w:sz="4" w:space="0" w:color="000000"/>
              <w:right w:val="single" w:sz="6" w:space="0" w:color="000000"/>
            </w:tcBorders>
            <w:vAlign w:val="center"/>
          </w:tcPr>
          <w:p w14:paraId="3D12DEB5" w14:textId="77777777" w:rsidR="00F17024" w:rsidRPr="003549B4" w:rsidRDefault="00F17024" w:rsidP="00751905">
            <w:pPr>
              <w:spacing w:before="30"/>
              <w:ind w:left="215" w:hanging="215"/>
              <w:jc w:val="center"/>
              <w:rPr>
                <w:rFonts w:ascii="Times New Roman" w:eastAsia="Arial" w:hAnsi="Times New Roman" w:cs="Times New Roman"/>
                <w:sz w:val="20"/>
                <w:szCs w:val="20"/>
                <w:lang w:bidi="cs-CZ"/>
              </w:rPr>
            </w:pPr>
            <w:r w:rsidRPr="003549B4">
              <w:rPr>
                <w:rFonts w:ascii="Times New Roman" w:eastAsia="Arial" w:hAnsi="Times New Roman" w:cs="Times New Roman"/>
                <w:b/>
                <w:bCs/>
                <w:sz w:val="20"/>
                <w:szCs w:val="20"/>
                <w:lang w:bidi="cs-CZ"/>
              </w:rPr>
              <w:t>Text</w:t>
            </w:r>
          </w:p>
        </w:tc>
        <w:tc>
          <w:tcPr>
            <w:tcW w:w="433" w:type="dxa"/>
            <w:tcBorders>
              <w:top w:val="single" w:sz="6" w:space="0" w:color="000000"/>
              <w:left w:val="single" w:sz="6" w:space="0" w:color="000000"/>
              <w:bottom w:val="single" w:sz="4" w:space="0" w:color="000000"/>
              <w:right w:val="single" w:sz="6" w:space="0" w:color="000000"/>
            </w:tcBorders>
            <w:noWrap/>
            <w:textDirection w:val="btLr"/>
          </w:tcPr>
          <w:p w14:paraId="17F68CB7" w14:textId="77777777" w:rsidR="00F17024" w:rsidRPr="003549B4" w:rsidRDefault="00F17024" w:rsidP="00751905">
            <w:pPr>
              <w:ind w:left="-70" w:right="-68" w:hanging="6"/>
              <w:jc w:val="center"/>
              <w:rPr>
                <w:rFonts w:ascii="Times New Roman" w:eastAsia="Arial" w:hAnsi="Times New Roman" w:cs="Times New Roman"/>
                <w:b/>
                <w:bCs/>
                <w:sz w:val="20"/>
                <w:szCs w:val="20"/>
                <w:lang w:bidi="cs-CZ"/>
              </w:rPr>
            </w:pPr>
            <w:r w:rsidRPr="003549B4">
              <w:rPr>
                <w:rFonts w:ascii="Times New Roman" w:eastAsia="Arial" w:hAnsi="Times New Roman" w:cs="Times New Roman"/>
                <w:b/>
                <w:bCs/>
                <w:sz w:val="20"/>
                <w:szCs w:val="20"/>
                <w:lang w:bidi="cs-CZ"/>
              </w:rPr>
              <w:t>Spôsob</w:t>
            </w:r>
          </w:p>
        </w:tc>
        <w:tc>
          <w:tcPr>
            <w:tcW w:w="572" w:type="dxa"/>
            <w:tcBorders>
              <w:top w:val="single" w:sz="6" w:space="0" w:color="000000"/>
              <w:left w:val="single" w:sz="6" w:space="0" w:color="000000"/>
              <w:bottom w:val="single" w:sz="4" w:space="0" w:color="000000"/>
              <w:right w:val="single" w:sz="6" w:space="0" w:color="000000"/>
            </w:tcBorders>
            <w:textDirection w:val="btLr"/>
          </w:tcPr>
          <w:p w14:paraId="6880FC7B" w14:textId="77777777" w:rsidR="00F17024" w:rsidRPr="003549B4" w:rsidRDefault="00F17024" w:rsidP="00751905">
            <w:pPr>
              <w:ind w:left="33" w:right="33" w:hanging="33"/>
              <w:jc w:val="center"/>
              <w:rPr>
                <w:rFonts w:ascii="Times New Roman" w:eastAsia="Arial" w:hAnsi="Times New Roman" w:cs="Times New Roman"/>
                <w:b/>
                <w:bCs/>
                <w:sz w:val="20"/>
                <w:szCs w:val="20"/>
                <w:lang w:bidi="cs-CZ"/>
              </w:rPr>
            </w:pPr>
            <w:r w:rsidRPr="003549B4">
              <w:rPr>
                <w:rFonts w:ascii="Times New Roman" w:eastAsia="Arial" w:hAnsi="Times New Roman" w:cs="Times New Roman"/>
                <w:b/>
                <w:bCs/>
                <w:sz w:val="20"/>
                <w:szCs w:val="20"/>
                <w:lang w:bidi="cs-CZ"/>
              </w:rPr>
              <w:t>Číslo</w:t>
            </w:r>
          </w:p>
        </w:tc>
        <w:tc>
          <w:tcPr>
            <w:tcW w:w="569" w:type="dxa"/>
            <w:tcBorders>
              <w:top w:val="single" w:sz="6" w:space="0" w:color="000000"/>
              <w:left w:val="single" w:sz="6" w:space="0" w:color="000000"/>
              <w:bottom w:val="single" w:sz="4" w:space="0" w:color="000000"/>
              <w:right w:val="single" w:sz="6" w:space="0" w:color="000000"/>
            </w:tcBorders>
            <w:textDirection w:val="btLr"/>
          </w:tcPr>
          <w:p w14:paraId="3762D6C5" w14:textId="77777777" w:rsidR="00F17024" w:rsidRPr="003549B4" w:rsidRDefault="00F17024" w:rsidP="00751905">
            <w:pPr>
              <w:pStyle w:val="BodyText21"/>
              <w:spacing w:before="0" w:line="240" w:lineRule="auto"/>
              <w:ind w:left="14" w:right="-70" w:hanging="14"/>
              <w:jc w:val="center"/>
              <w:rPr>
                <w:rFonts w:ascii="Times New Roman" w:hAnsi="Times New Roman" w:cs="Times New Roman"/>
                <w:b/>
                <w:bCs/>
              </w:rPr>
            </w:pPr>
            <w:r w:rsidRPr="003549B4">
              <w:rPr>
                <w:rFonts w:ascii="Times New Roman" w:hAnsi="Times New Roman" w:cs="Times New Roman"/>
                <w:b/>
                <w:bCs/>
              </w:rPr>
              <w:t>Článok</w:t>
            </w:r>
          </w:p>
        </w:tc>
        <w:tc>
          <w:tcPr>
            <w:tcW w:w="6006" w:type="dxa"/>
            <w:tcBorders>
              <w:top w:val="single" w:sz="6" w:space="0" w:color="000000"/>
              <w:left w:val="single" w:sz="6" w:space="0" w:color="000000"/>
              <w:bottom w:val="single" w:sz="4" w:space="0" w:color="000000"/>
              <w:right w:val="single" w:sz="6" w:space="0" w:color="000000"/>
            </w:tcBorders>
            <w:vAlign w:val="center"/>
          </w:tcPr>
          <w:p w14:paraId="65D62678" w14:textId="77777777" w:rsidR="00F17024" w:rsidRPr="003549B4" w:rsidRDefault="00F17024" w:rsidP="00751905">
            <w:pPr>
              <w:pStyle w:val="Nadpis6"/>
              <w:spacing w:before="30"/>
              <w:jc w:val="center"/>
              <w:rPr>
                <w:rFonts w:ascii="Times New Roman" w:hAnsi="Times New Roman" w:cs="Times New Roman"/>
                <w:sz w:val="20"/>
                <w:szCs w:val="20"/>
              </w:rPr>
            </w:pPr>
            <w:r w:rsidRPr="003549B4">
              <w:rPr>
                <w:rFonts w:ascii="Times New Roman" w:hAnsi="Times New Roman" w:cs="Times New Roman"/>
                <w:sz w:val="20"/>
                <w:szCs w:val="20"/>
              </w:rPr>
              <w:t>Text</w:t>
            </w:r>
          </w:p>
        </w:tc>
        <w:tc>
          <w:tcPr>
            <w:tcW w:w="429" w:type="dxa"/>
            <w:tcBorders>
              <w:top w:val="single" w:sz="6" w:space="0" w:color="000000"/>
              <w:left w:val="single" w:sz="6" w:space="0" w:color="000000"/>
              <w:bottom w:val="single" w:sz="4" w:space="0" w:color="000000"/>
              <w:right w:val="single" w:sz="6" w:space="0" w:color="000000"/>
            </w:tcBorders>
            <w:textDirection w:val="btLr"/>
            <w:vAlign w:val="center"/>
          </w:tcPr>
          <w:p w14:paraId="638EC0CE" w14:textId="77777777" w:rsidR="00F17024" w:rsidRPr="003549B4" w:rsidRDefault="00F17024" w:rsidP="00751905">
            <w:pPr>
              <w:spacing w:before="30"/>
              <w:ind w:left="113" w:right="113"/>
              <w:jc w:val="center"/>
              <w:rPr>
                <w:rFonts w:ascii="Times New Roman" w:eastAsia="Arial" w:hAnsi="Times New Roman" w:cs="Times New Roman"/>
                <w:sz w:val="20"/>
                <w:szCs w:val="20"/>
                <w:lang w:bidi="cs-CZ"/>
              </w:rPr>
            </w:pPr>
            <w:r w:rsidRPr="003549B4">
              <w:rPr>
                <w:rFonts w:ascii="Times New Roman" w:eastAsia="Arial" w:hAnsi="Times New Roman" w:cs="Times New Roman"/>
                <w:b/>
                <w:bCs/>
                <w:sz w:val="20"/>
                <w:szCs w:val="20"/>
                <w:lang w:bidi="cs-CZ"/>
              </w:rPr>
              <w:t>Zhoda</w:t>
            </w:r>
          </w:p>
        </w:tc>
        <w:tc>
          <w:tcPr>
            <w:tcW w:w="660" w:type="dxa"/>
            <w:tcBorders>
              <w:top w:val="single" w:sz="6" w:space="0" w:color="000000"/>
              <w:left w:val="single" w:sz="6" w:space="0" w:color="000000"/>
              <w:bottom w:val="single" w:sz="4" w:space="0" w:color="000000"/>
              <w:right w:val="single" w:sz="6" w:space="0" w:color="000000"/>
            </w:tcBorders>
            <w:textDirection w:val="btLr"/>
            <w:vAlign w:val="center"/>
          </w:tcPr>
          <w:p w14:paraId="7687784C" w14:textId="77777777" w:rsidR="00F17024" w:rsidRPr="003549B4" w:rsidRDefault="00F17024" w:rsidP="00751905">
            <w:pPr>
              <w:spacing w:before="30"/>
              <w:ind w:left="328" w:right="113" w:hanging="215"/>
              <w:jc w:val="center"/>
              <w:rPr>
                <w:rFonts w:ascii="Times New Roman" w:eastAsia="Arial" w:hAnsi="Times New Roman" w:cs="Times New Roman"/>
                <w:sz w:val="20"/>
                <w:szCs w:val="20"/>
                <w:lang w:bidi="cs-CZ"/>
              </w:rPr>
            </w:pPr>
            <w:r w:rsidRPr="003549B4">
              <w:rPr>
                <w:rFonts w:ascii="Times New Roman" w:eastAsia="Arial" w:hAnsi="Times New Roman" w:cs="Times New Roman"/>
                <w:b/>
                <w:bCs/>
                <w:sz w:val="20"/>
                <w:szCs w:val="20"/>
                <w:lang w:bidi="cs-CZ"/>
              </w:rPr>
              <w:t>Poznámky</w:t>
            </w:r>
          </w:p>
        </w:tc>
      </w:tr>
      <w:tr w:rsidR="00F17024" w:rsidRPr="003549B4" w14:paraId="6E80D65B" w14:textId="77777777" w:rsidTr="00353E37">
        <w:trPr>
          <w:jc w:val="center"/>
        </w:trPr>
        <w:tc>
          <w:tcPr>
            <w:tcW w:w="565" w:type="dxa"/>
            <w:tcBorders>
              <w:top w:val="single" w:sz="6" w:space="0" w:color="000000"/>
              <w:left w:val="single" w:sz="6" w:space="0" w:color="000000"/>
              <w:bottom w:val="single" w:sz="6" w:space="0" w:color="000000"/>
              <w:right w:val="single" w:sz="6" w:space="0" w:color="000000"/>
            </w:tcBorders>
            <w:vAlign w:val="center"/>
          </w:tcPr>
          <w:p w14:paraId="2CFCF454" w14:textId="77777777" w:rsidR="00F17024" w:rsidRPr="003549B4" w:rsidRDefault="00F17024" w:rsidP="00751905">
            <w:pPr>
              <w:ind w:right="-70"/>
              <w:jc w:val="center"/>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1</w:t>
            </w:r>
          </w:p>
        </w:tc>
        <w:tc>
          <w:tcPr>
            <w:tcW w:w="6287" w:type="dxa"/>
            <w:tcBorders>
              <w:top w:val="single" w:sz="6" w:space="0" w:color="000000"/>
              <w:left w:val="single" w:sz="6" w:space="0" w:color="000000"/>
              <w:bottom w:val="single" w:sz="6" w:space="0" w:color="000000"/>
              <w:right w:val="single" w:sz="6" w:space="0" w:color="000000"/>
            </w:tcBorders>
            <w:vAlign w:val="center"/>
          </w:tcPr>
          <w:p w14:paraId="7F360DD5" w14:textId="77777777" w:rsidR="00F17024" w:rsidRPr="003549B4" w:rsidRDefault="00F17024" w:rsidP="00751905">
            <w:pPr>
              <w:ind w:left="215" w:hanging="215"/>
              <w:jc w:val="center"/>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2</w:t>
            </w:r>
          </w:p>
        </w:tc>
        <w:tc>
          <w:tcPr>
            <w:tcW w:w="433" w:type="dxa"/>
            <w:tcBorders>
              <w:top w:val="single" w:sz="6" w:space="0" w:color="000000"/>
              <w:left w:val="single" w:sz="6" w:space="0" w:color="000000"/>
              <w:bottom w:val="single" w:sz="6" w:space="0" w:color="000000"/>
              <w:right w:val="single" w:sz="6" w:space="0" w:color="000000"/>
            </w:tcBorders>
            <w:noWrap/>
          </w:tcPr>
          <w:p w14:paraId="57BDA3FB" w14:textId="77777777" w:rsidR="00F17024" w:rsidRPr="003549B4" w:rsidRDefault="00F17024" w:rsidP="00751905">
            <w:pPr>
              <w:ind w:left="-70" w:right="-68" w:hanging="6"/>
              <w:jc w:val="center"/>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3</w:t>
            </w:r>
          </w:p>
        </w:tc>
        <w:tc>
          <w:tcPr>
            <w:tcW w:w="572" w:type="dxa"/>
            <w:tcBorders>
              <w:top w:val="single" w:sz="6" w:space="0" w:color="000000"/>
              <w:left w:val="single" w:sz="6" w:space="0" w:color="000000"/>
              <w:bottom w:val="single" w:sz="6" w:space="0" w:color="000000"/>
              <w:right w:val="single" w:sz="6" w:space="0" w:color="000000"/>
            </w:tcBorders>
          </w:tcPr>
          <w:p w14:paraId="2148BAEA" w14:textId="77777777" w:rsidR="00F17024" w:rsidRPr="003549B4" w:rsidRDefault="00F17024" w:rsidP="00751905">
            <w:pPr>
              <w:ind w:left="33" w:right="33" w:hanging="33"/>
              <w:jc w:val="center"/>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4</w:t>
            </w:r>
          </w:p>
        </w:tc>
        <w:tc>
          <w:tcPr>
            <w:tcW w:w="569" w:type="dxa"/>
            <w:tcBorders>
              <w:top w:val="single" w:sz="6" w:space="0" w:color="000000"/>
              <w:left w:val="single" w:sz="6" w:space="0" w:color="000000"/>
              <w:bottom w:val="single" w:sz="6" w:space="0" w:color="000000"/>
              <w:right w:val="single" w:sz="6" w:space="0" w:color="000000"/>
            </w:tcBorders>
          </w:tcPr>
          <w:p w14:paraId="7E37579B" w14:textId="77777777" w:rsidR="00F17024" w:rsidRPr="003549B4" w:rsidRDefault="00F17024" w:rsidP="00751905">
            <w:pPr>
              <w:ind w:left="14" w:right="-70" w:hanging="14"/>
              <w:jc w:val="center"/>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5</w:t>
            </w:r>
          </w:p>
        </w:tc>
        <w:tc>
          <w:tcPr>
            <w:tcW w:w="6006" w:type="dxa"/>
            <w:tcBorders>
              <w:top w:val="single" w:sz="6" w:space="0" w:color="000000"/>
              <w:left w:val="single" w:sz="6" w:space="0" w:color="000000"/>
              <w:bottom w:val="single" w:sz="6" w:space="0" w:color="000000"/>
              <w:right w:val="single" w:sz="6" w:space="0" w:color="000000"/>
            </w:tcBorders>
            <w:vAlign w:val="center"/>
          </w:tcPr>
          <w:p w14:paraId="2C28C2C8" w14:textId="77777777" w:rsidR="00F17024" w:rsidRPr="003549B4" w:rsidRDefault="00F17024" w:rsidP="00751905">
            <w:pPr>
              <w:ind w:left="215" w:hanging="215"/>
              <w:jc w:val="center"/>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6</w:t>
            </w:r>
          </w:p>
        </w:tc>
        <w:tc>
          <w:tcPr>
            <w:tcW w:w="429" w:type="dxa"/>
            <w:tcBorders>
              <w:top w:val="single" w:sz="6" w:space="0" w:color="000000"/>
              <w:left w:val="single" w:sz="6" w:space="0" w:color="000000"/>
              <w:bottom w:val="single" w:sz="6" w:space="0" w:color="000000"/>
              <w:right w:val="single" w:sz="6" w:space="0" w:color="000000"/>
            </w:tcBorders>
            <w:vAlign w:val="center"/>
          </w:tcPr>
          <w:p w14:paraId="32C534AB" w14:textId="77777777" w:rsidR="00F17024" w:rsidRPr="003549B4" w:rsidRDefault="00F17024" w:rsidP="00751905">
            <w:pPr>
              <w:ind w:left="215" w:hanging="215"/>
              <w:jc w:val="center"/>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7</w:t>
            </w:r>
          </w:p>
        </w:tc>
        <w:tc>
          <w:tcPr>
            <w:tcW w:w="660" w:type="dxa"/>
            <w:tcBorders>
              <w:top w:val="single" w:sz="6" w:space="0" w:color="000000"/>
              <w:left w:val="single" w:sz="6" w:space="0" w:color="000000"/>
              <w:bottom w:val="single" w:sz="6" w:space="0" w:color="000000"/>
              <w:right w:val="single" w:sz="6" w:space="0" w:color="000000"/>
            </w:tcBorders>
            <w:vAlign w:val="center"/>
          </w:tcPr>
          <w:p w14:paraId="52825EEF" w14:textId="77777777" w:rsidR="00F17024" w:rsidRPr="003549B4" w:rsidRDefault="00F17024" w:rsidP="00751905">
            <w:pPr>
              <w:ind w:left="215" w:hanging="215"/>
              <w:jc w:val="center"/>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8</w:t>
            </w:r>
          </w:p>
        </w:tc>
      </w:tr>
      <w:tr w:rsidR="00F17024" w:rsidRPr="003549B4" w14:paraId="12A4D90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FAC5199" w14:textId="77777777" w:rsidR="00A71784" w:rsidRPr="003549B4" w:rsidRDefault="00A71784" w:rsidP="000D519E">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Č1</w:t>
            </w:r>
          </w:p>
          <w:p w14:paraId="70C35430" w14:textId="77777777" w:rsidR="00B20392" w:rsidRPr="003549B4" w:rsidRDefault="00B20392" w:rsidP="000D519E">
            <w:pPr>
              <w:spacing w:after="0" w:line="240" w:lineRule="auto"/>
              <w:rPr>
                <w:rFonts w:ascii="Times New Roman" w:eastAsia="Arial" w:hAnsi="Times New Roman" w:cs="Times New Roman"/>
                <w:sz w:val="20"/>
                <w:szCs w:val="20"/>
                <w:lang w:bidi="cs-CZ"/>
              </w:rPr>
            </w:pPr>
          </w:p>
        </w:tc>
        <w:tc>
          <w:tcPr>
            <w:tcW w:w="6287" w:type="dxa"/>
          </w:tcPr>
          <w:p w14:paraId="1081AE13" w14:textId="77777777" w:rsidR="00A71784" w:rsidRPr="003549B4" w:rsidRDefault="00A71784" w:rsidP="00A71784">
            <w:pPr>
              <w:spacing w:after="0" w:line="240" w:lineRule="auto"/>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Predmet úpravy</w:t>
            </w:r>
          </w:p>
          <w:p w14:paraId="59FFD376" w14:textId="77777777" w:rsidR="000D519E" w:rsidRPr="003549B4" w:rsidRDefault="00B20392" w:rsidP="000D519E">
            <w:pPr>
              <w:spacing w:after="120" w:line="240" w:lineRule="auto"/>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V tejto smernici sa stanovujú pravidlá týkajúce sa kontroly emisií oxidu siričitého (SO2), oxidov dusíka (NOx) a prachu do ovzdušia zo stredne veľkých spaľovacích zariadení s cieľom znížiť tak emisie do ovzdušia a potenciálne riziká týchto emisií pre ľudské zdravie a životné prostredie.</w:t>
            </w:r>
          </w:p>
          <w:p w14:paraId="4660376C" w14:textId="77777777" w:rsidR="00B20392" w:rsidRPr="003549B4" w:rsidRDefault="000D519E" w:rsidP="00A71784">
            <w:pPr>
              <w:spacing w:after="0" w:line="240" w:lineRule="auto"/>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V tejto smernici sa stanovujú aj pravidlá pre monitorovanie emisií oxidu uhoľnatého (CO).</w:t>
            </w:r>
          </w:p>
        </w:tc>
        <w:tc>
          <w:tcPr>
            <w:tcW w:w="433" w:type="dxa"/>
          </w:tcPr>
          <w:p w14:paraId="743B171A" w14:textId="77777777" w:rsidR="00B20392" w:rsidRPr="003549B4" w:rsidRDefault="00B20392" w:rsidP="00A71784">
            <w:pPr>
              <w:spacing w:after="0" w:line="240" w:lineRule="auto"/>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N</w:t>
            </w:r>
          </w:p>
        </w:tc>
        <w:tc>
          <w:tcPr>
            <w:tcW w:w="572" w:type="dxa"/>
          </w:tcPr>
          <w:p w14:paraId="19F23DBA" w14:textId="77777777" w:rsidR="00B20392" w:rsidRPr="003549B4" w:rsidRDefault="00E17FCE" w:rsidP="00F17024">
            <w:pPr>
              <w:spacing w:after="0" w:line="240" w:lineRule="auto"/>
              <w:ind w:right="-108"/>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NZ</w:t>
            </w:r>
          </w:p>
          <w:p w14:paraId="7D36D704" w14:textId="77777777" w:rsidR="00353E37" w:rsidRPr="003549B4" w:rsidRDefault="00353E37" w:rsidP="00F17024">
            <w:pPr>
              <w:spacing w:after="0" w:line="240" w:lineRule="auto"/>
              <w:ind w:right="-108"/>
              <w:rPr>
                <w:rFonts w:ascii="Times New Roman" w:eastAsia="Arial" w:hAnsi="Times New Roman" w:cs="Times New Roman"/>
                <w:sz w:val="20"/>
                <w:szCs w:val="20"/>
                <w:lang w:bidi="cs-CZ"/>
              </w:rPr>
            </w:pPr>
          </w:p>
          <w:p w14:paraId="3BE3BB79" w14:textId="77777777" w:rsidR="00353E37" w:rsidRPr="003549B4" w:rsidRDefault="00353E37" w:rsidP="00F17024">
            <w:pPr>
              <w:spacing w:after="0" w:line="240" w:lineRule="auto"/>
              <w:ind w:right="-108"/>
              <w:rPr>
                <w:rFonts w:ascii="Times New Roman" w:eastAsia="Arial" w:hAnsi="Times New Roman" w:cs="Times New Roman"/>
                <w:sz w:val="20"/>
                <w:szCs w:val="20"/>
                <w:lang w:bidi="cs-CZ"/>
              </w:rPr>
            </w:pPr>
          </w:p>
          <w:p w14:paraId="2A9BF716" w14:textId="77777777" w:rsidR="00353E37" w:rsidRPr="003549B4" w:rsidRDefault="00353E37" w:rsidP="00F17024">
            <w:pPr>
              <w:spacing w:after="0" w:line="240" w:lineRule="auto"/>
              <w:ind w:right="-108"/>
              <w:rPr>
                <w:rFonts w:ascii="Times New Roman" w:eastAsia="Arial" w:hAnsi="Times New Roman" w:cs="Times New Roman"/>
                <w:sz w:val="20"/>
                <w:szCs w:val="20"/>
                <w:lang w:bidi="cs-CZ"/>
              </w:rPr>
            </w:pPr>
          </w:p>
          <w:p w14:paraId="3C62D093" w14:textId="77777777" w:rsidR="00353E37" w:rsidRPr="003549B4" w:rsidRDefault="00353E37" w:rsidP="00F17024">
            <w:pPr>
              <w:spacing w:after="0" w:line="240" w:lineRule="auto"/>
              <w:ind w:right="-108"/>
              <w:rPr>
                <w:rFonts w:ascii="Times New Roman" w:eastAsia="Arial" w:hAnsi="Times New Roman" w:cs="Times New Roman"/>
                <w:sz w:val="20"/>
                <w:szCs w:val="20"/>
                <w:lang w:bidi="cs-CZ"/>
              </w:rPr>
            </w:pPr>
          </w:p>
          <w:p w14:paraId="35E8591E" w14:textId="77777777" w:rsidR="00353E37" w:rsidRPr="003549B4" w:rsidRDefault="00353E37" w:rsidP="00F17024">
            <w:pPr>
              <w:spacing w:after="0" w:line="240" w:lineRule="auto"/>
              <w:ind w:right="-108"/>
              <w:rPr>
                <w:rFonts w:ascii="Times New Roman" w:eastAsia="Arial" w:hAnsi="Times New Roman" w:cs="Times New Roman"/>
                <w:sz w:val="20"/>
                <w:szCs w:val="20"/>
                <w:lang w:bidi="cs-CZ"/>
              </w:rPr>
            </w:pPr>
          </w:p>
          <w:p w14:paraId="2DAF92D7" w14:textId="77777777" w:rsidR="00353E37" w:rsidRPr="003549B4" w:rsidRDefault="00353E37" w:rsidP="00F17024">
            <w:pPr>
              <w:spacing w:after="0" w:line="240" w:lineRule="auto"/>
              <w:ind w:right="-108"/>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NV2</w:t>
            </w:r>
          </w:p>
          <w:p w14:paraId="43A10BC3" w14:textId="77777777" w:rsidR="00353E37" w:rsidRPr="003549B4" w:rsidRDefault="00353E37" w:rsidP="00F17024">
            <w:pPr>
              <w:spacing w:after="0" w:line="240" w:lineRule="auto"/>
              <w:ind w:right="-108"/>
              <w:rPr>
                <w:rFonts w:ascii="Times New Roman" w:eastAsia="Arial" w:hAnsi="Times New Roman" w:cs="Times New Roman"/>
                <w:sz w:val="20"/>
                <w:szCs w:val="20"/>
                <w:lang w:bidi="cs-CZ"/>
              </w:rPr>
            </w:pPr>
          </w:p>
        </w:tc>
        <w:tc>
          <w:tcPr>
            <w:tcW w:w="569" w:type="dxa"/>
          </w:tcPr>
          <w:p w14:paraId="144D0086" w14:textId="77777777" w:rsidR="00B20392" w:rsidRPr="003549B4" w:rsidRDefault="0079424E" w:rsidP="00F17024">
            <w:pPr>
              <w:spacing w:after="0" w:line="240" w:lineRule="auto"/>
              <w:ind w:left="14" w:right="-9" w:hanging="29"/>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 xml:space="preserve">§ </w:t>
            </w:r>
            <w:r w:rsidR="000E363C" w:rsidRPr="003549B4">
              <w:rPr>
                <w:rFonts w:ascii="Times New Roman" w:eastAsia="Arial" w:hAnsi="Times New Roman" w:cs="Times New Roman"/>
                <w:sz w:val="20"/>
                <w:szCs w:val="20"/>
                <w:lang w:bidi="cs-CZ"/>
              </w:rPr>
              <w:t>1</w:t>
            </w:r>
          </w:p>
          <w:p w14:paraId="6919CF7F" w14:textId="77777777" w:rsidR="00F17024" w:rsidRPr="003549B4" w:rsidRDefault="00F17024" w:rsidP="00F17024">
            <w:pPr>
              <w:spacing w:after="0" w:line="240" w:lineRule="auto"/>
              <w:ind w:left="14" w:right="-9" w:hanging="29"/>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O2</w:t>
            </w:r>
          </w:p>
          <w:p w14:paraId="1E3A2B88" w14:textId="77777777" w:rsidR="00F17024" w:rsidRPr="003549B4" w:rsidRDefault="00F17024" w:rsidP="00F17024">
            <w:pPr>
              <w:spacing w:after="0" w:line="240" w:lineRule="auto"/>
              <w:ind w:left="14" w:right="-9" w:hanging="29"/>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Pe)</w:t>
            </w:r>
          </w:p>
          <w:p w14:paraId="38A4C591" w14:textId="77777777" w:rsidR="00353E37" w:rsidRPr="003549B4" w:rsidRDefault="00353E37" w:rsidP="00F17024">
            <w:pPr>
              <w:spacing w:after="0" w:line="240" w:lineRule="auto"/>
              <w:ind w:left="14" w:right="-9" w:hanging="29"/>
              <w:rPr>
                <w:rFonts w:ascii="Times New Roman" w:eastAsia="Arial" w:hAnsi="Times New Roman" w:cs="Times New Roman"/>
                <w:sz w:val="20"/>
                <w:szCs w:val="20"/>
                <w:lang w:bidi="cs-CZ"/>
              </w:rPr>
            </w:pPr>
          </w:p>
          <w:p w14:paraId="243C1841" w14:textId="77777777" w:rsidR="00353E37" w:rsidRPr="003549B4" w:rsidRDefault="00353E37" w:rsidP="00F17024">
            <w:pPr>
              <w:spacing w:after="0" w:line="240" w:lineRule="auto"/>
              <w:ind w:left="14" w:right="-9" w:hanging="29"/>
              <w:rPr>
                <w:rFonts w:ascii="Times New Roman" w:eastAsia="Arial" w:hAnsi="Times New Roman" w:cs="Times New Roman"/>
                <w:sz w:val="20"/>
                <w:szCs w:val="20"/>
                <w:lang w:bidi="cs-CZ"/>
              </w:rPr>
            </w:pPr>
          </w:p>
          <w:p w14:paraId="307B4184" w14:textId="77777777" w:rsidR="00353E37" w:rsidRPr="003549B4" w:rsidRDefault="00353E37" w:rsidP="00F17024">
            <w:pPr>
              <w:spacing w:after="0" w:line="240" w:lineRule="auto"/>
              <w:ind w:left="14" w:right="-9" w:hanging="29"/>
              <w:rPr>
                <w:rFonts w:ascii="Times New Roman" w:eastAsia="Arial" w:hAnsi="Times New Roman" w:cs="Times New Roman"/>
                <w:sz w:val="20"/>
                <w:szCs w:val="20"/>
                <w:lang w:bidi="cs-CZ"/>
              </w:rPr>
            </w:pPr>
          </w:p>
          <w:p w14:paraId="038D3EDF" w14:textId="77777777" w:rsidR="00353E37" w:rsidRPr="003549B4" w:rsidRDefault="00353E37" w:rsidP="00353E37">
            <w:pPr>
              <w:spacing w:after="0" w:line="240" w:lineRule="auto"/>
              <w:ind w:left="14" w:right="-9" w:hanging="29"/>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 2</w:t>
            </w:r>
          </w:p>
          <w:p w14:paraId="5CB1A34A" w14:textId="77777777" w:rsidR="00353E37" w:rsidRPr="003549B4" w:rsidRDefault="00353E37" w:rsidP="00353E37">
            <w:pPr>
              <w:spacing w:after="0" w:line="240" w:lineRule="auto"/>
              <w:ind w:left="14" w:right="-9" w:hanging="29"/>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O2</w:t>
            </w:r>
          </w:p>
          <w:p w14:paraId="25D22327" w14:textId="77777777" w:rsidR="00353E37" w:rsidRPr="003549B4" w:rsidRDefault="00353E37" w:rsidP="00353E37">
            <w:pPr>
              <w:spacing w:after="0" w:line="240" w:lineRule="auto"/>
              <w:ind w:left="14" w:right="-9" w:hanging="29"/>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Pe)</w:t>
            </w:r>
          </w:p>
          <w:p w14:paraId="099B5DC5" w14:textId="77777777" w:rsidR="00353E37" w:rsidRPr="003549B4" w:rsidRDefault="00353E37" w:rsidP="00F17024">
            <w:pPr>
              <w:spacing w:after="0" w:line="240" w:lineRule="auto"/>
              <w:ind w:left="14" w:right="-9" w:hanging="29"/>
              <w:rPr>
                <w:rFonts w:ascii="Times New Roman" w:eastAsia="Arial" w:hAnsi="Times New Roman" w:cs="Times New Roman"/>
                <w:sz w:val="20"/>
                <w:szCs w:val="20"/>
                <w:lang w:bidi="cs-CZ"/>
              </w:rPr>
            </w:pPr>
          </w:p>
        </w:tc>
        <w:tc>
          <w:tcPr>
            <w:tcW w:w="6006" w:type="dxa"/>
            <w:vAlign w:val="center"/>
          </w:tcPr>
          <w:p w14:paraId="286916CD" w14:textId="77777777" w:rsidR="009C54FB" w:rsidRPr="003549B4" w:rsidRDefault="009C54FB" w:rsidP="00A71784">
            <w:pPr>
              <w:autoSpaceDE w:val="0"/>
              <w:autoSpaceDN w:val="0"/>
              <w:adjustRightInd w:val="0"/>
              <w:spacing w:after="0" w:line="240" w:lineRule="auto"/>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(2) Tento zákon upravuje:</w:t>
            </w:r>
          </w:p>
          <w:p w14:paraId="629C6DD8" w14:textId="77777777" w:rsidR="00A23214" w:rsidRPr="003549B4" w:rsidRDefault="009C54FB" w:rsidP="00A71784">
            <w:pPr>
              <w:autoSpaceDE w:val="0"/>
              <w:autoSpaceDN w:val="0"/>
              <w:adjustRightInd w:val="0"/>
              <w:spacing w:after="0" w:line="240" w:lineRule="auto"/>
              <w:rPr>
                <w:rFonts w:ascii="Times New Roman" w:eastAsia="Arial" w:hAnsi="Times New Roman" w:cs="Times New Roman"/>
                <w:sz w:val="20"/>
                <w:szCs w:val="20"/>
                <w:lang w:bidi="cs-CZ"/>
              </w:rPr>
            </w:pPr>
            <w:r w:rsidRPr="003549B4">
              <w:rPr>
                <w:rFonts w:ascii="Times New Roman" w:eastAsia="Arial" w:hAnsi="Times New Roman" w:cs="Times New Roman"/>
                <w:sz w:val="20"/>
                <w:szCs w:val="20"/>
                <w:lang w:bidi="cs-CZ"/>
              </w:rPr>
              <w:t>e) prípustnú mieru znečisťovania ovzdušia, monitorovanie a preuka</w:t>
            </w:r>
            <w:r w:rsidR="00A23214" w:rsidRPr="003549B4">
              <w:rPr>
                <w:rFonts w:ascii="Times New Roman" w:eastAsia="Arial" w:hAnsi="Times New Roman" w:cs="Times New Roman"/>
                <w:sz w:val="20"/>
                <w:szCs w:val="20"/>
                <w:lang w:bidi="cs-CZ"/>
              </w:rPr>
              <w:t>zov</w:t>
            </w:r>
            <w:r w:rsidRPr="003549B4">
              <w:rPr>
                <w:rFonts w:ascii="Times New Roman" w:eastAsia="Arial" w:hAnsi="Times New Roman" w:cs="Times New Roman"/>
                <w:sz w:val="20"/>
                <w:szCs w:val="20"/>
                <w:lang w:bidi="cs-CZ"/>
              </w:rPr>
              <w:t>anie jej dodržiavania, nástroje na znižovanie emisií zo stacionárnych zdrojov znečisťovania ovzdušia a zisťovanie ich množstva</w:t>
            </w:r>
          </w:p>
          <w:p w14:paraId="262EDA3A" w14:textId="77777777" w:rsidR="00353E37" w:rsidRPr="003549B4" w:rsidRDefault="00353E37" w:rsidP="00A71784">
            <w:pPr>
              <w:autoSpaceDE w:val="0"/>
              <w:autoSpaceDN w:val="0"/>
              <w:adjustRightInd w:val="0"/>
              <w:spacing w:after="0" w:line="240" w:lineRule="auto"/>
              <w:rPr>
                <w:rFonts w:ascii="Times New Roman" w:eastAsia="Arial" w:hAnsi="Times New Roman" w:cs="Times New Roman"/>
                <w:sz w:val="20"/>
                <w:szCs w:val="20"/>
                <w:lang w:bidi="cs-CZ"/>
              </w:rPr>
            </w:pPr>
          </w:p>
          <w:p w14:paraId="6E76A5FB" w14:textId="77777777" w:rsidR="00353E37" w:rsidRPr="003549B4" w:rsidRDefault="00EF6B3E" w:rsidP="00353E37">
            <w:pPr>
              <w:spacing w:after="60" w:line="240" w:lineRule="auto"/>
              <w:jc w:val="both"/>
              <w:rPr>
                <w:rFonts w:ascii="Times New Roman" w:hAnsi="Times New Roman" w:cs="Times New Roman"/>
                <w:sz w:val="20"/>
                <w:szCs w:val="20"/>
              </w:rPr>
            </w:pPr>
            <w:r w:rsidRPr="003549B4">
              <w:rPr>
                <w:rFonts w:ascii="Times New Roman" w:hAnsi="Times New Roman" w:cs="Times New Roman"/>
                <w:sz w:val="20"/>
                <w:szCs w:val="20"/>
              </w:rPr>
              <w:t xml:space="preserve">(2) </w:t>
            </w:r>
            <w:r w:rsidR="00353E37" w:rsidRPr="003549B4">
              <w:rPr>
                <w:rFonts w:ascii="Times New Roman" w:hAnsi="Times New Roman" w:cs="Times New Roman"/>
                <w:sz w:val="20"/>
                <w:szCs w:val="20"/>
              </w:rPr>
              <w:t xml:space="preserve">Podrobnosti o spôsoboch, lehoty a požiadavky na monitorovanie číselnej hodnoty veličiny, ktorou je vyjadrená emisná požiadavka (ďalej len „emisná veličina“), sú v členení pre: </w:t>
            </w:r>
          </w:p>
          <w:p w14:paraId="58CA6FE4" w14:textId="77777777" w:rsidR="00A23214" w:rsidRPr="003549B4" w:rsidRDefault="00353E37" w:rsidP="008F3AC2">
            <w:pPr>
              <w:autoSpaceDE w:val="0"/>
              <w:autoSpaceDN w:val="0"/>
              <w:adjustRightInd w:val="0"/>
              <w:spacing w:after="0" w:line="240" w:lineRule="auto"/>
              <w:rPr>
                <w:rFonts w:ascii="Times New Roman" w:eastAsia="Arial" w:hAnsi="Times New Roman" w:cs="Times New Roman"/>
                <w:sz w:val="20"/>
                <w:szCs w:val="20"/>
                <w:lang w:bidi="cs-CZ"/>
              </w:rPr>
            </w:pPr>
            <w:r w:rsidRPr="003549B4">
              <w:rPr>
                <w:rFonts w:ascii="Times New Roman" w:hAnsi="Times New Roman" w:cs="Times New Roman"/>
                <w:sz w:val="20"/>
                <w:szCs w:val="20"/>
              </w:rPr>
              <w:t>e)</w:t>
            </w:r>
            <w:r w:rsidRPr="003549B4">
              <w:rPr>
                <w:rFonts w:ascii="Times New Roman" w:hAnsi="Times New Roman" w:cs="Times New Roman"/>
                <w:sz w:val="20"/>
                <w:szCs w:val="20"/>
              </w:rPr>
              <w:tab/>
              <w:t>spaľovacie zariadenia podľa § 20 ods. 6 zákona v § 8,</w:t>
            </w:r>
          </w:p>
        </w:tc>
        <w:tc>
          <w:tcPr>
            <w:tcW w:w="429" w:type="dxa"/>
            <w:tcBorders>
              <w:top w:val="single" w:sz="4" w:space="0" w:color="auto"/>
              <w:bottom w:val="single" w:sz="4" w:space="0" w:color="auto"/>
            </w:tcBorders>
            <w:vAlign w:val="center"/>
          </w:tcPr>
          <w:p w14:paraId="69335245" w14:textId="77777777" w:rsidR="00B20392" w:rsidRPr="003549B4" w:rsidRDefault="000D519E" w:rsidP="00A71784">
            <w:pPr>
              <w:spacing w:after="0" w:line="240" w:lineRule="auto"/>
              <w:rPr>
                <w:rFonts w:ascii="Times New Roman" w:eastAsia="Arial" w:hAnsi="Times New Roman" w:cs="Times New Roman"/>
                <w:sz w:val="20"/>
                <w:szCs w:val="20"/>
                <w:lang w:bidi="cs-CZ"/>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0E8161A" w14:textId="77777777" w:rsidR="00B20392" w:rsidRPr="003549B4" w:rsidRDefault="00B20392" w:rsidP="00A71784">
            <w:pPr>
              <w:spacing w:after="0" w:line="240" w:lineRule="auto"/>
              <w:rPr>
                <w:rFonts w:ascii="Times New Roman" w:eastAsia="Arial" w:hAnsi="Times New Roman" w:cs="Times New Roman"/>
                <w:sz w:val="20"/>
                <w:szCs w:val="20"/>
                <w:lang w:bidi="cs-CZ"/>
              </w:rPr>
            </w:pPr>
          </w:p>
        </w:tc>
      </w:tr>
      <w:tr w:rsidR="00557F90" w:rsidRPr="003549B4" w14:paraId="5EDF8705"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5925FB6A" w14:textId="77777777" w:rsidR="00B20392" w:rsidRPr="003549B4" w:rsidRDefault="00B20392" w:rsidP="00165BD8">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Č2</w:t>
            </w:r>
          </w:p>
        </w:tc>
        <w:tc>
          <w:tcPr>
            <w:tcW w:w="6287" w:type="dxa"/>
          </w:tcPr>
          <w:p w14:paraId="212AFB9C" w14:textId="77777777" w:rsidR="00B20392" w:rsidRPr="003549B4" w:rsidRDefault="00B20392"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Rozsah pôsobnosti</w:t>
            </w:r>
          </w:p>
        </w:tc>
        <w:tc>
          <w:tcPr>
            <w:tcW w:w="433" w:type="dxa"/>
          </w:tcPr>
          <w:p w14:paraId="09034AF2" w14:textId="77777777" w:rsidR="00B20392" w:rsidRPr="003549B4" w:rsidRDefault="00B20392" w:rsidP="00B81E84">
            <w:pPr>
              <w:spacing w:before="120" w:after="0" w:line="240" w:lineRule="auto"/>
              <w:rPr>
                <w:rFonts w:ascii="Times New Roman" w:hAnsi="Times New Roman" w:cs="Times New Roman"/>
                <w:sz w:val="20"/>
                <w:szCs w:val="20"/>
              </w:rPr>
            </w:pPr>
          </w:p>
        </w:tc>
        <w:tc>
          <w:tcPr>
            <w:tcW w:w="572" w:type="dxa"/>
          </w:tcPr>
          <w:p w14:paraId="5E5ECD06" w14:textId="77777777" w:rsidR="00B20392" w:rsidRPr="003549B4" w:rsidRDefault="00B20392" w:rsidP="00F17024">
            <w:pPr>
              <w:spacing w:before="120" w:after="0" w:line="240" w:lineRule="auto"/>
              <w:ind w:right="-108"/>
              <w:rPr>
                <w:rFonts w:ascii="Times New Roman" w:hAnsi="Times New Roman" w:cs="Times New Roman"/>
                <w:sz w:val="20"/>
                <w:szCs w:val="20"/>
              </w:rPr>
            </w:pPr>
          </w:p>
        </w:tc>
        <w:tc>
          <w:tcPr>
            <w:tcW w:w="569" w:type="dxa"/>
          </w:tcPr>
          <w:p w14:paraId="75EC5856" w14:textId="77777777" w:rsidR="00B20392" w:rsidRPr="003549B4" w:rsidRDefault="00B20392" w:rsidP="00F17024">
            <w:pPr>
              <w:spacing w:before="120" w:after="0" w:line="240" w:lineRule="auto"/>
              <w:ind w:left="14" w:right="-9" w:hanging="29"/>
              <w:rPr>
                <w:rFonts w:ascii="Times New Roman" w:hAnsi="Times New Roman" w:cs="Times New Roman"/>
                <w:sz w:val="20"/>
                <w:szCs w:val="20"/>
              </w:rPr>
            </w:pPr>
          </w:p>
        </w:tc>
        <w:tc>
          <w:tcPr>
            <w:tcW w:w="6006" w:type="dxa"/>
            <w:vAlign w:val="center"/>
          </w:tcPr>
          <w:p w14:paraId="0705D06F" w14:textId="77777777" w:rsidR="00B20392" w:rsidRPr="003549B4" w:rsidRDefault="00B20392" w:rsidP="00B81E84">
            <w:pPr>
              <w:spacing w:before="120"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0519E91A" w14:textId="77777777" w:rsidR="00B20392" w:rsidRPr="003549B4" w:rsidRDefault="00B20392" w:rsidP="00603CC4">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4E103574" w14:textId="77777777" w:rsidR="00B20392" w:rsidRPr="003549B4" w:rsidRDefault="00B20392" w:rsidP="00603CC4">
            <w:pPr>
              <w:spacing w:after="0" w:line="240" w:lineRule="auto"/>
              <w:rPr>
                <w:rFonts w:ascii="Times New Roman" w:hAnsi="Times New Roman" w:cs="Times New Roman"/>
                <w:sz w:val="20"/>
                <w:szCs w:val="20"/>
              </w:rPr>
            </w:pPr>
          </w:p>
        </w:tc>
      </w:tr>
      <w:tr w:rsidR="00557F90" w:rsidRPr="003549B4" w14:paraId="3AEABE7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04BA987" w14:textId="77777777" w:rsidR="00B20392" w:rsidRPr="003549B4" w:rsidRDefault="00B20392"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p w14:paraId="31B36A4C" w14:textId="77777777" w:rsidR="003C6CB0" w:rsidRPr="003549B4" w:rsidRDefault="003C6CB0" w:rsidP="00805B62">
            <w:pPr>
              <w:spacing w:after="0" w:line="240" w:lineRule="auto"/>
              <w:rPr>
                <w:rFonts w:ascii="Times New Roman" w:hAnsi="Times New Roman" w:cs="Times New Roman"/>
                <w:sz w:val="20"/>
                <w:szCs w:val="20"/>
              </w:rPr>
            </w:pPr>
          </w:p>
          <w:p w14:paraId="4B01BFAC" w14:textId="77777777" w:rsidR="003C6CB0" w:rsidRPr="003549B4" w:rsidRDefault="003C6CB0" w:rsidP="00805B62">
            <w:pPr>
              <w:spacing w:after="0" w:line="240" w:lineRule="auto"/>
              <w:rPr>
                <w:rFonts w:ascii="Times New Roman" w:hAnsi="Times New Roman" w:cs="Times New Roman"/>
                <w:sz w:val="20"/>
                <w:szCs w:val="20"/>
              </w:rPr>
            </w:pPr>
          </w:p>
          <w:p w14:paraId="1D231010" w14:textId="77777777" w:rsidR="003C6CB0" w:rsidRPr="003549B4" w:rsidRDefault="003C6CB0" w:rsidP="00805B62">
            <w:pPr>
              <w:spacing w:after="0" w:line="240" w:lineRule="auto"/>
              <w:rPr>
                <w:rFonts w:ascii="Times New Roman" w:hAnsi="Times New Roman" w:cs="Times New Roman"/>
                <w:sz w:val="20"/>
                <w:szCs w:val="20"/>
              </w:rPr>
            </w:pPr>
          </w:p>
          <w:p w14:paraId="652C02D6" w14:textId="77777777" w:rsidR="003C6CB0" w:rsidRPr="003549B4" w:rsidRDefault="00805B62"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w:t>
            </w:r>
            <w:r w:rsidR="003C6CB0" w:rsidRPr="003549B4">
              <w:rPr>
                <w:rFonts w:ascii="Times New Roman" w:hAnsi="Times New Roman" w:cs="Times New Roman"/>
                <w:sz w:val="20"/>
                <w:szCs w:val="20"/>
              </w:rPr>
              <w:t>2</w:t>
            </w:r>
          </w:p>
        </w:tc>
        <w:tc>
          <w:tcPr>
            <w:tcW w:w="6287" w:type="dxa"/>
          </w:tcPr>
          <w:p w14:paraId="6475C174" w14:textId="77777777" w:rsidR="00B20392" w:rsidRPr="003549B4" w:rsidRDefault="00805B62"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lastRenderedPageBreak/>
              <w:t xml:space="preserve">1. </w:t>
            </w:r>
            <w:r w:rsidR="00B20392" w:rsidRPr="003549B4">
              <w:rPr>
                <w:rFonts w:ascii="Times New Roman" w:hAnsi="Times New Roman" w:cs="Times New Roman"/>
                <w:sz w:val="20"/>
                <w:szCs w:val="20"/>
                <w:lang w:eastAsia="sk-SK"/>
              </w:rPr>
              <w:t>Táto smernica sa vzťahuje na spaľovacie zariadenia, ktorých celkový menovitý tepelný príkon sa rovná alebo je väčší ako 1</w:t>
            </w:r>
            <w:r w:rsidR="00A23214" w:rsidRPr="003549B4">
              <w:rPr>
                <w:rFonts w:ascii="Times New Roman" w:hAnsi="Times New Roman" w:cs="Times New Roman"/>
                <w:sz w:val="20"/>
                <w:szCs w:val="20"/>
              </w:rPr>
              <w:t> </w:t>
            </w:r>
            <w:r w:rsidR="00A23214" w:rsidRPr="003549B4">
              <w:rPr>
                <w:rFonts w:ascii="Times New Roman" w:hAnsi="Times New Roman" w:cs="Times New Roman"/>
                <w:sz w:val="20"/>
                <w:szCs w:val="20"/>
                <w:lang w:eastAsia="sk-SK"/>
              </w:rPr>
              <w:t xml:space="preserve">MW a menší ako </w:t>
            </w:r>
            <w:r w:rsidR="00A23214" w:rsidRPr="003549B4">
              <w:rPr>
                <w:rFonts w:ascii="Times New Roman" w:hAnsi="Times New Roman" w:cs="Times New Roman"/>
                <w:sz w:val="20"/>
                <w:szCs w:val="20"/>
                <w:lang w:eastAsia="sk-SK"/>
              </w:rPr>
              <w:lastRenderedPageBreak/>
              <w:t>50</w:t>
            </w:r>
            <w:r w:rsidR="00B20392" w:rsidRPr="003549B4">
              <w:rPr>
                <w:rFonts w:ascii="Times New Roman" w:hAnsi="Times New Roman" w:cs="Times New Roman"/>
                <w:sz w:val="20"/>
                <w:szCs w:val="20"/>
                <w:lang w:eastAsia="sk-SK"/>
              </w:rPr>
              <w:t>MW (ďalej len „stredne veľké spaľovacie zariadenia“), bez ohľadu na druh paliva, ktorý používajú.</w:t>
            </w:r>
          </w:p>
          <w:p w14:paraId="148B66B2" w14:textId="77777777" w:rsidR="003C6CB0" w:rsidRPr="003549B4" w:rsidRDefault="00805B62"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lang w:eastAsia="sk-SK"/>
              </w:rPr>
              <w:t xml:space="preserve">2. </w:t>
            </w:r>
            <w:r w:rsidR="003C6CB0" w:rsidRPr="003549B4">
              <w:rPr>
                <w:rFonts w:ascii="Times New Roman" w:hAnsi="Times New Roman" w:cs="Times New Roman"/>
                <w:sz w:val="20"/>
                <w:szCs w:val="20"/>
                <w:lang w:eastAsia="sk-SK"/>
              </w:rPr>
              <w:t>Táto smernica sa vzťahuje aj na kombináciu nových stredne veľkých spaľovacích zariadení podľa článku 4 vrátane kombinácie, keď sa celkový menovitý tepelný príkon rovná alebo je väčší ako 50MW, pokiaľ takáto kombinácia nie je spaľovacím zariadením, na ktoré sa vzťahuje kapitola III smernice 2010/75/EÚ.</w:t>
            </w:r>
          </w:p>
        </w:tc>
        <w:tc>
          <w:tcPr>
            <w:tcW w:w="433" w:type="dxa"/>
          </w:tcPr>
          <w:p w14:paraId="42EF6F30" w14:textId="77777777" w:rsidR="00B20392" w:rsidRPr="003549B4" w:rsidRDefault="00565E6C"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w:t>
            </w:r>
          </w:p>
        </w:tc>
        <w:tc>
          <w:tcPr>
            <w:tcW w:w="572" w:type="dxa"/>
          </w:tcPr>
          <w:p w14:paraId="76896AF0" w14:textId="77777777" w:rsidR="00B20392" w:rsidRPr="003549B4" w:rsidRDefault="00E17FCE"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p w14:paraId="10D8659D" w14:textId="77777777" w:rsidR="002761D6" w:rsidRPr="003549B4" w:rsidRDefault="002761D6" w:rsidP="00F17024">
            <w:pPr>
              <w:spacing w:before="120" w:after="0" w:line="240" w:lineRule="auto"/>
              <w:ind w:right="-108"/>
              <w:rPr>
                <w:rFonts w:ascii="Times New Roman" w:hAnsi="Times New Roman" w:cs="Times New Roman"/>
                <w:sz w:val="20"/>
                <w:szCs w:val="20"/>
              </w:rPr>
            </w:pPr>
          </w:p>
          <w:p w14:paraId="58BEE537" w14:textId="77777777" w:rsidR="002761D6" w:rsidRPr="003549B4" w:rsidRDefault="002761D6" w:rsidP="00F17024">
            <w:pPr>
              <w:spacing w:before="120" w:after="0" w:line="240" w:lineRule="auto"/>
              <w:ind w:right="-108"/>
              <w:rPr>
                <w:rFonts w:ascii="Times New Roman" w:hAnsi="Times New Roman" w:cs="Times New Roman"/>
                <w:sz w:val="20"/>
                <w:szCs w:val="20"/>
              </w:rPr>
            </w:pPr>
          </w:p>
          <w:p w14:paraId="2E6C5D20" w14:textId="77777777" w:rsidR="002761D6" w:rsidRPr="003549B4" w:rsidRDefault="002761D6" w:rsidP="00F17024">
            <w:pPr>
              <w:spacing w:before="120" w:after="0" w:line="240" w:lineRule="auto"/>
              <w:ind w:right="-108"/>
              <w:rPr>
                <w:rFonts w:ascii="Times New Roman" w:hAnsi="Times New Roman" w:cs="Times New Roman"/>
                <w:sz w:val="20"/>
                <w:szCs w:val="20"/>
              </w:rPr>
            </w:pPr>
          </w:p>
          <w:p w14:paraId="0E3D6EEB" w14:textId="77777777" w:rsidR="002761D6" w:rsidRPr="003549B4" w:rsidRDefault="002761D6" w:rsidP="00F17024">
            <w:pPr>
              <w:spacing w:before="120" w:after="0" w:line="240" w:lineRule="auto"/>
              <w:ind w:right="-108"/>
              <w:rPr>
                <w:rFonts w:ascii="Times New Roman" w:hAnsi="Times New Roman" w:cs="Times New Roman"/>
                <w:sz w:val="20"/>
                <w:szCs w:val="20"/>
              </w:rPr>
            </w:pPr>
          </w:p>
          <w:p w14:paraId="65D4DC20" w14:textId="77777777" w:rsidR="002761D6" w:rsidRPr="003549B4" w:rsidRDefault="002761D6"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tc>
        <w:tc>
          <w:tcPr>
            <w:tcW w:w="569" w:type="dxa"/>
          </w:tcPr>
          <w:p w14:paraId="320D9EA7" w14:textId="77777777" w:rsidR="0079424E" w:rsidRPr="003549B4" w:rsidRDefault="001D058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lastRenderedPageBreak/>
              <w:t>§2</w:t>
            </w:r>
            <w:r w:rsidR="0079424E" w:rsidRPr="003549B4">
              <w:rPr>
                <w:rFonts w:ascii="Times New Roman" w:hAnsi="Times New Roman" w:cs="Times New Roman"/>
                <w:sz w:val="20"/>
                <w:szCs w:val="20"/>
              </w:rPr>
              <w:t>0</w:t>
            </w:r>
            <w:r w:rsidRPr="003549B4">
              <w:rPr>
                <w:rFonts w:ascii="Times New Roman" w:hAnsi="Times New Roman" w:cs="Times New Roman"/>
                <w:sz w:val="20"/>
                <w:szCs w:val="20"/>
              </w:rPr>
              <w:t xml:space="preserve"> </w:t>
            </w:r>
            <w:r w:rsidR="0079424E" w:rsidRPr="003549B4">
              <w:rPr>
                <w:rFonts w:ascii="Times New Roman" w:hAnsi="Times New Roman" w:cs="Times New Roman"/>
                <w:sz w:val="20"/>
                <w:szCs w:val="20"/>
              </w:rPr>
              <w:t>O</w:t>
            </w:r>
            <w:r w:rsidR="00223E99" w:rsidRPr="003549B4">
              <w:rPr>
                <w:rFonts w:ascii="Times New Roman" w:hAnsi="Times New Roman" w:cs="Times New Roman"/>
                <w:sz w:val="20"/>
                <w:szCs w:val="20"/>
              </w:rPr>
              <w:t>7</w:t>
            </w:r>
          </w:p>
          <w:p w14:paraId="4F8C3D24" w14:textId="77777777" w:rsidR="00B20392" w:rsidRPr="003549B4" w:rsidRDefault="001D058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lastRenderedPageBreak/>
              <w:t>P</w:t>
            </w:r>
            <w:r w:rsidR="0079424E" w:rsidRPr="003549B4">
              <w:rPr>
                <w:rFonts w:ascii="Times New Roman" w:hAnsi="Times New Roman" w:cs="Times New Roman"/>
                <w:sz w:val="20"/>
                <w:szCs w:val="20"/>
              </w:rPr>
              <w:t>b)</w:t>
            </w:r>
          </w:p>
          <w:p w14:paraId="52126B10" w14:textId="77777777" w:rsidR="002761D6" w:rsidRPr="003549B4" w:rsidRDefault="002761D6" w:rsidP="00F17024">
            <w:pPr>
              <w:spacing w:before="120" w:after="0" w:line="240" w:lineRule="auto"/>
              <w:ind w:left="14" w:right="-9" w:hanging="29"/>
              <w:rPr>
                <w:rFonts w:ascii="Times New Roman" w:hAnsi="Times New Roman" w:cs="Times New Roman"/>
                <w:sz w:val="20"/>
                <w:szCs w:val="20"/>
              </w:rPr>
            </w:pPr>
          </w:p>
          <w:p w14:paraId="27A22E9D" w14:textId="77777777" w:rsidR="002761D6" w:rsidRPr="003549B4" w:rsidRDefault="002761D6" w:rsidP="00F17024">
            <w:pPr>
              <w:spacing w:after="0" w:line="240" w:lineRule="auto"/>
              <w:ind w:left="14" w:right="-9" w:hanging="29"/>
              <w:rPr>
                <w:rFonts w:ascii="Times New Roman" w:hAnsi="Times New Roman" w:cs="Times New Roman"/>
                <w:sz w:val="20"/>
                <w:szCs w:val="20"/>
              </w:rPr>
            </w:pPr>
          </w:p>
          <w:p w14:paraId="13E302CC" w14:textId="77777777" w:rsidR="002761D6" w:rsidRPr="003549B4" w:rsidRDefault="002761D6" w:rsidP="00F17024">
            <w:pPr>
              <w:spacing w:after="0" w:line="240" w:lineRule="auto"/>
              <w:ind w:left="14" w:right="-9" w:hanging="29"/>
              <w:rPr>
                <w:rFonts w:ascii="Times New Roman" w:hAnsi="Times New Roman" w:cs="Times New Roman"/>
                <w:sz w:val="20"/>
                <w:szCs w:val="20"/>
              </w:rPr>
            </w:pPr>
          </w:p>
          <w:p w14:paraId="06EF03B6" w14:textId="77777777" w:rsidR="002761D6" w:rsidRPr="003549B4" w:rsidRDefault="002761D6"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Pr.4</w:t>
            </w:r>
          </w:p>
          <w:p w14:paraId="1A6E080E" w14:textId="77777777" w:rsidR="002761D6" w:rsidRPr="003549B4" w:rsidRDefault="002761D6" w:rsidP="00635391">
            <w:pPr>
              <w:spacing w:after="0" w:line="240" w:lineRule="auto"/>
              <w:ind w:left="14" w:right="-98" w:hanging="29"/>
              <w:rPr>
                <w:rFonts w:ascii="Times New Roman" w:hAnsi="Times New Roman" w:cs="Times New Roman"/>
                <w:sz w:val="20"/>
                <w:szCs w:val="20"/>
              </w:rPr>
            </w:pPr>
            <w:r w:rsidRPr="003549B4">
              <w:rPr>
                <w:rFonts w:ascii="Times New Roman" w:hAnsi="Times New Roman" w:cs="Times New Roman"/>
                <w:sz w:val="20"/>
                <w:szCs w:val="20"/>
              </w:rPr>
              <w:t>Časť I.</w:t>
            </w:r>
          </w:p>
          <w:p w14:paraId="0A37B7A3" w14:textId="77777777" w:rsidR="002761D6" w:rsidRPr="003549B4" w:rsidRDefault="002761D6" w:rsidP="008F3AC2">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Bod2</w:t>
            </w:r>
          </w:p>
        </w:tc>
        <w:tc>
          <w:tcPr>
            <w:tcW w:w="6006" w:type="dxa"/>
          </w:tcPr>
          <w:p w14:paraId="168CA4AF" w14:textId="77777777" w:rsidR="00A2402A" w:rsidRPr="003549B4" w:rsidRDefault="00A2402A" w:rsidP="00A2402A">
            <w:pPr>
              <w:spacing w:after="120" w:line="240" w:lineRule="auto"/>
              <w:ind w:left="34"/>
              <w:rPr>
                <w:rFonts w:ascii="Times New Roman" w:hAnsi="Times New Roman" w:cs="Times New Roman"/>
                <w:sz w:val="20"/>
                <w:szCs w:val="20"/>
              </w:rPr>
            </w:pPr>
            <w:r w:rsidRPr="003549B4">
              <w:rPr>
                <w:rFonts w:ascii="Times New Roman" w:hAnsi="Times New Roman" w:cs="Times New Roman"/>
                <w:sz w:val="20"/>
                <w:szCs w:val="20"/>
              </w:rPr>
              <w:lastRenderedPageBreak/>
              <w:t>(7) Druhy spaľovacích zariadení sa podľa osobitných agregačných pravidiel ustanovených vykonávacím predpisom podľa § 62 písm. f) zaraďujú ako</w:t>
            </w:r>
          </w:p>
          <w:p w14:paraId="2C969774" w14:textId="77777777" w:rsidR="0079424E" w:rsidRPr="003549B4" w:rsidRDefault="00223E99" w:rsidP="00B81E84">
            <w:pPr>
              <w:spacing w:before="120" w:after="0" w:line="240" w:lineRule="auto"/>
              <w:ind w:left="66"/>
              <w:rPr>
                <w:rFonts w:ascii="Times New Roman" w:hAnsi="Times New Roman" w:cs="Times New Roman"/>
                <w:sz w:val="20"/>
                <w:szCs w:val="20"/>
              </w:rPr>
            </w:pPr>
            <w:r w:rsidRPr="003549B4">
              <w:rPr>
                <w:rFonts w:ascii="Times New Roman" w:hAnsi="Times New Roman" w:cs="Times New Roman"/>
                <w:sz w:val="20"/>
                <w:szCs w:val="20"/>
              </w:rPr>
              <w:lastRenderedPageBreak/>
              <w:t>b</w:t>
            </w:r>
            <w:r w:rsidR="00CA063F" w:rsidRPr="003549B4">
              <w:rPr>
                <w:rFonts w:ascii="Times New Roman" w:hAnsi="Times New Roman" w:cs="Times New Roman"/>
                <w:sz w:val="20"/>
                <w:szCs w:val="20"/>
              </w:rPr>
              <w:t>) v</w:t>
            </w:r>
            <w:r w:rsidR="0079424E" w:rsidRPr="003549B4">
              <w:rPr>
                <w:rFonts w:ascii="Times New Roman" w:hAnsi="Times New Roman" w:cs="Times New Roman"/>
                <w:sz w:val="20"/>
                <w:szCs w:val="20"/>
              </w:rPr>
              <w:t>äčšie stredné spaľovacie zariadenie; ide o spaľovacie zariadenie s súhrnným menovitým tepelným príkonom 1 MW a viac a menším ako 50 MW vymedzené v súlade s agregačnými pravidlami, pričom medzi väčšie stredné zariadenia  sa tiež zaraďuje zariadenie s menovitým tepelným príkonom 50 MW a viac, ak podľa agregačných pravidiel nejde o veľké spaľovacie zariadenie</w:t>
            </w:r>
          </w:p>
          <w:p w14:paraId="283D1ABA" w14:textId="77777777" w:rsidR="002761D6" w:rsidRPr="003549B4" w:rsidRDefault="002761D6" w:rsidP="00B81E84">
            <w:pPr>
              <w:spacing w:after="0" w:line="240" w:lineRule="auto"/>
              <w:ind w:left="66"/>
              <w:rPr>
                <w:rFonts w:ascii="Times New Roman" w:hAnsi="Times New Roman" w:cs="Times New Roman"/>
                <w:sz w:val="20"/>
                <w:szCs w:val="20"/>
              </w:rPr>
            </w:pPr>
          </w:p>
          <w:p w14:paraId="4B372664" w14:textId="77777777" w:rsidR="002761D6" w:rsidRPr="003549B4" w:rsidRDefault="002761D6" w:rsidP="002761D6">
            <w:pPr>
              <w:spacing w:after="0" w:line="240" w:lineRule="auto"/>
              <w:ind w:left="66"/>
              <w:rPr>
                <w:rFonts w:ascii="Times New Roman" w:hAnsi="Times New Roman" w:cs="Times New Roman"/>
                <w:sz w:val="20"/>
                <w:szCs w:val="20"/>
              </w:rPr>
            </w:pPr>
            <w:r w:rsidRPr="003549B4">
              <w:rPr>
                <w:rFonts w:ascii="Times New Roman" w:hAnsi="Times New Roman" w:cs="Times New Roman"/>
                <w:sz w:val="20"/>
                <w:szCs w:val="20"/>
              </w:rPr>
              <w:t>2.1 Väčším stredným spaľovacím zariadením je spaľovacie zariadenie bez ohľadu na typ spaľovaného paliva,</w:t>
            </w:r>
          </w:p>
          <w:p w14:paraId="1DC8957C" w14:textId="77777777" w:rsidR="002761D6" w:rsidRPr="003549B4" w:rsidRDefault="002761D6" w:rsidP="002761D6">
            <w:pPr>
              <w:spacing w:after="0" w:line="240" w:lineRule="auto"/>
              <w:ind w:left="66"/>
              <w:rPr>
                <w:rFonts w:ascii="Times New Roman" w:hAnsi="Times New Roman" w:cs="Times New Roman"/>
                <w:sz w:val="20"/>
                <w:szCs w:val="20"/>
              </w:rPr>
            </w:pPr>
            <w:r w:rsidRPr="003549B4">
              <w:rPr>
                <w:rFonts w:ascii="Times New Roman" w:hAnsi="Times New Roman" w:cs="Times New Roman"/>
                <w:sz w:val="20"/>
                <w:szCs w:val="20"/>
              </w:rPr>
              <w:t xml:space="preserve">a) s celkovým MTP ≥  1 MW a &lt;  50 MW, </w:t>
            </w:r>
          </w:p>
          <w:p w14:paraId="331B70A4" w14:textId="77777777" w:rsidR="00B20392" w:rsidRPr="003549B4" w:rsidRDefault="002761D6" w:rsidP="002761D6">
            <w:pPr>
              <w:spacing w:after="0" w:line="240" w:lineRule="auto"/>
              <w:ind w:left="66"/>
              <w:rPr>
                <w:rFonts w:ascii="Times New Roman" w:hAnsi="Times New Roman" w:cs="Times New Roman"/>
                <w:sz w:val="20"/>
                <w:szCs w:val="20"/>
              </w:rPr>
            </w:pPr>
            <w:r w:rsidRPr="003549B4">
              <w:rPr>
                <w:rFonts w:ascii="Times New Roman" w:hAnsi="Times New Roman" w:cs="Times New Roman"/>
                <w:sz w:val="20"/>
                <w:szCs w:val="20"/>
              </w:rPr>
              <w:t>b) s celkovým MTP ≥  50 MW, ak nejde o veľké spaľovacie zariadenie.</w:t>
            </w:r>
          </w:p>
        </w:tc>
        <w:tc>
          <w:tcPr>
            <w:tcW w:w="429" w:type="dxa"/>
            <w:tcBorders>
              <w:top w:val="single" w:sz="4" w:space="0" w:color="auto"/>
              <w:bottom w:val="single" w:sz="4" w:space="0" w:color="auto"/>
            </w:tcBorders>
            <w:vAlign w:val="center"/>
          </w:tcPr>
          <w:p w14:paraId="3EBD1F11" w14:textId="77777777" w:rsidR="00B20392" w:rsidRPr="003549B4" w:rsidRDefault="00751905"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785DA0B2" w14:textId="77777777" w:rsidR="00B20392" w:rsidRPr="003549B4" w:rsidRDefault="00B20392" w:rsidP="00603CC4">
            <w:pPr>
              <w:spacing w:after="0" w:line="240" w:lineRule="auto"/>
              <w:rPr>
                <w:rFonts w:ascii="Times New Roman" w:hAnsi="Times New Roman" w:cs="Times New Roman"/>
                <w:sz w:val="20"/>
                <w:szCs w:val="20"/>
              </w:rPr>
            </w:pPr>
          </w:p>
        </w:tc>
      </w:tr>
      <w:tr w:rsidR="00557F90" w:rsidRPr="003549B4" w14:paraId="449AFD2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A9A4B39" w14:textId="77777777" w:rsidR="00B20392" w:rsidRPr="003549B4" w:rsidRDefault="00805B62"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w:t>
            </w:r>
            <w:r w:rsidR="00B20392" w:rsidRPr="003549B4">
              <w:rPr>
                <w:rFonts w:ascii="Times New Roman" w:hAnsi="Times New Roman" w:cs="Times New Roman"/>
                <w:sz w:val="20"/>
                <w:szCs w:val="20"/>
              </w:rPr>
              <w:t>3</w:t>
            </w:r>
          </w:p>
          <w:p w14:paraId="6C44C20A" w14:textId="77777777" w:rsidR="0075439B" w:rsidRPr="003549B4" w:rsidRDefault="0075439B" w:rsidP="00805B62">
            <w:pPr>
              <w:spacing w:after="0" w:line="240" w:lineRule="auto"/>
              <w:rPr>
                <w:rFonts w:ascii="Times New Roman" w:hAnsi="Times New Roman" w:cs="Times New Roman"/>
                <w:sz w:val="20"/>
                <w:szCs w:val="20"/>
              </w:rPr>
            </w:pPr>
          </w:p>
          <w:p w14:paraId="24D4EEE6" w14:textId="77777777" w:rsidR="0075439B" w:rsidRPr="003549B4" w:rsidRDefault="0075439B" w:rsidP="00805B62">
            <w:pPr>
              <w:spacing w:after="0" w:line="240" w:lineRule="auto"/>
              <w:rPr>
                <w:rFonts w:ascii="Times New Roman" w:hAnsi="Times New Roman" w:cs="Times New Roman"/>
                <w:sz w:val="20"/>
                <w:szCs w:val="20"/>
              </w:rPr>
            </w:pPr>
          </w:p>
          <w:p w14:paraId="17DDAB60" w14:textId="77777777" w:rsidR="0075439B" w:rsidRPr="003549B4" w:rsidRDefault="0075439B" w:rsidP="00805B62">
            <w:pPr>
              <w:spacing w:after="0" w:line="240" w:lineRule="auto"/>
              <w:rPr>
                <w:rFonts w:ascii="Times New Roman" w:hAnsi="Times New Roman" w:cs="Times New Roman"/>
                <w:sz w:val="20"/>
                <w:szCs w:val="20"/>
              </w:rPr>
            </w:pPr>
          </w:p>
          <w:p w14:paraId="2E042FBC" w14:textId="77777777" w:rsidR="0075439B" w:rsidRPr="003549B4" w:rsidRDefault="0075439B" w:rsidP="00805B62">
            <w:pPr>
              <w:spacing w:after="0" w:line="240" w:lineRule="auto"/>
              <w:rPr>
                <w:rFonts w:ascii="Times New Roman" w:hAnsi="Times New Roman" w:cs="Times New Roman"/>
                <w:sz w:val="20"/>
                <w:szCs w:val="20"/>
              </w:rPr>
            </w:pPr>
          </w:p>
          <w:p w14:paraId="71A7F910" w14:textId="77777777" w:rsidR="0075439B" w:rsidRPr="003549B4" w:rsidRDefault="0075439B" w:rsidP="00805B62">
            <w:pPr>
              <w:spacing w:after="0" w:line="240" w:lineRule="auto"/>
              <w:rPr>
                <w:rFonts w:ascii="Times New Roman" w:hAnsi="Times New Roman" w:cs="Times New Roman"/>
                <w:sz w:val="20"/>
                <w:szCs w:val="20"/>
              </w:rPr>
            </w:pPr>
          </w:p>
          <w:p w14:paraId="540ADCBD" w14:textId="77777777" w:rsidR="0075439B" w:rsidRPr="003549B4" w:rsidRDefault="0075439B" w:rsidP="00805B62">
            <w:pPr>
              <w:spacing w:after="0" w:line="240" w:lineRule="auto"/>
              <w:rPr>
                <w:rFonts w:ascii="Times New Roman" w:hAnsi="Times New Roman" w:cs="Times New Roman"/>
                <w:sz w:val="20"/>
                <w:szCs w:val="20"/>
              </w:rPr>
            </w:pPr>
          </w:p>
          <w:p w14:paraId="3FC3174D" w14:textId="77777777" w:rsidR="0075439B" w:rsidRPr="003549B4" w:rsidRDefault="0075439B" w:rsidP="00805B62">
            <w:pPr>
              <w:spacing w:after="0" w:line="240" w:lineRule="auto"/>
              <w:rPr>
                <w:rFonts w:ascii="Times New Roman" w:hAnsi="Times New Roman" w:cs="Times New Roman"/>
                <w:sz w:val="20"/>
                <w:szCs w:val="20"/>
              </w:rPr>
            </w:pPr>
          </w:p>
          <w:p w14:paraId="3A61BA3E" w14:textId="77777777" w:rsidR="0075439B" w:rsidRPr="003549B4" w:rsidRDefault="0075439B" w:rsidP="00805B62">
            <w:pPr>
              <w:spacing w:after="0" w:line="240" w:lineRule="auto"/>
              <w:rPr>
                <w:rFonts w:ascii="Times New Roman" w:hAnsi="Times New Roman" w:cs="Times New Roman"/>
                <w:sz w:val="20"/>
                <w:szCs w:val="20"/>
              </w:rPr>
            </w:pPr>
          </w:p>
          <w:p w14:paraId="5232AB1F" w14:textId="77777777" w:rsidR="0075439B" w:rsidRPr="003549B4" w:rsidRDefault="0075439B" w:rsidP="00805B62">
            <w:pPr>
              <w:spacing w:after="0" w:line="240" w:lineRule="auto"/>
              <w:rPr>
                <w:rFonts w:ascii="Times New Roman" w:hAnsi="Times New Roman" w:cs="Times New Roman"/>
                <w:sz w:val="20"/>
                <w:szCs w:val="20"/>
              </w:rPr>
            </w:pPr>
          </w:p>
          <w:p w14:paraId="7CDBB2DA" w14:textId="77777777" w:rsidR="0075439B" w:rsidRPr="003549B4" w:rsidRDefault="0075439B" w:rsidP="00805B62">
            <w:pPr>
              <w:spacing w:after="0" w:line="240" w:lineRule="auto"/>
              <w:rPr>
                <w:rFonts w:ascii="Times New Roman" w:hAnsi="Times New Roman" w:cs="Times New Roman"/>
                <w:sz w:val="20"/>
                <w:szCs w:val="20"/>
              </w:rPr>
            </w:pPr>
          </w:p>
          <w:p w14:paraId="1369594C" w14:textId="77777777" w:rsidR="0075439B" w:rsidRPr="003549B4" w:rsidRDefault="0075439B" w:rsidP="00805B62">
            <w:pPr>
              <w:spacing w:after="0" w:line="240" w:lineRule="auto"/>
              <w:rPr>
                <w:rFonts w:ascii="Times New Roman" w:hAnsi="Times New Roman" w:cs="Times New Roman"/>
                <w:sz w:val="20"/>
                <w:szCs w:val="20"/>
              </w:rPr>
            </w:pPr>
          </w:p>
          <w:p w14:paraId="4B937513" w14:textId="77777777" w:rsidR="0075439B" w:rsidRPr="003549B4" w:rsidRDefault="0075439B" w:rsidP="00805B62">
            <w:pPr>
              <w:spacing w:after="0" w:line="240" w:lineRule="auto"/>
              <w:rPr>
                <w:rFonts w:ascii="Times New Roman" w:hAnsi="Times New Roman" w:cs="Times New Roman"/>
                <w:sz w:val="20"/>
                <w:szCs w:val="20"/>
              </w:rPr>
            </w:pPr>
          </w:p>
          <w:p w14:paraId="72FF4A24" w14:textId="77777777" w:rsidR="0075439B" w:rsidRPr="003549B4" w:rsidRDefault="0075439B" w:rsidP="00805B62">
            <w:pPr>
              <w:spacing w:after="0" w:line="240" w:lineRule="auto"/>
              <w:rPr>
                <w:rFonts w:ascii="Times New Roman" w:hAnsi="Times New Roman" w:cs="Times New Roman"/>
                <w:sz w:val="20"/>
                <w:szCs w:val="20"/>
              </w:rPr>
            </w:pPr>
          </w:p>
          <w:p w14:paraId="46CC4B07" w14:textId="77777777" w:rsidR="0075439B" w:rsidRPr="003549B4" w:rsidRDefault="0075439B" w:rsidP="00805B62">
            <w:pPr>
              <w:spacing w:after="0" w:line="240" w:lineRule="auto"/>
              <w:rPr>
                <w:rFonts w:ascii="Times New Roman" w:hAnsi="Times New Roman" w:cs="Times New Roman"/>
                <w:sz w:val="20"/>
                <w:szCs w:val="20"/>
              </w:rPr>
            </w:pPr>
          </w:p>
          <w:p w14:paraId="26672070" w14:textId="77777777" w:rsidR="0075439B" w:rsidRPr="003549B4" w:rsidRDefault="0075439B" w:rsidP="00805B62">
            <w:pPr>
              <w:spacing w:after="0" w:line="240" w:lineRule="auto"/>
              <w:rPr>
                <w:rFonts w:ascii="Times New Roman" w:hAnsi="Times New Roman" w:cs="Times New Roman"/>
                <w:sz w:val="20"/>
                <w:szCs w:val="20"/>
              </w:rPr>
            </w:pPr>
          </w:p>
          <w:p w14:paraId="5D543ACF" w14:textId="77777777" w:rsidR="0075439B" w:rsidRPr="003549B4" w:rsidRDefault="0075439B" w:rsidP="00805B62">
            <w:pPr>
              <w:spacing w:after="0" w:line="240" w:lineRule="auto"/>
              <w:rPr>
                <w:rFonts w:ascii="Times New Roman" w:hAnsi="Times New Roman" w:cs="Times New Roman"/>
                <w:sz w:val="20"/>
                <w:szCs w:val="20"/>
              </w:rPr>
            </w:pPr>
          </w:p>
          <w:p w14:paraId="0360F40A" w14:textId="77777777" w:rsidR="0075439B" w:rsidRPr="003549B4" w:rsidRDefault="0075439B" w:rsidP="00805B62">
            <w:pPr>
              <w:spacing w:after="0" w:line="240" w:lineRule="auto"/>
              <w:rPr>
                <w:rFonts w:ascii="Times New Roman" w:hAnsi="Times New Roman" w:cs="Times New Roman"/>
                <w:sz w:val="20"/>
                <w:szCs w:val="20"/>
              </w:rPr>
            </w:pPr>
          </w:p>
          <w:p w14:paraId="397ED922" w14:textId="77777777" w:rsidR="0075439B" w:rsidRPr="003549B4" w:rsidRDefault="0075439B" w:rsidP="00805B62">
            <w:pPr>
              <w:spacing w:after="0" w:line="240" w:lineRule="auto"/>
              <w:rPr>
                <w:rFonts w:ascii="Times New Roman" w:hAnsi="Times New Roman" w:cs="Times New Roman"/>
                <w:sz w:val="20"/>
                <w:szCs w:val="20"/>
              </w:rPr>
            </w:pPr>
          </w:p>
          <w:p w14:paraId="525CBB5A" w14:textId="77777777" w:rsidR="0075439B" w:rsidRPr="003549B4" w:rsidRDefault="0075439B" w:rsidP="00805B62">
            <w:pPr>
              <w:spacing w:after="0" w:line="240" w:lineRule="auto"/>
              <w:rPr>
                <w:rFonts w:ascii="Times New Roman" w:hAnsi="Times New Roman" w:cs="Times New Roman"/>
                <w:sz w:val="20"/>
                <w:szCs w:val="20"/>
              </w:rPr>
            </w:pPr>
          </w:p>
          <w:p w14:paraId="4A8C48E8" w14:textId="77777777" w:rsidR="0075439B" w:rsidRPr="003549B4" w:rsidRDefault="0075439B" w:rsidP="00805B62">
            <w:pPr>
              <w:spacing w:after="0" w:line="240" w:lineRule="auto"/>
              <w:rPr>
                <w:rFonts w:ascii="Times New Roman" w:hAnsi="Times New Roman" w:cs="Times New Roman"/>
                <w:sz w:val="20"/>
                <w:szCs w:val="20"/>
              </w:rPr>
            </w:pPr>
          </w:p>
          <w:p w14:paraId="02D5C4A0" w14:textId="77777777" w:rsidR="0075439B" w:rsidRPr="003549B4" w:rsidRDefault="0075439B" w:rsidP="00805B62">
            <w:pPr>
              <w:spacing w:after="0" w:line="240" w:lineRule="auto"/>
              <w:rPr>
                <w:rFonts w:ascii="Times New Roman" w:hAnsi="Times New Roman" w:cs="Times New Roman"/>
                <w:sz w:val="20"/>
                <w:szCs w:val="20"/>
              </w:rPr>
            </w:pPr>
          </w:p>
          <w:p w14:paraId="5DE4E785" w14:textId="77777777" w:rsidR="0075439B" w:rsidRPr="003549B4" w:rsidRDefault="0075439B" w:rsidP="00805B62">
            <w:pPr>
              <w:spacing w:after="0" w:line="240" w:lineRule="auto"/>
              <w:rPr>
                <w:rFonts w:ascii="Times New Roman" w:hAnsi="Times New Roman" w:cs="Times New Roman"/>
                <w:sz w:val="20"/>
                <w:szCs w:val="20"/>
              </w:rPr>
            </w:pPr>
          </w:p>
          <w:p w14:paraId="3192B867" w14:textId="77777777" w:rsidR="0075439B" w:rsidRPr="003549B4" w:rsidRDefault="0075439B" w:rsidP="00805B62">
            <w:pPr>
              <w:spacing w:after="0" w:line="240" w:lineRule="auto"/>
              <w:rPr>
                <w:rFonts w:ascii="Times New Roman" w:hAnsi="Times New Roman" w:cs="Times New Roman"/>
                <w:sz w:val="20"/>
                <w:szCs w:val="20"/>
              </w:rPr>
            </w:pPr>
          </w:p>
          <w:p w14:paraId="64B92527" w14:textId="77777777" w:rsidR="0075439B" w:rsidRPr="003549B4" w:rsidRDefault="0075439B" w:rsidP="00805B62">
            <w:pPr>
              <w:spacing w:after="0" w:line="240" w:lineRule="auto"/>
              <w:rPr>
                <w:rFonts w:ascii="Times New Roman" w:hAnsi="Times New Roman" w:cs="Times New Roman"/>
                <w:sz w:val="20"/>
                <w:szCs w:val="20"/>
              </w:rPr>
            </w:pPr>
          </w:p>
          <w:p w14:paraId="2DD32BED" w14:textId="77777777" w:rsidR="0075439B" w:rsidRPr="003549B4" w:rsidRDefault="0075439B" w:rsidP="00805B62">
            <w:pPr>
              <w:spacing w:after="0" w:line="240" w:lineRule="auto"/>
              <w:rPr>
                <w:rFonts w:ascii="Times New Roman" w:hAnsi="Times New Roman" w:cs="Times New Roman"/>
                <w:sz w:val="20"/>
                <w:szCs w:val="20"/>
              </w:rPr>
            </w:pPr>
          </w:p>
          <w:p w14:paraId="1948E603" w14:textId="77777777" w:rsidR="0075439B" w:rsidRPr="003549B4" w:rsidRDefault="0075439B" w:rsidP="00805B62">
            <w:pPr>
              <w:spacing w:after="0" w:line="240" w:lineRule="auto"/>
              <w:rPr>
                <w:rFonts w:ascii="Times New Roman" w:hAnsi="Times New Roman" w:cs="Times New Roman"/>
                <w:sz w:val="20"/>
                <w:szCs w:val="20"/>
              </w:rPr>
            </w:pPr>
          </w:p>
          <w:p w14:paraId="1CACBC6F" w14:textId="77777777" w:rsidR="0075439B" w:rsidRPr="003549B4" w:rsidRDefault="0075439B" w:rsidP="00805B62">
            <w:pPr>
              <w:spacing w:after="0" w:line="240" w:lineRule="auto"/>
              <w:rPr>
                <w:rFonts w:ascii="Times New Roman" w:hAnsi="Times New Roman" w:cs="Times New Roman"/>
                <w:sz w:val="20"/>
                <w:szCs w:val="20"/>
              </w:rPr>
            </w:pPr>
          </w:p>
          <w:p w14:paraId="29C5C2C5" w14:textId="77777777" w:rsidR="0075439B" w:rsidRPr="003549B4" w:rsidRDefault="0075439B" w:rsidP="00805B62">
            <w:pPr>
              <w:spacing w:after="0" w:line="240" w:lineRule="auto"/>
              <w:rPr>
                <w:rFonts w:ascii="Times New Roman" w:hAnsi="Times New Roman" w:cs="Times New Roman"/>
                <w:sz w:val="20"/>
                <w:szCs w:val="20"/>
              </w:rPr>
            </w:pPr>
          </w:p>
          <w:p w14:paraId="22CDCE3E" w14:textId="77777777" w:rsidR="0075439B" w:rsidRPr="003549B4" w:rsidRDefault="0075439B" w:rsidP="00805B62">
            <w:pPr>
              <w:spacing w:after="0" w:line="240" w:lineRule="auto"/>
              <w:rPr>
                <w:rFonts w:ascii="Times New Roman" w:hAnsi="Times New Roman" w:cs="Times New Roman"/>
                <w:sz w:val="20"/>
                <w:szCs w:val="20"/>
              </w:rPr>
            </w:pPr>
          </w:p>
          <w:p w14:paraId="4C6DEFB9" w14:textId="77777777" w:rsidR="0075439B" w:rsidRPr="003549B4" w:rsidRDefault="0075439B" w:rsidP="00805B62">
            <w:pPr>
              <w:spacing w:after="0" w:line="240" w:lineRule="auto"/>
              <w:rPr>
                <w:rFonts w:ascii="Times New Roman" w:hAnsi="Times New Roman" w:cs="Times New Roman"/>
                <w:sz w:val="20"/>
                <w:szCs w:val="20"/>
              </w:rPr>
            </w:pPr>
          </w:p>
          <w:p w14:paraId="309265D3" w14:textId="77777777" w:rsidR="0075439B" w:rsidRPr="003549B4" w:rsidRDefault="0075439B" w:rsidP="00805B62">
            <w:pPr>
              <w:spacing w:after="0" w:line="240" w:lineRule="auto"/>
              <w:rPr>
                <w:rFonts w:ascii="Times New Roman" w:hAnsi="Times New Roman" w:cs="Times New Roman"/>
                <w:sz w:val="20"/>
                <w:szCs w:val="20"/>
              </w:rPr>
            </w:pPr>
          </w:p>
          <w:p w14:paraId="7B590C6A" w14:textId="77777777" w:rsidR="0075439B" w:rsidRPr="003549B4" w:rsidRDefault="0075439B" w:rsidP="00805B62">
            <w:pPr>
              <w:spacing w:after="0" w:line="240" w:lineRule="auto"/>
              <w:rPr>
                <w:rFonts w:ascii="Times New Roman" w:hAnsi="Times New Roman" w:cs="Times New Roman"/>
                <w:sz w:val="20"/>
                <w:szCs w:val="20"/>
              </w:rPr>
            </w:pPr>
          </w:p>
          <w:p w14:paraId="223E4AA0" w14:textId="77777777" w:rsidR="0075439B" w:rsidRPr="003549B4" w:rsidRDefault="0075439B" w:rsidP="00805B62">
            <w:pPr>
              <w:spacing w:after="0" w:line="240" w:lineRule="auto"/>
              <w:rPr>
                <w:rFonts w:ascii="Times New Roman" w:hAnsi="Times New Roman" w:cs="Times New Roman"/>
                <w:sz w:val="20"/>
                <w:szCs w:val="20"/>
              </w:rPr>
            </w:pPr>
          </w:p>
          <w:p w14:paraId="4AC1A960" w14:textId="77777777" w:rsidR="0075439B" w:rsidRPr="003549B4" w:rsidRDefault="0075439B" w:rsidP="00805B62">
            <w:pPr>
              <w:spacing w:after="0" w:line="240" w:lineRule="auto"/>
              <w:rPr>
                <w:rFonts w:ascii="Times New Roman" w:hAnsi="Times New Roman" w:cs="Times New Roman"/>
                <w:sz w:val="20"/>
                <w:szCs w:val="20"/>
              </w:rPr>
            </w:pPr>
          </w:p>
          <w:p w14:paraId="028BAC22" w14:textId="77777777" w:rsidR="0075439B" w:rsidRPr="003549B4" w:rsidRDefault="0075439B" w:rsidP="00805B62">
            <w:pPr>
              <w:spacing w:after="0" w:line="240" w:lineRule="auto"/>
              <w:rPr>
                <w:rFonts w:ascii="Times New Roman" w:hAnsi="Times New Roman" w:cs="Times New Roman"/>
                <w:sz w:val="20"/>
                <w:szCs w:val="20"/>
              </w:rPr>
            </w:pPr>
          </w:p>
          <w:p w14:paraId="4357492D" w14:textId="77777777" w:rsidR="0075439B" w:rsidRPr="003549B4" w:rsidRDefault="0075439B" w:rsidP="00805B62">
            <w:pPr>
              <w:spacing w:after="0" w:line="240" w:lineRule="auto"/>
              <w:rPr>
                <w:rFonts w:ascii="Times New Roman" w:hAnsi="Times New Roman" w:cs="Times New Roman"/>
                <w:sz w:val="20"/>
                <w:szCs w:val="20"/>
              </w:rPr>
            </w:pPr>
          </w:p>
          <w:p w14:paraId="069F1F5E" w14:textId="77777777" w:rsidR="0075439B" w:rsidRPr="003549B4" w:rsidRDefault="0075439B" w:rsidP="00805B62">
            <w:pPr>
              <w:spacing w:after="0" w:line="240" w:lineRule="auto"/>
              <w:rPr>
                <w:rFonts w:ascii="Times New Roman" w:hAnsi="Times New Roman" w:cs="Times New Roman"/>
                <w:sz w:val="20"/>
                <w:szCs w:val="20"/>
              </w:rPr>
            </w:pPr>
          </w:p>
          <w:p w14:paraId="2182FF5D" w14:textId="77777777" w:rsidR="0075439B" w:rsidRPr="003549B4" w:rsidRDefault="0075439B" w:rsidP="00805B62">
            <w:pPr>
              <w:spacing w:after="0" w:line="240" w:lineRule="auto"/>
              <w:rPr>
                <w:rFonts w:ascii="Times New Roman" w:hAnsi="Times New Roman" w:cs="Times New Roman"/>
                <w:sz w:val="20"/>
                <w:szCs w:val="20"/>
              </w:rPr>
            </w:pPr>
          </w:p>
        </w:tc>
        <w:tc>
          <w:tcPr>
            <w:tcW w:w="6287" w:type="dxa"/>
          </w:tcPr>
          <w:p w14:paraId="398B5EB0"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lastRenderedPageBreak/>
              <w:t>3. Táto smernica sa nevzťahuje na:</w:t>
            </w:r>
          </w:p>
          <w:tbl>
            <w:tblPr>
              <w:tblW w:w="5000" w:type="pct"/>
              <w:tblCellSpacing w:w="0" w:type="dxa"/>
              <w:tblLayout w:type="fixed"/>
              <w:tblCellMar>
                <w:left w:w="0" w:type="dxa"/>
                <w:right w:w="0" w:type="dxa"/>
              </w:tblCellMar>
              <w:tblLook w:val="00A0" w:firstRow="1" w:lastRow="0" w:firstColumn="1" w:lastColumn="0" w:noHBand="0" w:noVBand="0"/>
            </w:tblPr>
            <w:tblGrid>
              <w:gridCol w:w="120"/>
              <w:gridCol w:w="22"/>
              <w:gridCol w:w="10"/>
              <w:gridCol w:w="11"/>
              <w:gridCol w:w="15"/>
              <w:gridCol w:w="25"/>
              <w:gridCol w:w="24"/>
              <w:gridCol w:w="21"/>
              <w:gridCol w:w="76"/>
              <w:gridCol w:w="4387"/>
              <w:gridCol w:w="706"/>
              <w:gridCol w:w="470"/>
              <w:gridCol w:w="126"/>
            </w:tblGrid>
            <w:tr w:rsidR="00B20392" w:rsidRPr="003549B4" w14:paraId="05311504" w14:textId="77777777" w:rsidTr="00B81E84">
              <w:trPr>
                <w:tblCellSpacing w:w="0" w:type="dxa"/>
              </w:trPr>
              <w:tc>
                <w:tcPr>
                  <w:tcW w:w="152" w:type="dxa"/>
                  <w:gridSpan w:val="4"/>
                </w:tcPr>
                <w:p w14:paraId="32BC5FDA"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a</w:t>
                  </w:r>
                </w:p>
              </w:tc>
              <w:tc>
                <w:tcPr>
                  <w:tcW w:w="5403" w:type="dxa"/>
                  <w:gridSpan w:val="9"/>
                </w:tcPr>
                <w:p w14:paraId="7FB606D5"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r w:rsidR="00B20392" w:rsidRPr="003549B4">
                    <w:rPr>
                      <w:rFonts w:ascii="Times New Roman" w:hAnsi="Times New Roman" w:cs="Times New Roman"/>
                      <w:sz w:val="20"/>
                      <w:szCs w:val="20"/>
                      <w:lang w:eastAsia="sk-SK"/>
                    </w:rPr>
                    <w:t>spaľovacie zariadenia, na ktoré sa vzťahuje kapitola III alebo kapitola IV smernice 2010/75/EÚ;</w:t>
                  </w:r>
                </w:p>
              </w:tc>
            </w:tr>
            <w:tr w:rsidR="00B20392" w:rsidRPr="003549B4" w14:paraId="714BDAEC" w14:textId="77777777" w:rsidTr="00B81E84">
              <w:trPr>
                <w:tblCellSpacing w:w="0" w:type="dxa"/>
              </w:trPr>
              <w:tc>
                <w:tcPr>
                  <w:tcW w:w="152" w:type="dxa"/>
                  <w:gridSpan w:val="4"/>
                </w:tcPr>
                <w:p w14:paraId="46FFE2D7"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b</w:t>
                  </w:r>
                </w:p>
              </w:tc>
              <w:tc>
                <w:tcPr>
                  <w:tcW w:w="5403" w:type="dxa"/>
                  <w:gridSpan w:val="9"/>
                </w:tcPr>
                <w:p w14:paraId="61AE2845"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r w:rsidR="00B20392" w:rsidRPr="003549B4">
                    <w:rPr>
                      <w:rFonts w:ascii="Times New Roman" w:hAnsi="Times New Roman" w:cs="Times New Roman"/>
                      <w:sz w:val="20"/>
                      <w:szCs w:val="20"/>
                      <w:lang w:eastAsia="sk-SK"/>
                    </w:rPr>
                    <w:t>spaľovacie zariadenia, na ktoré sa vzťahuje smernica Európskeho parlamentu a Rady 97/68/ES</w:t>
                  </w:r>
                  <w:hyperlink r:id="rId11" w:anchor="ntr12-L_2015313SK.01000101-E0012" w:history="1">
                    <w:r w:rsidR="00B20392" w:rsidRPr="003549B4">
                      <w:rPr>
                        <w:rFonts w:ascii="Times New Roman" w:hAnsi="Times New Roman" w:cs="Times New Roman"/>
                        <w:sz w:val="20"/>
                        <w:szCs w:val="20"/>
                        <w:u w:val="single"/>
                        <w:lang w:eastAsia="sk-SK"/>
                      </w:rPr>
                      <w:t xml:space="preserve"> (</w:t>
                    </w:r>
                    <w:r w:rsidR="00B20392" w:rsidRPr="003549B4">
                      <w:rPr>
                        <w:rFonts w:ascii="Times New Roman" w:hAnsi="Times New Roman" w:cs="Times New Roman"/>
                        <w:sz w:val="20"/>
                        <w:szCs w:val="20"/>
                        <w:u w:val="single"/>
                        <w:vertAlign w:val="superscript"/>
                        <w:lang w:eastAsia="sk-SK"/>
                      </w:rPr>
                      <w:t>12</w:t>
                    </w:r>
                    <w:r w:rsidR="00B20392" w:rsidRPr="003549B4">
                      <w:rPr>
                        <w:rFonts w:ascii="Times New Roman" w:hAnsi="Times New Roman" w:cs="Times New Roman"/>
                        <w:sz w:val="20"/>
                        <w:szCs w:val="20"/>
                        <w:u w:val="single"/>
                        <w:lang w:eastAsia="sk-SK"/>
                      </w:rPr>
                      <w:t>)</w:t>
                    </w:r>
                  </w:hyperlink>
                  <w:r w:rsidR="00B20392" w:rsidRPr="003549B4">
                    <w:rPr>
                      <w:rFonts w:ascii="Times New Roman" w:hAnsi="Times New Roman" w:cs="Times New Roman"/>
                      <w:sz w:val="20"/>
                      <w:szCs w:val="20"/>
                      <w:lang w:eastAsia="sk-SK"/>
                    </w:rPr>
                    <w:t>;</w:t>
                  </w:r>
                </w:p>
              </w:tc>
            </w:tr>
            <w:tr w:rsidR="00B20392" w:rsidRPr="003549B4" w14:paraId="55AB5430" w14:textId="77777777" w:rsidTr="00B81E84">
              <w:trPr>
                <w:tblCellSpacing w:w="0" w:type="dxa"/>
              </w:trPr>
              <w:tc>
                <w:tcPr>
                  <w:tcW w:w="133" w:type="dxa"/>
                  <w:gridSpan w:val="2"/>
                </w:tcPr>
                <w:p w14:paraId="061A733E"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c</w:t>
                  </w:r>
                </w:p>
              </w:tc>
              <w:tc>
                <w:tcPr>
                  <w:tcW w:w="5422" w:type="dxa"/>
                  <w:gridSpan w:val="11"/>
                </w:tcPr>
                <w:p w14:paraId="3FC3CD64"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r w:rsidR="00B20392" w:rsidRPr="003549B4">
                    <w:rPr>
                      <w:rFonts w:ascii="Times New Roman" w:hAnsi="Times New Roman" w:cs="Times New Roman"/>
                      <w:sz w:val="20"/>
                      <w:szCs w:val="20"/>
                      <w:lang w:eastAsia="sk-SK"/>
                    </w:rPr>
                    <w:t>poľnohospodárske spaľovacie zariadenia s celkovým menovitým tepelným príkonom menším alebo rovnajúcim sa 5 MW, ktoré ako palivo využívajú výlučne nespracovaný trus hydiny, ako sa uvádza v článku 9 písm. a) nariadenia Európskeho parlamentu a Rady (ES) č. 1069/2009</w:t>
                  </w:r>
                  <w:hyperlink r:id="rId12" w:anchor="ntr13-L_2015313SK.01000101-E0013" w:history="1">
                    <w:r w:rsidR="00B20392" w:rsidRPr="003549B4">
                      <w:rPr>
                        <w:rFonts w:ascii="Times New Roman" w:hAnsi="Times New Roman" w:cs="Times New Roman"/>
                        <w:sz w:val="20"/>
                        <w:szCs w:val="20"/>
                        <w:u w:val="single"/>
                        <w:lang w:eastAsia="sk-SK"/>
                      </w:rPr>
                      <w:t xml:space="preserve"> (</w:t>
                    </w:r>
                    <w:r w:rsidR="00B20392" w:rsidRPr="003549B4">
                      <w:rPr>
                        <w:rFonts w:ascii="Times New Roman" w:hAnsi="Times New Roman" w:cs="Times New Roman"/>
                        <w:sz w:val="20"/>
                        <w:szCs w:val="20"/>
                        <w:u w:val="single"/>
                        <w:vertAlign w:val="superscript"/>
                        <w:lang w:eastAsia="sk-SK"/>
                      </w:rPr>
                      <w:t>13</w:t>
                    </w:r>
                    <w:r w:rsidR="00B20392" w:rsidRPr="003549B4">
                      <w:rPr>
                        <w:rFonts w:ascii="Times New Roman" w:hAnsi="Times New Roman" w:cs="Times New Roman"/>
                        <w:sz w:val="20"/>
                        <w:szCs w:val="20"/>
                        <w:u w:val="single"/>
                        <w:lang w:eastAsia="sk-SK"/>
                      </w:rPr>
                      <w:t>)</w:t>
                    </w:r>
                  </w:hyperlink>
                  <w:r w:rsidR="00B20392" w:rsidRPr="003549B4">
                    <w:rPr>
                      <w:rFonts w:ascii="Times New Roman" w:hAnsi="Times New Roman" w:cs="Times New Roman"/>
                      <w:sz w:val="20"/>
                      <w:szCs w:val="20"/>
                      <w:lang w:eastAsia="sk-SK"/>
                    </w:rPr>
                    <w:t>;</w:t>
                  </w:r>
                </w:p>
              </w:tc>
            </w:tr>
            <w:tr w:rsidR="00B20392" w:rsidRPr="003549B4" w14:paraId="79C95D06" w14:textId="77777777" w:rsidTr="00B81E84">
              <w:trPr>
                <w:tblCellSpacing w:w="0" w:type="dxa"/>
              </w:trPr>
              <w:tc>
                <w:tcPr>
                  <w:tcW w:w="152" w:type="dxa"/>
                  <w:gridSpan w:val="4"/>
                </w:tcPr>
                <w:p w14:paraId="28C98DA1"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d</w:t>
                  </w:r>
                </w:p>
              </w:tc>
              <w:tc>
                <w:tcPr>
                  <w:tcW w:w="5403" w:type="dxa"/>
                  <w:gridSpan w:val="9"/>
                </w:tcPr>
                <w:p w14:paraId="574B2B4F"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r w:rsidR="00B20392" w:rsidRPr="003549B4">
                    <w:rPr>
                      <w:rFonts w:ascii="Times New Roman" w:hAnsi="Times New Roman" w:cs="Times New Roman"/>
                      <w:sz w:val="20"/>
                      <w:szCs w:val="20"/>
                      <w:lang w:eastAsia="sk-SK"/>
                    </w:rPr>
                    <w:t>spaľovacie zariadenia, v ktorých sa plynné produkty vznikajúce pri spaľovaní používajú na priamy ohrev, sušenie alebo inú úpravu predmetov alebo materiálov;</w:t>
                  </w:r>
                </w:p>
              </w:tc>
            </w:tr>
            <w:tr w:rsidR="00B20392" w:rsidRPr="003549B4" w14:paraId="55ABBD89" w14:textId="77777777" w:rsidTr="00B81E84">
              <w:trPr>
                <w:tblCellSpacing w:w="0" w:type="dxa"/>
              </w:trPr>
              <w:tc>
                <w:tcPr>
                  <w:tcW w:w="152" w:type="dxa"/>
                  <w:gridSpan w:val="4"/>
                </w:tcPr>
                <w:p w14:paraId="3D029B87"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e</w:t>
                  </w:r>
                </w:p>
              </w:tc>
              <w:tc>
                <w:tcPr>
                  <w:tcW w:w="5403" w:type="dxa"/>
                  <w:gridSpan w:val="9"/>
                </w:tcPr>
                <w:p w14:paraId="281556B2"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r w:rsidR="00B20392" w:rsidRPr="003549B4">
                    <w:rPr>
                      <w:rFonts w:ascii="Times New Roman" w:hAnsi="Times New Roman" w:cs="Times New Roman"/>
                      <w:sz w:val="20"/>
                      <w:szCs w:val="20"/>
                      <w:lang w:eastAsia="sk-SK"/>
                    </w:rPr>
                    <w:t>spaľovacie zariadenia, v ktorých sa plynné produkty vznikajúce pri spaľovaní používajú na priame vykurovanie plynom využívané na vykurovanie vnútorných priestorov na účely zlepšenia podmienok na pracovisku;</w:t>
                  </w:r>
                </w:p>
              </w:tc>
            </w:tr>
            <w:tr w:rsidR="00B20392" w:rsidRPr="003549B4" w14:paraId="03A6B744" w14:textId="77777777" w:rsidTr="00B81E84">
              <w:trPr>
                <w:tblCellSpacing w:w="0" w:type="dxa"/>
              </w:trPr>
              <w:tc>
                <w:tcPr>
                  <w:tcW w:w="112" w:type="dxa"/>
                </w:tcPr>
                <w:p w14:paraId="38930690"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f</w:t>
                  </w:r>
                </w:p>
              </w:tc>
              <w:tc>
                <w:tcPr>
                  <w:tcW w:w="5443" w:type="dxa"/>
                  <w:gridSpan w:val="12"/>
                </w:tcPr>
                <w:p w14:paraId="7B6F9B53"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r w:rsidR="00B20392" w:rsidRPr="003549B4">
                    <w:rPr>
                      <w:rFonts w:ascii="Times New Roman" w:hAnsi="Times New Roman" w:cs="Times New Roman"/>
                      <w:sz w:val="20"/>
                      <w:szCs w:val="20"/>
                      <w:lang w:eastAsia="sk-SK"/>
                    </w:rPr>
                    <w:t>zariadenia na dodatočné spaľovanie určené na čistenie odpadových plynov z priemyselných procesov spaľovaním, ktoré nie sú prevádzkované ako samostatné spaľovacie zariadenia;</w:t>
                  </w:r>
                </w:p>
              </w:tc>
            </w:tr>
            <w:tr w:rsidR="00B20392" w:rsidRPr="003549B4" w14:paraId="3403A45F" w14:textId="77777777" w:rsidTr="00B81E84">
              <w:trPr>
                <w:tblCellSpacing w:w="0" w:type="dxa"/>
              </w:trPr>
              <w:tc>
                <w:tcPr>
                  <w:tcW w:w="142" w:type="dxa"/>
                  <w:gridSpan w:val="3"/>
                </w:tcPr>
                <w:p w14:paraId="2DD165C6"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g</w:t>
                  </w:r>
                </w:p>
              </w:tc>
              <w:tc>
                <w:tcPr>
                  <w:tcW w:w="5413" w:type="dxa"/>
                  <w:gridSpan w:val="10"/>
                </w:tcPr>
                <w:p w14:paraId="553A2E00"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r w:rsidR="00B20392" w:rsidRPr="003549B4">
                    <w:rPr>
                      <w:rFonts w:ascii="Times New Roman" w:hAnsi="Times New Roman" w:cs="Times New Roman"/>
                      <w:sz w:val="20"/>
                      <w:szCs w:val="20"/>
                      <w:lang w:eastAsia="sk-SK"/>
                    </w:rPr>
                    <w:t>akékoľvek technické zariadenia používané na pohon vozidiel, lodí alebo lietadiel;</w:t>
                  </w:r>
                </w:p>
              </w:tc>
            </w:tr>
            <w:tr w:rsidR="00B20392" w:rsidRPr="003549B4" w14:paraId="4C81DA5B" w14:textId="77777777" w:rsidTr="00B81E84">
              <w:trPr>
                <w:tblCellSpacing w:w="0" w:type="dxa"/>
              </w:trPr>
              <w:tc>
                <w:tcPr>
                  <w:tcW w:w="152" w:type="dxa"/>
                  <w:gridSpan w:val="4"/>
                </w:tcPr>
                <w:p w14:paraId="0AC59958"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h</w:t>
                  </w:r>
                </w:p>
              </w:tc>
              <w:tc>
                <w:tcPr>
                  <w:tcW w:w="5403" w:type="dxa"/>
                  <w:gridSpan w:val="9"/>
                </w:tcPr>
                <w:p w14:paraId="59988DB9"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r w:rsidR="00B20392" w:rsidRPr="003549B4">
                    <w:rPr>
                      <w:rFonts w:ascii="Times New Roman" w:hAnsi="Times New Roman" w:cs="Times New Roman"/>
                      <w:sz w:val="20"/>
                      <w:szCs w:val="20"/>
                      <w:lang w:eastAsia="sk-SK"/>
                    </w:rPr>
                    <w:t>plynové turbíny a plynové a naftové motory používané na morských plošinách;</w:t>
                  </w:r>
                </w:p>
              </w:tc>
            </w:tr>
            <w:tr w:rsidR="00B20392" w:rsidRPr="003549B4" w14:paraId="6FF36E8F" w14:textId="77777777" w:rsidTr="00B81E84">
              <w:trPr>
                <w:tblCellSpacing w:w="0" w:type="dxa"/>
              </w:trPr>
              <w:tc>
                <w:tcPr>
                  <w:tcW w:w="112" w:type="dxa"/>
                </w:tcPr>
                <w:p w14:paraId="2CA2C155"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i</w:t>
                  </w:r>
                </w:p>
              </w:tc>
              <w:tc>
                <w:tcPr>
                  <w:tcW w:w="5443" w:type="dxa"/>
                  <w:gridSpan w:val="12"/>
                </w:tcPr>
                <w:p w14:paraId="7ADF9F69"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r w:rsidR="00B20392" w:rsidRPr="003549B4">
                    <w:rPr>
                      <w:rFonts w:ascii="Times New Roman" w:hAnsi="Times New Roman" w:cs="Times New Roman"/>
                      <w:sz w:val="20"/>
                      <w:szCs w:val="20"/>
                      <w:lang w:eastAsia="sk-SK"/>
                    </w:rPr>
                    <w:t>zariadenia na regeneráciu katalyzátorov na katalytické krakovanie;</w:t>
                  </w:r>
                </w:p>
              </w:tc>
            </w:tr>
            <w:tr w:rsidR="00B20392" w:rsidRPr="003549B4" w14:paraId="6F4A5CAD" w14:textId="77777777" w:rsidTr="00B81E84">
              <w:trPr>
                <w:tblCellSpacing w:w="0" w:type="dxa"/>
              </w:trPr>
              <w:tc>
                <w:tcPr>
                  <w:tcW w:w="189" w:type="dxa"/>
                  <w:gridSpan w:val="6"/>
                </w:tcPr>
                <w:p w14:paraId="68E5680C"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j)</w:t>
                  </w:r>
                </w:p>
              </w:tc>
              <w:tc>
                <w:tcPr>
                  <w:tcW w:w="5366" w:type="dxa"/>
                  <w:gridSpan w:val="7"/>
                </w:tcPr>
                <w:p w14:paraId="43D57731"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zariadenia na premenu sulfánu na síru;</w:t>
                  </w:r>
                </w:p>
              </w:tc>
            </w:tr>
            <w:tr w:rsidR="00B20392" w:rsidRPr="003549B4" w14:paraId="24319F7D" w14:textId="77777777" w:rsidTr="00B81E84">
              <w:trPr>
                <w:tblCellSpacing w:w="0" w:type="dxa"/>
              </w:trPr>
              <w:tc>
                <w:tcPr>
                  <w:tcW w:w="230" w:type="dxa"/>
                  <w:gridSpan w:val="8"/>
                </w:tcPr>
                <w:p w14:paraId="12D25CCD"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k)</w:t>
                  </w:r>
                </w:p>
              </w:tc>
              <w:tc>
                <w:tcPr>
                  <w:tcW w:w="5325" w:type="dxa"/>
                  <w:gridSpan w:val="5"/>
                </w:tcPr>
                <w:p w14:paraId="2B3ED301"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reaktory používané v chemickom priemysle;</w:t>
                  </w:r>
                </w:p>
              </w:tc>
            </w:tr>
            <w:tr w:rsidR="00B20392" w:rsidRPr="003549B4" w14:paraId="41EDDABB" w14:textId="77777777" w:rsidTr="00B81E84">
              <w:trPr>
                <w:gridAfter w:val="1"/>
                <w:wAfter w:w="116" w:type="dxa"/>
                <w:tblCellSpacing w:w="0" w:type="dxa"/>
              </w:trPr>
              <w:tc>
                <w:tcPr>
                  <w:tcW w:w="166" w:type="dxa"/>
                  <w:gridSpan w:val="5"/>
                </w:tcPr>
                <w:p w14:paraId="1EC034E3"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lastRenderedPageBreak/>
                    <w:t>l)</w:t>
                  </w:r>
                </w:p>
              </w:tc>
              <w:tc>
                <w:tcPr>
                  <w:tcW w:w="5273" w:type="dxa"/>
                  <w:gridSpan w:val="7"/>
                </w:tcPr>
                <w:p w14:paraId="4EB99DF7"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pece s koksovými batériami;</w:t>
                  </w:r>
                </w:p>
              </w:tc>
            </w:tr>
            <w:tr w:rsidR="00B20392" w:rsidRPr="003549B4" w14:paraId="55314C6A" w14:textId="77777777" w:rsidTr="00B81E84">
              <w:trPr>
                <w:gridAfter w:val="3"/>
                <w:wAfter w:w="1202" w:type="dxa"/>
                <w:tblCellSpacing w:w="0" w:type="dxa"/>
              </w:trPr>
              <w:tc>
                <w:tcPr>
                  <w:tcW w:w="300" w:type="dxa"/>
                  <w:gridSpan w:val="9"/>
                </w:tcPr>
                <w:p w14:paraId="5CED1525"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m)</w:t>
                  </w:r>
                </w:p>
              </w:tc>
              <w:tc>
                <w:tcPr>
                  <w:tcW w:w="4053" w:type="dxa"/>
                </w:tcPr>
                <w:p w14:paraId="0E5104C9"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kaupre;</w:t>
                  </w:r>
                </w:p>
              </w:tc>
            </w:tr>
            <w:tr w:rsidR="00B20392" w:rsidRPr="003549B4" w14:paraId="1270941A" w14:textId="77777777" w:rsidTr="00B81E84">
              <w:trPr>
                <w:gridAfter w:val="2"/>
                <w:wAfter w:w="550" w:type="dxa"/>
                <w:tblCellSpacing w:w="0" w:type="dxa"/>
              </w:trPr>
              <w:tc>
                <w:tcPr>
                  <w:tcW w:w="300" w:type="dxa"/>
                  <w:gridSpan w:val="9"/>
                </w:tcPr>
                <w:p w14:paraId="5F4D5D97"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n)</w:t>
                  </w:r>
                </w:p>
              </w:tc>
              <w:tc>
                <w:tcPr>
                  <w:tcW w:w="4705" w:type="dxa"/>
                  <w:gridSpan w:val="2"/>
                </w:tcPr>
                <w:p w14:paraId="360C56F4"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krematóriá;</w:t>
                  </w:r>
                </w:p>
              </w:tc>
            </w:tr>
            <w:tr w:rsidR="00B20392" w:rsidRPr="003549B4" w14:paraId="564C66D9" w14:textId="77777777" w:rsidTr="00B81E84">
              <w:trPr>
                <w:tblCellSpacing w:w="0" w:type="dxa"/>
              </w:trPr>
              <w:tc>
                <w:tcPr>
                  <w:tcW w:w="152" w:type="dxa"/>
                  <w:gridSpan w:val="4"/>
                </w:tcPr>
                <w:p w14:paraId="03EE6B89"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o</w:t>
                  </w:r>
                </w:p>
              </w:tc>
              <w:tc>
                <w:tcPr>
                  <w:tcW w:w="5403" w:type="dxa"/>
                  <w:gridSpan w:val="9"/>
                </w:tcPr>
                <w:p w14:paraId="6CA0222F" w14:textId="77777777" w:rsidR="00B20392" w:rsidRPr="003549B4" w:rsidRDefault="007D7E3B"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r w:rsidR="00B20392" w:rsidRPr="003549B4">
                    <w:rPr>
                      <w:rFonts w:ascii="Times New Roman" w:hAnsi="Times New Roman" w:cs="Times New Roman"/>
                      <w:sz w:val="20"/>
                      <w:szCs w:val="20"/>
                      <w:lang w:eastAsia="sk-SK"/>
                    </w:rPr>
                    <w:t>spaľovacie zariadenia, ktoré spaľujú výlučne rafinérske palivá alebo rafinérske palivá s inými palivami na výrobu energie v rafinériách minerálnych olejov a plynu;</w:t>
                  </w:r>
                </w:p>
              </w:tc>
            </w:tr>
            <w:tr w:rsidR="00B20392" w:rsidRPr="003549B4" w14:paraId="4792423F" w14:textId="77777777" w:rsidTr="00B81E84">
              <w:trPr>
                <w:tblCellSpacing w:w="0" w:type="dxa"/>
              </w:trPr>
              <w:tc>
                <w:tcPr>
                  <w:tcW w:w="211" w:type="dxa"/>
                  <w:gridSpan w:val="7"/>
                </w:tcPr>
                <w:p w14:paraId="4C1283C0"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p)</w:t>
                  </w:r>
                </w:p>
              </w:tc>
              <w:tc>
                <w:tcPr>
                  <w:tcW w:w="5344" w:type="dxa"/>
                  <w:gridSpan w:val="6"/>
                </w:tcPr>
                <w:p w14:paraId="7D552C52" w14:textId="77777777" w:rsidR="00B20392" w:rsidRPr="003549B4" w:rsidRDefault="00B20392" w:rsidP="00CA063F">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regeneračné kotle v zariadeniach na výrobu celulózy.</w:t>
                  </w:r>
                </w:p>
              </w:tc>
            </w:tr>
          </w:tbl>
          <w:p w14:paraId="5104397C" w14:textId="77777777" w:rsidR="00B20392" w:rsidRPr="003549B4" w:rsidRDefault="00B20392" w:rsidP="001B1D25">
            <w:pPr>
              <w:spacing w:after="0" w:line="240" w:lineRule="auto"/>
              <w:rPr>
                <w:rFonts w:ascii="Times New Roman" w:hAnsi="Times New Roman" w:cs="Times New Roman"/>
                <w:sz w:val="20"/>
                <w:szCs w:val="20"/>
              </w:rPr>
            </w:pPr>
          </w:p>
        </w:tc>
        <w:tc>
          <w:tcPr>
            <w:tcW w:w="433" w:type="dxa"/>
          </w:tcPr>
          <w:p w14:paraId="2A1E38A5" w14:textId="77777777" w:rsidR="00B20392" w:rsidRPr="003549B4" w:rsidRDefault="00565E6C"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w:t>
            </w:r>
          </w:p>
        </w:tc>
        <w:tc>
          <w:tcPr>
            <w:tcW w:w="572" w:type="dxa"/>
          </w:tcPr>
          <w:p w14:paraId="646FC950" w14:textId="77777777" w:rsidR="00B20392" w:rsidRPr="003549B4" w:rsidRDefault="00CA063F"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w:t>
            </w:r>
            <w:r w:rsidR="000E363C" w:rsidRPr="003549B4">
              <w:rPr>
                <w:rFonts w:ascii="Times New Roman" w:hAnsi="Times New Roman" w:cs="Times New Roman"/>
                <w:sz w:val="20"/>
                <w:szCs w:val="20"/>
              </w:rPr>
              <w:t>V</w:t>
            </w:r>
            <w:r w:rsidRPr="003549B4">
              <w:rPr>
                <w:rFonts w:ascii="Times New Roman" w:hAnsi="Times New Roman" w:cs="Times New Roman"/>
                <w:sz w:val="20"/>
                <w:szCs w:val="20"/>
              </w:rPr>
              <w:t>1</w:t>
            </w:r>
          </w:p>
          <w:p w14:paraId="2F8AE4D2" w14:textId="77777777" w:rsidR="000E363C" w:rsidRPr="003549B4" w:rsidRDefault="000E363C" w:rsidP="00F17024">
            <w:pPr>
              <w:spacing w:before="120" w:after="0" w:line="240" w:lineRule="auto"/>
              <w:ind w:right="-108"/>
              <w:rPr>
                <w:rFonts w:ascii="Times New Roman" w:hAnsi="Times New Roman" w:cs="Times New Roman"/>
                <w:sz w:val="20"/>
                <w:szCs w:val="20"/>
              </w:rPr>
            </w:pPr>
          </w:p>
          <w:p w14:paraId="7E790F32" w14:textId="77777777" w:rsidR="000E363C" w:rsidRPr="003549B4" w:rsidRDefault="000E363C" w:rsidP="00F17024">
            <w:pPr>
              <w:spacing w:before="120" w:after="0" w:line="240" w:lineRule="auto"/>
              <w:ind w:right="-108"/>
              <w:rPr>
                <w:rFonts w:ascii="Times New Roman" w:hAnsi="Times New Roman" w:cs="Times New Roman"/>
                <w:sz w:val="20"/>
                <w:szCs w:val="20"/>
              </w:rPr>
            </w:pPr>
          </w:p>
          <w:p w14:paraId="0548F93D" w14:textId="77777777" w:rsidR="000E363C" w:rsidRPr="003549B4" w:rsidRDefault="000E363C" w:rsidP="00F17024">
            <w:pPr>
              <w:spacing w:before="120" w:after="0" w:line="240" w:lineRule="auto"/>
              <w:ind w:right="-108"/>
              <w:rPr>
                <w:rFonts w:ascii="Times New Roman" w:hAnsi="Times New Roman" w:cs="Times New Roman"/>
                <w:sz w:val="20"/>
                <w:szCs w:val="20"/>
              </w:rPr>
            </w:pPr>
          </w:p>
          <w:p w14:paraId="5B8E473D" w14:textId="77777777" w:rsidR="000E363C" w:rsidRPr="003549B4" w:rsidRDefault="000E363C" w:rsidP="00F17024">
            <w:pPr>
              <w:spacing w:before="120" w:after="0" w:line="240" w:lineRule="auto"/>
              <w:ind w:right="-108"/>
              <w:rPr>
                <w:rFonts w:ascii="Times New Roman" w:hAnsi="Times New Roman" w:cs="Times New Roman"/>
                <w:sz w:val="20"/>
                <w:szCs w:val="20"/>
              </w:rPr>
            </w:pPr>
          </w:p>
        </w:tc>
        <w:tc>
          <w:tcPr>
            <w:tcW w:w="569" w:type="dxa"/>
          </w:tcPr>
          <w:p w14:paraId="7C4FE432" w14:textId="77777777" w:rsidR="000E363C" w:rsidRPr="003549B4" w:rsidRDefault="00EE14C9"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1FF247BB"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2CB68443" w14:textId="77777777" w:rsidR="000E363C" w:rsidRPr="003549B4" w:rsidRDefault="000E363C" w:rsidP="00F17024">
            <w:pPr>
              <w:spacing w:before="120" w:after="0" w:line="240" w:lineRule="auto"/>
              <w:ind w:left="14" w:right="-9" w:hanging="29"/>
              <w:rPr>
                <w:rFonts w:ascii="Times New Roman" w:hAnsi="Times New Roman" w:cs="Times New Roman"/>
                <w:sz w:val="20"/>
                <w:szCs w:val="20"/>
              </w:rPr>
            </w:pPr>
          </w:p>
          <w:p w14:paraId="70FCC213" w14:textId="77777777" w:rsidR="000E363C" w:rsidRPr="003549B4" w:rsidRDefault="000E363C" w:rsidP="00F17024">
            <w:pPr>
              <w:spacing w:before="120" w:after="0" w:line="240" w:lineRule="auto"/>
              <w:ind w:left="14" w:right="-9" w:hanging="29"/>
              <w:rPr>
                <w:rFonts w:ascii="Times New Roman" w:hAnsi="Times New Roman" w:cs="Times New Roman"/>
                <w:sz w:val="20"/>
                <w:szCs w:val="20"/>
              </w:rPr>
            </w:pPr>
          </w:p>
          <w:p w14:paraId="2BAE3489"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p>
          <w:p w14:paraId="55223952"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p>
          <w:p w14:paraId="1CFDD88E"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p>
          <w:p w14:paraId="51698A4A"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p>
          <w:p w14:paraId="58EB1664"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p>
          <w:p w14:paraId="4DC6EE8B"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p>
          <w:p w14:paraId="63BA19C5"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p>
          <w:p w14:paraId="757B7B25"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p>
          <w:p w14:paraId="1D303FD1"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p>
          <w:p w14:paraId="5F0CF4B0"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0F13F3E2" w14:textId="77777777" w:rsidR="00EE14C9" w:rsidRPr="003549B4" w:rsidRDefault="00EE14C9"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p w14:paraId="0B7FE6D1" w14:textId="77777777" w:rsidR="000E363C" w:rsidRPr="003549B4" w:rsidRDefault="000E363C" w:rsidP="00F17024">
            <w:pPr>
              <w:spacing w:before="120" w:after="0" w:line="240" w:lineRule="auto"/>
              <w:ind w:left="14" w:right="-9" w:hanging="29"/>
              <w:rPr>
                <w:rFonts w:ascii="Times New Roman" w:hAnsi="Times New Roman" w:cs="Times New Roman"/>
                <w:sz w:val="20"/>
                <w:szCs w:val="20"/>
              </w:rPr>
            </w:pPr>
          </w:p>
        </w:tc>
        <w:tc>
          <w:tcPr>
            <w:tcW w:w="6006" w:type="dxa"/>
          </w:tcPr>
          <w:p w14:paraId="44C69EDE" w14:textId="77777777" w:rsidR="00EE14C9" w:rsidRPr="003549B4" w:rsidRDefault="00EE14C9" w:rsidP="00EE14C9">
            <w:pPr>
              <w:spacing w:before="120" w:after="0" w:line="240" w:lineRule="auto"/>
              <w:ind w:left="-17"/>
              <w:jc w:val="both"/>
              <w:rPr>
                <w:rFonts w:ascii="Times New Roman" w:hAnsi="Times New Roman" w:cs="Times New Roman"/>
                <w:sz w:val="20"/>
                <w:szCs w:val="20"/>
              </w:rPr>
            </w:pPr>
            <w:r w:rsidRPr="003549B4">
              <w:rPr>
                <w:rFonts w:ascii="Times New Roman" w:hAnsi="Times New Roman" w:cs="Times New Roman"/>
                <w:sz w:val="20"/>
                <w:szCs w:val="20"/>
              </w:rPr>
              <w:t>(1) Špecifické požiadavky na spaľovacie zariadenia ustanovené v tejto časti sa uplatňujú na zariadenia spaľujúce palivá; neuplatňujú sa pre</w:t>
            </w:r>
          </w:p>
          <w:p w14:paraId="12C9744E" w14:textId="77777777" w:rsidR="00EE14C9" w:rsidRPr="003549B4" w:rsidRDefault="00EE14C9" w:rsidP="00CE3A47">
            <w:pPr>
              <w:pStyle w:val="Odsekzoznamu"/>
              <w:numPr>
                <w:ilvl w:val="0"/>
                <w:numId w:val="22"/>
              </w:numPr>
              <w:spacing w:after="0"/>
              <w:rPr>
                <w:sz w:val="20"/>
                <w:szCs w:val="20"/>
              </w:rPr>
            </w:pPr>
            <w:r w:rsidRPr="003549B4">
              <w:rPr>
                <w:sz w:val="20"/>
                <w:szCs w:val="20"/>
              </w:rPr>
              <w:t>zariadenia, v ktorých sa spaliny používajú na priamy ohrev, sušenie alebo iné tepelné spracovanie materiálov alebo predmetov (ďalej len „priamy procesný ohrev“),</w:t>
            </w:r>
          </w:p>
          <w:p w14:paraId="557F9D04" w14:textId="77777777" w:rsidR="00EE14C9" w:rsidRPr="003549B4" w:rsidRDefault="00EE14C9" w:rsidP="00CE3A47">
            <w:pPr>
              <w:pStyle w:val="Odsekzoznamu"/>
              <w:numPr>
                <w:ilvl w:val="0"/>
                <w:numId w:val="22"/>
              </w:numPr>
              <w:spacing w:before="0" w:after="0"/>
              <w:rPr>
                <w:sz w:val="20"/>
                <w:szCs w:val="20"/>
              </w:rPr>
            </w:pPr>
            <w:r w:rsidRPr="003549B4">
              <w:rPr>
                <w:sz w:val="20"/>
                <w:szCs w:val="20"/>
              </w:rPr>
              <w:t>koncové spaľovacie zariadenia určené na čistenie odpadových plynov spaľovaním, ak nie sú prevádzkované ako samostatné spaľovacie zariadenia,</w:t>
            </w:r>
          </w:p>
          <w:p w14:paraId="1BB783A3" w14:textId="77777777" w:rsidR="00EE14C9" w:rsidRPr="003549B4" w:rsidRDefault="00EE14C9" w:rsidP="00CE3A47">
            <w:pPr>
              <w:pStyle w:val="Odsekzoznamu"/>
              <w:numPr>
                <w:ilvl w:val="0"/>
                <w:numId w:val="22"/>
              </w:numPr>
              <w:spacing w:before="0" w:after="0"/>
              <w:rPr>
                <w:sz w:val="20"/>
                <w:szCs w:val="20"/>
              </w:rPr>
            </w:pPr>
            <w:r w:rsidRPr="003549B4">
              <w:rPr>
                <w:sz w:val="20"/>
                <w:szCs w:val="20"/>
              </w:rPr>
              <w:t>zariadenia na regeneráciu katalyzátorov pre katalytické krakovanie,</w:t>
            </w:r>
          </w:p>
          <w:p w14:paraId="6A41CE3E" w14:textId="77777777" w:rsidR="00EE14C9" w:rsidRPr="003549B4" w:rsidRDefault="00EE14C9" w:rsidP="00CE3A47">
            <w:pPr>
              <w:pStyle w:val="Odsekzoznamu"/>
              <w:numPr>
                <w:ilvl w:val="0"/>
                <w:numId w:val="22"/>
              </w:numPr>
              <w:spacing w:before="0" w:after="0"/>
              <w:rPr>
                <w:sz w:val="20"/>
                <w:szCs w:val="20"/>
              </w:rPr>
            </w:pPr>
            <w:r w:rsidRPr="003549B4">
              <w:rPr>
                <w:sz w:val="20"/>
                <w:szCs w:val="20"/>
              </w:rPr>
              <w:t>zariadenia na premenu sulfánu na síru,</w:t>
            </w:r>
          </w:p>
          <w:p w14:paraId="79920C0B" w14:textId="77777777" w:rsidR="00EE14C9" w:rsidRPr="003549B4" w:rsidRDefault="00EE14C9" w:rsidP="00CE3A47">
            <w:pPr>
              <w:pStyle w:val="Odsekzoznamu"/>
              <w:numPr>
                <w:ilvl w:val="0"/>
                <w:numId w:val="22"/>
              </w:numPr>
              <w:spacing w:before="0" w:after="0"/>
              <w:rPr>
                <w:sz w:val="20"/>
                <w:szCs w:val="20"/>
              </w:rPr>
            </w:pPr>
            <w:r w:rsidRPr="003549B4">
              <w:rPr>
                <w:sz w:val="20"/>
                <w:szCs w:val="20"/>
              </w:rPr>
              <w:t xml:space="preserve">reaktory používané v chemickom priemysle, </w:t>
            </w:r>
          </w:p>
          <w:p w14:paraId="72E4F4EF" w14:textId="77777777" w:rsidR="00EE14C9" w:rsidRPr="003549B4" w:rsidRDefault="00EE14C9" w:rsidP="00CE3A47">
            <w:pPr>
              <w:pStyle w:val="Odsekzoznamu"/>
              <w:numPr>
                <w:ilvl w:val="0"/>
                <w:numId w:val="22"/>
              </w:numPr>
              <w:spacing w:before="0" w:after="0"/>
              <w:rPr>
                <w:sz w:val="20"/>
                <w:szCs w:val="20"/>
              </w:rPr>
            </w:pPr>
            <w:r w:rsidRPr="003549B4">
              <w:rPr>
                <w:sz w:val="20"/>
                <w:szCs w:val="20"/>
              </w:rPr>
              <w:t>koksárenské pece,</w:t>
            </w:r>
          </w:p>
          <w:p w14:paraId="5495673D" w14:textId="77777777" w:rsidR="00EE14C9" w:rsidRPr="003549B4" w:rsidRDefault="00EE14C9" w:rsidP="00CE3A47">
            <w:pPr>
              <w:pStyle w:val="Odsekzoznamu"/>
              <w:numPr>
                <w:ilvl w:val="0"/>
                <w:numId w:val="22"/>
              </w:numPr>
              <w:spacing w:before="0" w:after="0"/>
              <w:rPr>
                <w:sz w:val="20"/>
                <w:szCs w:val="20"/>
              </w:rPr>
            </w:pPr>
            <w:r w:rsidRPr="003549B4">
              <w:rPr>
                <w:sz w:val="20"/>
                <w:szCs w:val="20"/>
              </w:rPr>
              <w:t>ohrievače vetra – kaupre,</w:t>
            </w:r>
          </w:p>
          <w:p w14:paraId="02A67717" w14:textId="77777777" w:rsidR="00EE14C9" w:rsidRPr="003549B4" w:rsidRDefault="00EE14C9" w:rsidP="00CE3A47">
            <w:pPr>
              <w:pStyle w:val="Odsekzoznamu"/>
              <w:numPr>
                <w:ilvl w:val="0"/>
                <w:numId w:val="22"/>
              </w:numPr>
              <w:spacing w:before="0" w:after="0"/>
              <w:rPr>
                <w:sz w:val="20"/>
                <w:szCs w:val="20"/>
              </w:rPr>
            </w:pPr>
            <w:r w:rsidRPr="003549B4">
              <w:rPr>
                <w:sz w:val="20"/>
                <w:szCs w:val="20"/>
              </w:rPr>
              <w:t>technické zariadenia používané na pohon vozidiel, lodí alebo lietadiel,</w:t>
            </w:r>
          </w:p>
          <w:p w14:paraId="47335E5C" w14:textId="77777777" w:rsidR="00EE14C9" w:rsidRPr="003549B4" w:rsidRDefault="00EE14C9" w:rsidP="00CE3A47">
            <w:pPr>
              <w:pStyle w:val="Odsekzoznamu"/>
              <w:numPr>
                <w:ilvl w:val="0"/>
                <w:numId w:val="22"/>
              </w:numPr>
              <w:spacing w:before="0" w:after="0"/>
              <w:rPr>
                <w:sz w:val="20"/>
                <w:szCs w:val="20"/>
              </w:rPr>
            </w:pPr>
            <w:r w:rsidRPr="003549B4">
              <w:rPr>
                <w:sz w:val="20"/>
                <w:szCs w:val="20"/>
              </w:rPr>
              <w:t>plynové turbíny a zážihové motory používané na morských plošinách,</w:t>
            </w:r>
          </w:p>
          <w:p w14:paraId="18B7C153" w14:textId="77777777" w:rsidR="00EE14C9" w:rsidRPr="003549B4" w:rsidRDefault="00EE14C9" w:rsidP="00CE3A47">
            <w:pPr>
              <w:pStyle w:val="Odsekzoznamu"/>
              <w:numPr>
                <w:ilvl w:val="0"/>
                <w:numId w:val="22"/>
              </w:numPr>
              <w:spacing w:before="0" w:after="0"/>
              <w:rPr>
                <w:sz w:val="20"/>
                <w:szCs w:val="20"/>
              </w:rPr>
            </w:pPr>
            <w:r w:rsidRPr="003549B4">
              <w:rPr>
                <w:sz w:val="20"/>
                <w:szCs w:val="20"/>
              </w:rPr>
              <w:t>zariadenia, ktoré používajú ako palivo tuhý alebo kvapalný odpad iný ako odpad uvedený v odseku 5 písm. i).</w:t>
            </w:r>
          </w:p>
          <w:p w14:paraId="5C8045B9" w14:textId="77777777" w:rsidR="00EE14C9" w:rsidRPr="003549B4" w:rsidRDefault="00EE14C9" w:rsidP="00EE14C9">
            <w:pPr>
              <w:spacing w:after="0" w:line="240" w:lineRule="auto"/>
              <w:jc w:val="both"/>
              <w:rPr>
                <w:rFonts w:ascii="Times New Roman" w:hAnsi="Times New Roman" w:cs="Times New Roman"/>
                <w:sz w:val="20"/>
                <w:szCs w:val="20"/>
              </w:rPr>
            </w:pPr>
          </w:p>
          <w:p w14:paraId="3FFFA95E" w14:textId="77777777" w:rsidR="00EE14C9" w:rsidRPr="003549B4" w:rsidRDefault="00EE14C9" w:rsidP="008F3AC2">
            <w:pPr>
              <w:spacing w:after="0" w:line="240" w:lineRule="auto"/>
              <w:ind w:left="-17"/>
              <w:jc w:val="both"/>
              <w:rPr>
                <w:rFonts w:ascii="Times New Roman" w:hAnsi="Times New Roman" w:cs="Times New Roman"/>
                <w:sz w:val="20"/>
                <w:szCs w:val="20"/>
              </w:rPr>
            </w:pPr>
            <w:r w:rsidRPr="003549B4">
              <w:rPr>
                <w:rFonts w:ascii="Times New Roman" w:hAnsi="Times New Roman" w:cs="Times New Roman"/>
                <w:sz w:val="20"/>
                <w:szCs w:val="20"/>
              </w:rPr>
              <w:t>(2) Špecifické požiadavky ustanovené pre väčšie stredné spaľovacie zariadenia, menšie stredné spaľovacie zariadenia a malé spaľovacie zariadenia sa neuplatňujú na</w:t>
            </w:r>
          </w:p>
          <w:p w14:paraId="4E1148D9" w14:textId="77777777" w:rsidR="00EE14C9" w:rsidRPr="003549B4" w:rsidRDefault="00EE14C9" w:rsidP="00CE3A47">
            <w:pPr>
              <w:pStyle w:val="Odsekzoznamu"/>
              <w:numPr>
                <w:ilvl w:val="0"/>
                <w:numId w:val="23"/>
              </w:numPr>
              <w:spacing w:after="0"/>
              <w:rPr>
                <w:sz w:val="20"/>
                <w:szCs w:val="20"/>
              </w:rPr>
            </w:pPr>
            <w:r w:rsidRPr="003549B4">
              <w:rPr>
                <w:sz w:val="20"/>
                <w:szCs w:val="20"/>
              </w:rPr>
              <w:lastRenderedPageBreak/>
              <w:t>spaľovne odpadov a zariadenia na spoluspaľovanie odpadov,</w:t>
            </w:r>
          </w:p>
          <w:p w14:paraId="08249489" w14:textId="77777777" w:rsidR="00EE14C9" w:rsidRPr="003549B4" w:rsidRDefault="00EE14C9" w:rsidP="00CE3A47">
            <w:pPr>
              <w:pStyle w:val="Odsekzoznamu"/>
              <w:numPr>
                <w:ilvl w:val="0"/>
                <w:numId w:val="23"/>
              </w:numPr>
              <w:spacing w:before="0" w:after="0"/>
              <w:rPr>
                <w:sz w:val="20"/>
                <w:szCs w:val="20"/>
              </w:rPr>
            </w:pPr>
            <w:r w:rsidRPr="003549B4">
              <w:rPr>
                <w:sz w:val="20"/>
                <w:szCs w:val="20"/>
              </w:rPr>
              <w:t>spaľovacie zariadenia, ktoré spaľujú výlučne rafinérske palivá alebo rafinérske palivá s inými palivami na výrobu energie v</w:t>
            </w:r>
            <w:r w:rsidR="00221ECD" w:rsidRPr="003549B4">
              <w:rPr>
                <w:sz w:val="20"/>
                <w:szCs w:val="20"/>
              </w:rPr>
              <w:t> </w:t>
            </w:r>
            <w:r w:rsidRPr="003549B4">
              <w:rPr>
                <w:sz w:val="20"/>
                <w:szCs w:val="20"/>
              </w:rPr>
              <w:t>rafinériách minerálnych olejov a plynu,</w:t>
            </w:r>
          </w:p>
          <w:p w14:paraId="7E630E3A" w14:textId="77777777" w:rsidR="00EE14C9" w:rsidRPr="003549B4" w:rsidRDefault="00EE14C9" w:rsidP="00CE3A47">
            <w:pPr>
              <w:pStyle w:val="Odsekzoznamu"/>
              <w:numPr>
                <w:ilvl w:val="0"/>
                <w:numId w:val="23"/>
              </w:numPr>
              <w:spacing w:before="0" w:after="0"/>
              <w:rPr>
                <w:sz w:val="20"/>
                <w:szCs w:val="20"/>
              </w:rPr>
            </w:pPr>
            <w:r w:rsidRPr="003549B4">
              <w:rPr>
                <w:sz w:val="20"/>
                <w:szCs w:val="20"/>
              </w:rPr>
              <w:t>regeneračné kotle v prevádzkach na výrobu celulózy,</w:t>
            </w:r>
          </w:p>
          <w:p w14:paraId="3925CBB2" w14:textId="77777777" w:rsidR="00EE14C9" w:rsidRPr="003549B4" w:rsidRDefault="00EE14C9" w:rsidP="00CE3A47">
            <w:pPr>
              <w:pStyle w:val="Odsekzoznamu"/>
              <w:numPr>
                <w:ilvl w:val="0"/>
                <w:numId w:val="23"/>
              </w:numPr>
              <w:spacing w:before="0" w:after="0"/>
              <w:rPr>
                <w:sz w:val="20"/>
                <w:szCs w:val="20"/>
              </w:rPr>
            </w:pPr>
            <w:r w:rsidRPr="003549B4">
              <w:rPr>
                <w:sz w:val="20"/>
                <w:szCs w:val="20"/>
              </w:rPr>
              <w:t>spaľovacie zariadenia, v ktorých sa spaliny využívajú na priame vykurovanie vnútorných priestorov na zlepšenie podmienok na pracovisku,</w:t>
            </w:r>
          </w:p>
          <w:p w14:paraId="7A04329E" w14:textId="77777777" w:rsidR="00EE14C9" w:rsidRPr="003549B4" w:rsidRDefault="00EE14C9" w:rsidP="00CE3A47">
            <w:pPr>
              <w:pStyle w:val="Odsekzoznamu"/>
              <w:numPr>
                <w:ilvl w:val="0"/>
                <w:numId w:val="23"/>
              </w:numPr>
              <w:spacing w:before="0" w:after="0"/>
              <w:rPr>
                <w:sz w:val="20"/>
                <w:szCs w:val="20"/>
              </w:rPr>
            </w:pPr>
            <w:r w:rsidRPr="003549B4">
              <w:rPr>
                <w:sz w:val="20"/>
                <w:szCs w:val="20"/>
              </w:rPr>
              <w:t>krematóriá,</w:t>
            </w:r>
          </w:p>
          <w:p w14:paraId="0E16D821" w14:textId="77777777" w:rsidR="00EE14C9" w:rsidRPr="003549B4" w:rsidRDefault="00EE14C9" w:rsidP="00CE3A47">
            <w:pPr>
              <w:pStyle w:val="Odsekzoznamu"/>
              <w:numPr>
                <w:ilvl w:val="0"/>
                <w:numId w:val="23"/>
              </w:numPr>
              <w:spacing w:before="0" w:after="0"/>
              <w:rPr>
                <w:sz w:val="20"/>
                <w:szCs w:val="20"/>
              </w:rPr>
            </w:pPr>
            <w:r w:rsidRPr="003549B4">
              <w:rPr>
                <w:sz w:val="20"/>
                <w:szCs w:val="20"/>
              </w:rPr>
              <w:t>poľnohospodárske spaľovacie zariadenia s celkovým menovitým tepelným príkonom 5 MW alebo menším, ktoré ako palivo využívajú výlučne nespracovaný trus hydiny,</w:t>
            </w:r>
            <w:r w:rsidR="00221ECD" w:rsidRPr="003549B4">
              <w:rPr>
                <w:sz w:val="20"/>
                <w:szCs w:val="20"/>
              </w:rPr>
              <w:t>1</w:t>
            </w:r>
            <w:r w:rsidRPr="003549B4">
              <w:rPr>
                <w:sz w:val="20"/>
                <w:szCs w:val="20"/>
              </w:rPr>
              <w:t>)</w:t>
            </w:r>
          </w:p>
          <w:p w14:paraId="1D6E1FDD" w14:textId="77777777" w:rsidR="00EE14C9" w:rsidRPr="003549B4" w:rsidRDefault="00EE14C9" w:rsidP="00CE3A47">
            <w:pPr>
              <w:pStyle w:val="Odsekzoznamu"/>
              <w:numPr>
                <w:ilvl w:val="0"/>
                <w:numId w:val="23"/>
              </w:numPr>
              <w:spacing w:before="0" w:after="0"/>
              <w:rPr>
                <w:sz w:val="20"/>
                <w:szCs w:val="20"/>
              </w:rPr>
            </w:pPr>
            <w:r w:rsidRPr="003549B4">
              <w:rPr>
                <w:sz w:val="20"/>
                <w:szCs w:val="20"/>
              </w:rPr>
              <w:t>spaľovacie zariadenia, ako sú necestné pojazdné stroje podľa osobitného predpisu.</w:t>
            </w:r>
            <w:r w:rsidR="00221ECD" w:rsidRPr="003549B4">
              <w:rPr>
                <w:sz w:val="20"/>
                <w:szCs w:val="20"/>
                <w:vertAlign w:val="superscript"/>
              </w:rPr>
              <w:t>2</w:t>
            </w:r>
            <w:r w:rsidRPr="003549B4">
              <w:rPr>
                <w:sz w:val="20"/>
                <w:szCs w:val="20"/>
              </w:rPr>
              <w:t>)</w:t>
            </w:r>
          </w:p>
          <w:p w14:paraId="24C92BC4" w14:textId="77777777" w:rsidR="00221ECD" w:rsidRPr="003549B4" w:rsidRDefault="00221ECD" w:rsidP="00221ECD">
            <w:pPr>
              <w:pStyle w:val="Textpoznmkypodiarou"/>
              <w:spacing w:before="120" w:after="0" w:line="240" w:lineRule="auto"/>
              <w:jc w:val="both"/>
            </w:pPr>
            <w:r w:rsidRPr="003549B4">
              <w:rPr>
                <w:rStyle w:val="Odkaznapoznmkupodiarou"/>
              </w:rPr>
              <w:t>1</w:t>
            </w:r>
            <w:r w:rsidRPr="003549B4">
              <w:t>) Čl. 9 písm. a) nariadenia Európskeho parlamentu a Rady (ES) č. 1069/2009.</w:t>
            </w:r>
          </w:p>
          <w:p w14:paraId="54A0C6CF" w14:textId="77777777" w:rsidR="00EE14C9" w:rsidRPr="003549B4" w:rsidRDefault="00221ECD" w:rsidP="00221ECD">
            <w:pPr>
              <w:pStyle w:val="Textpoznmkypodiarou"/>
              <w:spacing w:after="0" w:line="240" w:lineRule="auto"/>
              <w:jc w:val="both"/>
            </w:pPr>
            <w:r w:rsidRPr="003549B4">
              <w:rPr>
                <w:vertAlign w:val="superscript"/>
              </w:rPr>
              <w:t>2</w:t>
            </w:r>
            <w:r w:rsidRPr="003549B4">
              <w:t>)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w:t>
            </w:r>
          </w:p>
        </w:tc>
        <w:tc>
          <w:tcPr>
            <w:tcW w:w="429" w:type="dxa"/>
            <w:tcBorders>
              <w:top w:val="single" w:sz="4" w:space="0" w:color="auto"/>
              <w:bottom w:val="single" w:sz="4" w:space="0" w:color="auto"/>
            </w:tcBorders>
            <w:vAlign w:val="center"/>
          </w:tcPr>
          <w:p w14:paraId="36F7CD6A" w14:textId="77777777" w:rsidR="00B20392"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5B9029A8" w14:textId="77777777" w:rsidR="00B20392" w:rsidRPr="003549B4" w:rsidRDefault="00B20392" w:rsidP="00603CC4">
            <w:pPr>
              <w:spacing w:after="0" w:line="240" w:lineRule="auto"/>
              <w:rPr>
                <w:rFonts w:ascii="Times New Roman" w:hAnsi="Times New Roman" w:cs="Times New Roman"/>
                <w:sz w:val="20"/>
                <w:szCs w:val="20"/>
              </w:rPr>
            </w:pPr>
          </w:p>
        </w:tc>
      </w:tr>
      <w:tr w:rsidR="00557F90" w:rsidRPr="003549B4" w14:paraId="0601C66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8EF9DD0"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O4</w:t>
            </w:r>
          </w:p>
        </w:tc>
        <w:tc>
          <w:tcPr>
            <w:tcW w:w="6287" w:type="dxa"/>
          </w:tcPr>
          <w:p w14:paraId="6B85EEB4"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4. Táto smernica sa neuplatňuje na aktivity v oblasti výskumu, vývoja a testovania týkajúce sa stredne veľkých spaľovacích zariadení. Členské štáty môžu na uplatňovanie tohto odseku stanoviť osobitné podmienky.</w:t>
            </w:r>
          </w:p>
        </w:tc>
        <w:tc>
          <w:tcPr>
            <w:tcW w:w="433" w:type="dxa"/>
          </w:tcPr>
          <w:p w14:paraId="0C236DCC"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4637EF12" w14:textId="77777777" w:rsidR="00B81E84" w:rsidRPr="003549B4" w:rsidRDefault="00B81E84"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6ADB55B6"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7B740E97" w14:textId="77777777" w:rsidR="00B81E84" w:rsidRPr="003549B4" w:rsidRDefault="00221ECD"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2E60B137" w14:textId="77777777" w:rsidR="00221ECD" w:rsidRPr="003549B4" w:rsidRDefault="00221ECD"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O4</w:t>
            </w:r>
          </w:p>
          <w:p w14:paraId="4E7B5648" w14:textId="77777777" w:rsidR="00B81E84" w:rsidRPr="003549B4" w:rsidRDefault="00B81E84" w:rsidP="00F17024">
            <w:pPr>
              <w:spacing w:before="120" w:after="0" w:line="240" w:lineRule="auto"/>
              <w:ind w:left="14" w:right="-9" w:hanging="29"/>
              <w:rPr>
                <w:rFonts w:ascii="Times New Roman" w:hAnsi="Times New Roman" w:cs="Times New Roman"/>
                <w:sz w:val="20"/>
                <w:szCs w:val="20"/>
              </w:rPr>
            </w:pPr>
          </w:p>
        </w:tc>
        <w:tc>
          <w:tcPr>
            <w:tcW w:w="6006" w:type="dxa"/>
          </w:tcPr>
          <w:p w14:paraId="6CA9F70C" w14:textId="77777777" w:rsidR="00221ECD" w:rsidRPr="003549B4" w:rsidRDefault="00221ECD" w:rsidP="008F3AC2">
            <w:pPr>
              <w:spacing w:before="120" w:after="0" w:line="240" w:lineRule="auto"/>
              <w:ind w:left="-17"/>
              <w:jc w:val="both"/>
              <w:rPr>
                <w:rFonts w:ascii="Times New Roman" w:hAnsi="Times New Roman" w:cs="Times New Roman"/>
                <w:sz w:val="20"/>
                <w:szCs w:val="20"/>
              </w:rPr>
            </w:pPr>
            <w:r w:rsidRPr="003549B4">
              <w:rPr>
                <w:rFonts w:ascii="Times New Roman" w:hAnsi="Times New Roman" w:cs="Times New Roman"/>
                <w:sz w:val="20"/>
                <w:szCs w:val="20"/>
              </w:rPr>
              <w:t>(4) Požiadavky na veľké spaľovacie zariadenia, väčšie stredné spaľovacie zariadenia a menšie stredné spaľovacie zariadenia sa neuplatňujú na činnosti v oblasti výskumu, vývoja a testovania týkajúce sa týchto zariadení.</w:t>
            </w:r>
          </w:p>
        </w:tc>
        <w:tc>
          <w:tcPr>
            <w:tcW w:w="429" w:type="dxa"/>
            <w:tcBorders>
              <w:top w:val="single" w:sz="4" w:space="0" w:color="auto"/>
              <w:bottom w:val="single" w:sz="4" w:space="0" w:color="auto"/>
            </w:tcBorders>
            <w:vAlign w:val="center"/>
          </w:tcPr>
          <w:p w14:paraId="4F7780F8"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69B7C71"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3F81804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0D263977"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Č3</w:t>
            </w:r>
          </w:p>
        </w:tc>
        <w:tc>
          <w:tcPr>
            <w:tcW w:w="6287" w:type="dxa"/>
          </w:tcPr>
          <w:p w14:paraId="0E7732FF"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Vymedzenia pojmov</w:t>
            </w:r>
          </w:p>
        </w:tc>
        <w:tc>
          <w:tcPr>
            <w:tcW w:w="433" w:type="dxa"/>
          </w:tcPr>
          <w:p w14:paraId="0DEC0CEC" w14:textId="77777777" w:rsidR="00B81E84" w:rsidRPr="003549B4" w:rsidRDefault="00B81E84" w:rsidP="00B81E84">
            <w:pPr>
              <w:spacing w:before="120" w:after="0" w:line="240" w:lineRule="auto"/>
              <w:rPr>
                <w:rFonts w:ascii="Times New Roman" w:hAnsi="Times New Roman" w:cs="Times New Roman"/>
                <w:sz w:val="20"/>
                <w:szCs w:val="20"/>
              </w:rPr>
            </w:pPr>
          </w:p>
        </w:tc>
        <w:tc>
          <w:tcPr>
            <w:tcW w:w="572" w:type="dxa"/>
          </w:tcPr>
          <w:p w14:paraId="33B87AA0"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47450B24" w14:textId="77777777" w:rsidR="00B81E84" w:rsidRPr="003549B4" w:rsidRDefault="00B81E84" w:rsidP="00F17024">
            <w:pPr>
              <w:spacing w:before="120" w:after="0" w:line="240" w:lineRule="auto"/>
              <w:ind w:left="14" w:right="-9" w:hanging="29"/>
              <w:rPr>
                <w:rFonts w:ascii="Times New Roman" w:hAnsi="Times New Roman" w:cs="Times New Roman"/>
                <w:sz w:val="20"/>
                <w:szCs w:val="20"/>
              </w:rPr>
            </w:pPr>
          </w:p>
        </w:tc>
        <w:tc>
          <w:tcPr>
            <w:tcW w:w="6006" w:type="dxa"/>
            <w:vAlign w:val="center"/>
          </w:tcPr>
          <w:p w14:paraId="3EC934B4" w14:textId="77777777" w:rsidR="00B81E84" w:rsidRPr="003549B4" w:rsidRDefault="00B81E84" w:rsidP="00B81E84">
            <w:pPr>
              <w:spacing w:before="120"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47F7A1F3" w14:textId="77777777" w:rsidR="00B81E84" w:rsidRPr="003549B4" w:rsidRDefault="00B81E84" w:rsidP="00603CC4">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020CC8D7"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417FEAC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621EE2B"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3EBACD13"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Na účely tejto smernice sa uplatňujú tieto vymedzenia pojmov:</w:t>
            </w:r>
          </w:p>
          <w:tbl>
            <w:tblPr>
              <w:tblW w:w="5000" w:type="pct"/>
              <w:tblCellSpacing w:w="0" w:type="dxa"/>
              <w:tblLayout w:type="fixed"/>
              <w:tblCellMar>
                <w:left w:w="0" w:type="dxa"/>
                <w:right w:w="0" w:type="dxa"/>
              </w:tblCellMar>
              <w:tblLook w:val="00A0" w:firstRow="1" w:lastRow="0" w:firstColumn="1" w:lastColumn="0" w:noHBand="0" w:noVBand="0"/>
            </w:tblPr>
            <w:tblGrid>
              <w:gridCol w:w="163"/>
              <w:gridCol w:w="5850"/>
            </w:tblGrid>
            <w:tr w:rsidR="00B81E84" w:rsidRPr="003549B4" w14:paraId="726DC255" w14:textId="77777777">
              <w:trPr>
                <w:tblCellSpacing w:w="0" w:type="dxa"/>
              </w:trPr>
              <w:tc>
                <w:tcPr>
                  <w:tcW w:w="184" w:type="dxa"/>
                </w:tcPr>
                <w:p w14:paraId="1F5A297F"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w:t>
                  </w:r>
                </w:p>
              </w:tc>
              <w:tc>
                <w:tcPr>
                  <w:tcW w:w="6686" w:type="dxa"/>
                </w:tcPr>
                <w:p w14:paraId="60F6AD93"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„emisia“ je vypúšťanie látok zo spaľovacieho zariadenia do ovzdušia;</w:t>
                  </w:r>
                </w:p>
              </w:tc>
            </w:tr>
          </w:tbl>
          <w:p w14:paraId="77C5203A" w14:textId="77777777" w:rsidR="00B81E84" w:rsidRPr="003549B4" w:rsidRDefault="00B81E84" w:rsidP="00B81E84">
            <w:pPr>
              <w:spacing w:before="120" w:after="0" w:line="240" w:lineRule="auto"/>
              <w:rPr>
                <w:rFonts w:ascii="Times New Roman" w:hAnsi="Times New Roman" w:cs="Times New Roman"/>
                <w:sz w:val="20"/>
                <w:szCs w:val="20"/>
              </w:rPr>
            </w:pPr>
          </w:p>
        </w:tc>
        <w:tc>
          <w:tcPr>
            <w:tcW w:w="433" w:type="dxa"/>
          </w:tcPr>
          <w:p w14:paraId="607239E5"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1923E487" w14:textId="77777777" w:rsidR="00B81E84" w:rsidRPr="003549B4" w:rsidRDefault="00E17FCE"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1102DCD2" w14:textId="77777777" w:rsidR="00B81E84" w:rsidRPr="003549B4" w:rsidRDefault="00B81E84"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§2  Pc)</w:t>
            </w:r>
          </w:p>
        </w:tc>
        <w:tc>
          <w:tcPr>
            <w:tcW w:w="6006" w:type="dxa"/>
          </w:tcPr>
          <w:p w14:paraId="35DE2C99" w14:textId="3984A7E9" w:rsidR="00B81E84" w:rsidRPr="003549B4" w:rsidRDefault="00B81E84" w:rsidP="008F20B8">
            <w:pPr>
              <w:spacing w:before="120" w:after="0" w:line="240" w:lineRule="auto"/>
              <w:ind w:left="66"/>
              <w:rPr>
                <w:rFonts w:ascii="Times New Roman" w:hAnsi="Times New Roman" w:cs="Times New Roman"/>
                <w:sz w:val="20"/>
                <w:szCs w:val="20"/>
              </w:rPr>
            </w:pPr>
            <w:r w:rsidRPr="003549B4">
              <w:rPr>
                <w:rFonts w:ascii="Times New Roman" w:hAnsi="Times New Roman" w:cs="Times New Roman"/>
                <w:sz w:val="20"/>
                <w:szCs w:val="20"/>
              </w:rPr>
              <w:t xml:space="preserve">c) emisiami každé priame a nepriame vnášanie látok </w:t>
            </w:r>
            <w:r w:rsidR="008F20B8" w:rsidRPr="003549B4">
              <w:rPr>
                <w:rFonts w:ascii="Times New Roman" w:hAnsi="Times New Roman" w:cs="Times New Roman"/>
                <w:sz w:val="20"/>
                <w:szCs w:val="20"/>
              </w:rPr>
              <w:t xml:space="preserve">z bodového alebo plošného zdroja </w:t>
            </w:r>
            <w:r w:rsidRPr="003549B4">
              <w:rPr>
                <w:rFonts w:ascii="Times New Roman" w:hAnsi="Times New Roman" w:cs="Times New Roman"/>
                <w:sz w:val="20"/>
                <w:szCs w:val="20"/>
              </w:rPr>
              <w:t xml:space="preserve">do ovzdušia, </w:t>
            </w:r>
          </w:p>
        </w:tc>
        <w:tc>
          <w:tcPr>
            <w:tcW w:w="429" w:type="dxa"/>
            <w:tcBorders>
              <w:top w:val="single" w:sz="4" w:space="0" w:color="auto"/>
              <w:bottom w:val="single" w:sz="4" w:space="0" w:color="auto"/>
            </w:tcBorders>
            <w:vAlign w:val="center"/>
          </w:tcPr>
          <w:p w14:paraId="2761A7ED"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873E75E"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40120B2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35F724B"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O2</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3549B4" w14:paraId="1783651C" w14:textId="77777777">
              <w:trPr>
                <w:tblCellSpacing w:w="0" w:type="dxa"/>
              </w:trPr>
              <w:tc>
                <w:tcPr>
                  <w:tcW w:w="168" w:type="dxa"/>
                </w:tcPr>
                <w:p w14:paraId="5FB08D72"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2</w:t>
                  </w:r>
                </w:p>
              </w:tc>
              <w:tc>
                <w:tcPr>
                  <w:tcW w:w="6702" w:type="dxa"/>
                </w:tcPr>
                <w:p w14:paraId="132F4554"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„emisný limit“ je prípustné množstvo látky v odpadových plynoch zo spaľovacieho zariadenia, ktoré môže byť vypustené do ovzdušia za dané obdobie;</w:t>
                  </w:r>
                </w:p>
              </w:tc>
            </w:tr>
          </w:tbl>
          <w:p w14:paraId="26CAA27D" w14:textId="77777777" w:rsidR="00B81E84" w:rsidRPr="003549B4" w:rsidRDefault="00B81E84" w:rsidP="00B81E84">
            <w:pPr>
              <w:spacing w:before="120" w:after="0" w:line="240" w:lineRule="auto"/>
              <w:rPr>
                <w:rFonts w:ascii="Times New Roman" w:hAnsi="Times New Roman" w:cs="Times New Roman"/>
                <w:sz w:val="20"/>
                <w:szCs w:val="20"/>
              </w:rPr>
            </w:pPr>
          </w:p>
        </w:tc>
        <w:tc>
          <w:tcPr>
            <w:tcW w:w="433" w:type="dxa"/>
          </w:tcPr>
          <w:p w14:paraId="46C85B8B"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0F6CBDF0" w14:textId="77777777" w:rsidR="00B81E84" w:rsidRPr="003549B4" w:rsidRDefault="00E17FCE"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59BF5CE1" w14:textId="77777777" w:rsidR="00B81E84" w:rsidRPr="003549B4" w:rsidRDefault="00B81E84"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§21 O2</w:t>
            </w:r>
          </w:p>
        </w:tc>
        <w:tc>
          <w:tcPr>
            <w:tcW w:w="6006" w:type="dxa"/>
            <w:vAlign w:val="center"/>
          </w:tcPr>
          <w:p w14:paraId="1D5B0286" w14:textId="77777777" w:rsidR="00B81E84" w:rsidRPr="003549B4" w:rsidRDefault="00B81E84" w:rsidP="00B81E84">
            <w:pPr>
              <w:spacing w:before="120" w:after="0" w:line="240" w:lineRule="auto"/>
              <w:ind w:left="-15"/>
              <w:rPr>
                <w:rFonts w:ascii="Times New Roman" w:hAnsi="Times New Roman" w:cs="Times New Roman"/>
                <w:sz w:val="20"/>
                <w:szCs w:val="20"/>
                <w:lang w:eastAsia="sk-SK"/>
              </w:rPr>
            </w:pPr>
            <w:r w:rsidRPr="003549B4">
              <w:rPr>
                <w:rFonts w:ascii="Times New Roman" w:hAnsi="Times New Roman" w:cs="Times New Roman"/>
                <w:sz w:val="20"/>
                <w:szCs w:val="20"/>
              </w:rPr>
              <w:t>(2) Emisný limit je najvyššia prípustná miera vypúšťania znečisťujúcej látky alebo skupiny znečisťujúcich látok do ovzdušia zo zariadenia stacionárneho zdroja vyjadrená ako</w:t>
            </w:r>
          </w:p>
          <w:p w14:paraId="477C9FE7" w14:textId="77777777" w:rsidR="00B81E84" w:rsidRPr="003549B4" w:rsidRDefault="00B81E84" w:rsidP="00FE4978">
            <w:pPr>
              <w:numPr>
                <w:ilvl w:val="0"/>
                <w:numId w:val="1"/>
              </w:numPr>
              <w:spacing w:after="0" w:line="240" w:lineRule="auto"/>
              <w:ind w:hanging="283"/>
              <w:jc w:val="both"/>
              <w:rPr>
                <w:rFonts w:ascii="Times New Roman" w:hAnsi="Times New Roman" w:cs="Times New Roman"/>
                <w:sz w:val="20"/>
                <w:szCs w:val="20"/>
              </w:rPr>
            </w:pPr>
            <w:r w:rsidRPr="003549B4">
              <w:rPr>
                <w:rFonts w:ascii="Times New Roman" w:hAnsi="Times New Roman" w:cs="Times New Roman"/>
                <w:sz w:val="20"/>
                <w:szCs w:val="20"/>
              </w:rPr>
              <w:t>hmotnostná koncentrácia alebo objemová koncentrácia znečisťujúcej látky v odpadovom plyne,</w:t>
            </w:r>
          </w:p>
          <w:p w14:paraId="130F36DD" w14:textId="77777777" w:rsidR="00B81E84" w:rsidRPr="003549B4" w:rsidRDefault="00B81E84" w:rsidP="00FE4978">
            <w:pPr>
              <w:numPr>
                <w:ilvl w:val="0"/>
                <w:numId w:val="1"/>
              </w:numPr>
              <w:spacing w:after="0" w:line="240" w:lineRule="auto"/>
              <w:ind w:hanging="283"/>
              <w:jc w:val="both"/>
              <w:rPr>
                <w:rFonts w:ascii="Times New Roman" w:hAnsi="Times New Roman" w:cs="Times New Roman"/>
                <w:sz w:val="20"/>
                <w:szCs w:val="20"/>
              </w:rPr>
            </w:pPr>
            <w:r w:rsidRPr="003549B4">
              <w:rPr>
                <w:rFonts w:ascii="Times New Roman" w:hAnsi="Times New Roman" w:cs="Times New Roman"/>
                <w:sz w:val="20"/>
                <w:szCs w:val="20"/>
              </w:rPr>
              <w:t>hmotnostný tok znečisťujúcej látky,</w:t>
            </w:r>
          </w:p>
          <w:p w14:paraId="49B87CE0" w14:textId="77777777" w:rsidR="00B81E84" w:rsidRPr="003549B4" w:rsidRDefault="00B81E84" w:rsidP="00FE4978">
            <w:pPr>
              <w:numPr>
                <w:ilvl w:val="0"/>
                <w:numId w:val="1"/>
              </w:numPr>
              <w:spacing w:after="0" w:line="240" w:lineRule="auto"/>
              <w:ind w:hanging="283"/>
              <w:jc w:val="both"/>
              <w:rPr>
                <w:rFonts w:ascii="Times New Roman" w:hAnsi="Times New Roman" w:cs="Times New Roman"/>
                <w:sz w:val="20"/>
                <w:szCs w:val="20"/>
              </w:rPr>
            </w:pPr>
            <w:r w:rsidRPr="003549B4">
              <w:rPr>
                <w:rFonts w:ascii="Times New Roman" w:hAnsi="Times New Roman" w:cs="Times New Roman"/>
                <w:sz w:val="20"/>
                <w:szCs w:val="20"/>
              </w:rPr>
              <w:t>limitný emisný faktor,</w:t>
            </w:r>
          </w:p>
          <w:p w14:paraId="459B66E1" w14:textId="77777777" w:rsidR="00B81E84" w:rsidRPr="003549B4" w:rsidRDefault="00B81E84" w:rsidP="00FE4978">
            <w:pPr>
              <w:numPr>
                <w:ilvl w:val="0"/>
                <w:numId w:val="1"/>
              </w:numPr>
              <w:spacing w:after="0" w:line="240" w:lineRule="auto"/>
              <w:ind w:hanging="283"/>
              <w:jc w:val="both"/>
              <w:rPr>
                <w:rFonts w:ascii="Times New Roman" w:hAnsi="Times New Roman" w:cs="Times New Roman"/>
                <w:sz w:val="20"/>
                <w:szCs w:val="20"/>
              </w:rPr>
            </w:pPr>
            <w:r w:rsidRPr="003549B4">
              <w:rPr>
                <w:rFonts w:ascii="Times New Roman" w:hAnsi="Times New Roman" w:cs="Times New Roman"/>
                <w:sz w:val="20"/>
                <w:szCs w:val="20"/>
              </w:rPr>
              <w:t>emisný stupeň,</w:t>
            </w:r>
          </w:p>
          <w:p w14:paraId="75C6A6D8" w14:textId="77777777" w:rsidR="00B81E84" w:rsidRPr="003549B4" w:rsidRDefault="00B81E84" w:rsidP="00FE4978">
            <w:pPr>
              <w:numPr>
                <w:ilvl w:val="0"/>
                <w:numId w:val="1"/>
              </w:numPr>
              <w:spacing w:after="0" w:line="240" w:lineRule="auto"/>
              <w:ind w:hanging="283"/>
              <w:jc w:val="both"/>
              <w:rPr>
                <w:rFonts w:ascii="Times New Roman" w:hAnsi="Times New Roman" w:cs="Times New Roman"/>
                <w:sz w:val="20"/>
                <w:szCs w:val="20"/>
              </w:rPr>
            </w:pPr>
            <w:r w:rsidRPr="003549B4">
              <w:rPr>
                <w:rFonts w:ascii="Times New Roman" w:hAnsi="Times New Roman" w:cs="Times New Roman"/>
                <w:sz w:val="20"/>
                <w:szCs w:val="20"/>
              </w:rPr>
              <w:t>stupeň odsírenia,</w:t>
            </w:r>
          </w:p>
          <w:p w14:paraId="60FB95E4" w14:textId="77777777" w:rsidR="00B81E84" w:rsidRPr="003549B4" w:rsidRDefault="00B81E84" w:rsidP="00FE4978">
            <w:pPr>
              <w:numPr>
                <w:ilvl w:val="0"/>
                <w:numId w:val="1"/>
              </w:numPr>
              <w:spacing w:after="0" w:line="240" w:lineRule="auto"/>
              <w:ind w:left="284" w:hanging="284"/>
              <w:jc w:val="both"/>
              <w:rPr>
                <w:rFonts w:ascii="Times New Roman" w:hAnsi="Times New Roman" w:cs="Times New Roman"/>
                <w:sz w:val="20"/>
                <w:szCs w:val="20"/>
              </w:rPr>
            </w:pPr>
            <w:r w:rsidRPr="003549B4">
              <w:rPr>
                <w:rFonts w:ascii="Times New Roman" w:hAnsi="Times New Roman" w:cs="Times New Roman"/>
                <w:sz w:val="20"/>
                <w:szCs w:val="20"/>
              </w:rPr>
              <w:t>tmavosť dymu</w:t>
            </w:r>
          </w:p>
          <w:p w14:paraId="2EB23B8C" w14:textId="77777777" w:rsidR="00B81E84" w:rsidRPr="003549B4" w:rsidRDefault="00B81E84" w:rsidP="00FE4978">
            <w:pPr>
              <w:numPr>
                <w:ilvl w:val="0"/>
                <w:numId w:val="1"/>
              </w:numPr>
              <w:spacing w:after="0" w:line="240" w:lineRule="auto"/>
              <w:ind w:left="284" w:hanging="284"/>
              <w:jc w:val="both"/>
              <w:rPr>
                <w:rFonts w:ascii="Times New Roman" w:hAnsi="Times New Roman" w:cs="Times New Roman"/>
                <w:sz w:val="20"/>
                <w:szCs w:val="20"/>
              </w:rPr>
            </w:pPr>
            <w:r w:rsidRPr="003549B4">
              <w:rPr>
                <w:rFonts w:ascii="Times New Roman" w:hAnsi="Times New Roman" w:cs="Times New Roman"/>
                <w:sz w:val="20"/>
                <w:szCs w:val="20"/>
              </w:rPr>
              <w:t>pachová jednotka.</w:t>
            </w:r>
          </w:p>
        </w:tc>
        <w:tc>
          <w:tcPr>
            <w:tcW w:w="429" w:type="dxa"/>
            <w:tcBorders>
              <w:top w:val="single" w:sz="4" w:space="0" w:color="auto"/>
              <w:bottom w:val="single" w:sz="4" w:space="0" w:color="auto"/>
            </w:tcBorders>
            <w:vAlign w:val="center"/>
          </w:tcPr>
          <w:p w14:paraId="06A33D09"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F692736"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4EADAAF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F42840E"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O3</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3549B4" w14:paraId="7E8E46FA" w14:textId="77777777">
              <w:trPr>
                <w:tblCellSpacing w:w="0" w:type="dxa"/>
              </w:trPr>
              <w:tc>
                <w:tcPr>
                  <w:tcW w:w="168" w:type="dxa"/>
                </w:tcPr>
                <w:p w14:paraId="05D0B8FF"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3</w:t>
                  </w:r>
                </w:p>
              </w:tc>
              <w:tc>
                <w:tcPr>
                  <w:tcW w:w="6702" w:type="dxa"/>
                </w:tcPr>
                <w:p w14:paraId="3355D30C"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„oxidy dusíka“ (NO</w:t>
                  </w:r>
                  <w:r w:rsidRPr="003549B4">
                    <w:rPr>
                      <w:rFonts w:ascii="Times New Roman" w:hAnsi="Times New Roman" w:cs="Times New Roman"/>
                      <w:sz w:val="20"/>
                      <w:szCs w:val="20"/>
                      <w:vertAlign w:val="subscript"/>
                      <w:lang w:eastAsia="sk-SK"/>
                    </w:rPr>
                    <w:t>x</w:t>
                  </w:r>
                  <w:r w:rsidRPr="003549B4">
                    <w:rPr>
                      <w:rFonts w:ascii="Times New Roman" w:hAnsi="Times New Roman" w:cs="Times New Roman"/>
                      <w:sz w:val="20"/>
                      <w:szCs w:val="20"/>
                      <w:lang w:eastAsia="sk-SK"/>
                    </w:rPr>
                    <w:t>) sú oxid dusnatý a oxid dusičitý, vyjadrené ako oxid dusičitý (NO</w:t>
                  </w:r>
                  <w:r w:rsidRPr="003549B4">
                    <w:rPr>
                      <w:rFonts w:ascii="Times New Roman" w:hAnsi="Times New Roman" w:cs="Times New Roman"/>
                      <w:sz w:val="20"/>
                      <w:szCs w:val="20"/>
                      <w:vertAlign w:val="subscript"/>
                      <w:lang w:eastAsia="sk-SK"/>
                    </w:rPr>
                    <w:t>2</w:t>
                  </w:r>
                  <w:r w:rsidRPr="003549B4">
                    <w:rPr>
                      <w:rFonts w:ascii="Times New Roman" w:hAnsi="Times New Roman" w:cs="Times New Roman"/>
                      <w:sz w:val="20"/>
                      <w:szCs w:val="20"/>
                      <w:lang w:eastAsia="sk-SK"/>
                    </w:rPr>
                    <w:t>);</w:t>
                  </w:r>
                </w:p>
              </w:tc>
            </w:tr>
          </w:tbl>
          <w:p w14:paraId="3345D9EF" w14:textId="77777777" w:rsidR="00B81E84" w:rsidRPr="003549B4" w:rsidRDefault="00B81E84" w:rsidP="00B81E84">
            <w:pPr>
              <w:spacing w:before="120" w:after="0" w:line="240" w:lineRule="auto"/>
              <w:rPr>
                <w:rFonts w:ascii="Times New Roman" w:hAnsi="Times New Roman" w:cs="Times New Roman"/>
                <w:sz w:val="20"/>
                <w:szCs w:val="20"/>
              </w:rPr>
            </w:pPr>
          </w:p>
        </w:tc>
        <w:tc>
          <w:tcPr>
            <w:tcW w:w="433" w:type="dxa"/>
          </w:tcPr>
          <w:p w14:paraId="19C67C12"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6E9274A3" w14:textId="77777777" w:rsidR="00B81E84" w:rsidRPr="003549B4" w:rsidRDefault="00B81E84"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0391709A"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7D998042" w14:textId="77777777" w:rsidR="00B81E84" w:rsidRPr="003549B4" w:rsidRDefault="007B7110"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Pr.2</w:t>
            </w:r>
          </w:p>
          <w:p w14:paraId="04DA6CA6" w14:textId="77777777" w:rsidR="00B81E84" w:rsidRPr="003549B4" w:rsidRDefault="00B81E84" w:rsidP="00F17024">
            <w:pPr>
              <w:spacing w:before="120" w:after="0" w:line="240" w:lineRule="auto"/>
              <w:ind w:left="14" w:right="-9" w:hanging="29"/>
              <w:rPr>
                <w:rFonts w:ascii="Times New Roman" w:hAnsi="Times New Roman" w:cs="Times New Roman"/>
                <w:sz w:val="20"/>
                <w:szCs w:val="20"/>
              </w:rPr>
            </w:pPr>
          </w:p>
        </w:tc>
        <w:tc>
          <w:tcPr>
            <w:tcW w:w="6006" w:type="dxa"/>
          </w:tcPr>
          <w:p w14:paraId="4A86DBC5" w14:textId="77777777" w:rsidR="007B7110" w:rsidRPr="003549B4" w:rsidRDefault="007B7110" w:rsidP="00412347">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oxidy dusíka (NO</w:t>
            </w:r>
            <w:r w:rsidRPr="003549B4">
              <w:rPr>
                <w:rFonts w:ascii="Times New Roman" w:hAnsi="Times New Roman" w:cs="Times New Roman"/>
                <w:sz w:val="20"/>
                <w:szCs w:val="20"/>
                <w:vertAlign w:val="subscript"/>
              </w:rPr>
              <w:t>x</w:t>
            </w:r>
            <w:r w:rsidRPr="003549B4">
              <w:rPr>
                <w:rFonts w:ascii="Times New Roman" w:hAnsi="Times New Roman" w:cs="Times New Roman"/>
                <w:sz w:val="20"/>
                <w:szCs w:val="20"/>
              </w:rPr>
              <w:t xml:space="preserve">) – oxid dusnatý a oxid dusičitý vyjadrené ako </w:t>
            </w:r>
            <w:r w:rsidR="00412347" w:rsidRPr="003549B4">
              <w:rPr>
                <w:rFonts w:ascii="Times New Roman" w:hAnsi="Times New Roman" w:cs="Times New Roman"/>
                <w:sz w:val="20"/>
                <w:szCs w:val="20"/>
              </w:rPr>
              <w:t xml:space="preserve">oxid </w:t>
            </w:r>
            <w:r w:rsidRPr="003549B4">
              <w:rPr>
                <w:rFonts w:ascii="Times New Roman" w:hAnsi="Times New Roman" w:cs="Times New Roman"/>
                <w:sz w:val="20"/>
                <w:szCs w:val="20"/>
              </w:rPr>
              <w:t>dusičitý (NO</w:t>
            </w:r>
            <w:r w:rsidRPr="003549B4">
              <w:rPr>
                <w:rFonts w:ascii="Times New Roman" w:hAnsi="Times New Roman" w:cs="Times New Roman"/>
                <w:sz w:val="20"/>
                <w:szCs w:val="20"/>
                <w:vertAlign w:val="subscript"/>
              </w:rPr>
              <w:t>2</w:t>
            </w:r>
            <w:r w:rsidRPr="003549B4">
              <w:rPr>
                <w:rFonts w:ascii="Times New Roman" w:hAnsi="Times New Roman" w:cs="Times New Roman"/>
                <w:sz w:val="20"/>
                <w:szCs w:val="20"/>
              </w:rPr>
              <w:t>)</w:t>
            </w:r>
          </w:p>
        </w:tc>
        <w:tc>
          <w:tcPr>
            <w:tcW w:w="429" w:type="dxa"/>
            <w:tcBorders>
              <w:top w:val="single" w:sz="4" w:space="0" w:color="auto"/>
              <w:bottom w:val="single" w:sz="4" w:space="0" w:color="auto"/>
            </w:tcBorders>
            <w:vAlign w:val="center"/>
          </w:tcPr>
          <w:p w14:paraId="32A9E8A3"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B4E8769"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5F434CA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7840404"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O4</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3549B4" w14:paraId="66EFC43F" w14:textId="77777777">
              <w:trPr>
                <w:tblCellSpacing w:w="0" w:type="dxa"/>
              </w:trPr>
              <w:tc>
                <w:tcPr>
                  <w:tcW w:w="168" w:type="dxa"/>
                </w:tcPr>
                <w:p w14:paraId="1E9B0232"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4</w:t>
                  </w:r>
                </w:p>
              </w:tc>
              <w:tc>
                <w:tcPr>
                  <w:tcW w:w="6702" w:type="dxa"/>
                </w:tcPr>
                <w:p w14:paraId="3BAFEBA4" w14:textId="77777777" w:rsidR="00B81E84" w:rsidRPr="003549B4" w:rsidRDefault="00B81E84" w:rsidP="00412347">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„prach“ sú častice akéhokoľvek tvaru, štruktúry alebo hustoty, rozptýlené v plynnej fáze v podmienkach na mieste odberu vzoriek, ktoré sa môžu zachytiť filtráciou za určených podmienok po odbere reprezentatívnych vzoriek analy</w:t>
                  </w:r>
                  <w:r w:rsidR="00412347" w:rsidRPr="003549B4">
                    <w:rPr>
                      <w:rFonts w:ascii="Times New Roman" w:hAnsi="Times New Roman" w:cs="Times New Roman"/>
                      <w:sz w:val="20"/>
                      <w:szCs w:val="20"/>
                      <w:lang w:eastAsia="sk-SK"/>
                    </w:rPr>
                    <w:t>zov</w:t>
                  </w:r>
                  <w:r w:rsidRPr="003549B4">
                    <w:rPr>
                      <w:rFonts w:ascii="Times New Roman" w:hAnsi="Times New Roman" w:cs="Times New Roman"/>
                      <w:sz w:val="20"/>
                      <w:szCs w:val="20"/>
                      <w:lang w:eastAsia="sk-SK"/>
                    </w:rPr>
                    <w:t>aného plynu a ktoré zostávajú pred filtrom a na filtri po vysušení za určených podmienok;</w:t>
                  </w:r>
                </w:p>
              </w:tc>
            </w:tr>
          </w:tbl>
          <w:p w14:paraId="1748A4A4" w14:textId="77777777" w:rsidR="00B81E84" w:rsidRPr="003549B4" w:rsidRDefault="00B81E84" w:rsidP="00B81E84">
            <w:pPr>
              <w:spacing w:before="120" w:after="0" w:line="240" w:lineRule="auto"/>
              <w:rPr>
                <w:rFonts w:ascii="Times New Roman" w:hAnsi="Times New Roman" w:cs="Times New Roman"/>
                <w:sz w:val="20"/>
                <w:szCs w:val="20"/>
              </w:rPr>
            </w:pPr>
          </w:p>
        </w:tc>
        <w:tc>
          <w:tcPr>
            <w:tcW w:w="433" w:type="dxa"/>
          </w:tcPr>
          <w:p w14:paraId="58E0F5CD"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4942AB97" w14:textId="77777777" w:rsidR="00B81E84" w:rsidRPr="003549B4" w:rsidRDefault="00B81E84"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1DBD8BD6" w14:textId="77777777" w:rsidR="00B81E84" w:rsidRPr="003549B4" w:rsidRDefault="00B81E84" w:rsidP="00F17024">
            <w:pPr>
              <w:spacing w:before="120" w:after="0" w:line="240" w:lineRule="auto"/>
              <w:ind w:right="-108"/>
              <w:rPr>
                <w:rFonts w:ascii="Times New Roman" w:hAnsi="Times New Roman" w:cs="Times New Roman"/>
                <w:sz w:val="20"/>
                <w:szCs w:val="20"/>
              </w:rPr>
            </w:pPr>
          </w:p>
          <w:p w14:paraId="0BAA4B44" w14:textId="77777777" w:rsidR="00B81E84" w:rsidRPr="003549B4" w:rsidRDefault="00B81E84" w:rsidP="00F17024">
            <w:pPr>
              <w:spacing w:before="120" w:after="0" w:line="240" w:lineRule="auto"/>
              <w:ind w:right="-108"/>
              <w:rPr>
                <w:rFonts w:ascii="Times New Roman" w:hAnsi="Times New Roman" w:cs="Times New Roman"/>
                <w:sz w:val="20"/>
                <w:szCs w:val="20"/>
              </w:rPr>
            </w:pPr>
          </w:p>
          <w:p w14:paraId="1F161DDC"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2E845691" w14:textId="77777777" w:rsidR="00B81E84" w:rsidRPr="003549B4" w:rsidRDefault="0041234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§5</w:t>
            </w:r>
          </w:p>
          <w:p w14:paraId="25F9C3C1" w14:textId="77777777" w:rsidR="00B81E84" w:rsidRPr="003549B4" w:rsidRDefault="0041234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O3</w:t>
            </w:r>
          </w:p>
          <w:p w14:paraId="79D79D19" w14:textId="77777777" w:rsidR="00B81E84" w:rsidRPr="003549B4" w:rsidRDefault="00B81E84" w:rsidP="00F17024">
            <w:pPr>
              <w:spacing w:before="120" w:after="0" w:line="240" w:lineRule="auto"/>
              <w:ind w:left="14" w:right="-9" w:hanging="29"/>
              <w:rPr>
                <w:rFonts w:ascii="Times New Roman" w:hAnsi="Times New Roman" w:cs="Times New Roman"/>
                <w:sz w:val="20"/>
                <w:szCs w:val="20"/>
              </w:rPr>
            </w:pPr>
          </w:p>
        </w:tc>
        <w:tc>
          <w:tcPr>
            <w:tcW w:w="6006" w:type="dxa"/>
          </w:tcPr>
          <w:p w14:paraId="5FB2CE0D" w14:textId="77777777" w:rsidR="00B81E84" w:rsidRPr="003549B4" w:rsidRDefault="00412347" w:rsidP="00412347">
            <w:pPr>
              <w:spacing w:before="120" w:after="0" w:line="240" w:lineRule="auto"/>
              <w:ind w:left="-15"/>
              <w:rPr>
                <w:rFonts w:ascii="Times New Roman" w:hAnsi="Times New Roman" w:cs="Times New Roman"/>
                <w:sz w:val="20"/>
                <w:szCs w:val="20"/>
              </w:rPr>
            </w:pPr>
            <w:r w:rsidRPr="003549B4">
              <w:rPr>
                <w:rFonts w:ascii="Times New Roman" w:hAnsi="Times New Roman" w:cs="Times New Roman"/>
                <w:sz w:val="20"/>
                <w:szCs w:val="20"/>
              </w:rPr>
              <w:t>(3) Tuhou znečisťujúcou látkou sa rozumejú častice znečisťujúcej látky ľubovoľného tvaru, štruktúry alebo hustoty rozptýlené v plynnej fáze, ktoré sa pri odbere reprezentatívnej vzorky zachytili na vstupnej strane filtra v súlade s požiadavkami príslušných technických noriem za špecifikovaných podmienok odlučovania a následne boli vysušené a zvážené za špecifikovaných podmienok podľa metódy zisťovania.</w:t>
            </w:r>
          </w:p>
        </w:tc>
        <w:tc>
          <w:tcPr>
            <w:tcW w:w="429" w:type="dxa"/>
            <w:tcBorders>
              <w:top w:val="single" w:sz="4" w:space="0" w:color="auto"/>
              <w:bottom w:val="single" w:sz="4" w:space="0" w:color="auto"/>
            </w:tcBorders>
            <w:vAlign w:val="center"/>
          </w:tcPr>
          <w:p w14:paraId="6997C03B"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DB68CC5"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1E16887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3DFF8C9"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O5</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3549B4" w14:paraId="4BEC75AD" w14:textId="77777777">
              <w:trPr>
                <w:tblCellSpacing w:w="0" w:type="dxa"/>
              </w:trPr>
              <w:tc>
                <w:tcPr>
                  <w:tcW w:w="168" w:type="dxa"/>
                </w:tcPr>
                <w:p w14:paraId="3257FC41" w14:textId="77777777" w:rsidR="00B81E84" w:rsidRPr="003549B4" w:rsidRDefault="00412347"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5</w:t>
                  </w:r>
                </w:p>
              </w:tc>
              <w:tc>
                <w:tcPr>
                  <w:tcW w:w="6702" w:type="dxa"/>
                </w:tcPr>
                <w:p w14:paraId="74751D28"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„spaľovacie zariadenie“ je každé technické zariadenie, v ktorom sa oxidujú palivá s cieľom využiť takto vzniknuté teplo;</w:t>
                  </w:r>
                </w:p>
              </w:tc>
            </w:tr>
          </w:tbl>
          <w:p w14:paraId="496B4849" w14:textId="77777777" w:rsidR="00B81E84" w:rsidRPr="003549B4" w:rsidRDefault="00B81E84" w:rsidP="00B81E84">
            <w:pPr>
              <w:spacing w:before="120" w:after="0" w:line="240" w:lineRule="auto"/>
              <w:rPr>
                <w:rFonts w:ascii="Times New Roman" w:hAnsi="Times New Roman" w:cs="Times New Roman"/>
                <w:sz w:val="20"/>
                <w:szCs w:val="20"/>
              </w:rPr>
            </w:pPr>
          </w:p>
        </w:tc>
        <w:tc>
          <w:tcPr>
            <w:tcW w:w="433" w:type="dxa"/>
          </w:tcPr>
          <w:p w14:paraId="33C0FB93"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0D801531" w14:textId="77777777" w:rsidR="00B81E84" w:rsidRPr="003549B4" w:rsidRDefault="00E17FCE"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05B9A3AA" w14:textId="77777777" w:rsidR="00B81E84" w:rsidRPr="003549B4" w:rsidRDefault="00B81E84"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xml:space="preserve">§20 </w:t>
            </w:r>
          </w:p>
          <w:p w14:paraId="3DC86056" w14:textId="77777777" w:rsidR="00B81E84" w:rsidRPr="003549B4" w:rsidRDefault="005F345C"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O6</w:t>
            </w:r>
          </w:p>
        </w:tc>
        <w:tc>
          <w:tcPr>
            <w:tcW w:w="6006" w:type="dxa"/>
          </w:tcPr>
          <w:p w14:paraId="4B24AA31" w14:textId="77777777" w:rsidR="00B81E84" w:rsidRPr="003549B4" w:rsidRDefault="005F345C" w:rsidP="00EF6B3E">
            <w:pPr>
              <w:spacing w:before="120" w:after="0" w:line="240" w:lineRule="auto"/>
              <w:ind w:left="5"/>
              <w:rPr>
                <w:rFonts w:ascii="Times New Roman" w:hAnsi="Times New Roman" w:cs="Times New Roman"/>
                <w:sz w:val="20"/>
                <w:szCs w:val="20"/>
              </w:rPr>
            </w:pPr>
            <w:r w:rsidRPr="003549B4">
              <w:rPr>
                <w:rFonts w:ascii="Times New Roman" w:hAnsi="Times New Roman" w:cs="Times New Roman"/>
                <w:sz w:val="20"/>
                <w:szCs w:val="20"/>
              </w:rPr>
              <w:t>(6</w:t>
            </w:r>
            <w:r w:rsidR="00B81E84" w:rsidRPr="003549B4">
              <w:rPr>
                <w:rFonts w:ascii="Times New Roman" w:hAnsi="Times New Roman" w:cs="Times New Roman"/>
                <w:sz w:val="20"/>
                <w:szCs w:val="20"/>
              </w:rPr>
              <w:t xml:space="preserve">) Spaľovacie zariadenie je technickým zariadením, ktoré slúži na oxidáciu palív na účely využitia takto vzniknutého </w:t>
            </w:r>
            <w:r w:rsidR="00F243E0" w:rsidRPr="003549B4">
              <w:rPr>
                <w:rFonts w:ascii="Times New Roman" w:hAnsi="Times New Roman" w:cs="Times New Roman"/>
                <w:sz w:val="20"/>
                <w:szCs w:val="20"/>
              </w:rPr>
              <w:t>tepla; ak sa spaľuje od</w:t>
            </w:r>
            <w:r w:rsidR="00DD0ACB" w:rsidRPr="003549B4">
              <w:rPr>
                <w:rFonts w:ascii="Times New Roman" w:hAnsi="Times New Roman" w:cs="Times New Roman"/>
                <w:sz w:val="20"/>
                <w:szCs w:val="20"/>
              </w:rPr>
              <w:t>pad ide o zaradenie podľa odsekov</w:t>
            </w:r>
            <w:r w:rsidR="00EF6B3E" w:rsidRPr="003549B4">
              <w:rPr>
                <w:rFonts w:ascii="Times New Roman" w:hAnsi="Times New Roman" w:cs="Times New Roman"/>
                <w:sz w:val="20"/>
                <w:szCs w:val="20"/>
              </w:rPr>
              <w:t xml:space="preserve"> </w:t>
            </w:r>
            <w:r w:rsidR="00DD0ACB" w:rsidRPr="003549B4">
              <w:rPr>
                <w:rFonts w:ascii="Times New Roman" w:hAnsi="Times New Roman" w:cs="Times New Roman"/>
                <w:sz w:val="20"/>
                <w:szCs w:val="20"/>
              </w:rPr>
              <w:t>8 alebo 9.</w:t>
            </w:r>
          </w:p>
        </w:tc>
        <w:tc>
          <w:tcPr>
            <w:tcW w:w="429" w:type="dxa"/>
            <w:tcBorders>
              <w:top w:val="single" w:sz="4" w:space="0" w:color="auto"/>
              <w:bottom w:val="single" w:sz="4" w:space="0" w:color="auto"/>
            </w:tcBorders>
            <w:vAlign w:val="center"/>
          </w:tcPr>
          <w:p w14:paraId="58A209AB"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5B59C63A"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669141E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17F396A"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O6</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3549B4" w14:paraId="07A1C0AD" w14:textId="77777777">
              <w:trPr>
                <w:tblCellSpacing w:w="0" w:type="dxa"/>
              </w:trPr>
              <w:tc>
                <w:tcPr>
                  <w:tcW w:w="168" w:type="dxa"/>
                </w:tcPr>
                <w:p w14:paraId="68CA8A12" w14:textId="77777777" w:rsidR="00B81E84" w:rsidRPr="003549B4" w:rsidRDefault="00412347"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6</w:t>
                  </w:r>
                </w:p>
              </w:tc>
              <w:tc>
                <w:tcPr>
                  <w:tcW w:w="6702" w:type="dxa"/>
                </w:tcPr>
                <w:p w14:paraId="3D1FCA54"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„existujúce spaľovacie zariadenie“ je spaľovacie zariadenie uvedené do prevádzky pred 20. decembrom 2018 alebo zariadenie, pre ktoré bolo vydané povolenie pred 19. decembrom 2017 v súlade s vnútroštátnymi právnymi predpismi pod podmienkou, že zariadenie začne prevádzku najneskôr 20. decembra 2018;</w:t>
                  </w:r>
                </w:p>
              </w:tc>
            </w:tr>
          </w:tbl>
          <w:p w14:paraId="63695D40" w14:textId="77777777" w:rsidR="00B81E84" w:rsidRPr="003549B4" w:rsidRDefault="00B81E84" w:rsidP="00B81E84">
            <w:pPr>
              <w:spacing w:before="120" w:after="0" w:line="240" w:lineRule="auto"/>
              <w:rPr>
                <w:rFonts w:ascii="Times New Roman" w:hAnsi="Times New Roman" w:cs="Times New Roman"/>
                <w:sz w:val="20"/>
                <w:szCs w:val="20"/>
                <w:lang w:eastAsia="sk-SK"/>
              </w:rPr>
            </w:pPr>
          </w:p>
        </w:tc>
        <w:tc>
          <w:tcPr>
            <w:tcW w:w="433" w:type="dxa"/>
          </w:tcPr>
          <w:p w14:paraId="5C2B4720"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03547F87" w14:textId="77777777" w:rsidR="00B81E84" w:rsidRPr="003549B4" w:rsidRDefault="00B81E84"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5BAD1CE8"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1B3AD956" w14:textId="77777777" w:rsidR="00B81E84" w:rsidRPr="003549B4" w:rsidRDefault="0041234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Pr.4</w:t>
            </w:r>
          </w:p>
          <w:p w14:paraId="3BB075AF" w14:textId="77777777" w:rsidR="00B81E84" w:rsidRPr="003549B4" w:rsidRDefault="0041234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Časť IV</w:t>
            </w:r>
          </w:p>
        </w:tc>
        <w:tc>
          <w:tcPr>
            <w:tcW w:w="6006" w:type="dxa"/>
          </w:tcPr>
          <w:p w14:paraId="7B9F9250" w14:textId="77777777" w:rsidR="00412347" w:rsidRPr="003549B4" w:rsidRDefault="00412347" w:rsidP="00412347">
            <w:pPr>
              <w:pStyle w:val="Normln"/>
              <w:tabs>
                <w:tab w:val="left" w:pos="317"/>
              </w:tabs>
              <w:spacing w:before="120"/>
              <w:rPr>
                <w:rFonts w:eastAsia="Calibri"/>
                <w:sz w:val="20"/>
                <w:lang w:val="sk-SK" w:eastAsia="en-US"/>
              </w:rPr>
            </w:pPr>
            <w:r w:rsidRPr="003549B4">
              <w:rPr>
                <w:rFonts w:eastAsia="Calibri"/>
                <w:sz w:val="20"/>
                <w:lang w:val="sk-SK" w:eastAsia="en-US"/>
              </w:rPr>
              <w:t xml:space="preserve">Jestvujúce zariadenie </w:t>
            </w:r>
          </w:p>
          <w:p w14:paraId="33BCFBCD" w14:textId="77777777" w:rsidR="00412347" w:rsidRPr="003549B4" w:rsidRDefault="00412347" w:rsidP="00FE4978">
            <w:pPr>
              <w:pStyle w:val="Normln"/>
              <w:numPr>
                <w:ilvl w:val="0"/>
                <w:numId w:val="2"/>
              </w:numPr>
              <w:ind w:left="317" w:hanging="317"/>
              <w:rPr>
                <w:sz w:val="20"/>
              </w:rPr>
            </w:pPr>
            <w:r w:rsidRPr="003549B4">
              <w:rPr>
                <w:rFonts w:eastAsia="Calibri"/>
                <w:sz w:val="20"/>
                <w:lang w:val="sk-SK" w:eastAsia="en-US"/>
              </w:rPr>
              <w:t>uvedené do prevádzky pred 20. decembrom 2018 alebo</w:t>
            </w:r>
          </w:p>
          <w:p w14:paraId="7414C14F" w14:textId="77777777" w:rsidR="00412347" w:rsidRPr="003549B4" w:rsidRDefault="00412347" w:rsidP="00FE4978">
            <w:pPr>
              <w:pStyle w:val="Normln"/>
              <w:numPr>
                <w:ilvl w:val="0"/>
                <w:numId w:val="2"/>
              </w:numPr>
              <w:ind w:left="317" w:hanging="317"/>
              <w:rPr>
                <w:sz w:val="20"/>
              </w:rPr>
            </w:pPr>
            <w:r w:rsidRPr="003549B4">
              <w:rPr>
                <w:rFonts w:eastAsia="Calibri"/>
                <w:sz w:val="20"/>
                <w:lang w:val="sk-SK" w:eastAsia="en-US"/>
              </w:rPr>
              <w:t>spaľovacie zariadenie, ktoré bolo povolené pred 19. decembrom 2017, ak bolo uvedené do prevádzky najneskôr 20. decembra 2018.</w:t>
            </w:r>
          </w:p>
        </w:tc>
        <w:tc>
          <w:tcPr>
            <w:tcW w:w="429" w:type="dxa"/>
            <w:tcBorders>
              <w:top w:val="single" w:sz="4" w:space="0" w:color="auto"/>
              <w:bottom w:val="single" w:sz="4" w:space="0" w:color="auto"/>
            </w:tcBorders>
            <w:vAlign w:val="center"/>
          </w:tcPr>
          <w:p w14:paraId="5B48EBBC"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178864D7"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7871195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D9A24CA"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O7</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3549B4" w14:paraId="50183EC8" w14:textId="77777777">
              <w:trPr>
                <w:tblCellSpacing w:w="0" w:type="dxa"/>
              </w:trPr>
              <w:tc>
                <w:tcPr>
                  <w:tcW w:w="168" w:type="dxa"/>
                </w:tcPr>
                <w:p w14:paraId="4D824C79"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7</w:t>
                  </w:r>
                </w:p>
              </w:tc>
              <w:tc>
                <w:tcPr>
                  <w:tcW w:w="6702" w:type="dxa"/>
                </w:tcPr>
                <w:p w14:paraId="1ABC97CC"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„nové spaľovacie zariadenie“ je spaľovacie zariadenie iné ako existujúce spaľovacie zariadenie;</w:t>
                  </w:r>
                </w:p>
              </w:tc>
            </w:tr>
          </w:tbl>
          <w:p w14:paraId="4D2D580C" w14:textId="77777777" w:rsidR="00B81E84" w:rsidRPr="003549B4" w:rsidRDefault="00B81E84" w:rsidP="00B81E84">
            <w:pPr>
              <w:spacing w:before="120" w:after="0" w:line="240" w:lineRule="auto"/>
              <w:rPr>
                <w:rFonts w:ascii="Times New Roman" w:hAnsi="Times New Roman" w:cs="Times New Roman"/>
                <w:sz w:val="20"/>
                <w:szCs w:val="20"/>
                <w:lang w:eastAsia="sk-SK"/>
              </w:rPr>
            </w:pPr>
          </w:p>
        </w:tc>
        <w:tc>
          <w:tcPr>
            <w:tcW w:w="433" w:type="dxa"/>
          </w:tcPr>
          <w:p w14:paraId="5F979295"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54DF503E" w14:textId="77777777" w:rsidR="00B81E84" w:rsidRPr="003549B4" w:rsidRDefault="00B81E84"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16164CDE"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708F9B2A" w14:textId="77777777" w:rsidR="00412347" w:rsidRPr="003549B4" w:rsidRDefault="0041234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Pr.4</w:t>
            </w:r>
          </w:p>
          <w:p w14:paraId="50409524" w14:textId="77777777" w:rsidR="00B81E84" w:rsidRPr="003549B4" w:rsidRDefault="00412347" w:rsidP="005F345C">
            <w:pPr>
              <w:spacing w:before="120" w:after="0" w:line="240" w:lineRule="auto"/>
              <w:ind w:left="14" w:right="-108" w:hanging="29"/>
              <w:rPr>
                <w:rFonts w:ascii="Times New Roman" w:hAnsi="Times New Roman" w:cs="Times New Roman"/>
                <w:sz w:val="20"/>
                <w:szCs w:val="20"/>
              </w:rPr>
            </w:pPr>
            <w:r w:rsidRPr="003549B4">
              <w:rPr>
                <w:rFonts w:ascii="Times New Roman" w:hAnsi="Times New Roman" w:cs="Times New Roman"/>
                <w:sz w:val="20"/>
                <w:szCs w:val="20"/>
              </w:rPr>
              <w:t>Časť IV</w:t>
            </w:r>
          </w:p>
        </w:tc>
        <w:tc>
          <w:tcPr>
            <w:tcW w:w="6006" w:type="dxa"/>
          </w:tcPr>
          <w:p w14:paraId="58A65BB8" w14:textId="77777777" w:rsidR="00412347" w:rsidRPr="003549B4" w:rsidRDefault="00412347" w:rsidP="00412347">
            <w:pPr>
              <w:pStyle w:val="Normln"/>
              <w:tabs>
                <w:tab w:val="left" w:pos="317"/>
              </w:tabs>
              <w:spacing w:before="120"/>
              <w:rPr>
                <w:rFonts w:eastAsia="Calibri"/>
                <w:sz w:val="20"/>
                <w:lang w:val="sk-SK" w:eastAsia="en-US"/>
              </w:rPr>
            </w:pPr>
            <w:r w:rsidRPr="003549B4">
              <w:rPr>
                <w:rFonts w:eastAsia="Calibri"/>
                <w:sz w:val="20"/>
                <w:lang w:val="sk-SK" w:eastAsia="en-US"/>
              </w:rPr>
              <w:t>Nové zariadenie</w:t>
            </w:r>
          </w:p>
          <w:p w14:paraId="0119934A" w14:textId="77777777" w:rsidR="00B81E84" w:rsidRPr="003549B4" w:rsidRDefault="00412347" w:rsidP="00412347">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Spaľovacie zariadenie iné ako jestvujúce zariadenie.</w:t>
            </w:r>
          </w:p>
        </w:tc>
        <w:tc>
          <w:tcPr>
            <w:tcW w:w="429" w:type="dxa"/>
            <w:tcBorders>
              <w:top w:val="single" w:sz="4" w:space="0" w:color="auto"/>
              <w:bottom w:val="single" w:sz="4" w:space="0" w:color="auto"/>
            </w:tcBorders>
            <w:vAlign w:val="center"/>
          </w:tcPr>
          <w:p w14:paraId="4D343182"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65C27D6"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232819BD"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5E67F05"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O8</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64"/>
              <w:gridCol w:w="5849"/>
            </w:tblGrid>
            <w:tr w:rsidR="00B81E84" w:rsidRPr="003549B4" w14:paraId="6D633BE2" w14:textId="77777777">
              <w:trPr>
                <w:tblCellSpacing w:w="0" w:type="dxa"/>
              </w:trPr>
              <w:tc>
                <w:tcPr>
                  <w:tcW w:w="185" w:type="dxa"/>
                </w:tcPr>
                <w:p w14:paraId="16A396E5"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8</w:t>
                  </w:r>
                </w:p>
              </w:tc>
              <w:tc>
                <w:tcPr>
                  <w:tcW w:w="6685" w:type="dxa"/>
                </w:tcPr>
                <w:p w14:paraId="1CE08BE3"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„motor“ je plynový motor, naftový motor alebo dvojpalivový motor;</w:t>
                  </w:r>
                </w:p>
              </w:tc>
            </w:tr>
          </w:tbl>
          <w:p w14:paraId="12FD44B1" w14:textId="77777777" w:rsidR="00B81E84" w:rsidRPr="003549B4" w:rsidRDefault="00B81E84" w:rsidP="00B81E84">
            <w:pPr>
              <w:spacing w:before="120" w:after="0" w:line="240" w:lineRule="auto"/>
              <w:rPr>
                <w:rFonts w:ascii="Times New Roman" w:hAnsi="Times New Roman" w:cs="Times New Roman"/>
                <w:sz w:val="20"/>
                <w:szCs w:val="20"/>
                <w:lang w:eastAsia="sk-SK"/>
              </w:rPr>
            </w:pPr>
          </w:p>
        </w:tc>
        <w:tc>
          <w:tcPr>
            <w:tcW w:w="433" w:type="dxa"/>
          </w:tcPr>
          <w:p w14:paraId="1940E9E2"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6A5943B0" w14:textId="77777777" w:rsidR="00B81E84" w:rsidRPr="003549B4" w:rsidRDefault="00B81E84"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7D86A6CD"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31BA0DF2" w14:textId="77777777" w:rsidR="00B81E84" w:rsidRPr="003549B4" w:rsidRDefault="0041234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49B5BFFA" w14:textId="77777777" w:rsidR="00B81E84" w:rsidRPr="003549B4" w:rsidRDefault="00412347"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w:t>
            </w:r>
            <w:r w:rsidR="00D07AB7" w:rsidRPr="003549B4">
              <w:rPr>
                <w:rFonts w:ascii="Times New Roman" w:hAnsi="Times New Roman" w:cs="Times New Roman"/>
                <w:sz w:val="20"/>
                <w:szCs w:val="20"/>
              </w:rPr>
              <w:t>5</w:t>
            </w:r>
          </w:p>
          <w:p w14:paraId="5C92A319" w14:textId="77777777" w:rsidR="00D07AB7" w:rsidRPr="003549B4" w:rsidRDefault="00D07AB7"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w:t>
            </w:r>
          </w:p>
        </w:tc>
        <w:tc>
          <w:tcPr>
            <w:tcW w:w="6006" w:type="dxa"/>
          </w:tcPr>
          <w:p w14:paraId="0087E8A7" w14:textId="77777777" w:rsidR="00D07AB7" w:rsidRPr="003549B4" w:rsidRDefault="00D07AB7" w:rsidP="00C335A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r) motorom zážihový motor, vznetový motor alebo dvojpalivový motor,</w:t>
            </w:r>
          </w:p>
        </w:tc>
        <w:tc>
          <w:tcPr>
            <w:tcW w:w="429" w:type="dxa"/>
            <w:tcBorders>
              <w:top w:val="single" w:sz="4" w:space="0" w:color="auto"/>
              <w:bottom w:val="single" w:sz="4" w:space="0" w:color="auto"/>
            </w:tcBorders>
            <w:vAlign w:val="center"/>
          </w:tcPr>
          <w:p w14:paraId="78F4F7BA"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8D08917"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0CE7D66D"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4702E18"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O9</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149"/>
              <w:gridCol w:w="5864"/>
            </w:tblGrid>
            <w:tr w:rsidR="00B81E84" w:rsidRPr="003549B4" w14:paraId="55D55EBC" w14:textId="77777777">
              <w:trPr>
                <w:tblCellSpacing w:w="0" w:type="dxa"/>
              </w:trPr>
              <w:tc>
                <w:tcPr>
                  <w:tcW w:w="168" w:type="dxa"/>
                </w:tcPr>
                <w:p w14:paraId="6EA51EAA"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9.</w:t>
                  </w:r>
                </w:p>
              </w:tc>
              <w:tc>
                <w:tcPr>
                  <w:tcW w:w="6702" w:type="dxa"/>
                </w:tcPr>
                <w:p w14:paraId="4F9658B1"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„plynový motor“ je spaľovací motor, ktorý pracuje na základe Ottovho cyklu a na spaľovanie paliva používa zážihové zapaľovanie;</w:t>
                  </w:r>
                </w:p>
              </w:tc>
            </w:tr>
          </w:tbl>
          <w:p w14:paraId="75A0235E" w14:textId="77777777" w:rsidR="00B81E84" w:rsidRPr="003549B4" w:rsidRDefault="00B81E84" w:rsidP="00B81E84">
            <w:pPr>
              <w:spacing w:before="120" w:after="0" w:line="240" w:lineRule="auto"/>
              <w:rPr>
                <w:rFonts w:ascii="Times New Roman" w:hAnsi="Times New Roman" w:cs="Times New Roman"/>
                <w:sz w:val="20"/>
                <w:szCs w:val="20"/>
                <w:lang w:eastAsia="sk-SK"/>
              </w:rPr>
            </w:pPr>
          </w:p>
        </w:tc>
        <w:tc>
          <w:tcPr>
            <w:tcW w:w="433" w:type="dxa"/>
          </w:tcPr>
          <w:p w14:paraId="1B79BB85"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281BA639" w14:textId="77777777" w:rsidR="00B81E84" w:rsidRPr="003549B4" w:rsidRDefault="00B81E84"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47C4A86E"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5E7E67FD" w14:textId="77777777" w:rsidR="00D07AB7" w:rsidRPr="003549B4" w:rsidRDefault="00D07AB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3268418F" w14:textId="77777777" w:rsidR="00D07AB7" w:rsidRPr="003549B4" w:rsidRDefault="00D07AB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64A7CCF6" w14:textId="77777777" w:rsidR="00B81E84" w:rsidRPr="003549B4" w:rsidRDefault="00D07AB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Pc)</w:t>
            </w:r>
          </w:p>
        </w:tc>
        <w:tc>
          <w:tcPr>
            <w:tcW w:w="6006" w:type="dxa"/>
          </w:tcPr>
          <w:p w14:paraId="146ED42F" w14:textId="77777777" w:rsidR="00B81E84" w:rsidRPr="003549B4" w:rsidRDefault="00C335A1" w:rsidP="00C335A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c) </w:t>
            </w:r>
            <w:r w:rsidR="00D07AB7" w:rsidRPr="003549B4">
              <w:rPr>
                <w:rFonts w:ascii="Times New Roman" w:hAnsi="Times New Roman" w:cs="Times New Roman"/>
                <w:sz w:val="20"/>
                <w:szCs w:val="20"/>
              </w:rPr>
              <w:t>zážihovým motorom spaľovací motor, ktorý pracuje na základe Ottovho cyklu, t. j. v ktorom dochádza k zapáleniu palivovej zmesi elektrickou iskrou alebo v prípade dvojpalivových motorov kompresným zapaľovaním,</w:t>
            </w:r>
          </w:p>
        </w:tc>
        <w:tc>
          <w:tcPr>
            <w:tcW w:w="429" w:type="dxa"/>
            <w:tcBorders>
              <w:top w:val="single" w:sz="4" w:space="0" w:color="auto"/>
              <w:bottom w:val="single" w:sz="4" w:space="0" w:color="auto"/>
            </w:tcBorders>
            <w:vAlign w:val="center"/>
          </w:tcPr>
          <w:p w14:paraId="7ACEC83E"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9E4E310"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7CA70E4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519BF82"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O10</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B81E84" w:rsidRPr="003549B4" w14:paraId="2EC2527E" w14:textId="77777777">
              <w:trPr>
                <w:tblCellSpacing w:w="0" w:type="dxa"/>
              </w:trPr>
              <w:tc>
                <w:tcPr>
                  <w:tcW w:w="279" w:type="dxa"/>
                </w:tcPr>
                <w:p w14:paraId="37D4A2A3"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10.</w:t>
                  </w:r>
                </w:p>
              </w:tc>
              <w:tc>
                <w:tcPr>
                  <w:tcW w:w="6591" w:type="dxa"/>
                </w:tcPr>
                <w:p w14:paraId="73701AD5"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„naftový motor“ je spaľovací motor, ktorý pracuje na základe Dieselovho cyklu a na spaľovanie paliva používa kompresné zapaľovanie;</w:t>
                  </w:r>
                </w:p>
              </w:tc>
            </w:tr>
          </w:tbl>
          <w:p w14:paraId="6FE38203" w14:textId="77777777" w:rsidR="00B81E84" w:rsidRPr="003549B4" w:rsidRDefault="00B81E84" w:rsidP="00B81E84">
            <w:pPr>
              <w:spacing w:before="120" w:after="0" w:line="240" w:lineRule="auto"/>
              <w:rPr>
                <w:rFonts w:ascii="Times New Roman" w:hAnsi="Times New Roman" w:cs="Times New Roman"/>
                <w:sz w:val="20"/>
                <w:szCs w:val="20"/>
                <w:lang w:eastAsia="sk-SK"/>
              </w:rPr>
            </w:pPr>
          </w:p>
        </w:tc>
        <w:tc>
          <w:tcPr>
            <w:tcW w:w="433" w:type="dxa"/>
          </w:tcPr>
          <w:p w14:paraId="05FFAFEB"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3D0C838B" w14:textId="77777777" w:rsidR="00B81E84" w:rsidRPr="003549B4" w:rsidRDefault="00B81E84"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241F35AD"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5C5B00F1" w14:textId="77777777" w:rsidR="00D07AB7" w:rsidRPr="003549B4" w:rsidRDefault="00D07AB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2A400840" w14:textId="77777777" w:rsidR="00D07AB7" w:rsidRPr="003549B4" w:rsidRDefault="00D07AB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75894BE6" w14:textId="77777777" w:rsidR="00B81E84" w:rsidRPr="003549B4" w:rsidRDefault="00D07AB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Pd)</w:t>
            </w:r>
          </w:p>
        </w:tc>
        <w:tc>
          <w:tcPr>
            <w:tcW w:w="6006" w:type="dxa"/>
          </w:tcPr>
          <w:p w14:paraId="2F31AFCA" w14:textId="77777777" w:rsidR="00B81E84" w:rsidRPr="003549B4" w:rsidRDefault="00C335A1" w:rsidP="00C335A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d) </w:t>
            </w:r>
            <w:r w:rsidR="00D07AB7" w:rsidRPr="003549B4">
              <w:rPr>
                <w:rFonts w:ascii="Times New Roman" w:hAnsi="Times New Roman" w:cs="Times New Roman"/>
                <w:sz w:val="20"/>
                <w:szCs w:val="20"/>
              </w:rPr>
              <w:t>vznetovým motorom spaľovací motor, ktorý pracuje na základe Dieselovho cyklu,t.j. v ktorom sa vstreknuté palivo samovoľne vznecuje vo vzduchu ohriatom kompresným teplom po predchádzajúcom stlačení nad teplotu vznietenia,</w:t>
            </w:r>
          </w:p>
        </w:tc>
        <w:tc>
          <w:tcPr>
            <w:tcW w:w="429" w:type="dxa"/>
            <w:tcBorders>
              <w:top w:val="single" w:sz="4" w:space="0" w:color="auto"/>
              <w:bottom w:val="single" w:sz="4" w:space="0" w:color="auto"/>
            </w:tcBorders>
            <w:vAlign w:val="center"/>
          </w:tcPr>
          <w:p w14:paraId="2031AE54"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CF98D1B"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1E4ADA6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FDCF42C"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O11</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B81E84" w:rsidRPr="003549B4" w14:paraId="34E1B7C8" w14:textId="77777777">
              <w:trPr>
                <w:tblCellSpacing w:w="0" w:type="dxa"/>
              </w:trPr>
              <w:tc>
                <w:tcPr>
                  <w:tcW w:w="279" w:type="dxa"/>
                </w:tcPr>
                <w:p w14:paraId="4A8FFF0B"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11.</w:t>
                  </w:r>
                </w:p>
              </w:tc>
              <w:tc>
                <w:tcPr>
                  <w:tcW w:w="6591" w:type="dxa"/>
                </w:tcPr>
                <w:p w14:paraId="113838A4"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„dvojpalivový motor“ je spaľovací motor, ktorý používa vznetové zapaľovanie a pri spaľovaní kvapalných palív pracuje na základe Dieselovho cyklu a pri spaľovaní plynných palív pracuje na základe Ottovho cyklu;</w:t>
                  </w:r>
                </w:p>
              </w:tc>
            </w:tr>
          </w:tbl>
          <w:p w14:paraId="52544314" w14:textId="77777777" w:rsidR="00B81E84" w:rsidRPr="003549B4" w:rsidRDefault="00B81E84" w:rsidP="00B81E84">
            <w:pPr>
              <w:spacing w:before="120" w:after="0" w:line="240" w:lineRule="auto"/>
              <w:rPr>
                <w:rFonts w:ascii="Times New Roman" w:hAnsi="Times New Roman" w:cs="Times New Roman"/>
                <w:sz w:val="20"/>
                <w:szCs w:val="20"/>
                <w:lang w:eastAsia="sk-SK"/>
              </w:rPr>
            </w:pPr>
          </w:p>
        </w:tc>
        <w:tc>
          <w:tcPr>
            <w:tcW w:w="433" w:type="dxa"/>
          </w:tcPr>
          <w:p w14:paraId="059E44CA"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23C1A9CA" w14:textId="77777777" w:rsidR="00B81E84" w:rsidRPr="003549B4" w:rsidRDefault="00B81E84"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579B6AE5"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0060BC18" w14:textId="77777777" w:rsidR="00D07AB7" w:rsidRPr="003549B4" w:rsidRDefault="00D07AB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1A1CA396" w14:textId="77777777" w:rsidR="00D07AB7" w:rsidRPr="003549B4" w:rsidRDefault="00D07AB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57BC742E" w14:textId="77777777" w:rsidR="00B81E84" w:rsidRPr="003549B4" w:rsidRDefault="00D07AB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Ps)</w:t>
            </w:r>
          </w:p>
        </w:tc>
        <w:tc>
          <w:tcPr>
            <w:tcW w:w="6006" w:type="dxa"/>
          </w:tcPr>
          <w:p w14:paraId="73C1E3E1" w14:textId="77777777" w:rsidR="00B81E84" w:rsidRPr="003549B4" w:rsidRDefault="00C335A1" w:rsidP="00C335A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s) </w:t>
            </w:r>
            <w:r w:rsidR="00D07AB7" w:rsidRPr="003549B4">
              <w:rPr>
                <w:rFonts w:ascii="Times New Roman" w:hAnsi="Times New Roman" w:cs="Times New Roman"/>
                <w:sz w:val="20"/>
                <w:szCs w:val="20"/>
              </w:rPr>
              <w:t>dvojpalivovým motorom spaľovací motor, ktorý používa vznetové zapaľovanie a pri spaľovaní kvapalných palív pracuje na základe Dieselovho cyklu a pri spaľovaní plynných palív pracuje na základe Ottovho cyklu.</w:t>
            </w:r>
          </w:p>
        </w:tc>
        <w:tc>
          <w:tcPr>
            <w:tcW w:w="429" w:type="dxa"/>
            <w:tcBorders>
              <w:top w:val="single" w:sz="4" w:space="0" w:color="auto"/>
              <w:bottom w:val="single" w:sz="4" w:space="0" w:color="auto"/>
            </w:tcBorders>
            <w:vAlign w:val="center"/>
          </w:tcPr>
          <w:p w14:paraId="7050129D"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AE7162F"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1195684D"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8A84B6C"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O12</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B81E84" w:rsidRPr="003549B4" w14:paraId="4B63CDAC" w14:textId="77777777">
              <w:trPr>
                <w:tblCellSpacing w:w="0" w:type="dxa"/>
              </w:trPr>
              <w:tc>
                <w:tcPr>
                  <w:tcW w:w="279" w:type="dxa"/>
                </w:tcPr>
                <w:p w14:paraId="2B625111"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12.</w:t>
                  </w:r>
                </w:p>
              </w:tc>
              <w:tc>
                <w:tcPr>
                  <w:tcW w:w="6591" w:type="dxa"/>
                </w:tcPr>
                <w:p w14:paraId="75CCC30D" w14:textId="77777777" w:rsidR="00B81E84" w:rsidRPr="003549B4" w:rsidRDefault="00B81E84" w:rsidP="00B81E84">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„plynová turbína“ je každý rotujúci stroj, ktorý premieňa tepelnú energiu na mechanickú prácu, pozostávajúci najmä z kompresora, tepelného zariadenia, v ktorom sa oxidujú palivá na ohrev pracovného média, a turbíny vrátane plynových turbín s otvoreným, ako aj </w:t>
                  </w:r>
                  <w:r w:rsidRPr="003549B4">
                    <w:rPr>
                      <w:rFonts w:ascii="Times New Roman" w:hAnsi="Times New Roman" w:cs="Times New Roman"/>
                      <w:sz w:val="20"/>
                      <w:szCs w:val="20"/>
                      <w:lang w:eastAsia="sk-SK"/>
                    </w:rPr>
                    <w:lastRenderedPageBreak/>
                    <w:t>kombinovaným cyklom, a plynové turbíny v režime kombinovanej výroby, a to všetky typy, či už s dodatočným spaľovaním alebo bez neho;</w:t>
                  </w:r>
                </w:p>
              </w:tc>
            </w:tr>
          </w:tbl>
          <w:p w14:paraId="4ED61461" w14:textId="77777777" w:rsidR="00B81E84" w:rsidRPr="003549B4" w:rsidRDefault="00B81E84" w:rsidP="00B81E84">
            <w:pPr>
              <w:spacing w:before="120" w:after="0" w:line="240" w:lineRule="auto"/>
              <w:rPr>
                <w:rFonts w:ascii="Times New Roman" w:hAnsi="Times New Roman" w:cs="Times New Roman"/>
                <w:sz w:val="20"/>
                <w:szCs w:val="20"/>
                <w:lang w:eastAsia="sk-SK"/>
              </w:rPr>
            </w:pPr>
          </w:p>
        </w:tc>
        <w:tc>
          <w:tcPr>
            <w:tcW w:w="433" w:type="dxa"/>
          </w:tcPr>
          <w:p w14:paraId="05D89F5D" w14:textId="77777777" w:rsidR="00B81E84" w:rsidRPr="003549B4" w:rsidRDefault="00B81E84" w:rsidP="00B81E84">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w:t>
            </w:r>
          </w:p>
        </w:tc>
        <w:tc>
          <w:tcPr>
            <w:tcW w:w="572" w:type="dxa"/>
          </w:tcPr>
          <w:p w14:paraId="62666942" w14:textId="77777777" w:rsidR="00B81E84" w:rsidRPr="003549B4" w:rsidRDefault="00B81E84"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0DE0E4D8"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07B7DA1C" w14:textId="77777777" w:rsidR="00C335A1" w:rsidRPr="003549B4" w:rsidRDefault="00C335A1"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33371B05" w14:textId="77777777" w:rsidR="00C335A1" w:rsidRPr="003549B4" w:rsidRDefault="00C335A1"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64146728" w14:textId="77777777" w:rsidR="00B81E84" w:rsidRPr="003549B4" w:rsidRDefault="00C335A1"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Pb)</w:t>
            </w:r>
          </w:p>
          <w:p w14:paraId="7DC64949" w14:textId="77777777" w:rsidR="00B81E84" w:rsidRPr="003549B4" w:rsidRDefault="00B81E84" w:rsidP="00F17024">
            <w:pPr>
              <w:spacing w:before="120" w:after="0" w:line="240" w:lineRule="auto"/>
              <w:ind w:left="14" w:right="-9" w:hanging="29"/>
              <w:rPr>
                <w:rFonts w:ascii="Times New Roman" w:hAnsi="Times New Roman" w:cs="Times New Roman"/>
                <w:sz w:val="20"/>
                <w:szCs w:val="20"/>
              </w:rPr>
            </w:pPr>
          </w:p>
        </w:tc>
        <w:tc>
          <w:tcPr>
            <w:tcW w:w="6006" w:type="dxa"/>
          </w:tcPr>
          <w:p w14:paraId="3AF67AF8" w14:textId="77777777" w:rsidR="00B81E84" w:rsidRPr="003549B4" w:rsidRDefault="00C335A1" w:rsidP="00C335A1">
            <w:pPr>
              <w:spacing w:after="0" w:line="240" w:lineRule="auto"/>
              <w:rPr>
                <w:rFonts w:ascii="Times New Roman" w:hAnsi="Times New Roman" w:cs="Times New Roman"/>
                <w:noProof/>
                <w:sz w:val="20"/>
                <w:szCs w:val="20"/>
              </w:rPr>
            </w:pPr>
            <w:r w:rsidRPr="003549B4">
              <w:rPr>
                <w:rFonts w:ascii="Times New Roman" w:hAnsi="Times New Roman" w:cs="Times New Roman"/>
                <w:sz w:val="20"/>
                <w:szCs w:val="20"/>
              </w:rPr>
              <w:lastRenderedPageBreak/>
              <w:t xml:space="preserve">b) plynovou turbínou rotujúci stroj, ktorý premieňa tepelnú energiu na mechanickú prácu; jej hlavnými strojnotechnologickými prvkami sú kompresor, spaľovacia komora, v ktorej sa palivo spaľuje na ohrev pracovného média, a turbína, vrátane plynových turbín s otvoreným cyklom, ako aj kombinovaným cyklom a plynových turbín v režime </w:t>
            </w:r>
            <w:r w:rsidRPr="003549B4">
              <w:rPr>
                <w:rFonts w:ascii="Times New Roman" w:hAnsi="Times New Roman" w:cs="Times New Roman"/>
                <w:sz w:val="20"/>
                <w:szCs w:val="20"/>
              </w:rPr>
              <w:lastRenderedPageBreak/>
              <w:t>kombinovanej výroby, a to všetky typy, či už s dodatočným spaľovaním, alebo bez neho,</w:t>
            </w:r>
          </w:p>
        </w:tc>
        <w:tc>
          <w:tcPr>
            <w:tcW w:w="429" w:type="dxa"/>
            <w:tcBorders>
              <w:top w:val="single" w:sz="4" w:space="0" w:color="auto"/>
              <w:bottom w:val="single" w:sz="4" w:space="0" w:color="auto"/>
            </w:tcBorders>
            <w:vAlign w:val="center"/>
          </w:tcPr>
          <w:p w14:paraId="1CD842E7"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2F8B6459"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24CB487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BCF0DC4"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O13</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B81E84" w:rsidRPr="003549B4" w14:paraId="3D59F55B" w14:textId="77777777">
              <w:trPr>
                <w:tblCellSpacing w:w="0" w:type="dxa"/>
              </w:trPr>
              <w:tc>
                <w:tcPr>
                  <w:tcW w:w="279" w:type="dxa"/>
                </w:tcPr>
                <w:p w14:paraId="414FF018" w14:textId="77777777" w:rsidR="00B81E84" w:rsidRPr="003549B4" w:rsidRDefault="00B81E84" w:rsidP="00CC23D7">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13.</w:t>
                  </w:r>
                </w:p>
              </w:tc>
              <w:tc>
                <w:tcPr>
                  <w:tcW w:w="6591" w:type="dxa"/>
                </w:tcPr>
                <w:p w14:paraId="32BAA508" w14:textId="77777777" w:rsidR="00B81E84" w:rsidRPr="003549B4" w:rsidRDefault="00B81E84" w:rsidP="00CC23D7">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„malá izolovaná sústava“ (SIS – small</w:t>
                  </w:r>
                  <w:r w:rsidR="00A462AA" w:rsidRPr="003549B4">
                    <w:rPr>
                      <w:rFonts w:ascii="Times New Roman" w:hAnsi="Times New Roman" w:cs="Times New Roman"/>
                      <w:sz w:val="20"/>
                      <w:szCs w:val="20"/>
                      <w:lang w:eastAsia="sk-SK"/>
                    </w:rPr>
                    <w:t xml:space="preserve"> </w:t>
                  </w:r>
                  <w:r w:rsidRPr="003549B4">
                    <w:rPr>
                      <w:rFonts w:ascii="Times New Roman" w:hAnsi="Times New Roman" w:cs="Times New Roman"/>
                      <w:sz w:val="20"/>
                      <w:szCs w:val="20"/>
                      <w:lang w:eastAsia="sk-SK"/>
                    </w:rPr>
                    <w:t>isolated</w:t>
                  </w:r>
                  <w:r w:rsidR="00A462AA" w:rsidRPr="003549B4">
                    <w:rPr>
                      <w:rFonts w:ascii="Times New Roman" w:hAnsi="Times New Roman" w:cs="Times New Roman"/>
                      <w:sz w:val="20"/>
                      <w:szCs w:val="20"/>
                      <w:lang w:eastAsia="sk-SK"/>
                    </w:rPr>
                    <w:t xml:space="preserve"> </w:t>
                  </w:r>
                  <w:r w:rsidRPr="003549B4">
                    <w:rPr>
                      <w:rFonts w:ascii="Times New Roman" w:hAnsi="Times New Roman" w:cs="Times New Roman"/>
                      <w:sz w:val="20"/>
                      <w:szCs w:val="20"/>
                      <w:lang w:eastAsia="sk-SK"/>
                    </w:rPr>
                    <w:t>system) je malá izolovaná sústava v zmysle článku 2 bodu 26 smernice Európskeho parlamentu a Rady 2009/72/ES</w:t>
                  </w:r>
                  <w:hyperlink r:id="rId13" w:anchor="ntr14-L_2015313SK.01000101-E0014" w:history="1">
                    <w:r w:rsidRPr="003549B4">
                      <w:rPr>
                        <w:rFonts w:ascii="Times New Roman" w:hAnsi="Times New Roman" w:cs="Times New Roman"/>
                        <w:sz w:val="20"/>
                        <w:szCs w:val="20"/>
                        <w:u w:val="single"/>
                        <w:lang w:eastAsia="sk-SK"/>
                      </w:rPr>
                      <w:t xml:space="preserve"> (</w:t>
                    </w:r>
                    <w:r w:rsidRPr="003549B4">
                      <w:rPr>
                        <w:rFonts w:ascii="Times New Roman" w:hAnsi="Times New Roman" w:cs="Times New Roman"/>
                        <w:sz w:val="20"/>
                        <w:szCs w:val="20"/>
                        <w:u w:val="single"/>
                        <w:vertAlign w:val="superscript"/>
                        <w:lang w:eastAsia="sk-SK"/>
                      </w:rPr>
                      <w:t>14</w:t>
                    </w:r>
                    <w:r w:rsidRPr="003549B4">
                      <w:rPr>
                        <w:rFonts w:ascii="Times New Roman" w:hAnsi="Times New Roman" w:cs="Times New Roman"/>
                        <w:sz w:val="20"/>
                        <w:szCs w:val="20"/>
                        <w:u w:val="single"/>
                        <w:lang w:eastAsia="sk-SK"/>
                      </w:rPr>
                      <w:t>)</w:t>
                    </w:r>
                  </w:hyperlink>
                  <w:r w:rsidRPr="003549B4">
                    <w:rPr>
                      <w:rFonts w:ascii="Times New Roman" w:hAnsi="Times New Roman" w:cs="Times New Roman"/>
                      <w:sz w:val="20"/>
                      <w:szCs w:val="20"/>
                      <w:lang w:eastAsia="sk-SK"/>
                    </w:rPr>
                    <w:t>;</w:t>
                  </w:r>
                </w:p>
              </w:tc>
            </w:tr>
          </w:tbl>
          <w:p w14:paraId="3F26688B" w14:textId="77777777" w:rsidR="00B81E84" w:rsidRPr="003549B4" w:rsidRDefault="00B81E84" w:rsidP="00CC23D7">
            <w:pPr>
              <w:spacing w:before="120" w:after="0" w:line="240" w:lineRule="auto"/>
              <w:rPr>
                <w:rFonts w:ascii="Times New Roman" w:hAnsi="Times New Roman" w:cs="Times New Roman"/>
                <w:sz w:val="20"/>
                <w:szCs w:val="20"/>
                <w:lang w:eastAsia="sk-SK"/>
              </w:rPr>
            </w:pPr>
          </w:p>
        </w:tc>
        <w:tc>
          <w:tcPr>
            <w:tcW w:w="433" w:type="dxa"/>
          </w:tcPr>
          <w:p w14:paraId="3F857716" w14:textId="77777777" w:rsidR="00B81E84" w:rsidRPr="003549B4" w:rsidRDefault="00B81E84" w:rsidP="00CC23D7">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D</w:t>
            </w:r>
          </w:p>
        </w:tc>
        <w:tc>
          <w:tcPr>
            <w:tcW w:w="572" w:type="dxa"/>
          </w:tcPr>
          <w:p w14:paraId="7E36519E"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04E6174F" w14:textId="77777777" w:rsidR="00B81E84" w:rsidRPr="003549B4" w:rsidRDefault="00B81E84" w:rsidP="00F17024">
            <w:pPr>
              <w:spacing w:before="120" w:after="0" w:line="240" w:lineRule="auto"/>
              <w:ind w:left="14" w:right="-9" w:hanging="29"/>
              <w:rPr>
                <w:rFonts w:ascii="Times New Roman" w:hAnsi="Times New Roman" w:cs="Times New Roman"/>
                <w:sz w:val="20"/>
                <w:szCs w:val="20"/>
              </w:rPr>
            </w:pPr>
          </w:p>
        </w:tc>
        <w:tc>
          <w:tcPr>
            <w:tcW w:w="6006" w:type="dxa"/>
            <w:vAlign w:val="center"/>
          </w:tcPr>
          <w:p w14:paraId="0A18DD63" w14:textId="77777777" w:rsidR="00B81E84" w:rsidRPr="003549B4" w:rsidRDefault="00B81E84" w:rsidP="00CC23D7">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w:t>
            </w:r>
          </w:p>
        </w:tc>
        <w:tc>
          <w:tcPr>
            <w:tcW w:w="429" w:type="dxa"/>
            <w:tcBorders>
              <w:top w:val="single" w:sz="4" w:space="0" w:color="auto"/>
              <w:bottom w:val="single" w:sz="4" w:space="0" w:color="auto"/>
            </w:tcBorders>
            <w:vAlign w:val="center"/>
          </w:tcPr>
          <w:p w14:paraId="76F1CE77" w14:textId="77777777" w:rsidR="00B81E84" w:rsidRPr="003549B4" w:rsidRDefault="00383ACF"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358AB194"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3AE422A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5A7E4EF"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O14</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B81E84" w:rsidRPr="003549B4" w14:paraId="30767477" w14:textId="77777777">
              <w:trPr>
                <w:tblCellSpacing w:w="0" w:type="dxa"/>
              </w:trPr>
              <w:tc>
                <w:tcPr>
                  <w:tcW w:w="279" w:type="dxa"/>
                </w:tcPr>
                <w:p w14:paraId="35066749" w14:textId="77777777" w:rsidR="00B81E84" w:rsidRPr="003549B4" w:rsidRDefault="00B81E84" w:rsidP="00CC23D7">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14</w:t>
                  </w:r>
                </w:p>
              </w:tc>
              <w:tc>
                <w:tcPr>
                  <w:tcW w:w="6591" w:type="dxa"/>
                </w:tcPr>
                <w:p w14:paraId="51B539C7" w14:textId="77777777" w:rsidR="00B81E84" w:rsidRPr="003549B4" w:rsidRDefault="00B81E84" w:rsidP="00CC23D7">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„izolovaná mikrosústava“ (MIS – micro</w:t>
                  </w:r>
                  <w:r w:rsidR="00A462AA" w:rsidRPr="003549B4">
                    <w:rPr>
                      <w:rFonts w:ascii="Times New Roman" w:hAnsi="Times New Roman" w:cs="Times New Roman"/>
                      <w:sz w:val="20"/>
                      <w:szCs w:val="20"/>
                      <w:lang w:eastAsia="sk-SK"/>
                    </w:rPr>
                    <w:t xml:space="preserve"> </w:t>
                  </w:r>
                  <w:r w:rsidRPr="003549B4">
                    <w:rPr>
                      <w:rFonts w:ascii="Times New Roman" w:hAnsi="Times New Roman" w:cs="Times New Roman"/>
                      <w:sz w:val="20"/>
                      <w:szCs w:val="20"/>
                      <w:lang w:eastAsia="sk-SK"/>
                    </w:rPr>
                    <w:t>isolated</w:t>
                  </w:r>
                  <w:r w:rsidR="00A462AA" w:rsidRPr="003549B4">
                    <w:rPr>
                      <w:rFonts w:ascii="Times New Roman" w:hAnsi="Times New Roman" w:cs="Times New Roman"/>
                      <w:sz w:val="20"/>
                      <w:szCs w:val="20"/>
                      <w:lang w:eastAsia="sk-SK"/>
                    </w:rPr>
                    <w:t xml:space="preserve"> </w:t>
                  </w:r>
                  <w:r w:rsidRPr="003549B4">
                    <w:rPr>
                      <w:rFonts w:ascii="Times New Roman" w:hAnsi="Times New Roman" w:cs="Times New Roman"/>
                      <w:sz w:val="20"/>
                      <w:szCs w:val="20"/>
                      <w:lang w:eastAsia="sk-SK"/>
                    </w:rPr>
                    <w:t>system) je mikrosústava v zmysle článku 2 bodu 27 smernice 2009/72/ES;</w:t>
                  </w:r>
                </w:p>
              </w:tc>
            </w:tr>
          </w:tbl>
          <w:p w14:paraId="4B5EC5A8" w14:textId="77777777" w:rsidR="00B81E84" w:rsidRPr="003549B4" w:rsidRDefault="00B81E84" w:rsidP="00CC23D7">
            <w:pPr>
              <w:spacing w:before="120" w:after="0" w:line="240" w:lineRule="auto"/>
              <w:rPr>
                <w:rFonts w:ascii="Times New Roman" w:hAnsi="Times New Roman" w:cs="Times New Roman"/>
                <w:sz w:val="20"/>
                <w:szCs w:val="20"/>
                <w:lang w:eastAsia="sk-SK"/>
              </w:rPr>
            </w:pPr>
          </w:p>
        </w:tc>
        <w:tc>
          <w:tcPr>
            <w:tcW w:w="433" w:type="dxa"/>
          </w:tcPr>
          <w:p w14:paraId="0DD1A25D" w14:textId="77777777" w:rsidR="00B81E84" w:rsidRPr="003549B4" w:rsidRDefault="00B81E84" w:rsidP="00CC23D7">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D</w:t>
            </w:r>
          </w:p>
        </w:tc>
        <w:tc>
          <w:tcPr>
            <w:tcW w:w="572" w:type="dxa"/>
          </w:tcPr>
          <w:p w14:paraId="3E4E8594" w14:textId="77777777" w:rsidR="00B81E84" w:rsidRPr="003549B4" w:rsidRDefault="00B81E84" w:rsidP="00F17024">
            <w:pPr>
              <w:spacing w:before="120" w:after="0" w:line="240" w:lineRule="auto"/>
              <w:ind w:right="-108"/>
              <w:rPr>
                <w:rFonts w:ascii="Times New Roman" w:hAnsi="Times New Roman" w:cs="Times New Roman"/>
                <w:sz w:val="20"/>
                <w:szCs w:val="20"/>
              </w:rPr>
            </w:pPr>
          </w:p>
        </w:tc>
        <w:tc>
          <w:tcPr>
            <w:tcW w:w="569" w:type="dxa"/>
          </w:tcPr>
          <w:p w14:paraId="656756A8" w14:textId="77777777" w:rsidR="00B81E84" w:rsidRPr="003549B4" w:rsidRDefault="00B81E84" w:rsidP="00F17024">
            <w:pPr>
              <w:spacing w:before="120" w:after="0" w:line="240" w:lineRule="auto"/>
              <w:ind w:left="14" w:right="-9" w:hanging="29"/>
              <w:rPr>
                <w:rFonts w:ascii="Times New Roman" w:hAnsi="Times New Roman" w:cs="Times New Roman"/>
                <w:sz w:val="20"/>
                <w:szCs w:val="20"/>
              </w:rPr>
            </w:pPr>
          </w:p>
        </w:tc>
        <w:tc>
          <w:tcPr>
            <w:tcW w:w="6006" w:type="dxa"/>
            <w:vAlign w:val="center"/>
          </w:tcPr>
          <w:p w14:paraId="48744758" w14:textId="77777777" w:rsidR="00B81E84" w:rsidRPr="003549B4" w:rsidRDefault="00B81E84" w:rsidP="00CC23D7">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w:t>
            </w:r>
          </w:p>
        </w:tc>
        <w:tc>
          <w:tcPr>
            <w:tcW w:w="429" w:type="dxa"/>
            <w:tcBorders>
              <w:top w:val="single" w:sz="4" w:space="0" w:color="auto"/>
              <w:bottom w:val="single" w:sz="4" w:space="0" w:color="auto"/>
            </w:tcBorders>
            <w:vAlign w:val="center"/>
          </w:tcPr>
          <w:p w14:paraId="2FE1CC6B" w14:textId="77777777" w:rsidR="00B81E84" w:rsidRPr="003549B4" w:rsidRDefault="00383ACF"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46BE95C"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537AE96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D1204EF" w14:textId="77777777" w:rsidR="00B81E84" w:rsidRPr="003549B4" w:rsidRDefault="00B81E84"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O15</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70"/>
              <w:gridCol w:w="5743"/>
            </w:tblGrid>
            <w:tr w:rsidR="00B81E84" w:rsidRPr="003549B4" w14:paraId="003FEF2A" w14:textId="77777777">
              <w:trPr>
                <w:tblCellSpacing w:w="0" w:type="dxa"/>
              </w:trPr>
              <w:tc>
                <w:tcPr>
                  <w:tcW w:w="306" w:type="dxa"/>
                </w:tcPr>
                <w:p w14:paraId="17541B5F" w14:textId="77777777" w:rsidR="00B81E84" w:rsidRPr="003549B4" w:rsidRDefault="00B81E84" w:rsidP="00CC23D7">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15</w:t>
                  </w:r>
                </w:p>
              </w:tc>
              <w:tc>
                <w:tcPr>
                  <w:tcW w:w="6564" w:type="dxa"/>
                </w:tcPr>
                <w:p w14:paraId="10AAB720" w14:textId="77777777" w:rsidR="00B81E84" w:rsidRPr="003549B4" w:rsidRDefault="00B81E84" w:rsidP="00CC23D7">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„palivo“ je akýkoľvek tuhý, kvapalný alebo plynný horľavý materiál;</w:t>
                  </w:r>
                </w:p>
              </w:tc>
            </w:tr>
          </w:tbl>
          <w:p w14:paraId="2FC6DC00" w14:textId="77777777" w:rsidR="00B81E84" w:rsidRPr="003549B4" w:rsidRDefault="00B81E84" w:rsidP="00CC23D7">
            <w:pPr>
              <w:spacing w:before="120" w:after="0" w:line="240" w:lineRule="auto"/>
              <w:rPr>
                <w:rFonts w:ascii="Times New Roman" w:hAnsi="Times New Roman" w:cs="Times New Roman"/>
                <w:sz w:val="20"/>
                <w:szCs w:val="20"/>
                <w:lang w:eastAsia="sk-SK"/>
              </w:rPr>
            </w:pPr>
          </w:p>
        </w:tc>
        <w:tc>
          <w:tcPr>
            <w:tcW w:w="433" w:type="dxa"/>
          </w:tcPr>
          <w:p w14:paraId="7AF2B940" w14:textId="77777777" w:rsidR="00B81E84" w:rsidRPr="003549B4" w:rsidRDefault="00B81E84" w:rsidP="00CC23D7">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4CB9BEE4" w14:textId="77777777" w:rsidR="00B81E84" w:rsidRPr="003549B4" w:rsidRDefault="00E17FCE"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0CDD0760" w14:textId="26965C43" w:rsidR="00B81E84" w:rsidRPr="003549B4" w:rsidRDefault="00B81E84"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2</w:t>
            </w:r>
          </w:p>
          <w:p w14:paraId="715E2C5C" w14:textId="4AEBBF41" w:rsidR="008F20B8" w:rsidRPr="003549B4" w:rsidRDefault="008F20B8"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1670997C" w14:textId="44B63739" w:rsidR="00B81E84" w:rsidRPr="003549B4" w:rsidRDefault="00A462AA" w:rsidP="008F20B8">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w:t>
            </w:r>
            <w:r w:rsidR="008F20B8" w:rsidRPr="003549B4">
              <w:rPr>
                <w:rFonts w:ascii="Times New Roman" w:hAnsi="Times New Roman" w:cs="Times New Roman"/>
                <w:sz w:val="20"/>
                <w:szCs w:val="20"/>
              </w:rPr>
              <w:t>r</w:t>
            </w:r>
            <w:r w:rsidR="00B81E84" w:rsidRPr="003549B4">
              <w:rPr>
                <w:rFonts w:ascii="Times New Roman" w:hAnsi="Times New Roman" w:cs="Times New Roman"/>
                <w:sz w:val="20"/>
                <w:szCs w:val="20"/>
              </w:rPr>
              <w:t>)</w:t>
            </w:r>
          </w:p>
        </w:tc>
        <w:tc>
          <w:tcPr>
            <w:tcW w:w="6006" w:type="dxa"/>
            <w:vAlign w:val="center"/>
          </w:tcPr>
          <w:p w14:paraId="0ED2FCD7" w14:textId="77777777" w:rsidR="008F20B8" w:rsidRPr="003549B4" w:rsidRDefault="008F20B8" w:rsidP="00D17989">
            <w:pPr>
              <w:spacing w:before="120" w:after="0" w:line="240" w:lineRule="auto"/>
              <w:ind w:left="5"/>
              <w:rPr>
                <w:rFonts w:ascii="Times New Roman" w:hAnsi="Times New Roman" w:cs="Times New Roman"/>
                <w:sz w:val="20"/>
                <w:szCs w:val="20"/>
              </w:rPr>
            </w:pPr>
            <w:r w:rsidRPr="003549B4">
              <w:rPr>
                <w:rFonts w:ascii="Times New Roman" w:hAnsi="Times New Roman" w:cs="Times New Roman"/>
                <w:sz w:val="20"/>
                <w:szCs w:val="20"/>
              </w:rPr>
              <w:t>(1)</w:t>
            </w:r>
            <w:r w:rsidRPr="003549B4">
              <w:rPr>
                <w:rFonts w:ascii="Times New Roman" w:hAnsi="Times New Roman" w:cs="Times New Roman"/>
                <w:sz w:val="20"/>
                <w:szCs w:val="20"/>
              </w:rPr>
              <w:tab/>
              <w:t>Na účely tohto zákona sa rozumie</w:t>
            </w:r>
          </w:p>
          <w:p w14:paraId="78BCF8F1" w14:textId="2A4E0999" w:rsidR="00B81E84" w:rsidRPr="003549B4" w:rsidRDefault="008F20B8" w:rsidP="00D17989">
            <w:pPr>
              <w:spacing w:before="120" w:after="0" w:line="240" w:lineRule="auto"/>
              <w:ind w:left="5"/>
              <w:rPr>
                <w:rFonts w:ascii="Times New Roman" w:hAnsi="Times New Roman" w:cs="Times New Roman"/>
                <w:sz w:val="20"/>
                <w:szCs w:val="20"/>
              </w:rPr>
            </w:pPr>
            <w:r w:rsidRPr="003549B4">
              <w:rPr>
                <w:rFonts w:ascii="Times New Roman" w:hAnsi="Times New Roman" w:cs="Times New Roman"/>
                <w:sz w:val="20"/>
                <w:szCs w:val="20"/>
              </w:rPr>
              <w:t>r</w:t>
            </w:r>
            <w:r w:rsidR="00B81E84" w:rsidRPr="003549B4">
              <w:rPr>
                <w:rFonts w:ascii="Times New Roman" w:hAnsi="Times New Roman" w:cs="Times New Roman"/>
                <w:sz w:val="20"/>
                <w:szCs w:val="20"/>
              </w:rPr>
              <w:t>) palivom tuhý, kvapalný alebo plynný horľavý materiál,</w:t>
            </w:r>
          </w:p>
        </w:tc>
        <w:tc>
          <w:tcPr>
            <w:tcW w:w="429" w:type="dxa"/>
            <w:tcBorders>
              <w:top w:val="single" w:sz="4" w:space="0" w:color="auto"/>
              <w:bottom w:val="single" w:sz="4" w:space="0" w:color="auto"/>
            </w:tcBorders>
            <w:vAlign w:val="center"/>
          </w:tcPr>
          <w:p w14:paraId="04A74006" w14:textId="77777777" w:rsidR="00B81E84"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1F4FCD12" w14:textId="77777777" w:rsidR="00B81E84" w:rsidRPr="003549B4" w:rsidRDefault="00B81E84" w:rsidP="00603CC4">
            <w:pPr>
              <w:spacing w:after="0" w:line="240" w:lineRule="auto"/>
              <w:rPr>
                <w:rFonts w:ascii="Times New Roman" w:hAnsi="Times New Roman" w:cs="Times New Roman"/>
                <w:sz w:val="20"/>
                <w:szCs w:val="20"/>
              </w:rPr>
            </w:pPr>
          </w:p>
        </w:tc>
      </w:tr>
      <w:tr w:rsidR="00557F90" w:rsidRPr="003549B4" w14:paraId="44AEDDA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D59FC26" w14:textId="77777777" w:rsidR="00CC23D7" w:rsidRPr="003549B4" w:rsidRDefault="00CC23D7"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O16</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CC23D7" w:rsidRPr="003549B4" w14:paraId="1333ED55" w14:textId="77777777">
              <w:trPr>
                <w:tblCellSpacing w:w="0" w:type="dxa"/>
              </w:trPr>
              <w:tc>
                <w:tcPr>
                  <w:tcW w:w="279" w:type="dxa"/>
                </w:tcPr>
                <w:p w14:paraId="702B19D0" w14:textId="77777777" w:rsidR="00CC23D7" w:rsidRPr="003549B4" w:rsidRDefault="00CC23D7" w:rsidP="00CC23D7">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16</w:t>
                  </w:r>
                </w:p>
              </w:tc>
              <w:tc>
                <w:tcPr>
                  <w:tcW w:w="6591" w:type="dxa"/>
                </w:tcPr>
                <w:p w14:paraId="408A42DD" w14:textId="77777777" w:rsidR="00CC23D7" w:rsidRPr="003549B4" w:rsidRDefault="00CC23D7" w:rsidP="00CC23D7">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„rafinérske palivo“ je tuhý, kvapalný alebo plynný horľavý materiál získaný z destilácie a konverzie pri rafinácii ropy vrátane rafinérskeho vykurovacieho plynu, syntéznych plynov, rafinérskych olejov a ropného koksu;</w:t>
                  </w:r>
                </w:p>
              </w:tc>
            </w:tr>
          </w:tbl>
          <w:p w14:paraId="4A248F93" w14:textId="77777777" w:rsidR="00CC23D7" w:rsidRPr="003549B4" w:rsidRDefault="00CC23D7" w:rsidP="00CC23D7">
            <w:pPr>
              <w:spacing w:before="120" w:after="0" w:line="240" w:lineRule="auto"/>
              <w:rPr>
                <w:rFonts w:ascii="Times New Roman" w:hAnsi="Times New Roman" w:cs="Times New Roman"/>
                <w:sz w:val="20"/>
                <w:szCs w:val="20"/>
                <w:lang w:eastAsia="sk-SK"/>
              </w:rPr>
            </w:pPr>
          </w:p>
        </w:tc>
        <w:tc>
          <w:tcPr>
            <w:tcW w:w="433" w:type="dxa"/>
          </w:tcPr>
          <w:p w14:paraId="77A4CEFE" w14:textId="77777777" w:rsidR="00CC23D7" w:rsidRPr="003549B4" w:rsidRDefault="00CC23D7" w:rsidP="00CC23D7">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08A5E940" w14:textId="77777777" w:rsidR="00CC23D7" w:rsidRPr="003549B4" w:rsidRDefault="00CC23D7"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5FF20335" w14:textId="77777777" w:rsidR="00CC23D7" w:rsidRPr="003549B4" w:rsidRDefault="00CC23D7" w:rsidP="00F17024">
            <w:pPr>
              <w:spacing w:before="120" w:after="0" w:line="240" w:lineRule="auto"/>
              <w:ind w:right="-108"/>
              <w:rPr>
                <w:rFonts w:ascii="Times New Roman" w:hAnsi="Times New Roman" w:cs="Times New Roman"/>
                <w:sz w:val="20"/>
                <w:szCs w:val="20"/>
              </w:rPr>
            </w:pPr>
          </w:p>
        </w:tc>
        <w:tc>
          <w:tcPr>
            <w:tcW w:w="569" w:type="dxa"/>
          </w:tcPr>
          <w:p w14:paraId="6271E29E" w14:textId="77777777" w:rsidR="00CC23D7" w:rsidRPr="003549B4" w:rsidRDefault="00C335A1"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460FA37C" w14:textId="77777777" w:rsidR="00C335A1" w:rsidRPr="003549B4" w:rsidRDefault="00C335A1"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60FFAEF3" w14:textId="77777777" w:rsidR="00CC23D7" w:rsidRPr="003549B4" w:rsidRDefault="00C335A1"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Pp)</w:t>
            </w:r>
          </w:p>
        </w:tc>
        <w:tc>
          <w:tcPr>
            <w:tcW w:w="6006" w:type="dxa"/>
          </w:tcPr>
          <w:p w14:paraId="4BE7977D" w14:textId="77777777" w:rsidR="00CC23D7" w:rsidRPr="003549B4" w:rsidRDefault="00C335A1" w:rsidP="00AE1D13">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p) rafinérskym palivom tuhý, kvapalný alebo plynný horľavý materiál získaný z destilácie a konverzie pri rafinácii ropy vrátane rafinérskeho vykurovacieho plynu, syntéznych plynov, rafinérskych olejov a ropného koksu,</w:t>
            </w:r>
          </w:p>
        </w:tc>
        <w:tc>
          <w:tcPr>
            <w:tcW w:w="429" w:type="dxa"/>
            <w:tcBorders>
              <w:top w:val="single" w:sz="4" w:space="0" w:color="auto"/>
              <w:bottom w:val="single" w:sz="4" w:space="0" w:color="auto"/>
            </w:tcBorders>
            <w:vAlign w:val="center"/>
          </w:tcPr>
          <w:p w14:paraId="0EAB6FE1" w14:textId="77777777" w:rsidR="00CC23D7"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1EFB991" w14:textId="77777777" w:rsidR="00CC23D7" w:rsidRPr="003549B4" w:rsidRDefault="00CC23D7" w:rsidP="00603CC4">
            <w:pPr>
              <w:spacing w:after="0" w:line="240" w:lineRule="auto"/>
              <w:rPr>
                <w:rFonts w:ascii="Times New Roman" w:hAnsi="Times New Roman" w:cs="Times New Roman"/>
                <w:sz w:val="20"/>
                <w:szCs w:val="20"/>
              </w:rPr>
            </w:pPr>
          </w:p>
        </w:tc>
      </w:tr>
      <w:tr w:rsidR="00557F90" w:rsidRPr="003549B4" w14:paraId="6A7B801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37ADBD7" w14:textId="77777777" w:rsidR="00CC23D7" w:rsidRPr="003549B4" w:rsidRDefault="00CC23D7"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O17</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CC23D7" w:rsidRPr="003549B4" w14:paraId="4F9D3DB9" w14:textId="77777777">
              <w:trPr>
                <w:tblCellSpacing w:w="0" w:type="dxa"/>
              </w:trPr>
              <w:tc>
                <w:tcPr>
                  <w:tcW w:w="279" w:type="dxa"/>
                </w:tcPr>
                <w:p w14:paraId="1B507E1B" w14:textId="77777777" w:rsidR="00CC23D7" w:rsidRPr="003549B4" w:rsidRDefault="00CC23D7" w:rsidP="00CC23D7">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17</w:t>
                  </w:r>
                </w:p>
              </w:tc>
              <w:tc>
                <w:tcPr>
                  <w:tcW w:w="6591" w:type="dxa"/>
                </w:tcPr>
                <w:p w14:paraId="7A0291B8" w14:textId="77777777" w:rsidR="00CC23D7" w:rsidRPr="003549B4" w:rsidRDefault="00CC23D7" w:rsidP="00CC23D7">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„odpad“ je odpad vymedzený v článku 3 bode 1 smernice Európskeho parlamentu a Rady 2008/98/ES</w:t>
                  </w:r>
                  <w:hyperlink r:id="rId14" w:anchor="ntr15-L_2015313SK.01000101-E0015" w:history="1">
                    <w:r w:rsidRPr="003549B4">
                      <w:rPr>
                        <w:rFonts w:ascii="Times New Roman" w:hAnsi="Times New Roman" w:cs="Times New Roman"/>
                        <w:sz w:val="20"/>
                        <w:szCs w:val="20"/>
                        <w:u w:val="single"/>
                        <w:lang w:eastAsia="sk-SK"/>
                      </w:rPr>
                      <w:t xml:space="preserve"> (</w:t>
                    </w:r>
                    <w:r w:rsidRPr="003549B4">
                      <w:rPr>
                        <w:rFonts w:ascii="Times New Roman" w:hAnsi="Times New Roman" w:cs="Times New Roman"/>
                        <w:sz w:val="20"/>
                        <w:szCs w:val="20"/>
                        <w:u w:val="single"/>
                        <w:vertAlign w:val="superscript"/>
                        <w:lang w:eastAsia="sk-SK"/>
                      </w:rPr>
                      <w:t>15</w:t>
                    </w:r>
                    <w:r w:rsidRPr="003549B4">
                      <w:rPr>
                        <w:rFonts w:ascii="Times New Roman" w:hAnsi="Times New Roman" w:cs="Times New Roman"/>
                        <w:sz w:val="20"/>
                        <w:szCs w:val="20"/>
                        <w:u w:val="single"/>
                        <w:lang w:eastAsia="sk-SK"/>
                      </w:rPr>
                      <w:t>)</w:t>
                    </w:r>
                  </w:hyperlink>
                  <w:r w:rsidRPr="003549B4">
                    <w:rPr>
                      <w:rFonts w:ascii="Times New Roman" w:hAnsi="Times New Roman" w:cs="Times New Roman"/>
                      <w:sz w:val="20"/>
                      <w:szCs w:val="20"/>
                      <w:lang w:eastAsia="sk-SK"/>
                    </w:rPr>
                    <w:t>;</w:t>
                  </w:r>
                </w:p>
              </w:tc>
            </w:tr>
          </w:tbl>
          <w:p w14:paraId="5E55C20A" w14:textId="77777777" w:rsidR="00CC23D7" w:rsidRPr="003549B4" w:rsidRDefault="00CC23D7" w:rsidP="00CC23D7">
            <w:pPr>
              <w:spacing w:before="120" w:after="0" w:line="240" w:lineRule="auto"/>
              <w:rPr>
                <w:rFonts w:ascii="Times New Roman" w:hAnsi="Times New Roman" w:cs="Times New Roman"/>
                <w:sz w:val="20"/>
                <w:szCs w:val="20"/>
                <w:lang w:eastAsia="sk-SK"/>
              </w:rPr>
            </w:pPr>
          </w:p>
        </w:tc>
        <w:tc>
          <w:tcPr>
            <w:tcW w:w="433" w:type="dxa"/>
          </w:tcPr>
          <w:p w14:paraId="1B01DFB0" w14:textId="2E5BA013" w:rsidR="00CC23D7" w:rsidRPr="003549B4" w:rsidRDefault="008F20B8" w:rsidP="00CC23D7">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31EF258D" w14:textId="2ECB0B1A" w:rsidR="00CC23D7" w:rsidRPr="003549B4" w:rsidRDefault="00CC23D7" w:rsidP="00F17024">
            <w:pPr>
              <w:spacing w:before="120" w:after="0" w:line="240" w:lineRule="auto"/>
              <w:ind w:right="-108"/>
              <w:rPr>
                <w:rFonts w:ascii="Times New Roman" w:hAnsi="Times New Roman" w:cs="Times New Roman"/>
                <w:sz w:val="20"/>
                <w:szCs w:val="20"/>
              </w:rPr>
            </w:pPr>
          </w:p>
          <w:p w14:paraId="3E80580E" w14:textId="77777777" w:rsidR="00CC23D7" w:rsidRPr="003549B4" w:rsidRDefault="00CC23D7" w:rsidP="00F17024">
            <w:pPr>
              <w:spacing w:before="120" w:after="0" w:line="240" w:lineRule="auto"/>
              <w:ind w:right="-108"/>
              <w:rPr>
                <w:rFonts w:ascii="Times New Roman" w:hAnsi="Times New Roman" w:cs="Times New Roman"/>
                <w:sz w:val="20"/>
                <w:szCs w:val="20"/>
              </w:rPr>
            </w:pPr>
          </w:p>
        </w:tc>
        <w:tc>
          <w:tcPr>
            <w:tcW w:w="569" w:type="dxa"/>
          </w:tcPr>
          <w:p w14:paraId="24F0C4A2" w14:textId="31452F49" w:rsidR="00CC23D7" w:rsidRPr="003549B4" w:rsidRDefault="00CC23D7" w:rsidP="00A462AA">
            <w:pPr>
              <w:spacing w:before="120" w:after="0" w:line="240" w:lineRule="auto"/>
              <w:ind w:left="14" w:right="-9" w:hanging="29"/>
              <w:rPr>
                <w:rFonts w:ascii="Times New Roman" w:hAnsi="Times New Roman" w:cs="Times New Roman"/>
                <w:sz w:val="20"/>
                <w:szCs w:val="20"/>
              </w:rPr>
            </w:pPr>
          </w:p>
        </w:tc>
        <w:tc>
          <w:tcPr>
            <w:tcW w:w="6006" w:type="dxa"/>
          </w:tcPr>
          <w:p w14:paraId="72E6583C" w14:textId="20694D7B" w:rsidR="00CC23D7" w:rsidRPr="003549B4" w:rsidRDefault="00CC23D7" w:rsidP="00A462AA">
            <w:pPr>
              <w:pStyle w:val="Textpoznmkypodiarou"/>
            </w:pPr>
          </w:p>
        </w:tc>
        <w:tc>
          <w:tcPr>
            <w:tcW w:w="429" w:type="dxa"/>
            <w:tcBorders>
              <w:top w:val="single" w:sz="4" w:space="0" w:color="auto"/>
              <w:bottom w:val="single" w:sz="4" w:space="0" w:color="auto"/>
            </w:tcBorders>
            <w:vAlign w:val="center"/>
          </w:tcPr>
          <w:p w14:paraId="09D3F7CD" w14:textId="3A8FA790" w:rsidR="00CC23D7" w:rsidRPr="003549B4" w:rsidRDefault="00CC23D7" w:rsidP="00603CC4">
            <w:pPr>
              <w:spacing w:after="0" w:line="240" w:lineRule="auto"/>
              <w:rPr>
                <w:rFonts w:ascii="Times New Roman" w:hAnsi="Times New Roman" w:cs="Times New Roman"/>
                <w:sz w:val="20"/>
                <w:szCs w:val="20"/>
              </w:rPr>
            </w:pPr>
          </w:p>
        </w:tc>
        <w:tc>
          <w:tcPr>
            <w:tcW w:w="660" w:type="dxa"/>
            <w:tcBorders>
              <w:top w:val="single" w:sz="4" w:space="0" w:color="auto"/>
              <w:bottom w:val="single" w:sz="4" w:space="0" w:color="auto"/>
            </w:tcBorders>
            <w:vAlign w:val="center"/>
          </w:tcPr>
          <w:p w14:paraId="23D62CA5" w14:textId="5538BF9B" w:rsidR="00CC23D7" w:rsidRPr="003549B4" w:rsidRDefault="008F20B8"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Transponované zákonom č. 79/2015 Z. z. o odpadoch</w:t>
            </w:r>
          </w:p>
        </w:tc>
      </w:tr>
      <w:tr w:rsidR="00557F90" w:rsidRPr="003549B4" w14:paraId="3147771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EEEF85C" w14:textId="77777777" w:rsidR="00CC23D7" w:rsidRPr="003549B4" w:rsidRDefault="00CC23D7"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O18</w:t>
            </w:r>
          </w:p>
        </w:tc>
        <w:tc>
          <w:tcPr>
            <w:tcW w:w="6287" w:type="dxa"/>
          </w:tcPr>
          <w:p w14:paraId="50BAA5C1" w14:textId="77777777" w:rsidR="00CC23D7" w:rsidRPr="003549B4" w:rsidRDefault="00CC23D7" w:rsidP="001B1D25">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18. „biomasa“ sú:</w:t>
            </w:r>
          </w:p>
          <w:p w14:paraId="2375D021" w14:textId="77777777" w:rsidR="00CC23D7" w:rsidRPr="003549B4" w:rsidRDefault="00CC23D7" w:rsidP="001C37B0">
            <w:pPr>
              <w:spacing w:before="6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a) výrobky pozostávajúce z akejkoľvek rastlinnej hmoty pochádzajúcej z poľnohospodárstva alebo lesníctva, ktorá sa môže použiť ako palivo na účely zhodnotenia jej energetického obsahu;</w:t>
            </w:r>
          </w:p>
          <w:p w14:paraId="79BE54DB" w14:textId="77777777" w:rsidR="00CC23D7" w:rsidRPr="003549B4" w:rsidRDefault="00CC23D7" w:rsidP="001C37B0">
            <w:pPr>
              <w:spacing w:before="6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b) nasledujúci odpad:</w:t>
            </w:r>
          </w:p>
          <w:p w14:paraId="15CA51B8" w14:textId="77777777" w:rsidR="00CC23D7" w:rsidRPr="003549B4" w:rsidRDefault="00CC23D7" w:rsidP="00FE4978">
            <w:pPr>
              <w:pStyle w:val="Odsekzoznamu"/>
              <w:numPr>
                <w:ilvl w:val="0"/>
                <w:numId w:val="6"/>
              </w:numPr>
              <w:spacing w:after="0"/>
              <w:rPr>
                <w:sz w:val="20"/>
                <w:szCs w:val="20"/>
                <w:lang w:eastAsia="sk-SK"/>
              </w:rPr>
            </w:pPr>
            <w:r w:rsidRPr="003549B4">
              <w:rPr>
                <w:sz w:val="20"/>
                <w:szCs w:val="20"/>
                <w:lang w:eastAsia="sk-SK"/>
              </w:rPr>
              <w:lastRenderedPageBreak/>
              <w:t>rastlinný odpad z poľnohospodárstva a lesníctva;</w:t>
            </w:r>
          </w:p>
          <w:p w14:paraId="0DADB293" w14:textId="77777777" w:rsidR="00CC23D7" w:rsidRPr="003549B4" w:rsidRDefault="00CC23D7" w:rsidP="00FE4978">
            <w:pPr>
              <w:pStyle w:val="Odsekzoznamu"/>
              <w:numPr>
                <w:ilvl w:val="0"/>
                <w:numId w:val="6"/>
              </w:numPr>
              <w:spacing w:after="0"/>
              <w:rPr>
                <w:sz w:val="20"/>
                <w:szCs w:val="20"/>
                <w:lang w:eastAsia="sk-SK"/>
              </w:rPr>
            </w:pPr>
            <w:r w:rsidRPr="003549B4">
              <w:rPr>
                <w:sz w:val="20"/>
                <w:szCs w:val="20"/>
                <w:lang w:eastAsia="sk-SK"/>
              </w:rPr>
              <w:t>rastlinný odpad z potravinárskeho priemyslu, ak sa zhodnotí získané teplo;</w:t>
            </w:r>
          </w:p>
          <w:p w14:paraId="5BA863C1" w14:textId="77777777" w:rsidR="00CC23D7" w:rsidRPr="003549B4" w:rsidRDefault="00CC23D7" w:rsidP="00FE4978">
            <w:pPr>
              <w:pStyle w:val="Odsekzoznamu"/>
              <w:numPr>
                <w:ilvl w:val="0"/>
                <w:numId w:val="6"/>
              </w:numPr>
              <w:spacing w:after="0"/>
              <w:rPr>
                <w:sz w:val="20"/>
                <w:szCs w:val="20"/>
                <w:lang w:eastAsia="sk-SK"/>
              </w:rPr>
            </w:pPr>
            <w:r w:rsidRPr="003549B4">
              <w:rPr>
                <w:sz w:val="20"/>
                <w:szCs w:val="20"/>
                <w:lang w:eastAsia="sk-SK"/>
              </w:rPr>
              <w:t>vláknitý rastlinný odpad z výroby buničiny a z výroby papiera z celulózy, ak sa spoluspaľuje na mieste výroby a vytvorené teplo sa zhodnocuje;</w:t>
            </w:r>
          </w:p>
          <w:p w14:paraId="6607BF59" w14:textId="77777777" w:rsidR="00CC23D7" w:rsidRPr="003549B4" w:rsidRDefault="00CC23D7" w:rsidP="00FE4978">
            <w:pPr>
              <w:pStyle w:val="Odsekzoznamu"/>
              <w:numPr>
                <w:ilvl w:val="0"/>
                <w:numId w:val="6"/>
              </w:numPr>
              <w:spacing w:after="0"/>
              <w:rPr>
                <w:sz w:val="20"/>
                <w:szCs w:val="20"/>
                <w:lang w:eastAsia="sk-SK"/>
              </w:rPr>
            </w:pPr>
            <w:r w:rsidRPr="003549B4">
              <w:rPr>
                <w:sz w:val="20"/>
                <w:szCs w:val="20"/>
                <w:lang w:eastAsia="sk-SK"/>
              </w:rPr>
              <w:t>korkový odpad;</w:t>
            </w:r>
          </w:p>
          <w:p w14:paraId="5244AA2C" w14:textId="77777777" w:rsidR="00CC23D7" w:rsidRPr="003549B4" w:rsidRDefault="00CC23D7" w:rsidP="00FE4978">
            <w:pPr>
              <w:pStyle w:val="Odsekzoznamu"/>
              <w:numPr>
                <w:ilvl w:val="0"/>
                <w:numId w:val="6"/>
              </w:numPr>
              <w:spacing w:after="0"/>
              <w:rPr>
                <w:sz w:val="20"/>
                <w:szCs w:val="20"/>
                <w:lang w:eastAsia="sk-SK"/>
              </w:rPr>
            </w:pPr>
            <w:r w:rsidRPr="003549B4">
              <w:rPr>
                <w:sz w:val="20"/>
                <w:szCs w:val="20"/>
                <w:lang w:eastAsia="sk-SK"/>
              </w:rPr>
              <w:t>drevený odpad s výnimkou dreveného odpadu, ktorý môže obsahovať halogénované organické zlúčeniny alebo ťažké kovy následkom ošetrovania prostriedkami na ochranu dreva alebo náterovými látkami a ktorý zahŕňa najmä takýto drevený odpad pochádzajúci zo stavieb a demolácií;</w:t>
            </w:r>
          </w:p>
        </w:tc>
        <w:tc>
          <w:tcPr>
            <w:tcW w:w="433" w:type="dxa"/>
          </w:tcPr>
          <w:p w14:paraId="2F4148F4" w14:textId="77777777" w:rsidR="00CC23D7" w:rsidRPr="003549B4" w:rsidRDefault="00CC23D7" w:rsidP="00CC23D7">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w:t>
            </w:r>
          </w:p>
        </w:tc>
        <w:tc>
          <w:tcPr>
            <w:tcW w:w="572" w:type="dxa"/>
          </w:tcPr>
          <w:p w14:paraId="769892DA" w14:textId="77777777" w:rsidR="00CC23D7" w:rsidRPr="003549B4" w:rsidRDefault="00CC23D7"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5646A9B5" w14:textId="77777777" w:rsidR="00CC23D7" w:rsidRPr="003549B4" w:rsidRDefault="00CC23D7" w:rsidP="00F17024">
            <w:pPr>
              <w:spacing w:before="120" w:after="0" w:line="240" w:lineRule="auto"/>
              <w:ind w:right="-108"/>
              <w:rPr>
                <w:rFonts w:ascii="Times New Roman" w:hAnsi="Times New Roman" w:cs="Times New Roman"/>
                <w:sz w:val="20"/>
                <w:szCs w:val="20"/>
              </w:rPr>
            </w:pPr>
          </w:p>
        </w:tc>
        <w:tc>
          <w:tcPr>
            <w:tcW w:w="569" w:type="dxa"/>
          </w:tcPr>
          <w:p w14:paraId="6FE96FF9" w14:textId="77777777" w:rsidR="00A602C0" w:rsidRPr="003549B4" w:rsidRDefault="00A602C0"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6979A0E3" w14:textId="77777777" w:rsidR="00A602C0" w:rsidRPr="003549B4" w:rsidRDefault="00A602C0"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7A1E0100" w14:textId="77777777" w:rsidR="00CC23D7" w:rsidRPr="003549B4" w:rsidRDefault="00A602C0"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Pi)</w:t>
            </w:r>
          </w:p>
          <w:p w14:paraId="6C19435A" w14:textId="77777777" w:rsidR="00CC23D7" w:rsidRPr="003549B4" w:rsidRDefault="00CC23D7" w:rsidP="00F17024">
            <w:pPr>
              <w:spacing w:before="120" w:after="0" w:line="240" w:lineRule="auto"/>
              <w:ind w:left="14" w:right="-9" w:hanging="29"/>
              <w:rPr>
                <w:rFonts w:ascii="Times New Roman" w:hAnsi="Times New Roman" w:cs="Times New Roman"/>
                <w:sz w:val="20"/>
                <w:szCs w:val="20"/>
              </w:rPr>
            </w:pPr>
          </w:p>
        </w:tc>
        <w:tc>
          <w:tcPr>
            <w:tcW w:w="6006" w:type="dxa"/>
          </w:tcPr>
          <w:p w14:paraId="2039B255" w14:textId="77777777" w:rsidR="00A602C0" w:rsidRPr="003549B4" w:rsidRDefault="00A602C0" w:rsidP="00A602C0">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i) biomasou produkty pozostávajúce z rastlinnej hmoty alebo časti rastlinnej hmoty pochádzajúce z poľnohospodárstva alebo lesného hospodárstva, ktoré sa môžu použiť ako palivo na účely zhodnotenia ich energetického obsahu a tento odpad:</w:t>
            </w:r>
          </w:p>
          <w:p w14:paraId="607B2A3D" w14:textId="77777777" w:rsidR="00A602C0" w:rsidRPr="003549B4" w:rsidRDefault="00A602C0" w:rsidP="00A602C0">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 rastlinný odpad z poľnohospodárstva a lesného hospodárstva,</w:t>
            </w:r>
          </w:p>
          <w:p w14:paraId="70104B50" w14:textId="77777777" w:rsidR="00A602C0" w:rsidRPr="003549B4" w:rsidRDefault="00A602C0" w:rsidP="00A602C0">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2. rastlinný odpad z potravinárskeho priemyslu, ak sa teplo zo spaľovania využíva na výrobu energie,</w:t>
            </w:r>
          </w:p>
          <w:p w14:paraId="3C261E25" w14:textId="77777777" w:rsidR="00A602C0" w:rsidRPr="003549B4" w:rsidRDefault="00A602C0" w:rsidP="00A602C0">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3. vláknitý drevný odpad z prvotnej výroby celulózy a výroby papiera z celulózy, ak je spoluspaľovaný v mieste vzniku a teplo zo spaľovania sa využíva na výrobu energie,</w:t>
            </w:r>
          </w:p>
          <w:p w14:paraId="1D5F4271" w14:textId="77777777" w:rsidR="00A602C0" w:rsidRPr="003549B4" w:rsidRDefault="00A602C0" w:rsidP="00A602C0">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4. korkový odpad,</w:t>
            </w:r>
          </w:p>
          <w:p w14:paraId="6A84AA16" w14:textId="77777777" w:rsidR="00CC23D7" w:rsidRPr="003549B4" w:rsidRDefault="00A602C0" w:rsidP="00A602C0">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 xml:space="preserve">5. drevný odpad okrem drevného odpadu, ktorý by v dôsledku ošetrenia konzervačnými látkami alebo ochrannými nátermi mohol </w:t>
            </w:r>
            <w:r w:rsidRPr="003549B4">
              <w:rPr>
                <w:rFonts w:ascii="Times New Roman" w:hAnsi="Times New Roman" w:cs="Times New Roman"/>
                <w:sz w:val="20"/>
                <w:szCs w:val="20"/>
              </w:rPr>
              <w:lastRenderedPageBreak/>
              <w:t>obsahovať halogénované organické zlúčeniny alebo ťažké kovy, najmä drevný odpad pochádzajúci zo stavebných a búracích prác,</w:t>
            </w:r>
          </w:p>
        </w:tc>
        <w:tc>
          <w:tcPr>
            <w:tcW w:w="429" w:type="dxa"/>
            <w:tcBorders>
              <w:top w:val="single" w:sz="4" w:space="0" w:color="auto"/>
              <w:bottom w:val="single" w:sz="4" w:space="0" w:color="auto"/>
            </w:tcBorders>
            <w:vAlign w:val="center"/>
          </w:tcPr>
          <w:p w14:paraId="7E7E014E" w14:textId="77777777" w:rsidR="00CC23D7"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4304FC15" w14:textId="77777777" w:rsidR="00CC23D7" w:rsidRPr="003549B4" w:rsidRDefault="00CC23D7" w:rsidP="00603CC4">
            <w:pPr>
              <w:spacing w:after="0" w:line="240" w:lineRule="auto"/>
              <w:rPr>
                <w:rFonts w:ascii="Times New Roman" w:hAnsi="Times New Roman" w:cs="Times New Roman"/>
                <w:sz w:val="20"/>
                <w:szCs w:val="20"/>
              </w:rPr>
            </w:pPr>
          </w:p>
        </w:tc>
      </w:tr>
      <w:tr w:rsidR="00557F90" w:rsidRPr="003549B4" w14:paraId="7708014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DB06F72" w14:textId="77777777" w:rsidR="00A901B0" w:rsidRPr="003549B4" w:rsidRDefault="00A901B0"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O19</w:t>
            </w:r>
          </w:p>
        </w:tc>
        <w:tc>
          <w:tcPr>
            <w:tcW w:w="6287" w:type="dxa"/>
          </w:tcPr>
          <w:p w14:paraId="14B023D6" w14:textId="77777777" w:rsidR="00A901B0" w:rsidRPr="003549B4" w:rsidRDefault="00A901B0" w:rsidP="001B1D25">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19. „plynový olej“ je:</w:t>
            </w:r>
          </w:p>
          <w:p w14:paraId="445B7DCB" w14:textId="77777777" w:rsidR="00A901B0" w:rsidRPr="003549B4" w:rsidRDefault="00A901B0" w:rsidP="001B1D25">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a) každé kvapalné palivo získané z ropy, na ktoré sa vzťahujú číselné znaky KN 2710 19 25, 2710 19 29, 2710 19 47, 2710 19 48, 2710 20 17 alebo 2710 20 19, alebo</w:t>
            </w:r>
          </w:p>
          <w:p w14:paraId="04F59F4E" w14:textId="77777777" w:rsidR="00A901B0" w:rsidRPr="003549B4" w:rsidRDefault="00A901B0" w:rsidP="001B1D25">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b) každé kvapalné palivo získané z ropy, z ktorého sa pri teplote 250 °C vydestiluje metódou ASTM D86 menej ako 65 % objemu (vrátane strát) a pri teplote 350 °C najmenej 85 % objemu (vrátane strát);</w:t>
            </w:r>
          </w:p>
        </w:tc>
        <w:tc>
          <w:tcPr>
            <w:tcW w:w="433" w:type="dxa"/>
          </w:tcPr>
          <w:p w14:paraId="5DED1C8C" w14:textId="77777777" w:rsidR="00A901B0" w:rsidRPr="003549B4" w:rsidRDefault="00A901B0" w:rsidP="0075439B">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6C6CFCF3" w14:textId="77777777" w:rsidR="00A901B0" w:rsidRPr="003549B4" w:rsidRDefault="00A901B0"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2C30EB2B" w14:textId="77777777" w:rsidR="00A901B0" w:rsidRPr="003549B4" w:rsidRDefault="00A901B0" w:rsidP="00F17024">
            <w:pPr>
              <w:spacing w:before="120" w:after="0" w:line="240" w:lineRule="auto"/>
              <w:ind w:right="-108"/>
              <w:rPr>
                <w:rFonts w:ascii="Times New Roman" w:hAnsi="Times New Roman" w:cs="Times New Roman"/>
                <w:sz w:val="20"/>
                <w:szCs w:val="20"/>
              </w:rPr>
            </w:pPr>
          </w:p>
        </w:tc>
        <w:tc>
          <w:tcPr>
            <w:tcW w:w="569" w:type="dxa"/>
          </w:tcPr>
          <w:p w14:paraId="6BBA91E2" w14:textId="77777777" w:rsidR="00A901B0" w:rsidRPr="003549B4" w:rsidRDefault="00A602C0"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6F7B6CF5" w14:textId="77777777" w:rsidR="00A602C0" w:rsidRPr="003549B4" w:rsidRDefault="00A602C0"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6D0FD588" w14:textId="77777777" w:rsidR="00A602C0" w:rsidRPr="003549B4" w:rsidRDefault="00A602C0"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Pn)</w:t>
            </w:r>
          </w:p>
          <w:p w14:paraId="137FBD37" w14:textId="77777777" w:rsidR="00A901B0" w:rsidRPr="003549B4" w:rsidRDefault="00A901B0" w:rsidP="00F17024">
            <w:pPr>
              <w:spacing w:before="120" w:after="0" w:line="240" w:lineRule="auto"/>
              <w:ind w:left="14" w:right="-9" w:hanging="29"/>
              <w:rPr>
                <w:rFonts w:ascii="Times New Roman" w:hAnsi="Times New Roman" w:cs="Times New Roman"/>
                <w:sz w:val="20"/>
                <w:szCs w:val="20"/>
              </w:rPr>
            </w:pPr>
          </w:p>
        </w:tc>
        <w:tc>
          <w:tcPr>
            <w:tcW w:w="6006" w:type="dxa"/>
          </w:tcPr>
          <w:p w14:paraId="268AB5BB" w14:textId="77777777" w:rsidR="00A602C0" w:rsidRPr="003549B4" w:rsidRDefault="00A602C0" w:rsidP="00A602C0">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n) plynovým olejom</w:t>
            </w:r>
          </w:p>
          <w:p w14:paraId="326A9D1A" w14:textId="77777777" w:rsidR="00A602C0" w:rsidRPr="003549B4" w:rsidRDefault="00A602C0" w:rsidP="00A602C0">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 kvapalné palivo získané z ropy, na ktoré sa vzťahujú číselné znaky KN 2710 19 25, 2710 19 29, 2710 19 47, 2710 19 48, 2710 20 17 alebo 2710 20 19, alebo</w:t>
            </w:r>
          </w:p>
          <w:p w14:paraId="3F19C3F0" w14:textId="77777777" w:rsidR="00A901B0" w:rsidRPr="003549B4" w:rsidRDefault="00A602C0" w:rsidP="00A602C0">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2. kvapalné palivo získané z ropy, z ktorého sa pri teplote 250 °C vydestiluje metódou ASTM D86 menej ako 65 % objemu vrátane strát a pri teplote 350 °C najmenej 85 % objemu vrátane strát,</w:t>
            </w:r>
          </w:p>
        </w:tc>
        <w:tc>
          <w:tcPr>
            <w:tcW w:w="429" w:type="dxa"/>
            <w:tcBorders>
              <w:top w:val="single" w:sz="4" w:space="0" w:color="auto"/>
              <w:bottom w:val="single" w:sz="4" w:space="0" w:color="auto"/>
            </w:tcBorders>
            <w:vAlign w:val="center"/>
          </w:tcPr>
          <w:p w14:paraId="5A7EB1B1" w14:textId="77777777" w:rsidR="00A901B0"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973B588" w14:textId="77777777" w:rsidR="00A901B0" w:rsidRPr="003549B4" w:rsidRDefault="00A901B0" w:rsidP="00603CC4">
            <w:pPr>
              <w:spacing w:after="0" w:line="240" w:lineRule="auto"/>
              <w:rPr>
                <w:rFonts w:ascii="Times New Roman" w:hAnsi="Times New Roman" w:cs="Times New Roman"/>
                <w:sz w:val="20"/>
                <w:szCs w:val="20"/>
              </w:rPr>
            </w:pPr>
          </w:p>
        </w:tc>
      </w:tr>
      <w:tr w:rsidR="00557F90" w:rsidRPr="003549B4" w14:paraId="4EE8477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92565E6" w14:textId="77777777" w:rsidR="00A901B0" w:rsidRPr="003549B4" w:rsidRDefault="00A901B0"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O20</w:t>
            </w:r>
          </w:p>
        </w:tc>
        <w:tc>
          <w:tcPr>
            <w:tcW w:w="6287" w:type="dxa"/>
          </w:tcPr>
          <w:p w14:paraId="7AC2D416" w14:textId="77777777" w:rsidR="00A901B0" w:rsidRPr="003549B4" w:rsidRDefault="00A901B0" w:rsidP="001B1D25">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20. „zemný plyn“ je prirodzene sa vyskytujúci metán s obsahom vzácnych plynov a iných zložiek neprekračujúcich 20 % (objemovo);</w:t>
            </w:r>
          </w:p>
        </w:tc>
        <w:tc>
          <w:tcPr>
            <w:tcW w:w="433" w:type="dxa"/>
          </w:tcPr>
          <w:p w14:paraId="1F4F3E4A" w14:textId="77777777" w:rsidR="00A901B0" w:rsidRPr="003549B4" w:rsidRDefault="00A901B0" w:rsidP="0075439B">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3E155EBF" w14:textId="77777777" w:rsidR="00A901B0" w:rsidRPr="003549B4" w:rsidRDefault="00A901B0"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54E09243" w14:textId="77777777" w:rsidR="00A901B0" w:rsidRPr="003549B4" w:rsidRDefault="00A901B0" w:rsidP="00F17024">
            <w:pPr>
              <w:spacing w:before="120" w:after="0" w:line="240" w:lineRule="auto"/>
              <w:ind w:right="-108"/>
              <w:rPr>
                <w:rFonts w:ascii="Times New Roman" w:hAnsi="Times New Roman" w:cs="Times New Roman"/>
                <w:sz w:val="20"/>
                <w:szCs w:val="20"/>
              </w:rPr>
            </w:pPr>
          </w:p>
        </w:tc>
        <w:tc>
          <w:tcPr>
            <w:tcW w:w="569" w:type="dxa"/>
          </w:tcPr>
          <w:p w14:paraId="4657FC1E" w14:textId="77777777" w:rsidR="00A901B0" w:rsidRPr="003549B4" w:rsidRDefault="00A602C0"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8</w:t>
            </w:r>
          </w:p>
          <w:p w14:paraId="386FD454" w14:textId="77777777" w:rsidR="00A602C0" w:rsidRPr="003549B4" w:rsidRDefault="00A602C0"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353174A8" w14:textId="77777777" w:rsidR="00A901B0" w:rsidRPr="003549B4" w:rsidRDefault="00A602C0"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Pl)</w:t>
            </w:r>
          </w:p>
        </w:tc>
        <w:tc>
          <w:tcPr>
            <w:tcW w:w="6006" w:type="dxa"/>
          </w:tcPr>
          <w:p w14:paraId="45551837" w14:textId="77777777" w:rsidR="00A901B0" w:rsidRPr="003549B4" w:rsidRDefault="00A602C0" w:rsidP="00A602C0">
            <w:pPr>
              <w:spacing w:before="120" w:after="0" w:line="240" w:lineRule="auto"/>
              <w:ind w:left="142" w:hanging="142"/>
              <w:rPr>
                <w:rFonts w:ascii="Times New Roman" w:hAnsi="Times New Roman" w:cs="Times New Roman"/>
                <w:noProof/>
                <w:sz w:val="20"/>
                <w:szCs w:val="20"/>
              </w:rPr>
            </w:pPr>
            <w:r w:rsidRPr="003549B4">
              <w:rPr>
                <w:rFonts w:ascii="Times New Roman" w:hAnsi="Times New Roman" w:cs="Times New Roman"/>
                <w:sz w:val="20"/>
                <w:szCs w:val="20"/>
              </w:rPr>
              <w:t>l) zemným plynom naftovým prírodný metán, ktorý neobsahuje viac ako 20 % objemu inertných plynov alebo iných zložiek,</w:t>
            </w:r>
          </w:p>
        </w:tc>
        <w:tc>
          <w:tcPr>
            <w:tcW w:w="429" w:type="dxa"/>
            <w:tcBorders>
              <w:top w:val="single" w:sz="4" w:space="0" w:color="auto"/>
              <w:bottom w:val="single" w:sz="4" w:space="0" w:color="auto"/>
            </w:tcBorders>
            <w:vAlign w:val="center"/>
          </w:tcPr>
          <w:p w14:paraId="6C8EBEE2" w14:textId="77777777" w:rsidR="00A901B0"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B3DDA30" w14:textId="77777777" w:rsidR="00A901B0" w:rsidRPr="003549B4" w:rsidRDefault="00A901B0" w:rsidP="00603CC4">
            <w:pPr>
              <w:spacing w:after="0" w:line="240" w:lineRule="auto"/>
              <w:rPr>
                <w:rFonts w:ascii="Times New Roman" w:hAnsi="Times New Roman" w:cs="Times New Roman"/>
                <w:sz w:val="20"/>
                <w:szCs w:val="20"/>
              </w:rPr>
            </w:pPr>
          </w:p>
        </w:tc>
      </w:tr>
      <w:tr w:rsidR="00557F90" w:rsidRPr="003549B4" w14:paraId="50ED484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00A8CE0" w14:textId="77777777" w:rsidR="00A901B0" w:rsidRPr="003549B4" w:rsidRDefault="00A901B0"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O21</w:t>
            </w:r>
          </w:p>
        </w:tc>
        <w:tc>
          <w:tcPr>
            <w:tcW w:w="6287" w:type="dxa"/>
          </w:tcPr>
          <w:p w14:paraId="6FCB55BF" w14:textId="77777777" w:rsidR="00A901B0" w:rsidRPr="003549B4" w:rsidRDefault="00A901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21. „ťažký vykurovací olej“ je:</w:t>
            </w:r>
          </w:p>
          <w:p w14:paraId="66A58190" w14:textId="77777777" w:rsidR="00A901B0" w:rsidRPr="003549B4" w:rsidRDefault="00A901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a) každé kvapalné palivo získané z ropy, na ktoré sa vzťahujú číselné znaky KN 2710 19 51 až 2710 19 68, 2710 20 31, 2710 20 35 alebo 2710 20 39, alebo</w:t>
            </w:r>
          </w:p>
          <w:p w14:paraId="766850D8" w14:textId="77777777" w:rsidR="00A901B0" w:rsidRPr="003549B4" w:rsidRDefault="00A901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b) každé kvapalné palivo získané z ropy, iné ako plynový olej vymedzený v bode 19, ktoré z dôvodu svojho destilačného rozsahu patrí do kategórie ťažkých olejov určených na použitie ako palivo, z ktorého sa pri teplote 250 °C vydestiluje metódou ASTM D86 menej ako 65 % objemu (vrátane strát). Ak nie je možné vykonať destiláciu pomocou metódy ASTM D86, pokladá sa ropný produkt rovnako za ťažký vykurovací olej;</w:t>
            </w:r>
          </w:p>
        </w:tc>
        <w:tc>
          <w:tcPr>
            <w:tcW w:w="433" w:type="dxa"/>
          </w:tcPr>
          <w:p w14:paraId="1AF25F03" w14:textId="77777777" w:rsidR="00A901B0" w:rsidRPr="003549B4" w:rsidRDefault="00A901B0" w:rsidP="00A901B0">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5F33C955" w14:textId="77777777" w:rsidR="00A901B0" w:rsidRPr="003549B4" w:rsidRDefault="00A901B0"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60BFBA83" w14:textId="77777777" w:rsidR="00A901B0" w:rsidRPr="003549B4" w:rsidRDefault="00A901B0" w:rsidP="00F17024">
            <w:pPr>
              <w:spacing w:before="120" w:after="0" w:line="240" w:lineRule="auto"/>
              <w:ind w:right="-108"/>
              <w:rPr>
                <w:rFonts w:ascii="Times New Roman" w:hAnsi="Times New Roman" w:cs="Times New Roman"/>
                <w:sz w:val="20"/>
                <w:szCs w:val="20"/>
              </w:rPr>
            </w:pPr>
          </w:p>
        </w:tc>
        <w:tc>
          <w:tcPr>
            <w:tcW w:w="569" w:type="dxa"/>
          </w:tcPr>
          <w:p w14:paraId="36631E5D" w14:textId="77777777" w:rsidR="00AE1D13" w:rsidRPr="003549B4" w:rsidRDefault="00AE1D13"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8</w:t>
            </w:r>
          </w:p>
          <w:p w14:paraId="1390A968" w14:textId="77777777" w:rsidR="00AE1D13" w:rsidRPr="003549B4" w:rsidRDefault="00AE1D13"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2FBFC988" w14:textId="77777777" w:rsidR="00A901B0" w:rsidRPr="003549B4" w:rsidRDefault="00B7091B"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Po</w:t>
            </w:r>
            <w:r w:rsidR="00AE1D13" w:rsidRPr="003549B4">
              <w:rPr>
                <w:rFonts w:ascii="Times New Roman" w:hAnsi="Times New Roman" w:cs="Times New Roman"/>
                <w:sz w:val="20"/>
                <w:szCs w:val="20"/>
              </w:rPr>
              <w:t>)</w:t>
            </w:r>
          </w:p>
          <w:p w14:paraId="6BA33C92" w14:textId="77777777" w:rsidR="00A901B0" w:rsidRPr="003549B4" w:rsidRDefault="00A901B0" w:rsidP="00F17024">
            <w:pPr>
              <w:spacing w:before="120" w:after="0" w:line="240" w:lineRule="auto"/>
              <w:ind w:left="14" w:right="-9" w:hanging="29"/>
              <w:rPr>
                <w:rFonts w:ascii="Times New Roman" w:hAnsi="Times New Roman" w:cs="Times New Roman"/>
                <w:sz w:val="20"/>
                <w:szCs w:val="20"/>
              </w:rPr>
            </w:pPr>
          </w:p>
        </w:tc>
        <w:tc>
          <w:tcPr>
            <w:tcW w:w="6006" w:type="dxa"/>
          </w:tcPr>
          <w:p w14:paraId="7057A8E5" w14:textId="77777777" w:rsidR="00B7091B" w:rsidRPr="003549B4" w:rsidRDefault="00B7091B" w:rsidP="00B7091B">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o) ťažkým vykurovacím olejom</w:t>
            </w:r>
          </w:p>
          <w:p w14:paraId="6DF73CC5" w14:textId="77777777" w:rsidR="00B7091B" w:rsidRPr="003549B4" w:rsidRDefault="00B7091B" w:rsidP="00B7091B">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 kvapalné palivo získané z ropy, na ktoré sa vzťahujú číselné znaky KN 2710 19 51 až 2710 19 68, 2710 20 31, 2710 20 35 alebo 2710 20 39, alebo</w:t>
            </w:r>
          </w:p>
          <w:p w14:paraId="40E33AD7" w14:textId="77777777" w:rsidR="00A901B0" w:rsidRPr="003549B4" w:rsidRDefault="00B7091B" w:rsidP="00B7091B">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2. kvapalné palivo získané z ropy, iné ako plynový olej vymedzený v bode 19, ktoré z dôvodu svojho destilačného rozsahu patrí do kategórie ťažkých olejov určených na použitie ako palivo, z ktorého sa pri teplote 250 °C vydestiluje metódou ASTM D86 menej ako 65 % objemu vrátane strát. Ak nemožno vykonať destiláciu pomocou metódy ASTM D86, pokladá sa ropný produkt rovnako za ťažký vykurovací olej,</w:t>
            </w:r>
          </w:p>
        </w:tc>
        <w:tc>
          <w:tcPr>
            <w:tcW w:w="429" w:type="dxa"/>
            <w:tcBorders>
              <w:top w:val="single" w:sz="4" w:space="0" w:color="auto"/>
              <w:bottom w:val="single" w:sz="4" w:space="0" w:color="auto"/>
            </w:tcBorders>
            <w:vAlign w:val="center"/>
          </w:tcPr>
          <w:p w14:paraId="68552BE2" w14:textId="77777777" w:rsidR="00A901B0"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6817EE1" w14:textId="77777777" w:rsidR="00A901B0" w:rsidRPr="003549B4" w:rsidRDefault="00A901B0" w:rsidP="00603CC4">
            <w:pPr>
              <w:spacing w:after="0" w:line="240" w:lineRule="auto"/>
              <w:rPr>
                <w:rFonts w:ascii="Times New Roman" w:hAnsi="Times New Roman" w:cs="Times New Roman"/>
                <w:sz w:val="20"/>
                <w:szCs w:val="20"/>
              </w:rPr>
            </w:pPr>
          </w:p>
        </w:tc>
      </w:tr>
      <w:tr w:rsidR="00557F90" w:rsidRPr="003549B4" w14:paraId="5D830BB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9FB34D2" w14:textId="77777777" w:rsidR="00A901B0" w:rsidRPr="003549B4" w:rsidRDefault="00A901B0" w:rsidP="00045DB6">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O22</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A901B0" w:rsidRPr="003549B4" w14:paraId="04A9BB41" w14:textId="77777777">
              <w:trPr>
                <w:tblCellSpacing w:w="0" w:type="dxa"/>
              </w:trPr>
              <w:tc>
                <w:tcPr>
                  <w:tcW w:w="279" w:type="dxa"/>
                </w:tcPr>
                <w:p w14:paraId="75263261" w14:textId="77777777" w:rsidR="00A901B0" w:rsidRPr="003549B4" w:rsidRDefault="00A901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22</w:t>
                  </w:r>
                </w:p>
              </w:tc>
              <w:tc>
                <w:tcPr>
                  <w:tcW w:w="6591" w:type="dxa"/>
                </w:tcPr>
                <w:p w14:paraId="5567A820" w14:textId="77777777" w:rsidR="00A901B0" w:rsidRPr="003549B4" w:rsidRDefault="00A901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„prevádzkové hodiny“ je čas vyjadrený v hodinách, počas ktorého je spaľovacie zariadenie v prevádzke a vypúšťa do ovzdušia emisie, s výnimkou doby nábehu a odstavovania;</w:t>
                  </w:r>
                </w:p>
              </w:tc>
            </w:tr>
          </w:tbl>
          <w:p w14:paraId="7E81681A" w14:textId="77777777" w:rsidR="00A901B0" w:rsidRPr="003549B4" w:rsidRDefault="00A901B0" w:rsidP="00A901B0">
            <w:pPr>
              <w:spacing w:before="120" w:after="0" w:line="240" w:lineRule="auto"/>
              <w:rPr>
                <w:rFonts w:ascii="Times New Roman" w:hAnsi="Times New Roman" w:cs="Times New Roman"/>
                <w:sz w:val="20"/>
                <w:szCs w:val="20"/>
                <w:lang w:eastAsia="sk-SK"/>
              </w:rPr>
            </w:pPr>
          </w:p>
        </w:tc>
        <w:tc>
          <w:tcPr>
            <w:tcW w:w="433" w:type="dxa"/>
          </w:tcPr>
          <w:p w14:paraId="4583B630" w14:textId="77777777" w:rsidR="00A901B0" w:rsidRPr="003549B4" w:rsidRDefault="00A901B0" w:rsidP="00A901B0">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68F13C4E" w14:textId="77777777" w:rsidR="00A901B0" w:rsidRPr="003549B4" w:rsidRDefault="00A901B0"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09A3799F" w14:textId="77777777" w:rsidR="00A901B0" w:rsidRPr="003549B4" w:rsidRDefault="00A901B0" w:rsidP="00F17024">
            <w:pPr>
              <w:spacing w:before="120" w:after="0" w:line="240" w:lineRule="auto"/>
              <w:ind w:right="-108"/>
              <w:rPr>
                <w:rFonts w:ascii="Times New Roman" w:hAnsi="Times New Roman" w:cs="Times New Roman"/>
                <w:sz w:val="20"/>
                <w:szCs w:val="20"/>
              </w:rPr>
            </w:pPr>
          </w:p>
        </w:tc>
        <w:tc>
          <w:tcPr>
            <w:tcW w:w="569" w:type="dxa"/>
          </w:tcPr>
          <w:p w14:paraId="5F7D70D9" w14:textId="77777777" w:rsidR="00A901B0" w:rsidRPr="003549B4" w:rsidRDefault="004C19DF"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§2</w:t>
            </w:r>
          </w:p>
          <w:p w14:paraId="6A5F157D" w14:textId="77777777" w:rsidR="00A901B0" w:rsidRPr="003549B4" w:rsidRDefault="004C19DF"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Pg)</w:t>
            </w:r>
          </w:p>
        </w:tc>
        <w:tc>
          <w:tcPr>
            <w:tcW w:w="6006" w:type="dxa"/>
          </w:tcPr>
          <w:p w14:paraId="5CC84263" w14:textId="77777777" w:rsidR="00A901B0" w:rsidRPr="003549B4" w:rsidRDefault="004C19DF" w:rsidP="004C19DF">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g) prevádzkovými hodinami čas vyjadrený v hodinách, počas ktorého je zariadenie alebo jeho časť v prevádzke a vypúšťa emisie do ovzdušia okrem nábehu a odstavovania,</w:t>
            </w:r>
          </w:p>
        </w:tc>
        <w:tc>
          <w:tcPr>
            <w:tcW w:w="429" w:type="dxa"/>
            <w:tcBorders>
              <w:top w:val="single" w:sz="4" w:space="0" w:color="auto"/>
              <w:bottom w:val="single" w:sz="4" w:space="0" w:color="auto"/>
            </w:tcBorders>
            <w:vAlign w:val="center"/>
          </w:tcPr>
          <w:p w14:paraId="09A7B1FA" w14:textId="77777777" w:rsidR="00A901B0" w:rsidRPr="003549B4" w:rsidRDefault="005F345C"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0163676A" w14:textId="77777777" w:rsidR="00A901B0" w:rsidRPr="003549B4" w:rsidRDefault="00A901B0" w:rsidP="00603CC4">
            <w:pPr>
              <w:spacing w:after="0" w:line="240" w:lineRule="auto"/>
              <w:rPr>
                <w:rFonts w:ascii="Times New Roman" w:hAnsi="Times New Roman" w:cs="Times New Roman"/>
                <w:sz w:val="20"/>
                <w:szCs w:val="20"/>
              </w:rPr>
            </w:pPr>
          </w:p>
        </w:tc>
      </w:tr>
      <w:tr w:rsidR="00557F90" w:rsidRPr="003549B4" w14:paraId="4981843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764A2BB" w14:textId="77777777" w:rsidR="00A901B0" w:rsidRPr="003549B4" w:rsidRDefault="00A901B0" w:rsidP="00045DB6">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O23</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A901B0" w:rsidRPr="003549B4" w14:paraId="071B1779" w14:textId="77777777">
              <w:trPr>
                <w:tblCellSpacing w:w="0" w:type="dxa"/>
              </w:trPr>
              <w:tc>
                <w:tcPr>
                  <w:tcW w:w="279" w:type="dxa"/>
                </w:tcPr>
                <w:p w14:paraId="3AC39090" w14:textId="77777777" w:rsidR="00A901B0" w:rsidRPr="003549B4" w:rsidRDefault="00A901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23</w:t>
                  </w:r>
                </w:p>
              </w:tc>
              <w:tc>
                <w:tcPr>
                  <w:tcW w:w="6591" w:type="dxa"/>
                </w:tcPr>
                <w:p w14:paraId="7B8DB9BA" w14:textId="77777777" w:rsidR="00A901B0" w:rsidRPr="003549B4" w:rsidRDefault="00A901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„prevádzkovateľ“ je akákoľvek fyzická alebo právnická osoba, ktorá prevádzkuje alebo riadi spaľovacie zariadenie alebo, ak je to stanovené vo vnútroštátnych právnych predpisoch, osoba, na ktorú bola prenesená hospodárska právomoc rozhodovať o technickom fungovaní zariadenia;</w:t>
                  </w:r>
                </w:p>
              </w:tc>
            </w:tr>
          </w:tbl>
          <w:p w14:paraId="35603D06" w14:textId="77777777" w:rsidR="00A901B0" w:rsidRPr="003549B4" w:rsidRDefault="00A901B0" w:rsidP="00A901B0">
            <w:pPr>
              <w:spacing w:before="120" w:after="0" w:line="240" w:lineRule="auto"/>
              <w:rPr>
                <w:rFonts w:ascii="Times New Roman" w:hAnsi="Times New Roman" w:cs="Times New Roman"/>
                <w:sz w:val="20"/>
                <w:szCs w:val="20"/>
                <w:lang w:eastAsia="sk-SK"/>
              </w:rPr>
            </w:pPr>
          </w:p>
        </w:tc>
        <w:tc>
          <w:tcPr>
            <w:tcW w:w="433" w:type="dxa"/>
          </w:tcPr>
          <w:p w14:paraId="4811CE45" w14:textId="77777777" w:rsidR="00A901B0" w:rsidRPr="003549B4" w:rsidRDefault="00A901B0" w:rsidP="00A901B0">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6E2304A8" w14:textId="77777777" w:rsidR="00A901B0" w:rsidRPr="003549B4" w:rsidRDefault="00E17FCE"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6A4B80D0" w14:textId="77777777" w:rsidR="008F20B8" w:rsidRPr="003549B4" w:rsidRDefault="008F20B8"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2 O1</w:t>
            </w:r>
          </w:p>
          <w:p w14:paraId="507687D5" w14:textId="20A16279" w:rsidR="00A901B0" w:rsidRPr="003549B4" w:rsidRDefault="008F20B8"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Pp</w:t>
            </w:r>
            <w:r w:rsidR="00A901B0" w:rsidRPr="003549B4">
              <w:rPr>
                <w:rFonts w:ascii="Times New Roman" w:hAnsi="Times New Roman" w:cs="Times New Roman"/>
                <w:sz w:val="20"/>
                <w:szCs w:val="20"/>
              </w:rPr>
              <w:t>)</w:t>
            </w:r>
          </w:p>
        </w:tc>
        <w:tc>
          <w:tcPr>
            <w:tcW w:w="6006" w:type="dxa"/>
            <w:vAlign w:val="center"/>
          </w:tcPr>
          <w:p w14:paraId="638329C3" w14:textId="77777777" w:rsidR="008F20B8" w:rsidRPr="003549B4" w:rsidRDefault="008F20B8" w:rsidP="00A901B0">
            <w:pPr>
              <w:spacing w:before="120" w:after="0" w:line="240" w:lineRule="auto"/>
              <w:ind w:left="5"/>
              <w:jc w:val="both"/>
              <w:rPr>
                <w:rFonts w:ascii="Times New Roman" w:hAnsi="Times New Roman" w:cs="Times New Roman"/>
                <w:sz w:val="20"/>
                <w:szCs w:val="20"/>
              </w:rPr>
            </w:pPr>
            <w:r w:rsidRPr="003549B4">
              <w:rPr>
                <w:rFonts w:ascii="Times New Roman" w:hAnsi="Times New Roman" w:cs="Times New Roman"/>
                <w:sz w:val="20"/>
                <w:szCs w:val="20"/>
              </w:rPr>
              <w:t>(1)</w:t>
            </w:r>
            <w:r w:rsidRPr="003549B4">
              <w:rPr>
                <w:rFonts w:ascii="Times New Roman" w:hAnsi="Times New Roman" w:cs="Times New Roman"/>
                <w:sz w:val="20"/>
                <w:szCs w:val="20"/>
              </w:rPr>
              <w:tab/>
              <w:t>Na účely tohto zákona sa rozumie</w:t>
            </w:r>
          </w:p>
          <w:p w14:paraId="6E45D84F" w14:textId="69D9CC65" w:rsidR="00DD0ACB" w:rsidRPr="003549B4" w:rsidRDefault="008F20B8" w:rsidP="00A901B0">
            <w:pPr>
              <w:spacing w:before="120" w:after="0" w:line="240" w:lineRule="auto"/>
              <w:ind w:left="5"/>
              <w:jc w:val="both"/>
              <w:rPr>
                <w:rFonts w:ascii="Times New Roman" w:hAnsi="Times New Roman" w:cs="Times New Roman"/>
                <w:sz w:val="20"/>
                <w:szCs w:val="20"/>
              </w:rPr>
            </w:pPr>
            <w:r w:rsidRPr="003549B4">
              <w:rPr>
                <w:rFonts w:ascii="Times New Roman" w:hAnsi="Times New Roman" w:cs="Times New Roman"/>
                <w:sz w:val="20"/>
                <w:szCs w:val="20"/>
              </w:rPr>
              <w:t>p</w:t>
            </w:r>
            <w:r w:rsidR="00DD0ACB" w:rsidRPr="003549B4">
              <w:rPr>
                <w:rFonts w:ascii="Times New Roman" w:hAnsi="Times New Roman" w:cs="Times New Roman"/>
                <w:sz w:val="20"/>
                <w:szCs w:val="20"/>
              </w:rPr>
              <w:t>)</w:t>
            </w:r>
            <w:r w:rsidR="00DD0ACB" w:rsidRPr="003549B4">
              <w:rPr>
                <w:rFonts w:ascii="Times New Roman" w:hAnsi="Times New Roman" w:cs="Times New Roman"/>
                <w:sz w:val="20"/>
                <w:szCs w:val="20"/>
              </w:rPr>
              <w:tab/>
              <w:t xml:space="preserve">prevádzkovateľom je osoba, ktorá má právo prevádzkovať alebo riadiť daný stacionárny zdroj alebo jeho časť. Ak táto osoba nie je </w:t>
            </w:r>
            <w:r w:rsidR="00DD0ACB" w:rsidRPr="003549B4">
              <w:rPr>
                <w:rFonts w:ascii="Times New Roman" w:hAnsi="Times New Roman" w:cs="Times New Roman"/>
                <w:sz w:val="20"/>
                <w:szCs w:val="20"/>
              </w:rPr>
              <w:lastRenderedPageBreak/>
              <w:t xml:space="preserve">známa, za prevádzkovateľa sa považuje vlastník zdroja. Ak ide o vlastníkov bytov a nebytových priestorov, v mene ktorých koná správca, </w:t>
            </w:r>
            <w:r w:rsidR="00DD0ACB" w:rsidRPr="003549B4">
              <w:rPr>
                <w:rFonts w:ascii="Times New Roman" w:hAnsi="Times New Roman" w:cs="Times New Roman"/>
                <w:sz w:val="20"/>
                <w:szCs w:val="20"/>
                <w:vertAlign w:val="superscript"/>
              </w:rPr>
              <w:t>6</w:t>
            </w:r>
            <w:r w:rsidR="00DD0ACB" w:rsidRPr="003549B4">
              <w:rPr>
                <w:rFonts w:ascii="Times New Roman" w:hAnsi="Times New Roman" w:cs="Times New Roman"/>
                <w:sz w:val="20"/>
                <w:szCs w:val="20"/>
              </w:rPr>
              <w:t>) tento sa považuje za prevádzkovateľa zdroja,</w:t>
            </w:r>
          </w:p>
          <w:p w14:paraId="0888380D" w14:textId="77777777" w:rsidR="00A901B0" w:rsidRPr="003549B4" w:rsidRDefault="00F80D17" w:rsidP="00F80D17">
            <w:pPr>
              <w:spacing w:before="120" w:after="0" w:line="240" w:lineRule="auto"/>
              <w:ind w:left="5"/>
              <w:jc w:val="both"/>
              <w:rPr>
                <w:rFonts w:ascii="Times New Roman" w:hAnsi="Times New Roman" w:cs="Times New Roman"/>
                <w:sz w:val="20"/>
                <w:szCs w:val="20"/>
              </w:rPr>
            </w:pPr>
            <w:r w:rsidRPr="003549B4">
              <w:rPr>
                <w:rFonts w:ascii="Times New Roman" w:hAnsi="Times New Roman" w:cs="Times New Roman"/>
                <w:sz w:val="20"/>
                <w:szCs w:val="20"/>
              </w:rPr>
              <w:t xml:space="preserve"> </w:t>
            </w:r>
            <w:r w:rsidRPr="003549B4">
              <w:rPr>
                <w:rFonts w:ascii="Times New Roman" w:hAnsi="Times New Roman" w:cs="Times New Roman"/>
                <w:sz w:val="20"/>
                <w:szCs w:val="20"/>
                <w:vertAlign w:val="superscript"/>
              </w:rPr>
              <w:t>6</w:t>
            </w:r>
            <w:r w:rsidRPr="003549B4">
              <w:rPr>
                <w:rFonts w:ascii="Times New Roman" w:hAnsi="Times New Roman" w:cs="Times New Roman"/>
                <w:sz w:val="20"/>
                <w:szCs w:val="20"/>
              </w:rPr>
              <w:t>) § 9 ods. 7 zákona Národnej rady Slovenskej republiky č. 182/1993 Z. z. o vlastníctve bytov a nebytových priestorov v znení neskorších predpisov</w:t>
            </w:r>
          </w:p>
        </w:tc>
        <w:tc>
          <w:tcPr>
            <w:tcW w:w="429" w:type="dxa"/>
            <w:tcBorders>
              <w:top w:val="single" w:sz="4" w:space="0" w:color="auto"/>
              <w:bottom w:val="single" w:sz="4" w:space="0" w:color="auto"/>
            </w:tcBorders>
            <w:vAlign w:val="center"/>
          </w:tcPr>
          <w:p w14:paraId="6CDB0D2F" w14:textId="77777777" w:rsidR="00A901B0" w:rsidRPr="003549B4" w:rsidRDefault="008147DE"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2A95A256" w14:textId="77777777" w:rsidR="00A901B0" w:rsidRPr="003549B4" w:rsidRDefault="00A901B0" w:rsidP="00603CC4">
            <w:pPr>
              <w:spacing w:after="0" w:line="240" w:lineRule="auto"/>
              <w:rPr>
                <w:rFonts w:ascii="Times New Roman" w:hAnsi="Times New Roman" w:cs="Times New Roman"/>
                <w:sz w:val="20"/>
                <w:szCs w:val="20"/>
              </w:rPr>
            </w:pPr>
          </w:p>
        </w:tc>
      </w:tr>
      <w:tr w:rsidR="00557F90" w:rsidRPr="003549B4" w14:paraId="1530DA9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8B972E5" w14:textId="77777777" w:rsidR="00A901B0" w:rsidRPr="003549B4" w:rsidRDefault="00A901B0"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O24</w:t>
            </w:r>
          </w:p>
        </w:tc>
        <w:tc>
          <w:tcPr>
            <w:tcW w:w="6287" w:type="dxa"/>
          </w:tcPr>
          <w:tbl>
            <w:tblPr>
              <w:tblW w:w="5000" w:type="pct"/>
              <w:tblCellSpacing w:w="0" w:type="dxa"/>
              <w:tblLayout w:type="fixed"/>
              <w:tblCellMar>
                <w:left w:w="0" w:type="dxa"/>
                <w:right w:w="0" w:type="dxa"/>
              </w:tblCellMar>
              <w:tblLook w:val="00A0" w:firstRow="1" w:lastRow="0" w:firstColumn="1" w:lastColumn="0" w:noHBand="0" w:noVBand="0"/>
            </w:tblPr>
            <w:tblGrid>
              <w:gridCol w:w="247"/>
              <w:gridCol w:w="5766"/>
            </w:tblGrid>
            <w:tr w:rsidR="00A901B0" w:rsidRPr="003549B4" w14:paraId="25B618DB" w14:textId="77777777">
              <w:trPr>
                <w:tblCellSpacing w:w="0" w:type="dxa"/>
              </w:trPr>
              <w:tc>
                <w:tcPr>
                  <w:tcW w:w="279" w:type="dxa"/>
                </w:tcPr>
                <w:p w14:paraId="4D7970EA" w14:textId="77777777" w:rsidR="00A901B0" w:rsidRPr="003549B4" w:rsidRDefault="00A901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24</w:t>
                  </w:r>
                </w:p>
              </w:tc>
              <w:tc>
                <w:tcPr>
                  <w:tcW w:w="6591" w:type="dxa"/>
                </w:tcPr>
                <w:p w14:paraId="46EDA3EA" w14:textId="77777777" w:rsidR="00A901B0" w:rsidRPr="003549B4" w:rsidRDefault="00A901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„zóna“ je časť územia členského štátu, ktorú tento členský štát vymedzil na účely posúdenia a riadenia kvality ovzdušia, ako sa stanovuje v smernici 2008/50/ES.</w:t>
                  </w:r>
                </w:p>
              </w:tc>
            </w:tr>
          </w:tbl>
          <w:p w14:paraId="55E46306" w14:textId="77777777" w:rsidR="00A901B0" w:rsidRPr="003549B4" w:rsidRDefault="00A901B0" w:rsidP="00A901B0">
            <w:pPr>
              <w:spacing w:before="120" w:after="0" w:line="240" w:lineRule="auto"/>
              <w:rPr>
                <w:rFonts w:ascii="Times New Roman" w:hAnsi="Times New Roman" w:cs="Times New Roman"/>
                <w:sz w:val="20"/>
                <w:szCs w:val="20"/>
                <w:lang w:eastAsia="sk-SK"/>
              </w:rPr>
            </w:pPr>
          </w:p>
        </w:tc>
        <w:tc>
          <w:tcPr>
            <w:tcW w:w="433" w:type="dxa"/>
          </w:tcPr>
          <w:p w14:paraId="35B7B260" w14:textId="77777777" w:rsidR="00A901B0" w:rsidRPr="003549B4" w:rsidRDefault="00A901B0" w:rsidP="00A901B0">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6342D481" w14:textId="77777777" w:rsidR="00A901B0" w:rsidRPr="003549B4" w:rsidRDefault="00E17FCE"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15DF4B95" w14:textId="77777777" w:rsidR="00A901B0" w:rsidRPr="003549B4" w:rsidRDefault="00A901B0"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§4 O3 Pa)</w:t>
            </w:r>
          </w:p>
        </w:tc>
        <w:tc>
          <w:tcPr>
            <w:tcW w:w="6006" w:type="dxa"/>
            <w:vAlign w:val="center"/>
          </w:tcPr>
          <w:p w14:paraId="32634A21" w14:textId="77777777" w:rsidR="00A901B0" w:rsidRPr="003549B4" w:rsidRDefault="00A901B0" w:rsidP="00A901B0">
            <w:pPr>
              <w:spacing w:before="120" w:after="0" w:line="240" w:lineRule="auto"/>
              <w:ind w:firstLine="5"/>
              <w:rPr>
                <w:rFonts w:ascii="Times New Roman" w:hAnsi="Times New Roman" w:cs="Times New Roman"/>
                <w:sz w:val="20"/>
                <w:szCs w:val="20"/>
              </w:rPr>
            </w:pPr>
            <w:r w:rsidRPr="003549B4">
              <w:rPr>
                <w:rFonts w:ascii="Times New Roman" w:hAnsi="Times New Roman" w:cs="Times New Roman"/>
                <w:sz w:val="20"/>
                <w:szCs w:val="20"/>
              </w:rPr>
              <w:t>(3) Územie Slovenskej republiky sa člení na zóny a aglomerácie tak, ako to ustanovu</w:t>
            </w:r>
            <w:r w:rsidR="00F80D17" w:rsidRPr="003549B4">
              <w:rPr>
                <w:rFonts w:ascii="Times New Roman" w:hAnsi="Times New Roman" w:cs="Times New Roman"/>
                <w:sz w:val="20"/>
                <w:szCs w:val="20"/>
              </w:rPr>
              <w:t>je vykonávací predpis podľa § 62</w:t>
            </w:r>
            <w:r w:rsidRPr="003549B4">
              <w:rPr>
                <w:rFonts w:ascii="Times New Roman" w:hAnsi="Times New Roman" w:cs="Times New Roman"/>
                <w:sz w:val="20"/>
                <w:szCs w:val="20"/>
              </w:rPr>
              <w:t xml:space="preserve"> písm. c), pričom </w:t>
            </w:r>
          </w:p>
          <w:p w14:paraId="261F93E7" w14:textId="77777777" w:rsidR="00A901B0" w:rsidRPr="003549B4" w:rsidRDefault="00A901B0" w:rsidP="00A901B0">
            <w:pPr>
              <w:tabs>
                <w:tab w:val="left" w:pos="993"/>
                <w:tab w:val="left" w:pos="1134"/>
              </w:tabs>
              <w:spacing w:before="120" w:after="0" w:line="240" w:lineRule="auto"/>
              <w:ind w:firstLine="5"/>
              <w:jc w:val="both"/>
              <w:rPr>
                <w:rFonts w:ascii="Times New Roman" w:hAnsi="Times New Roman" w:cs="Times New Roman"/>
                <w:sz w:val="20"/>
                <w:szCs w:val="20"/>
              </w:rPr>
            </w:pPr>
            <w:r w:rsidRPr="003549B4">
              <w:rPr>
                <w:rFonts w:ascii="Times New Roman" w:hAnsi="Times New Roman" w:cs="Times New Roman"/>
                <w:sz w:val="20"/>
                <w:szCs w:val="20"/>
              </w:rPr>
              <w:t>a) zónou je časť územia vymedzená na účely hodnotenia a riadenia kvality ovzdušia,</w:t>
            </w:r>
          </w:p>
        </w:tc>
        <w:tc>
          <w:tcPr>
            <w:tcW w:w="429" w:type="dxa"/>
            <w:tcBorders>
              <w:top w:val="single" w:sz="4" w:space="0" w:color="auto"/>
            </w:tcBorders>
            <w:vAlign w:val="center"/>
          </w:tcPr>
          <w:p w14:paraId="2479DC70" w14:textId="77777777" w:rsidR="00A901B0" w:rsidRPr="003549B4" w:rsidRDefault="008147DE"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tcBorders>
            <w:vAlign w:val="center"/>
          </w:tcPr>
          <w:p w14:paraId="720A6E28" w14:textId="77777777" w:rsidR="00A901B0" w:rsidRPr="003549B4" w:rsidRDefault="00A901B0" w:rsidP="00603CC4">
            <w:pPr>
              <w:spacing w:after="0" w:line="240" w:lineRule="auto"/>
              <w:rPr>
                <w:rFonts w:ascii="Times New Roman" w:hAnsi="Times New Roman" w:cs="Times New Roman"/>
                <w:sz w:val="20"/>
                <w:szCs w:val="20"/>
              </w:rPr>
            </w:pPr>
          </w:p>
        </w:tc>
      </w:tr>
      <w:tr w:rsidR="00557F90" w:rsidRPr="003549B4" w14:paraId="4774056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0E3E6F42" w14:textId="77777777" w:rsidR="001C37B0" w:rsidRPr="003549B4" w:rsidRDefault="001C37B0"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Č.4</w:t>
            </w:r>
          </w:p>
        </w:tc>
        <w:tc>
          <w:tcPr>
            <w:tcW w:w="6287" w:type="dxa"/>
          </w:tcPr>
          <w:p w14:paraId="0C3EE463" w14:textId="77777777" w:rsidR="001C37B0" w:rsidRPr="003549B4" w:rsidRDefault="001C37B0" w:rsidP="001B1D25">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Agregácia</w:t>
            </w:r>
          </w:p>
          <w:p w14:paraId="63CC6049" w14:textId="77777777" w:rsidR="001C37B0" w:rsidRPr="003549B4" w:rsidRDefault="001C37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Kombinácia dvoch alebo viacerých nových stredne veľkých spaľovacích zariadení sa na účely tejto smernice považuje za jedno stredne veľké spaľovacie zariadenie a ich menovitý tepelný príkon sa sčítava na účely výpočtu celkového menovitého tepelného príkonu zariadenia, ak: </w:t>
            </w:r>
          </w:p>
          <w:p w14:paraId="3296C4CF" w14:textId="77777777" w:rsidR="001C37B0" w:rsidRPr="003549B4" w:rsidRDefault="001C37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 sa odpadové plyny takýchto stredne veľkých spaľovacích zariadení vypúšťajú spoločným komínom alebo </w:t>
            </w:r>
          </w:p>
          <w:p w14:paraId="5D090F71" w14:textId="77777777" w:rsidR="001C37B0" w:rsidRPr="003549B4" w:rsidRDefault="001C37B0" w:rsidP="00A901B0">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vzhľadom na technické a ekonomické faktory by sa odpadové plyny takýchto stredne veľkých spaľovacích zariadení mohli vypúšťať spoločným komínom, a to podľa posúdenia príslušného orgánu.</w:t>
            </w:r>
          </w:p>
        </w:tc>
        <w:tc>
          <w:tcPr>
            <w:tcW w:w="433" w:type="dxa"/>
          </w:tcPr>
          <w:p w14:paraId="3FA23E83" w14:textId="77777777" w:rsidR="001C37B0" w:rsidRPr="003549B4" w:rsidRDefault="001C37B0" w:rsidP="0075439B">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4E4506F9" w14:textId="77777777" w:rsidR="001C37B0" w:rsidRPr="003549B4" w:rsidRDefault="001C37B0"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49296110" w14:textId="77777777" w:rsidR="001C37B0" w:rsidRPr="003549B4" w:rsidRDefault="001C37B0" w:rsidP="00F17024">
            <w:pPr>
              <w:spacing w:before="120" w:after="0" w:line="240" w:lineRule="auto"/>
              <w:ind w:right="-108"/>
              <w:rPr>
                <w:rFonts w:ascii="Times New Roman" w:hAnsi="Times New Roman" w:cs="Times New Roman"/>
                <w:sz w:val="20"/>
                <w:szCs w:val="20"/>
              </w:rPr>
            </w:pPr>
          </w:p>
        </w:tc>
        <w:tc>
          <w:tcPr>
            <w:tcW w:w="569" w:type="dxa"/>
          </w:tcPr>
          <w:p w14:paraId="537D7E26" w14:textId="77777777" w:rsidR="001C37B0" w:rsidRPr="003549B4" w:rsidRDefault="004C19DF"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Pr.4</w:t>
            </w:r>
          </w:p>
          <w:p w14:paraId="105D61C2" w14:textId="77777777" w:rsidR="001C37B0" w:rsidRPr="003549B4" w:rsidRDefault="004C19DF" w:rsidP="00464474">
            <w:pPr>
              <w:spacing w:before="120" w:after="0" w:line="240" w:lineRule="auto"/>
              <w:ind w:left="10" w:right="-104" w:hanging="25"/>
              <w:rPr>
                <w:rFonts w:ascii="Times New Roman" w:hAnsi="Times New Roman" w:cs="Times New Roman"/>
                <w:sz w:val="20"/>
                <w:szCs w:val="20"/>
              </w:rPr>
            </w:pPr>
            <w:r w:rsidRPr="003549B4">
              <w:rPr>
                <w:rFonts w:ascii="Times New Roman" w:hAnsi="Times New Roman" w:cs="Times New Roman"/>
                <w:sz w:val="20"/>
                <w:szCs w:val="20"/>
              </w:rPr>
              <w:t>Časť I.</w:t>
            </w:r>
          </w:p>
          <w:p w14:paraId="697BFCCE" w14:textId="77777777" w:rsidR="004C19DF" w:rsidRPr="003549B4" w:rsidRDefault="004C19DF"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Bod2.2</w:t>
            </w:r>
          </w:p>
        </w:tc>
        <w:tc>
          <w:tcPr>
            <w:tcW w:w="6006" w:type="dxa"/>
          </w:tcPr>
          <w:p w14:paraId="549E66EB" w14:textId="77777777" w:rsidR="004C19DF" w:rsidRPr="003549B4" w:rsidRDefault="004C19DF" w:rsidP="004C19DF">
            <w:pPr>
              <w:spacing w:before="120" w:after="0" w:line="240" w:lineRule="auto"/>
              <w:ind w:left="289" w:hanging="289"/>
              <w:rPr>
                <w:rFonts w:ascii="Times New Roman" w:hAnsi="Times New Roman" w:cs="Times New Roman"/>
                <w:sz w:val="20"/>
                <w:szCs w:val="20"/>
              </w:rPr>
            </w:pPr>
            <w:r w:rsidRPr="003549B4">
              <w:rPr>
                <w:rFonts w:ascii="Times New Roman" w:hAnsi="Times New Roman" w:cs="Times New Roman"/>
                <w:sz w:val="20"/>
                <w:szCs w:val="20"/>
              </w:rPr>
              <w:t>2.2 Za väčšie stredné spaľovacie zariadenie sa tiež považuje zariadenie zložené z dvoch alebo viacerých nových spaľovacích jednotiek, ak</w:t>
            </w:r>
          </w:p>
          <w:p w14:paraId="5BDF176B" w14:textId="77777777" w:rsidR="004C19DF" w:rsidRPr="003549B4" w:rsidRDefault="004C19DF" w:rsidP="004C19DF">
            <w:pPr>
              <w:pStyle w:val="Odsekzoznamu1"/>
              <w:ind w:left="142" w:hanging="142"/>
              <w:jc w:val="left"/>
              <w:rPr>
                <w:sz w:val="20"/>
                <w:szCs w:val="20"/>
              </w:rPr>
            </w:pPr>
            <w:r w:rsidRPr="003549B4">
              <w:rPr>
                <w:sz w:val="20"/>
                <w:szCs w:val="20"/>
              </w:rPr>
              <w:t>a) ich odpadové plyny sú vypúšťané cez spoločný komín, alebo</w:t>
            </w:r>
          </w:p>
          <w:p w14:paraId="189239BE" w14:textId="77777777" w:rsidR="001C37B0" w:rsidRPr="003549B4" w:rsidRDefault="004C19DF" w:rsidP="004C19DF">
            <w:pPr>
              <w:pStyle w:val="Odsekzoznamu1"/>
              <w:ind w:left="142" w:hanging="142"/>
              <w:jc w:val="left"/>
              <w:rPr>
                <w:sz w:val="20"/>
                <w:szCs w:val="20"/>
              </w:rPr>
            </w:pPr>
            <w:r w:rsidRPr="003549B4">
              <w:rPr>
                <w:sz w:val="20"/>
                <w:szCs w:val="20"/>
              </w:rPr>
              <w:t>b) ak podľa posúdenia príslušného správneho orgánu po zohľadnení technických a ekonomických faktorov by mohli byť vypúšťané odpadové plyny spoločným komínom.</w:t>
            </w:r>
          </w:p>
        </w:tc>
        <w:tc>
          <w:tcPr>
            <w:tcW w:w="429" w:type="dxa"/>
            <w:tcBorders>
              <w:bottom w:val="single" w:sz="4" w:space="0" w:color="auto"/>
            </w:tcBorders>
            <w:vAlign w:val="center"/>
          </w:tcPr>
          <w:p w14:paraId="3CBDE7A5" w14:textId="77777777" w:rsidR="001C37B0" w:rsidRPr="003549B4" w:rsidRDefault="008147DE"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bottom w:val="single" w:sz="4" w:space="0" w:color="auto"/>
            </w:tcBorders>
            <w:vAlign w:val="center"/>
          </w:tcPr>
          <w:p w14:paraId="5C6C7291" w14:textId="77777777" w:rsidR="001C37B0" w:rsidRPr="003549B4" w:rsidRDefault="001C37B0" w:rsidP="00603CC4">
            <w:pPr>
              <w:spacing w:after="0" w:line="240" w:lineRule="auto"/>
              <w:rPr>
                <w:rFonts w:ascii="Times New Roman" w:hAnsi="Times New Roman" w:cs="Times New Roman"/>
                <w:sz w:val="20"/>
                <w:szCs w:val="20"/>
              </w:rPr>
            </w:pPr>
          </w:p>
        </w:tc>
      </w:tr>
      <w:tr w:rsidR="00557F90" w:rsidRPr="003549B4" w14:paraId="0671B619" w14:textId="77777777" w:rsidTr="00E50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490053BA" w14:textId="77777777" w:rsidR="001C37B0" w:rsidRPr="003549B4" w:rsidRDefault="001C37B0" w:rsidP="00165BD8">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Č5</w:t>
            </w:r>
          </w:p>
        </w:tc>
        <w:tc>
          <w:tcPr>
            <w:tcW w:w="6287" w:type="dxa"/>
            <w:tcBorders>
              <w:bottom w:val="single" w:sz="4" w:space="0" w:color="auto"/>
            </w:tcBorders>
          </w:tcPr>
          <w:p w14:paraId="2C98E475" w14:textId="77777777" w:rsidR="001C37B0" w:rsidRPr="003549B4" w:rsidRDefault="001C37B0" w:rsidP="001C37B0">
            <w:pPr>
              <w:spacing w:before="120" w:after="0" w:line="360" w:lineRule="auto"/>
              <w:rPr>
                <w:rFonts w:ascii="Times New Roman" w:hAnsi="Times New Roman" w:cs="Times New Roman"/>
                <w:sz w:val="20"/>
                <w:szCs w:val="20"/>
                <w:lang w:eastAsia="sk-SK"/>
              </w:rPr>
            </w:pPr>
            <w:r w:rsidRPr="003549B4">
              <w:rPr>
                <w:rFonts w:ascii="Times New Roman" w:hAnsi="Times New Roman" w:cs="Times New Roman"/>
                <w:sz w:val="20"/>
                <w:szCs w:val="20"/>
              </w:rPr>
              <w:t>Povolenia a registrácia</w:t>
            </w:r>
          </w:p>
        </w:tc>
        <w:tc>
          <w:tcPr>
            <w:tcW w:w="433" w:type="dxa"/>
            <w:tcBorders>
              <w:bottom w:val="single" w:sz="4" w:space="0" w:color="auto"/>
            </w:tcBorders>
          </w:tcPr>
          <w:p w14:paraId="008126D6" w14:textId="77777777" w:rsidR="001C37B0" w:rsidRPr="003549B4" w:rsidRDefault="001C37B0" w:rsidP="001C37B0">
            <w:pPr>
              <w:spacing w:before="120" w:after="0" w:line="360" w:lineRule="auto"/>
              <w:rPr>
                <w:rFonts w:ascii="Times New Roman" w:hAnsi="Times New Roman" w:cs="Times New Roman"/>
                <w:sz w:val="20"/>
                <w:szCs w:val="20"/>
              </w:rPr>
            </w:pPr>
          </w:p>
        </w:tc>
        <w:tc>
          <w:tcPr>
            <w:tcW w:w="572" w:type="dxa"/>
            <w:tcBorders>
              <w:bottom w:val="single" w:sz="4" w:space="0" w:color="auto"/>
            </w:tcBorders>
          </w:tcPr>
          <w:p w14:paraId="75BB9A68" w14:textId="77777777" w:rsidR="001C37B0" w:rsidRPr="003549B4" w:rsidRDefault="00E17FCE" w:rsidP="00F17024">
            <w:pPr>
              <w:spacing w:before="120" w:after="0" w:line="36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Borders>
              <w:bottom w:val="single" w:sz="4" w:space="0" w:color="auto"/>
            </w:tcBorders>
          </w:tcPr>
          <w:p w14:paraId="391F909A" w14:textId="77777777" w:rsidR="001C37B0" w:rsidRPr="003549B4" w:rsidRDefault="001C37B0" w:rsidP="00F17024">
            <w:pPr>
              <w:spacing w:before="120" w:after="0" w:line="360" w:lineRule="auto"/>
              <w:ind w:left="14" w:right="-9" w:hanging="29"/>
              <w:rPr>
                <w:rFonts w:ascii="Times New Roman" w:hAnsi="Times New Roman" w:cs="Times New Roman"/>
                <w:strike/>
                <w:sz w:val="20"/>
                <w:szCs w:val="20"/>
              </w:rPr>
            </w:pPr>
            <w:r w:rsidRPr="003549B4">
              <w:rPr>
                <w:rFonts w:ascii="Times New Roman" w:hAnsi="Times New Roman" w:cs="Times New Roman"/>
                <w:sz w:val="20"/>
                <w:szCs w:val="20"/>
              </w:rPr>
              <w:t>§27</w:t>
            </w:r>
          </w:p>
        </w:tc>
        <w:tc>
          <w:tcPr>
            <w:tcW w:w="6006" w:type="dxa"/>
            <w:tcBorders>
              <w:bottom w:val="single" w:sz="4" w:space="0" w:color="auto"/>
            </w:tcBorders>
            <w:vAlign w:val="center"/>
          </w:tcPr>
          <w:p w14:paraId="0AFB3CE4" w14:textId="77777777" w:rsidR="001C37B0" w:rsidRPr="003549B4" w:rsidRDefault="001C37B0" w:rsidP="001C37B0">
            <w:pPr>
              <w:spacing w:before="120" w:after="0" w:line="360" w:lineRule="auto"/>
              <w:rPr>
                <w:rFonts w:ascii="Times New Roman" w:hAnsi="Times New Roman" w:cs="Times New Roman"/>
                <w:strike/>
                <w:sz w:val="20"/>
                <w:szCs w:val="20"/>
              </w:rPr>
            </w:pPr>
            <w:r w:rsidRPr="003549B4">
              <w:rPr>
                <w:rFonts w:ascii="Times New Roman" w:hAnsi="Times New Roman" w:cs="Times New Roman"/>
                <w:sz w:val="20"/>
                <w:szCs w:val="20"/>
              </w:rPr>
              <w:t>Povolenie stacionárneho zdroja a jeho zmeny</w:t>
            </w:r>
          </w:p>
        </w:tc>
        <w:tc>
          <w:tcPr>
            <w:tcW w:w="429" w:type="dxa"/>
            <w:tcBorders>
              <w:bottom w:val="single" w:sz="4" w:space="0" w:color="auto"/>
            </w:tcBorders>
            <w:vAlign w:val="center"/>
          </w:tcPr>
          <w:p w14:paraId="635B9B3E" w14:textId="77777777" w:rsidR="001C37B0" w:rsidRPr="003549B4" w:rsidRDefault="001C37B0" w:rsidP="00603CC4">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4C5F7E00" w14:textId="77777777" w:rsidR="001C37B0" w:rsidRPr="003549B4" w:rsidRDefault="001C37B0" w:rsidP="00603CC4">
            <w:pPr>
              <w:spacing w:after="0" w:line="240" w:lineRule="auto"/>
              <w:rPr>
                <w:rFonts w:ascii="Times New Roman" w:hAnsi="Times New Roman" w:cs="Times New Roman"/>
                <w:sz w:val="20"/>
                <w:szCs w:val="20"/>
              </w:rPr>
            </w:pPr>
          </w:p>
        </w:tc>
      </w:tr>
      <w:tr w:rsidR="00557F90" w:rsidRPr="003549B4" w14:paraId="0C3768BE" w14:textId="77777777" w:rsidTr="00E50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nil"/>
            </w:tcBorders>
          </w:tcPr>
          <w:p w14:paraId="1D89A5CE" w14:textId="77777777" w:rsidR="001C37B0" w:rsidRPr="003549B4" w:rsidRDefault="001C37B0"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p w14:paraId="5E930DAE" w14:textId="77777777" w:rsidR="00E50B2D" w:rsidRPr="003549B4" w:rsidRDefault="00E50B2D" w:rsidP="00805B62">
            <w:pPr>
              <w:spacing w:after="0" w:line="240" w:lineRule="auto"/>
              <w:rPr>
                <w:rFonts w:ascii="Times New Roman" w:hAnsi="Times New Roman" w:cs="Times New Roman"/>
                <w:sz w:val="20"/>
                <w:szCs w:val="20"/>
              </w:rPr>
            </w:pPr>
          </w:p>
          <w:p w14:paraId="1BD646AB" w14:textId="77777777" w:rsidR="00E50B2D" w:rsidRPr="003549B4" w:rsidRDefault="00E50B2D" w:rsidP="00805B62">
            <w:pPr>
              <w:spacing w:after="0" w:line="240" w:lineRule="auto"/>
              <w:rPr>
                <w:rFonts w:ascii="Times New Roman" w:hAnsi="Times New Roman" w:cs="Times New Roman"/>
                <w:sz w:val="20"/>
                <w:szCs w:val="20"/>
              </w:rPr>
            </w:pPr>
          </w:p>
          <w:p w14:paraId="717A8329" w14:textId="77777777" w:rsidR="00E50B2D" w:rsidRPr="003549B4" w:rsidRDefault="00E50B2D" w:rsidP="00805B62">
            <w:pPr>
              <w:spacing w:after="0" w:line="240" w:lineRule="auto"/>
              <w:rPr>
                <w:rFonts w:ascii="Times New Roman" w:hAnsi="Times New Roman" w:cs="Times New Roman"/>
                <w:sz w:val="20"/>
                <w:szCs w:val="20"/>
              </w:rPr>
            </w:pPr>
          </w:p>
          <w:p w14:paraId="12455301" w14:textId="4ACBA964" w:rsidR="00E50B2D" w:rsidRPr="003549B4" w:rsidRDefault="00E50B2D"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O2</w:t>
            </w:r>
          </w:p>
          <w:p w14:paraId="5363865E" w14:textId="0406C1CC" w:rsidR="00E50B2D" w:rsidRPr="003549B4" w:rsidRDefault="00E50B2D" w:rsidP="00805B62">
            <w:pPr>
              <w:spacing w:after="0" w:line="240" w:lineRule="auto"/>
              <w:rPr>
                <w:rFonts w:ascii="Times New Roman" w:hAnsi="Times New Roman" w:cs="Times New Roman"/>
                <w:sz w:val="20"/>
                <w:szCs w:val="20"/>
              </w:rPr>
            </w:pPr>
          </w:p>
        </w:tc>
        <w:tc>
          <w:tcPr>
            <w:tcW w:w="6287" w:type="dxa"/>
            <w:tcBorders>
              <w:bottom w:val="nil"/>
            </w:tcBorders>
          </w:tcPr>
          <w:p w14:paraId="1740B284" w14:textId="77777777" w:rsidR="00E50B2D" w:rsidRPr="003549B4" w:rsidRDefault="001C37B0" w:rsidP="00E50B2D">
            <w:pPr>
              <w:pStyle w:val="Normlny1"/>
              <w:jc w:val="left"/>
              <w:rPr>
                <w:sz w:val="20"/>
                <w:szCs w:val="20"/>
              </w:rPr>
            </w:pPr>
            <w:r w:rsidRPr="003549B4">
              <w:rPr>
                <w:sz w:val="20"/>
                <w:szCs w:val="20"/>
              </w:rPr>
              <w:t>1. Členské štáty prijmú potrebné opatrenia, aby zabezpečili, že žiadne nové stredne veľké spaľovacie zariadenie nebude prevádzkované bez povolenia alebo registrácie.</w:t>
            </w:r>
            <w:r w:rsidR="00E50B2D" w:rsidRPr="003549B4">
              <w:rPr>
                <w:sz w:val="20"/>
                <w:szCs w:val="20"/>
              </w:rPr>
              <w:t xml:space="preserve"> </w:t>
            </w:r>
          </w:p>
          <w:p w14:paraId="770D1613" w14:textId="2B272199" w:rsidR="00E50B2D" w:rsidRPr="003549B4" w:rsidRDefault="00E50B2D" w:rsidP="00E50B2D">
            <w:pPr>
              <w:pStyle w:val="Normlny1"/>
              <w:jc w:val="left"/>
              <w:rPr>
                <w:sz w:val="20"/>
                <w:szCs w:val="20"/>
              </w:rPr>
            </w:pPr>
            <w:r w:rsidRPr="003549B4">
              <w:rPr>
                <w:sz w:val="20"/>
                <w:szCs w:val="20"/>
              </w:rPr>
              <w:t>2. Členské štáty prijmú potrebné opatrenia, aby zabezpečili, že od 1. januára 2024 žiadne existujúce stredne veľké spaľovacie zariadenie s menovitým tepelným príkonom väčším ako 5 MW nebude prevádzkované bez povolenia alebo registrácie.</w:t>
            </w:r>
          </w:p>
          <w:p w14:paraId="4C14CC3D" w14:textId="77777777" w:rsidR="00E50B2D" w:rsidRPr="003549B4" w:rsidRDefault="00E50B2D" w:rsidP="00E50B2D">
            <w:pPr>
              <w:pStyle w:val="Normlny1"/>
              <w:jc w:val="left"/>
              <w:rPr>
                <w:sz w:val="20"/>
                <w:szCs w:val="20"/>
              </w:rPr>
            </w:pPr>
            <w:r w:rsidRPr="003549B4">
              <w:rPr>
                <w:sz w:val="20"/>
                <w:szCs w:val="20"/>
              </w:rPr>
              <w:t xml:space="preserve">Členské štáty prijmú potrebné opatrenia, aby zabezpečili, že od 1. januára 2029 žiadne existujúce stredne veľké spaľovacie zariadenie s menovitým tepelným príkonom menším alebo rovnajúcim sa 5 MW nebude prevádzkované bez povolenia alebo registrácie. </w:t>
            </w:r>
          </w:p>
          <w:p w14:paraId="2C26A136" w14:textId="77777777" w:rsidR="001C37B0" w:rsidRPr="003549B4" w:rsidRDefault="001C37B0" w:rsidP="001C37B0">
            <w:pPr>
              <w:spacing w:before="120" w:after="0" w:line="240" w:lineRule="auto"/>
              <w:rPr>
                <w:rFonts w:ascii="Times New Roman" w:hAnsi="Times New Roman" w:cs="Times New Roman"/>
                <w:sz w:val="20"/>
                <w:szCs w:val="20"/>
                <w:lang w:eastAsia="sk-SK"/>
              </w:rPr>
            </w:pPr>
          </w:p>
        </w:tc>
        <w:tc>
          <w:tcPr>
            <w:tcW w:w="433" w:type="dxa"/>
            <w:tcBorders>
              <w:bottom w:val="nil"/>
            </w:tcBorders>
          </w:tcPr>
          <w:p w14:paraId="61035F05" w14:textId="5A58F8F4" w:rsidR="001C37B0" w:rsidRPr="003549B4" w:rsidRDefault="00E50B2D" w:rsidP="001C37B0">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O</w:t>
            </w:r>
          </w:p>
        </w:tc>
        <w:tc>
          <w:tcPr>
            <w:tcW w:w="572" w:type="dxa"/>
            <w:tcBorders>
              <w:bottom w:val="nil"/>
            </w:tcBorders>
          </w:tcPr>
          <w:p w14:paraId="59612AD1" w14:textId="77777777" w:rsidR="001C37B0" w:rsidRPr="003549B4" w:rsidRDefault="00E17FCE"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Borders>
              <w:bottom w:val="nil"/>
            </w:tcBorders>
          </w:tcPr>
          <w:p w14:paraId="7A493ED3" w14:textId="77777777" w:rsidR="00881FEB" w:rsidRPr="003549B4" w:rsidRDefault="001C37B0"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§27 O1</w:t>
            </w:r>
          </w:p>
          <w:p w14:paraId="142855BF" w14:textId="77777777" w:rsidR="00881FEB" w:rsidRPr="003549B4" w:rsidRDefault="00881FEB" w:rsidP="00F17024">
            <w:pPr>
              <w:spacing w:before="120" w:after="0" w:line="240" w:lineRule="auto"/>
              <w:ind w:left="14" w:right="-9" w:hanging="29"/>
              <w:rPr>
                <w:rFonts w:ascii="Times New Roman" w:hAnsi="Times New Roman" w:cs="Times New Roman"/>
                <w:sz w:val="20"/>
                <w:szCs w:val="20"/>
              </w:rPr>
            </w:pPr>
          </w:p>
          <w:p w14:paraId="1FDFA16F" w14:textId="77777777" w:rsidR="00881FEB" w:rsidRPr="003549B4" w:rsidRDefault="00881FEB" w:rsidP="00F17024">
            <w:pPr>
              <w:spacing w:before="120" w:after="0" w:line="240" w:lineRule="auto"/>
              <w:ind w:left="14" w:right="-9" w:hanging="29"/>
              <w:rPr>
                <w:rFonts w:ascii="Times New Roman" w:hAnsi="Times New Roman" w:cs="Times New Roman"/>
                <w:sz w:val="20"/>
                <w:szCs w:val="20"/>
              </w:rPr>
            </w:pPr>
          </w:p>
          <w:p w14:paraId="12DA867F" w14:textId="77777777" w:rsidR="00881FEB" w:rsidRPr="003549B4" w:rsidRDefault="00881FEB" w:rsidP="00F17024">
            <w:pPr>
              <w:spacing w:before="120" w:after="0" w:line="240" w:lineRule="auto"/>
              <w:ind w:left="14" w:right="-9" w:hanging="29"/>
              <w:rPr>
                <w:rFonts w:ascii="Times New Roman" w:hAnsi="Times New Roman" w:cs="Times New Roman"/>
                <w:sz w:val="20"/>
                <w:szCs w:val="20"/>
              </w:rPr>
            </w:pPr>
          </w:p>
          <w:p w14:paraId="4853192E" w14:textId="77777777" w:rsidR="00881FEB" w:rsidRPr="003549B4" w:rsidRDefault="00881FEB" w:rsidP="00F17024">
            <w:pPr>
              <w:spacing w:before="120" w:after="0" w:line="240" w:lineRule="auto"/>
              <w:ind w:left="14" w:right="-9" w:hanging="29"/>
              <w:rPr>
                <w:rFonts w:ascii="Times New Roman" w:hAnsi="Times New Roman" w:cs="Times New Roman"/>
                <w:sz w:val="20"/>
                <w:szCs w:val="20"/>
              </w:rPr>
            </w:pPr>
          </w:p>
          <w:p w14:paraId="2A85EAC4" w14:textId="77777777" w:rsidR="00881FEB" w:rsidRPr="003549B4" w:rsidRDefault="00881FEB" w:rsidP="00F17024">
            <w:pPr>
              <w:spacing w:before="120" w:after="0" w:line="240" w:lineRule="auto"/>
              <w:ind w:left="14" w:right="-9" w:hanging="29"/>
              <w:rPr>
                <w:rFonts w:ascii="Times New Roman" w:hAnsi="Times New Roman" w:cs="Times New Roman"/>
                <w:sz w:val="20"/>
                <w:szCs w:val="20"/>
              </w:rPr>
            </w:pPr>
          </w:p>
          <w:p w14:paraId="13C2A5F8" w14:textId="77777777" w:rsidR="00881FEB" w:rsidRPr="003549B4" w:rsidRDefault="00881FEB" w:rsidP="00F17024">
            <w:pPr>
              <w:spacing w:before="120" w:after="0" w:line="240" w:lineRule="auto"/>
              <w:ind w:left="14" w:right="-9" w:hanging="29"/>
              <w:rPr>
                <w:rFonts w:ascii="Times New Roman" w:hAnsi="Times New Roman" w:cs="Times New Roman"/>
                <w:sz w:val="20"/>
                <w:szCs w:val="20"/>
              </w:rPr>
            </w:pPr>
          </w:p>
          <w:p w14:paraId="6795CE76" w14:textId="7D468225" w:rsidR="00881FEB" w:rsidRPr="003549B4" w:rsidRDefault="00881FEB"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§32</w:t>
            </w:r>
          </w:p>
          <w:p w14:paraId="14FBB922" w14:textId="6F7EF984" w:rsidR="00881FEB" w:rsidRPr="003549B4" w:rsidRDefault="00881FEB"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w:t>
            </w:r>
            <w:r w:rsidR="00E54999" w:rsidRPr="003549B4">
              <w:rPr>
                <w:rFonts w:ascii="Times New Roman" w:hAnsi="Times New Roman" w:cs="Times New Roman"/>
                <w:sz w:val="20"/>
                <w:szCs w:val="20"/>
              </w:rPr>
              <w:t>e</w:t>
            </w:r>
            <w:r w:rsidRPr="003549B4">
              <w:rPr>
                <w:rFonts w:ascii="Times New Roman" w:hAnsi="Times New Roman" w:cs="Times New Roman"/>
                <w:sz w:val="20"/>
                <w:szCs w:val="20"/>
              </w:rPr>
              <w:t>)</w:t>
            </w:r>
          </w:p>
          <w:p w14:paraId="7FB47242" w14:textId="7E0A2E0E" w:rsidR="001C37B0" w:rsidRPr="003549B4" w:rsidRDefault="001C37B0"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xml:space="preserve"> </w:t>
            </w:r>
          </w:p>
        </w:tc>
        <w:tc>
          <w:tcPr>
            <w:tcW w:w="6006" w:type="dxa"/>
            <w:tcBorders>
              <w:bottom w:val="nil"/>
            </w:tcBorders>
            <w:vAlign w:val="center"/>
          </w:tcPr>
          <w:p w14:paraId="4890421D" w14:textId="418F04E5" w:rsidR="002F1F73" w:rsidRPr="003549B4" w:rsidRDefault="001C37B0" w:rsidP="002F1F73">
            <w:pPr>
              <w:spacing w:before="120" w:after="0" w:line="240" w:lineRule="auto"/>
              <w:ind w:firstLine="6"/>
              <w:rPr>
                <w:rFonts w:ascii="Times New Roman" w:hAnsi="Times New Roman" w:cs="Times New Roman"/>
                <w:sz w:val="20"/>
                <w:szCs w:val="20"/>
              </w:rPr>
            </w:pPr>
            <w:r w:rsidRPr="003549B4">
              <w:rPr>
                <w:rFonts w:ascii="Times New Roman" w:hAnsi="Times New Roman" w:cs="Times New Roman"/>
                <w:sz w:val="20"/>
                <w:szCs w:val="20"/>
              </w:rPr>
              <w:t xml:space="preserve">(1) </w:t>
            </w:r>
            <w:r w:rsidR="002F1F73" w:rsidRPr="003549B4">
              <w:rPr>
                <w:rFonts w:ascii="Times New Roman" w:hAnsi="Times New Roman" w:cs="Times New Roman"/>
                <w:sz w:val="20"/>
                <w:szCs w:val="20"/>
              </w:rPr>
              <w:t xml:space="preserve"> Povolenie stacionárneho zdroja (ďalej len „povolenie zdroja“) je rozhodnutie, ktorým sa určujú požiadavky na prevádzku stacionárneho zdroja z hľadiska ochrany ovzdušia.</w:t>
            </w:r>
            <w:r w:rsidR="00E54999" w:rsidRPr="003549B4">
              <w:rPr>
                <w:rFonts w:ascii="Times New Roman" w:hAnsi="Times New Roman" w:cs="Times New Roman"/>
                <w:sz w:val="20"/>
                <w:szCs w:val="20"/>
              </w:rPr>
              <w:t xml:space="preserve"> </w:t>
            </w:r>
            <w:r w:rsidR="002F1F73" w:rsidRPr="003549B4">
              <w:rPr>
                <w:rFonts w:ascii="Times New Roman" w:hAnsi="Times New Roman" w:cs="Times New Roman"/>
                <w:sz w:val="20"/>
                <w:szCs w:val="20"/>
              </w:rPr>
              <w:t xml:space="preserve">Pri novobudovaných zdrojoch, sa povolenie vydáva </w:t>
            </w:r>
          </w:p>
          <w:p w14:paraId="6145415A" w14:textId="3CA2E492" w:rsidR="002F1F73" w:rsidRPr="003549B4" w:rsidRDefault="002F1F73" w:rsidP="00881FEB">
            <w:pPr>
              <w:spacing w:after="0" w:line="240" w:lineRule="auto"/>
              <w:ind w:firstLine="6"/>
              <w:rPr>
                <w:rFonts w:ascii="Times New Roman" w:hAnsi="Times New Roman" w:cs="Times New Roman"/>
                <w:sz w:val="20"/>
                <w:szCs w:val="20"/>
              </w:rPr>
            </w:pPr>
            <w:r w:rsidRPr="003549B4">
              <w:rPr>
                <w:rFonts w:ascii="Times New Roman" w:hAnsi="Times New Roman" w:cs="Times New Roman"/>
                <w:sz w:val="20"/>
                <w:szCs w:val="20"/>
              </w:rPr>
              <w:t>a)</w:t>
            </w:r>
            <w:r w:rsidRPr="003549B4">
              <w:rPr>
                <w:rFonts w:ascii="Times New Roman" w:hAnsi="Times New Roman" w:cs="Times New Roman"/>
                <w:sz w:val="20"/>
                <w:szCs w:val="20"/>
              </w:rPr>
              <w:tab/>
              <w:t>po vydaní stavebného povolenia, ak stacionárny zdroj podlieha konaniu podľa osobitného prepisu,</w:t>
            </w:r>
            <w:r w:rsidR="00E54999" w:rsidRPr="003549B4">
              <w:rPr>
                <w:rFonts w:ascii="Times New Roman" w:hAnsi="Times New Roman" w:cs="Times New Roman"/>
                <w:sz w:val="20"/>
                <w:szCs w:val="20"/>
                <w:vertAlign w:val="superscript"/>
              </w:rPr>
              <w:t>53</w:t>
            </w:r>
            <w:r w:rsidRPr="003549B4">
              <w:rPr>
                <w:rFonts w:ascii="Times New Roman" w:hAnsi="Times New Roman" w:cs="Times New Roman"/>
                <w:sz w:val="20"/>
                <w:szCs w:val="20"/>
              </w:rPr>
              <w:t>)</w:t>
            </w:r>
          </w:p>
          <w:p w14:paraId="38E90C56" w14:textId="77777777" w:rsidR="002F1F73" w:rsidRPr="003549B4" w:rsidRDefault="002F1F73" w:rsidP="00881FEB">
            <w:pPr>
              <w:spacing w:after="0" w:line="240" w:lineRule="auto"/>
              <w:ind w:firstLine="6"/>
              <w:rPr>
                <w:rFonts w:ascii="Times New Roman" w:hAnsi="Times New Roman" w:cs="Times New Roman"/>
                <w:sz w:val="20"/>
                <w:szCs w:val="20"/>
              </w:rPr>
            </w:pPr>
            <w:r w:rsidRPr="003549B4">
              <w:rPr>
                <w:rFonts w:ascii="Times New Roman" w:hAnsi="Times New Roman" w:cs="Times New Roman"/>
                <w:sz w:val="20"/>
                <w:szCs w:val="20"/>
              </w:rPr>
              <w:t>b)</w:t>
            </w:r>
            <w:r w:rsidRPr="003549B4">
              <w:rPr>
                <w:rFonts w:ascii="Times New Roman" w:hAnsi="Times New Roman" w:cs="Times New Roman"/>
                <w:sz w:val="20"/>
                <w:szCs w:val="20"/>
              </w:rPr>
              <w:tab/>
              <w:t>pred inštaláciou technológie, ak ide o iný stacionárny zdroj ako podľa písmena a).</w:t>
            </w:r>
          </w:p>
          <w:p w14:paraId="5F8B15A2" w14:textId="2D0F2FCE" w:rsidR="001C37B0" w:rsidRPr="003549B4" w:rsidRDefault="002F1F73" w:rsidP="002F1F73">
            <w:pPr>
              <w:spacing w:before="120" w:after="0" w:line="240" w:lineRule="auto"/>
              <w:ind w:firstLine="6"/>
              <w:rPr>
                <w:rFonts w:ascii="Times New Roman" w:hAnsi="Times New Roman" w:cs="Times New Roman"/>
                <w:sz w:val="20"/>
                <w:szCs w:val="20"/>
              </w:rPr>
            </w:pPr>
            <w:r w:rsidRPr="003549B4">
              <w:rPr>
                <w:rFonts w:ascii="Times New Roman" w:hAnsi="Times New Roman" w:cs="Times New Roman"/>
                <w:sz w:val="20"/>
                <w:szCs w:val="20"/>
              </w:rPr>
              <w:t>53) Zákon č. 201/2022 Z. z. o výstavbe.</w:t>
            </w:r>
          </w:p>
          <w:p w14:paraId="404C52D2" w14:textId="77777777" w:rsidR="00881FEB" w:rsidRPr="003549B4" w:rsidRDefault="00881FEB" w:rsidP="00881FEB">
            <w:pPr>
              <w:spacing w:before="120" w:after="0" w:line="240" w:lineRule="auto"/>
              <w:ind w:firstLine="6"/>
              <w:rPr>
                <w:rFonts w:ascii="Times New Roman" w:hAnsi="Times New Roman" w:cs="Times New Roman"/>
                <w:sz w:val="20"/>
                <w:szCs w:val="20"/>
              </w:rPr>
            </w:pPr>
          </w:p>
          <w:p w14:paraId="4540AFE5" w14:textId="0D4C39A6" w:rsidR="00881FEB" w:rsidRPr="003549B4" w:rsidRDefault="00881FEB" w:rsidP="00881FEB">
            <w:pPr>
              <w:spacing w:before="120" w:after="0" w:line="240" w:lineRule="auto"/>
              <w:ind w:firstLine="6"/>
              <w:rPr>
                <w:rFonts w:ascii="Times New Roman" w:hAnsi="Times New Roman" w:cs="Times New Roman"/>
                <w:sz w:val="20"/>
                <w:szCs w:val="20"/>
              </w:rPr>
            </w:pPr>
            <w:r w:rsidRPr="003549B4">
              <w:rPr>
                <w:rFonts w:ascii="Times New Roman" w:hAnsi="Times New Roman" w:cs="Times New Roman"/>
                <w:sz w:val="20"/>
                <w:szCs w:val="20"/>
              </w:rPr>
              <w:t xml:space="preserve">Zakazuje sa </w:t>
            </w:r>
          </w:p>
          <w:p w14:paraId="3AA9CB00" w14:textId="60FE92A0" w:rsidR="00881FEB" w:rsidRPr="003549B4" w:rsidRDefault="00E54999" w:rsidP="00881FEB">
            <w:pPr>
              <w:spacing w:after="0" w:line="240" w:lineRule="auto"/>
              <w:ind w:firstLine="6"/>
              <w:rPr>
                <w:rFonts w:ascii="Times New Roman" w:hAnsi="Times New Roman" w:cs="Times New Roman"/>
                <w:sz w:val="20"/>
                <w:szCs w:val="20"/>
              </w:rPr>
            </w:pPr>
            <w:r w:rsidRPr="003549B4">
              <w:rPr>
                <w:rFonts w:ascii="Times New Roman" w:hAnsi="Times New Roman" w:cs="Times New Roman"/>
                <w:sz w:val="20"/>
                <w:szCs w:val="20"/>
              </w:rPr>
              <w:t>e</w:t>
            </w:r>
            <w:r w:rsidR="00881FEB" w:rsidRPr="003549B4">
              <w:rPr>
                <w:rFonts w:ascii="Times New Roman" w:hAnsi="Times New Roman" w:cs="Times New Roman"/>
                <w:sz w:val="20"/>
                <w:szCs w:val="20"/>
              </w:rPr>
              <w:t>)</w:t>
            </w:r>
            <w:r w:rsidR="00881FEB" w:rsidRPr="003549B4">
              <w:rPr>
                <w:rFonts w:ascii="Times New Roman" w:hAnsi="Times New Roman" w:cs="Times New Roman"/>
                <w:sz w:val="20"/>
                <w:szCs w:val="20"/>
              </w:rPr>
              <w:tab/>
              <w:t>prevádzkovať veľký zdroj, stredný zdroj a malý zdroj bez povolenia, okrem prípadov podľa § 27 ods. 2 až 4.</w:t>
            </w:r>
          </w:p>
          <w:p w14:paraId="75C9D23F" w14:textId="77777777" w:rsidR="00594758" w:rsidRPr="003549B4" w:rsidRDefault="00594758" w:rsidP="002F1F73">
            <w:pPr>
              <w:spacing w:before="120" w:after="0" w:line="240" w:lineRule="auto"/>
              <w:ind w:firstLine="6"/>
              <w:rPr>
                <w:rFonts w:ascii="Times New Roman" w:hAnsi="Times New Roman" w:cs="Times New Roman"/>
                <w:sz w:val="20"/>
                <w:szCs w:val="20"/>
              </w:rPr>
            </w:pPr>
          </w:p>
        </w:tc>
        <w:tc>
          <w:tcPr>
            <w:tcW w:w="429" w:type="dxa"/>
            <w:tcBorders>
              <w:top w:val="single" w:sz="4" w:space="0" w:color="auto"/>
              <w:bottom w:val="nil"/>
            </w:tcBorders>
            <w:vAlign w:val="center"/>
          </w:tcPr>
          <w:p w14:paraId="5A93B864" w14:textId="22539CB5" w:rsidR="001C37B0" w:rsidRPr="003549B4" w:rsidRDefault="00E50B2D"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nil"/>
            </w:tcBorders>
            <w:vAlign w:val="center"/>
          </w:tcPr>
          <w:p w14:paraId="7015B7C1" w14:textId="77777777" w:rsidR="001C37B0" w:rsidRPr="003549B4" w:rsidRDefault="001C37B0" w:rsidP="00603CC4">
            <w:pPr>
              <w:spacing w:after="0" w:line="240" w:lineRule="auto"/>
              <w:rPr>
                <w:rFonts w:ascii="Times New Roman" w:hAnsi="Times New Roman" w:cs="Times New Roman"/>
                <w:sz w:val="20"/>
                <w:szCs w:val="20"/>
              </w:rPr>
            </w:pPr>
          </w:p>
        </w:tc>
      </w:tr>
      <w:tr w:rsidR="00557F90" w:rsidRPr="003549B4" w14:paraId="71CE38E8" w14:textId="77777777" w:rsidTr="00E50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nil"/>
              <w:bottom w:val="single" w:sz="4" w:space="0" w:color="auto"/>
            </w:tcBorders>
          </w:tcPr>
          <w:p w14:paraId="4FACC40C" w14:textId="77777777" w:rsidR="00E50B2D" w:rsidRPr="003549B4" w:rsidRDefault="00E50B2D" w:rsidP="00805B62">
            <w:pPr>
              <w:spacing w:after="0" w:line="240" w:lineRule="auto"/>
              <w:rPr>
                <w:rFonts w:ascii="Times New Roman" w:hAnsi="Times New Roman" w:cs="Times New Roman"/>
                <w:sz w:val="20"/>
                <w:szCs w:val="20"/>
              </w:rPr>
            </w:pPr>
          </w:p>
          <w:p w14:paraId="06D17716" w14:textId="3ED36A96" w:rsidR="001C37B0" w:rsidRPr="003549B4" w:rsidRDefault="001C37B0"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O3 </w:t>
            </w:r>
          </w:p>
          <w:p w14:paraId="2CD2403D" w14:textId="77777777" w:rsidR="001C37B0" w:rsidRPr="003549B4" w:rsidRDefault="001C37B0" w:rsidP="00805B62">
            <w:pPr>
              <w:spacing w:after="0" w:line="240" w:lineRule="auto"/>
              <w:rPr>
                <w:rFonts w:ascii="Times New Roman" w:hAnsi="Times New Roman" w:cs="Times New Roman"/>
                <w:sz w:val="20"/>
                <w:szCs w:val="20"/>
              </w:rPr>
            </w:pPr>
          </w:p>
          <w:p w14:paraId="18F7354F" w14:textId="77777777" w:rsidR="001C37B0" w:rsidRPr="003549B4" w:rsidRDefault="001C37B0" w:rsidP="00805B62">
            <w:pPr>
              <w:spacing w:after="0" w:line="240" w:lineRule="auto"/>
              <w:rPr>
                <w:rFonts w:ascii="Times New Roman" w:hAnsi="Times New Roman" w:cs="Times New Roman"/>
                <w:sz w:val="20"/>
                <w:szCs w:val="20"/>
              </w:rPr>
            </w:pPr>
          </w:p>
          <w:p w14:paraId="5EC4E6AC" w14:textId="77777777" w:rsidR="001C37B0" w:rsidRPr="003549B4" w:rsidRDefault="001C37B0" w:rsidP="00805B62">
            <w:pPr>
              <w:spacing w:after="0" w:line="240" w:lineRule="auto"/>
              <w:rPr>
                <w:rFonts w:ascii="Times New Roman" w:hAnsi="Times New Roman" w:cs="Times New Roman"/>
                <w:sz w:val="20"/>
                <w:szCs w:val="20"/>
              </w:rPr>
            </w:pPr>
          </w:p>
          <w:p w14:paraId="42D23F8F" w14:textId="77777777" w:rsidR="001C37B0" w:rsidRPr="003549B4" w:rsidRDefault="001C37B0" w:rsidP="00805B62">
            <w:pPr>
              <w:spacing w:after="0" w:line="240" w:lineRule="auto"/>
              <w:rPr>
                <w:rFonts w:ascii="Times New Roman" w:hAnsi="Times New Roman" w:cs="Times New Roman"/>
                <w:sz w:val="20"/>
                <w:szCs w:val="20"/>
              </w:rPr>
            </w:pPr>
          </w:p>
          <w:p w14:paraId="16DD1A15" w14:textId="77777777" w:rsidR="001C37B0" w:rsidRPr="003549B4" w:rsidRDefault="001C37B0" w:rsidP="00805B62">
            <w:pPr>
              <w:spacing w:after="0" w:line="240" w:lineRule="auto"/>
              <w:rPr>
                <w:rFonts w:ascii="Times New Roman" w:hAnsi="Times New Roman" w:cs="Times New Roman"/>
                <w:sz w:val="20"/>
                <w:szCs w:val="20"/>
              </w:rPr>
            </w:pPr>
          </w:p>
          <w:p w14:paraId="3B3E55E5" w14:textId="77777777" w:rsidR="001C37B0" w:rsidRPr="003549B4" w:rsidRDefault="001C37B0" w:rsidP="00805B62">
            <w:pPr>
              <w:spacing w:after="0" w:line="240" w:lineRule="auto"/>
              <w:rPr>
                <w:rFonts w:ascii="Times New Roman" w:hAnsi="Times New Roman" w:cs="Times New Roman"/>
                <w:sz w:val="20"/>
                <w:szCs w:val="20"/>
              </w:rPr>
            </w:pPr>
          </w:p>
          <w:p w14:paraId="617209DB" w14:textId="77777777" w:rsidR="001C37B0" w:rsidRPr="003549B4" w:rsidRDefault="001C37B0" w:rsidP="00045DB6">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O4</w:t>
            </w:r>
          </w:p>
        </w:tc>
        <w:tc>
          <w:tcPr>
            <w:tcW w:w="6287" w:type="dxa"/>
            <w:tcBorders>
              <w:top w:val="nil"/>
            </w:tcBorders>
          </w:tcPr>
          <w:p w14:paraId="41C0A1E0" w14:textId="77777777" w:rsidR="001C37B0" w:rsidRPr="003549B4" w:rsidRDefault="001C37B0" w:rsidP="001B1D25">
            <w:pPr>
              <w:pStyle w:val="Normlny1"/>
              <w:jc w:val="left"/>
              <w:rPr>
                <w:sz w:val="20"/>
                <w:szCs w:val="20"/>
              </w:rPr>
            </w:pPr>
            <w:r w:rsidRPr="003549B4">
              <w:rPr>
                <w:sz w:val="20"/>
                <w:szCs w:val="20"/>
              </w:rPr>
              <w:lastRenderedPageBreak/>
              <w:t xml:space="preserve">3. Členské štáty spresnia postup udelenia povolenia alebo registrácie stredne veľkých spaľovacích zariadení. Uvedené postupy zahŕňajú aspoň </w:t>
            </w:r>
            <w:r w:rsidRPr="003549B4">
              <w:rPr>
                <w:sz w:val="20"/>
                <w:szCs w:val="20"/>
              </w:rPr>
              <w:lastRenderedPageBreak/>
              <w:t xml:space="preserve">povinnosť prevádzkovateľa informovať príslušný orgán o prevádzke alebo úmysle prevádzkovať stredne veľké spaľovacie zariadenie a poskytnúť aspoň informácie uvedené v prílohe I. </w:t>
            </w:r>
          </w:p>
          <w:p w14:paraId="160EF388" w14:textId="77777777" w:rsidR="001C37B0" w:rsidRPr="003549B4" w:rsidRDefault="001C37B0" w:rsidP="001B1D25">
            <w:pPr>
              <w:pStyle w:val="Normlny1"/>
              <w:jc w:val="left"/>
              <w:rPr>
                <w:sz w:val="20"/>
                <w:szCs w:val="20"/>
              </w:rPr>
            </w:pPr>
            <w:r w:rsidRPr="003549B4">
              <w:rPr>
                <w:sz w:val="20"/>
                <w:szCs w:val="20"/>
              </w:rPr>
              <w:t>4. Príslušný orgán zaregistruje stredne veľké spaľovacie zariadenie alebo začne postup udelenia povolenia pre toto zariadenie do jedného mesiaca od poskytnutia informácií uvedených v odseku 3 prevádzkovateľom. Príslušný orgán informuje prevádzkovateľa o takejto registrácii alebo o začatí postupu udelenia povolenia.</w:t>
            </w:r>
          </w:p>
        </w:tc>
        <w:tc>
          <w:tcPr>
            <w:tcW w:w="433" w:type="dxa"/>
            <w:tcBorders>
              <w:top w:val="nil"/>
            </w:tcBorders>
          </w:tcPr>
          <w:p w14:paraId="56A1641F" w14:textId="77777777" w:rsidR="001C37B0" w:rsidRPr="003549B4" w:rsidRDefault="000C167F" w:rsidP="001B1D25">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w:t>
            </w:r>
          </w:p>
          <w:p w14:paraId="088AF08D" w14:textId="77777777" w:rsidR="001C37B0" w:rsidRPr="003549B4" w:rsidRDefault="001C37B0" w:rsidP="001B1D25">
            <w:pPr>
              <w:spacing w:after="0" w:line="240" w:lineRule="auto"/>
              <w:rPr>
                <w:rFonts w:ascii="Times New Roman" w:hAnsi="Times New Roman" w:cs="Times New Roman"/>
                <w:sz w:val="20"/>
                <w:szCs w:val="20"/>
              </w:rPr>
            </w:pPr>
          </w:p>
          <w:p w14:paraId="553B0B4B" w14:textId="77777777" w:rsidR="001C37B0" w:rsidRPr="003549B4" w:rsidRDefault="001C37B0" w:rsidP="001B1D25">
            <w:pPr>
              <w:spacing w:after="0" w:line="240" w:lineRule="auto"/>
              <w:rPr>
                <w:rFonts w:ascii="Times New Roman" w:hAnsi="Times New Roman" w:cs="Times New Roman"/>
                <w:sz w:val="20"/>
                <w:szCs w:val="20"/>
              </w:rPr>
            </w:pPr>
          </w:p>
          <w:p w14:paraId="552D0D51" w14:textId="77777777" w:rsidR="001C37B0" w:rsidRPr="003549B4" w:rsidRDefault="001C37B0" w:rsidP="001B1D25">
            <w:pPr>
              <w:spacing w:after="0" w:line="240" w:lineRule="auto"/>
              <w:rPr>
                <w:rFonts w:ascii="Times New Roman" w:hAnsi="Times New Roman" w:cs="Times New Roman"/>
                <w:sz w:val="20"/>
                <w:szCs w:val="20"/>
              </w:rPr>
            </w:pPr>
          </w:p>
          <w:p w14:paraId="3C64CACC" w14:textId="77777777" w:rsidR="001C37B0" w:rsidRPr="003549B4" w:rsidRDefault="001C37B0" w:rsidP="001B1D25">
            <w:pPr>
              <w:spacing w:after="0" w:line="240" w:lineRule="auto"/>
              <w:rPr>
                <w:rFonts w:ascii="Times New Roman" w:hAnsi="Times New Roman" w:cs="Times New Roman"/>
                <w:sz w:val="20"/>
                <w:szCs w:val="20"/>
              </w:rPr>
            </w:pPr>
          </w:p>
          <w:p w14:paraId="01C4BCF2" w14:textId="77777777" w:rsidR="001C37B0" w:rsidRPr="003549B4" w:rsidRDefault="001C37B0" w:rsidP="001B1D25">
            <w:pPr>
              <w:spacing w:after="0" w:line="240" w:lineRule="auto"/>
              <w:rPr>
                <w:rFonts w:ascii="Times New Roman" w:hAnsi="Times New Roman" w:cs="Times New Roman"/>
                <w:sz w:val="20"/>
                <w:szCs w:val="20"/>
              </w:rPr>
            </w:pPr>
          </w:p>
          <w:p w14:paraId="7391324E" w14:textId="77777777" w:rsidR="001C37B0" w:rsidRPr="003549B4" w:rsidRDefault="001C37B0" w:rsidP="001B1D25">
            <w:pPr>
              <w:spacing w:after="0" w:line="240" w:lineRule="auto"/>
              <w:rPr>
                <w:rFonts w:ascii="Times New Roman" w:hAnsi="Times New Roman" w:cs="Times New Roman"/>
                <w:sz w:val="20"/>
                <w:szCs w:val="20"/>
              </w:rPr>
            </w:pPr>
          </w:p>
          <w:p w14:paraId="2443C27E" w14:textId="77777777" w:rsidR="001C37B0" w:rsidRPr="003549B4" w:rsidRDefault="001C37B0" w:rsidP="001B1D25">
            <w:pPr>
              <w:spacing w:after="0" w:line="240" w:lineRule="auto"/>
              <w:rPr>
                <w:rFonts w:ascii="Times New Roman" w:hAnsi="Times New Roman" w:cs="Times New Roman"/>
                <w:sz w:val="20"/>
                <w:szCs w:val="20"/>
              </w:rPr>
            </w:pPr>
          </w:p>
          <w:p w14:paraId="56891265" w14:textId="77777777" w:rsidR="00A91825" w:rsidRPr="003549B4" w:rsidRDefault="00A91825" w:rsidP="001B1D25">
            <w:pPr>
              <w:spacing w:after="0" w:line="240" w:lineRule="auto"/>
              <w:rPr>
                <w:rFonts w:ascii="Times New Roman" w:hAnsi="Times New Roman" w:cs="Times New Roman"/>
                <w:sz w:val="20"/>
                <w:szCs w:val="20"/>
              </w:rPr>
            </w:pPr>
          </w:p>
          <w:p w14:paraId="6393967D" w14:textId="77777777" w:rsidR="00A91825" w:rsidRPr="003549B4" w:rsidRDefault="00A91825" w:rsidP="001B1D25">
            <w:pPr>
              <w:spacing w:after="0" w:line="240" w:lineRule="auto"/>
              <w:rPr>
                <w:rFonts w:ascii="Times New Roman" w:hAnsi="Times New Roman" w:cs="Times New Roman"/>
                <w:sz w:val="20"/>
                <w:szCs w:val="20"/>
              </w:rPr>
            </w:pPr>
          </w:p>
          <w:p w14:paraId="30012588" w14:textId="77777777" w:rsidR="00A91825" w:rsidRPr="003549B4" w:rsidRDefault="00A91825" w:rsidP="001B1D25">
            <w:pPr>
              <w:spacing w:after="0" w:line="240" w:lineRule="auto"/>
              <w:rPr>
                <w:rFonts w:ascii="Times New Roman" w:hAnsi="Times New Roman" w:cs="Times New Roman"/>
                <w:sz w:val="20"/>
                <w:szCs w:val="20"/>
              </w:rPr>
            </w:pPr>
          </w:p>
          <w:p w14:paraId="3709B05E" w14:textId="77777777" w:rsidR="00A91825" w:rsidRPr="003549B4" w:rsidRDefault="00A91825" w:rsidP="001B1D25">
            <w:pPr>
              <w:spacing w:after="0" w:line="240" w:lineRule="auto"/>
              <w:rPr>
                <w:rFonts w:ascii="Times New Roman" w:hAnsi="Times New Roman" w:cs="Times New Roman"/>
                <w:sz w:val="20"/>
                <w:szCs w:val="20"/>
              </w:rPr>
            </w:pPr>
          </w:p>
          <w:p w14:paraId="09BFD773" w14:textId="77777777" w:rsidR="00A91825" w:rsidRPr="003549B4" w:rsidRDefault="00A91825" w:rsidP="001B1D25">
            <w:pPr>
              <w:spacing w:after="0" w:line="240" w:lineRule="auto"/>
              <w:rPr>
                <w:rFonts w:ascii="Times New Roman" w:hAnsi="Times New Roman" w:cs="Times New Roman"/>
                <w:sz w:val="20"/>
                <w:szCs w:val="20"/>
              </w:rPr>
            </w:pPr>
          </w:p>
          <w:p w14:paraId="1FB90D54" w14:textId="77777777" w:rsidR="001C37B0" w:rsidRPr="003549B4" w:rsidRDefault="001C37B0" w:rsidP="001B1D25">
            <w:pPr>
              <w:spacing w:after="0" w:line="240" w:lineRule="auto"/>
              <w:rPr>
                <w:rFonts w:ascii="Times New Roman" w:hAnsi="Times New Roman" w:cs="Times New Roman"/>
                <w:sz w:val="20"/>
                <w:szCs w:val="20"/>
              </w:rPr>
            </w:pPr>
          </w:p>
          <w:p w14:paraId="19410BFC" w14:textId="77777777" w:rsidR="001C37B0" w:rsidRPr="003549B4" w:rsidRDefault="001C37B0" w:rsidP="001B1D25">
            <w:pPr>
              <w:spacing w:after="0" w:line="240" w:lineRule="auto"/>
              <w:rPr>
                <w:rFonts w:ascii="Times New Roman" w:hAnsi="Times New Roman" w:cs="Times New Roman"/>
                <w:sz w:val="20"/>
                <w:szCs w:val="20"/>
              </w:rPr>
            </w:pPr>
          </w:p>
        </w:tc>
        <w:tc>
          <w:tcPr>
            <w:tcW w:w="572" w:type="dxa"/>
            <w:tcBorders>
              <w:top w:val="nil"/>
            </w:tcBorders>
          </w:tcPr>
          <w:p w14:paraId="6F758C6C" w14:textId="77777777" w:rsidR="001C37B0" w:rsidRPr="003549B4" w:rsidRDefault="00E17FCE"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lastRenderedPageBreak/>
              <w:t>NZ</w:t>
            </w:r>
          </w:p>
          <w:p w14:paraId="0B990F30" w14:textId="77777777" w:rsidR="001C37B0" w:rsidRPr="003549B4" w:rsidRDefault="001C37B0" w:rsidP="00F17024">
            <w:pPr>
              <w:spacing w:after="0" w:line="240" w:lineRule="auto"/>
              <w:ind w:right="-108"/>
              <w:rPr>
                <w:rFonts w:ascii="Times New Roman" w:hAnsi="Times New Roman" w:cs="Times New Roman"/>
                <w:sz w:val="20"/>
                <w:szCs w:val="20"/>
              </w:rPr>
            </w:pPr>
          </w:p>
          <w:p w14:paraId="09E852F9" w14:textId="77777777" w:rsidR="001C37B0" w:rsidRPr="003549B4" w:rsidRDefault="001C37B0" w:rsidP="00F17024">
            <w:pPr>
              <w:spacing w:after="0" w:line="240" w:lineRule="auto"/>
              <w:ind w:right="-108"/>
              <w:rPr>
                <w:rFonts w:ascii="Times New Roman" w:hAnsi="Times New Roman" w:cs="Times New Roman"/>
                <w:sz w:val="20"/>
                <w:szCs w:val="20"/>
              </w:rPr>
            </w:pPr>
          </w:p>
          <w:p w14:paraId="30C3C637" w14:textId="77777777" w:rsidR="001C37B0" w:rsidRPr="003549B4" w:rsidRDefault="001C37B0" w:rsidP="00F17024">
            <w:pPr>
              <w:spacing w:after="0" w:line="240" w:lineRule="auto"/>
              <w:ind w:right="-108"/>
              <w:rPr>
                <w:rFonts w:ascii="Times New Roman" w:hAnsi="Times New Roman" w:cs="Times New Roman"/>
                <w:sz w:val="20"/>
                <w:szCs w:val="20"/>
              </w:rPr>
            </w:pPr>
          </w:p>
          <w:p w14:paraId="619808D1" w14:textId="77777777" w:rsidR="001C37B0" w:rsidRPr="003549B4" w:rsidRDefault="001C37B0" w:rsidP="00F17024">
            <w:pPr>
              <w:spacing w:after="0" w:line="240" w:lineRule="auto"/>
              <w:ind w:right="-108"/>
              <w:rPr>
                <w:rFonts w:ascii="Times New Roman" w:hAnsi="Times New Roman" w:cs="Times New Roman"/>
                <w:sz w:val="20"/>
                <w:szCs w:val="20"/>
              </w:rPr>
            </w:pPr>
          </w:p>
          <w:p w14:paraId="209715CA" w14:textId="77777777" w:rsidR="001C37B0" w:rsidRPr="003549B4" w:rsidRDefault="001C37B0" w:rsidP="00F17024">
            <w:pPr>
              <w:spacing w:after="0" w:line="240" w:lineRule="auto"/>
              <w:ind w:right="-108"/>
              <w:rPr>
                <w:rFonts w:ascii="Times New Roman" w:hAnsi="Times New Roman" w:cs="Times New Roman"/>
                <w:sz w:val="20"/>
                <w:szCs w:val="20"/>
              </w:rPr>
            </w:pPr>
          </w:p>
          <w:p w14:paraId="5F2BB462" w14:textId="77777777" w:rsidR="001C37B0" w:rsidRPr="003549B4" w:rsidRDefault="001C37B0" w:rsidP="00F17024">
            <w:pPr>
              <w:spacing w:after="0" w:line="240" w:lineRule="auto"/>
              <w:ind w:right="-108"/>
              <w:rPr>
                <w:rFonts w:ascii="Times New Roman" w:hAnsi="Times New Roman" w:cs="Times New Roman"/>
                <w:sz w:val="20"/>
                <w:szCs w:val="20"/>
              </w:rPr>
            </w:pPr>
          </w:p>
          <w:p w14:paraId="2AB3F0D0" w14:textId="77777777" w:rsidR="00A91825" w:rsidRPr="003549B4" w:rsidRDefault="00A91825" w:rsidP="00F17024">
            <w:pPr>
              <w:spacing w:after="0" w:line="240" w:lineRule="auto"/>
              <w:ind w:right="-108"/>
              <w:rPr>
                <w:rFonts w:ascii="Times New Roman" w:hAnsi="Times New Roman" w:cs="Times New Roman"/>
                <w:sz w:val="20"/>
                <w:szCs w:val="20"/>
              </w:rPr>
            </w:pPr>
          </w:p>
          <w:p w14:paraId="542A33E7" w14:textId="77777777" w:rsidR="00A91825" w:rsidRPr="003549B4" w:rsidRDefault="00A91825" w:rsidP="00F17024">
            <w:pPr>
              <w:spacing w:after="0" w:line="240" w:lineRule="auto"/>
              <w:ind w:right="-108"/>
              <w:rPr>
                <w:rFonts w:ascii="Times New Roman" w:hAnsi="Times New Roman" w:cs="Times New Roman"/>
                <w:sz w:val="20"/>
                <w:szCs w:val="20"/>
              </w:rPr>
            </w:pPr>
          </w:p>
          <w:p w14:paraId="721604AC" w14:textId="77777777" w:rsidR="00A91825" w:rsidRPr="003549B4" w:rsidRDefault="00A91825" w:rsidP="00F17024">
            <w:pPr>
              <w:spacing w:after="0" w:line="240" w:lineRule="auto"/>
              <w:ind w:right="-108"/>
              <w:rPr>
                <w:rFonts w:ascii="Times New Roman" w:hAnsi="Times New Roman" w:cs="Times New Roman"/>
                <w:sz w:val="20"/>
                <w:szCs w:val="20"/>
              </w:rPr>
            </w:pPr>
          </w:p>
          <w:p w14:paraId="51BE3FEE" w14:textId="77777777" w:rsidR="00A91825" w:rsidRPr="003549B4" w:rsidRDefault="00A91825" w:rsidP="00F17024">
            <w:pPr>
              <w:spacing w:after="0" w:line="240" w:lineRule="auto"/>
              <w:ind w:right="-108"/>
              <w:rPr>
                <w:rFonts w:ascii="Times New Roman" w:hAnsi="Times New Roman" w:cs="Times New Roman"/>
                <w:sz w:val="20"/>
                <w:szCs w:val="20"/>
              </w:rPr>
            </w:pPr>
          </w:p>
          <w:p w14:paraId="0AA77AA3" w14:textId="77777777" w:rsidR="00A91825" w:rsidRPr="003549B4" w:rsidRDefault="00A91825" w:rsidP="00F17024">
            <w:pPr>
              <w:spacing w:after="0" w:line="240" w:lineRule="auto"/>
              <w:ind w:right="-108"/>
              <w:rPr>
                <w:rFonts w:ascii="Times New Roman" w:hAnsi="Times New Roman" w:cs="Times New Roman"/>
                <w:sz w:val="20"/>
                <w:szCs w:val="20"/>
              </w:rPr>
            </w:pPr>
          </w:p>
          <w:p w14:paraId="56186547" w14:textId="77777777" w:rsidR="001C37B0" w:rsidRPr="003549B4" w:rsidRDefault="001C37B0" w:rsidP="00F17024">
            <w:pPr>
              <w:spacing w:after="0" w:line="240" w:lineRule="auto"/>
              <w:ind w:right="-108"/>
              <w:rPr>
                <w:rFonts w:ascii="Times New Roman" w:hAnsi="Times New Roman" w:cs="Times New Roman"/>
                <w:sz w:val="20"/>
                <w:szCs w:val="20"/>
              </w:rPr>
            </w:pPr>
          </w:p>
          <w:p w14:paraId="00F23920" w14:textId="77777777" w:rsidR="001C37B0" w:rsidRPr="003549B4" w:rsidRDefault="001C37B0" w:rsidP="00F17024">
            <w:pPr>
              <w:spacing w:after="0" w:line="240" w:lineRule="auto"/>
              <w:ind w:right="-108"/>
              <w:rPr>
                <w:rFonts w:ascii="Times New Roman" w:hAnsi="Times New Roman" w:cs="Times New Roman"/>
                <w:sz w:val="20"/>
                <w:szCs w:val="20"/>
              </w:rPr>
            </w:pPr>
          </w:p>
          <w:p w14:paraId="67863C6A" w14:textId="77777777" w:rsidR="001C37B0" w:rsidRPr="003549B4" w:rsidRDefault="001C37B0" w:rsidP="00F17024">
            <w:pPr>
              <w:spacing w:after="0" w:line="240" w:lineRule="auto"/>
              <w:ind w:right="-108"/>
              <w:rPr>
                <w:rFonts w:ascii="Times New Roman" w:hAnsi="Times New Roman" w:cs="Times New Roman"/>
                <w:sz w:val="20"/>
                <w:szCs w:val="20"/>
              </w:rPr>
            </w:pPr>
          </w:p>
        </w:tc>
        <w:tc>
          <w:tcPr>
            <w:tcW w:w="569" w:type="dxa"/>
            <w:tcBorders>
              <w:top w:val="nil"/>
            </w:tcBorders>
          </w:tcPr>
          <w:p w14:paraId="23C8ACC4" w14:textId="77777777" w:rsidR="001C37B0" w:rsidRPr="003549B4" w:rsidRDefault="001C37B0"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lastRenderedPageBreak/>
              <w:t>§27</w:t>
            </w:r>
          </w:p>
          <w:p w14:paraId="64989C9D" w14:textId="77777777" w:rsidR="001C37B0" w:rsidRPr="003549B4" w:rsidRDefault="0075439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w:t>
            </w:r>
            <w:r w:rsidR="00A462AA" w:rsidRPr="003549B4">
              <w:rPr>
                <w:rFonts w:ascii="Times New Roman" w:hAnsi="Times New Roman" w:cs="Times New Roman"/>
                <w:sz w:val="20"/>
                <w:szCs w:val="20"/>
              </w:rPr>
              <w:t>4</w:t>
            </w:r>
          </w:p>
          <w:p w14:paraId="4DBD22D4"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6BEDF927"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237C3AB7"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6FE54788"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49F6306E"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04ACC7E7" w14:textId="77777777" w:rsidR="00813733" w:rsidRPr="003549B4" w:rsidRDefault="00813733" w:rsidP="00F17024">
            <w:pPr>
              <w:spacing w:after="0" w:line="240" w:lineRule="auto"/>
              <w:ind w:left="14" w:right="-9" w:hanging="29"/>
              <w:rPr>
                <w:rFonts w:ascii="Times New Roman" w:hAnsi="Times New Roman" w:cs="Times New Roman"/>
                <w:sz w:val="20"/>
                <w:szCs w:val="20"/>
              </w:rPr>
            </w:pPr>
          </w:p>
          <w:p w14:paraId="737D9785" w14:textId="77777777" w:rsidR="0075439B" w:rsidRPr="003549B4" w:rsidRDefault="0075439B" w:rsidP="00813733">
            <w:pPr>
              <w:spacing w:after="0" w:line="240" w:lineRule="auto"/>
              <w:ind w:right="-9"/>
              <w:rPr>
                <w:rFonts w:ascii="Times New Roman" w:hAnsi="Times New Roman" w:cs="Times New Roman"/>
                <w:sz w:val="20"/>
                <w:szCs w:val="20"/>
              </w:rPr>
            </w:pPr>
          </w:p>
          <w:p w14:paraId="342AC8C5" w14:textId="77777777" w:rsidR="0075439B" w:rsidRPr="003549B4" w:rsidRDefault="0075439B" w:rsidP="00F17024">
            <w:pPr>
              <w:spacing w:after="0" w:line="240" w:lineRule="auto"/>
              <w:ind w:left="14" w:right="-9" w:hanging="29"/>
              <w:rPr>
                <w:rFonts w:ascii="Times New Roman" w:hAnsi="Times New Roman" w:cs="Times New Roman"/>
                <w:sz w:val="20"/>
                <w:szCs w:val="20"/>
              </w:rPr>
            </w:pPr>
          </w:p>
          <w:p w14:paraId="6865065B" w14:textId="77777777" w:rsidR="00813733" w:rsidRPr="003549B4" w:rsidRDefault="00813733" w:rsidP="00F17024">
            <w:pPr>
              <w:spacing w:after="0" w:line="240" w:lineRule="auto"/>
              <w:ind w:left="14" w:right="-9" w:hanging="29"/>
              <w:rPr>
                <w:rFonts w:ascii="Times New Roman" w:hAnsi="Times New Roman" w:cs="Times New Roman"/>
                <w:sz w:val="20"/>
                <w:szCs w:val="20"/>
              </w:rPr>
            </w:pPr>
          </w:p>
          <w:p w14:paraId="06B1B444" w14:textId="77777777" w:rsidR="001C37B0" w:rsidRPr="003549B4" w:rsidRDefault="001C37B0"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§61</w:t>
            </w:r>
          </w:p>
          <w:p w14:paraId="6A5D5B0F" w14:textId="77777777" w:rsidR="001C37B0" w:rsidRPr="003549B4" w:rsidRDefault="001C37B0"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1A7B3DCC"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04FE6B71"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2F6C8799"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719ABF3D"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58A76C03"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29E79BD0"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3551438B"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09990231"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6986DBFD" w14:textId="77777777" w:rsidR="0060340C" w:rsidRPr="003549B4" w:rsidRDefault="0060340C" w:rsidP="0060340C">
            <w:pPr>
              <w:spacing w:after="0" w:line="240" w:lineRule="auto"/>
              <w:ind w:right="-9"/>
              <w:rPr>
                <w:rFonts w:ascii="Times New Roman" w:hAnsi="Times New Roman" w:cs="Times New Roman"/>
                <w:sz w:val="20"/>
                <w:szCs w:val="20"/>
              </w:rPr>
            </w:pPr>
          </w:p>
          <w:p w14:paraId="75B25DC3" w14:textId="77777777" w:rsidR="00B40A88" w:rsidRPr="003549B4" w:rsidRDefault="00B40A88"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§61</w:t>
            </w:r>
          </w:p>
          <w:p w14:paraId="56C3EE69" w14:textId="77777777" w:rsidR="00B40A88" w:rsidRPr="003549B4" w:rsidRDefault="00813733"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O7</w:t>
            </w:r>
          </w:p>
          <w:p w14:paraId="359E13A1"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0C63C708"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6AD73294"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5CBC4C34" w14:textId="77777777" w:rsidR="006729DE" w:rsidRPr="003549B4" w:rsidRDefault="006729DE" w:rsidP="00F17024">
            <w:pPr>
              <w:spacing w:after="0" w:line="240" w:lineRule="auto"/>
              <w:ind w:left="14" w:right="-9" w:hanging="29"/>
              <w:rPr>
                <w:rFonts w:ascii="Times New Roman" w:hAnsi="Times New Roman" w:cs="Times New Roman"/>
                <w:sz w:val="20"/>
                <w:szCs w:val="20"/>
              </w:rPr>
            </w:pPr>
          </w:p>
          <w:p w14:paraId="3EC44B38" w14:textId="77777777" w:rsidR="006729DE" w:rsidRPr="003549B4" w:rsidRDefault="006729DE" w:rsidP="00F17024">
            <w:pPr>
              <w:spacing w:after="0" w:line="240" w:lineRule="auto"/>
              <w:ind w:left="14" w:right="-9" w:hanging="29"/>
              <w:rPr>
                <w:rFonts w:ascii="Times New Roman" w:hAnsi="Times New Roman" w:cs="Times New Roman"/>
                <w:sz w:val="20"/>
                <w:szCs w:val="20"/>
              </w:rPr>
            </w:pPr>
          </w:p>
          <w:p w14:paraId="0B868581" w14:textId="77777777" w:rsidR="006729DE" w:rsidRPr="003549B4" w:rsidRDefault="006729DE" w:rsidP="00F17024">
            <w:pPr>
              <w:spacing w:after="0" w:line="240" w:lineRule="auto"/>
              <w:ind w:left="14" w:right="-9" w:hanging="29"/>
              <w:rPr>
                <w:rFonts w:ascii="Times New Roman" w:hAnsi="Times New Roman" w:cs="Times New Roman"/>
                <w:sz w:val="20"/>
                <w:szCs w:val="20"/>
              </w:rPr>
            </w:pPr>
          </w:p>
          <w:p w14:paraId="42BC5764" w14:textId="77777777" w:rsidR="006729DE" w:rsidRPr="003549B4" w:rsidRDefault="006729DE" w:rsidP="00F17024">
            <w:pPr>
              <w:spacing w:after="0" w:line="240" w:lineRule="auto"/>
              <w:ind w:left="14" w:right="-9" w:hanging="29"/>
              <w:rPr>
                <w:rFonts w:ascii="Times New Roman" w:hAnsi="Times New Roman" w:cs="Times New Roman"/>
                <w:sz w:val="20"/>
                <w:szCs w:val="20"/>
              </w:rPr>
            </w:pPr>
          </w:p>
          <w:p w14:paraId="4E7173A4" w14:textId="77777777" w:rsidR="00464474" w:rsidRPr="003549B4" w:rsidRDefault="00464474" w:rsidP="00F17024">
            <w:pPr>
              <w:spacing w:after="0" w:line="240" w:lineRule="auto"/>
              <w:ind w:left="14" w:right="-9" w:hanging="29"/>
              <w:rPr>
                <w:rFonts w:ascii="Times New Roman" w:hAnsi="Times New Roman" w:cs="Times New Roman"/>
                <w:sz w:val="20"/>
                <w:szCs w:val="20"/>
              </w:rPr>
            </w:pPr>
          </w:p>
          <w:p w14:paraId="716E2C06" w14:textId="77777777" w:rsidR="006729DE" w:rsidRPr="003549B4" w:rsidRDefault="006729DE"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§61</w:t>
            </w:r>
          </w:p>
          <w:p w14:paraId="2A9BCD07" w14:textId="77777777" w:rsidR="001C37B0" w:rsidRPr="003549B4" w:rsidRDefault="006729DE"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O9</w:t>
            </w:r>
          </w:p>
        </w:tc>
        <w:tc>
          <w:tcPr>
            <w:tcW w:w="6006" w:type="dxa"/>
            <w:tcBorders>
              <w:top w:val="nil"/>
            </w:tcBorders>
          </w:tcPr>
          <w:p w14:paraId="36156048" w14:textId="77777777" w:rsidR="00813733" w:rsidRPr="003549B4" w:rsidRDefault="0075439B" w:rsidP="0060340C">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lastRenderedPageBreak/>
              <w:t>(4)</w:t>
            </w:r>
            <w:r w:rsidR="00813733" w:rsidRPr="003549B4">
              <w:rPr>
                <w:rFonts w:ascii="Times New Roman" w:hAnsi="Times New Roman" w:cs="Times New Roman"/>
                <w:sz w:val="20"/>
                <w:szCs w:val="20"/>
              </w:rPr>
              <w:t xml:space="preserve"> Termíny na vydanie povolenia pre veľký zdroj a stredný zdroj, ktorý bol uvedený do užívania do 31. decembra 2022, veľký zdroj </w:t>
            </w:r>
            <w:r w:rsidR="00813733" w:rsidRPr="003549B4">
              <w:rPr>
                <w:rFonts w:ascii="Times New Roman" w:hAnsi="Times New Roman" w:cs="Times New Roman"/>
                <w:sz w:val="20"/>
                <w:szCs w:val="20"/>
              </w:rPr>
              <w:lastRenderedPageBreak/>
              <w:t>a stredný zdroj, pre ktorý bol vydaný súhlas na povolenie zdroja podľa doterajšieho zákona do 31. decembra 2022 a bude uvedený do užívania do 31. decembra 2023, sú ustanovené v § 61 ods. 5 a 6. Konanie podľa prvej vety začne okresný úrad z vlastného podnetu. Prevádzkovanie veľkého zdroja a stredného zdroja vymedzeného podľa prvej vety, je po uplynutí ustanoveného termínu v § 61 ods. 5 alebo 6 možné len na základe povolenia zdroja; uvedené neplatí ak do ustanoveného termínu začalo konanie o vydaní povolenia zdroja podľa odseku 1.</w:t>
            </w:r>
          </w:p>
          <w:p w14:paraId="6D1B82B8" w14:textId="77777777" w:rsidR="007B11F4" w:rsidRPr="003549B4" w:rsidRDefault="007B11F4" w:rsidP="0060340C">
            <w:pPr>
              <w:spacing w:after="0" w:line="240" w:lineRule="auto"/>
              <w:ind w:left="14" w:right="-9" w:hanging="29"/>
              <w:rPr>
                <w:rFonts w:ascii="Times New Roman" w:hAnsi="Times New Roman" w:cs="Times New Roman"/>
                <w:sz w:val="20"/>
                <w:szCs w:val="20"/>
              </w:rPr>
            </w:pPr>
          </w:p>
          <w:p w14:paraId="5372C182" w14:textId="473AE105" w:rsidR="00813733" w:rsidRPr="003549B4" w:rsidRDefault="007B11F4" w:rsidP="0060340C">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xml:space="preserve">(5) </w:t>
            </w:r>
            <w:r w:rsidR="00813733" w:rsidRPr="003549B4">
              <w:rPr>
                <w:rFonts w:ascii="Times New Roman" w:hAnsi="Times New Roman" w:cs="Times New Roman"/>
                <w:sz w:val="20"/>
                <w:szCs w:val="20"/>
              </w:rPr>
              <w:t xml:space="preserve">Termíny na vydanie povolenia zdroja podľa § 27 ods. 4 sú </w:t>
            </w:r>
            <w:r w:rsidR="00E54999" w:rsidRPr="003549B4">
              <w:rPr>
                <w:rFonts w:ascii="Times New Roman" w:hAnsi="Times New Roman" w:cs="Times New Roman"/>
                <w:sz w:val="20"/>
                <w:szCs w:val="20"/>
              </w:rPr>
              <w:t xml:space="preserve">do </w:t>
            </w:r>
          </w:p>
          <w:p w14:paraId="74766B05" w14:textId="7E9AC77C" w:rsidR="00813733" w:rsidRPr="003549B4" w:rsidRDefault="00813733" w:rsidP="00813733">
            <w:pPr>
              <w:pStyle w:val="Odsekzoznamu"/>
              <w:keepNext w:val="0"/>
              <w:numPr>
                <w:ilvl w:val="1"/>
                <w:numId w:val="26"/>
              </w:numPr>
              <w:spacing w:before="0" w:after="0"/>
              <w:ind w:left="284" w:hanging="284"/>
              <w:rPr>
                <w:strike/>
                <w:sz w:val="20"/>
                <w:szCs w:val="20"/>
              </w:rPr>
            </w:pPr>
            <w:r w:rsidRPr="003549B4">
              <w:rPr>
                <w:rFonts w:eastAsiaTheme="minorEastAsia"/>
                <w:sz w:val="20"/>
                <w:szCs w:val="20"/>
              </w:rPr>
              <w:t>31. decembra 2023, ak ide o väčšie stredné spaľovacie zariadenia s menovitým tepelným príkonom väčším ako 5 MW,</w:t>
            </w:r>
          </w:p>
          <w:p w14:paraId="7DF49400" w14:textId="3881A574" w:rsidR="00813733" w:rsidRPr="003549B4" w:rsidRDefault="00813733" w:rsidP="00813733">
            <w:pPr>
              <w:pStyle w:val="Odsekzoznamu"/>
              <w:keepNext w:val="0"/>
              <w:numPr>
                <w:ilvl w:val="1"/>
                <w:numId w:val="26"/>
              </w:numPr>
              <w:spacing w:before="0" w:after="0"/>
              <w:ind w:left="284" w:hanging="284"/>
              <w:rPr>
                <w:sz w:val="20"/>
                <w:szCs w:val="20"/>
              </w:rPr>
            </w:pPr>
            <w:r w:rsidRPr="003549B4">
              <w:rPr>
                <w:rFonts w:eastAsiaTheme="minorEastAsia"/>
                <w:sz w:val="20"/>
                <w:szCs w:val="20"/>
              </w:rPr>
              <w:t>31. decembra 2028, ak ide o väčšie stredné spaľovacie zariadenie s menovitým tepelným príkonom od 1 MW do 5 MW vrátane,</w:t>
            </w:r>
          </w:p>
          <w:p w14:paraId="2ADEC780" w14:textId="74772843" w:rsidR="00813733" w:rsidRPr="003549B4" w:rsidRDefault="00813733" w:rsidP="00813733">
            <w:pPr>
              <w:pStyle w:val="Odsekzoznamu"/>
              <w:keepNext w:val="0"/>
              <w:numPr>
                <w:ilvl w:val="1"/>
                <w:numId w:val="26"/>
              </w:numPr>
              <w:spacing w:before="0" w:after="0"/>
              <w:ind w:left="284" w:hanging="284"/>
              <w:rPr>
                <w:sz w:val="20"/>
                <w:szCs w:val="20"/>
              </w:rPr>
            </w:pPr>
            <w:r w:rsidRPr="003549B4">
              <w:rPr>
                <w:rFonts w:eastAsiaTheme="minorEastAsia"/>
                <w:sz w:val="20"/>
                <w:szCs w:val="20"/>
              </w:rPr>
              <w:t>31. decembra 2029, pre zdroje a zariadenia iné ako v písmene a), b) a d),</w:t>
            </w:r>
          </w:p>
          <w:p w14:paraId="3F984AF3" w14:textId="0E0F3E87" w:rsidR="00813733" w:rsidRPr="003549B4" w:rsidRDefault="00813733" w:rsidP="00813733">
            <w:pPr>
              <w:pStyle w:val="Odsekzoznamu"/>
              <w:keepNext w:val="0"/>
              <w:numPr>
                <w:ilvl w:val="1"/>
                <w:numId w:val="26"/>
              </w:numPr>
              <w:spacing w:before="0" w:after="0"/>
              <w:ind w:left="284" w:hanging="284"/>
              <w:rPr>
                <w:sz w:val="20"/>
                <w:szCs w:val="20"/>
              </w:rPr>
            </w:pPr>
            <w:r w:rsidRPr="003549B4">
              <w:rPr>
                <w:rFonts w:eastAsiaTheme="minorEastAsia"/>
                <w:sz w:val="20"/>
                <w:szCs w:val="20"/>
              </w:rPr>
              <w:t>31. decembra 2030, ak ide o menšie stredné spaľovacie zariadenia a malé spaľovacie zariadenia, ktoré sú súčasťou stredného zdroja a veľkého zdroja.</w:t>
            </w:r>
          </w:p>
          <w:p w14:paraId="508010C3" w14:textId="77777777" w:rsidR="00021CA2" w:rsidRPr="003549B4" w:rsidRDefault="00021CA2" w:rsidP="007B11F4">
            <w:pPr>
              <w:spacing w:after="0" w:line="240" w:lineRule="auto"/>
              <w:rPr>
                <w:rFonts w:ascii="Times New Roman" w:eastAsiaTheme="minorEastAsia" w:hAnsi="Times New Roman" w:cs="Times New Roman"/>
                <w:sz w:val="20"/>
                <w:szCs w:val="20"/>
              </w:rPr>
            </w:pPr>
          </w:p>
          <w:p w14:paraId="5C0FE36D" w14:textId="77777777" w:rsidR="0060340C" w:rsidRPr="003549B4" w:rsidRDefault="00B40A88" w:rsidP="006729DE">
            <w:pPr>
              <w:spacing w:after="0"/>
              <w:rPr>
                <w:rFonts w:ascii="Times New Roman" w:hAnsi="Times New Roman" w:cs="Times New Roman"/>
                <w:sz w:val="20"/>
                <w:szCs w:val="20"/>
              </w:rPr>
            </w:pPr>
            <w:r w:rsidRPr="003549B4">
              <w:rPr>
                <w:rFonts w:ascii="Times New Roman" w:hAnsi="Times New Roman" w:cs="Times New Roman"/>
                <w:sz w:val="20"/>
                <w:szCs w:val="20"/>
              </w:rPr>
              <w:t>(7)</w:t>
            </w:r>
            <w:r w:rsidR="0060340C" w:rsidRPr="003549B4">
              <w:rPr>
                <w:rFonts w:ascii="Times New Roman" w:hAnsi="Times New Roman" w:cs="Times New Roman"/>
                <w:sz w:val="20"/>
                <w:szCs w:val="20"/>
              </w:rPr>
              <w:t xml:space="preserve"> Okresný úrad začne konanie na vydanie povolenia podľa § 27 ods. 4 z vlastného podnetu pre každý veľký zdroj a stredný zdroj okrem zdroja, ktorý je súčasťou prevádzky podľa osobitného predpisu</w:t>
            </w:r>
            <w:r w:rsidR="006729DE" w:rsidRPr="003549B4">
              <w:rPr>
                <w:rFonts w:ascii="Times New Roman" w:hAnsi="Times New Roman" w:cs="Times New Roman"/>
                <w:sz w:val="20"/>
                <w:szCs w:val="20"/>
                <w:vertAlign w:val="superscript"/>
              </w:rPr>
              <w:t>65</w:t>
            </w:r>
            <w:r w:rsidR="0060340C" w:rsidRPr="003549B4">
              <w:rPr>
                <w:rFonts w:ascii="Times New Roman" w:hAnsi="Times New Roman" w:cs="Times New Roman"/>
                <w:sz w:val="20"/>
                <w:szCs w:val="20"/>
              </w:rPr>
              <w:t xml:space="preserve">) najneskôr do troch mesiacov pred termínom uvedeným v odseku 5 a 6. Okresný úrad zašle prevádzkovateľovi dostupné údaje o zdroji ako podklad pre vydanie povolenia zdroja a požiada o ich verifikáciu a v prípade potreby o doplnenie údajov. </w:t>
            </w:r>
          </w:p>
          <w:p w14:paraId="6894BD96" w14:textId="77777777" w:rsidR="006729DE" w:rsidRPr="003549B4" w:rsidRDefault="006729DE" w:rsidP="006729DE">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vertAlign w:val="superscript"/>
              </w:rPr>
              <w:t>65</w:t>
            </w:r>
            <w:r w:rsidRPr="003549B4">
              <w:rPr>
                <w:rFonts w:ascii="Times New Roman" w:hAnsi="Times New Roman" w:cs="Times New Roman"/>
                <w:sz w:val="20"/>
                <w:szCs w:val="20"/>
              </w:rPr>
              <w:t>) Zákon č. 39/2013 Z. z. v znení neskorších predpisov</w:t>
            </w:r>
          </w:p>
          <w:p w14:paraId="2D3A2066" w14:textId="77777777" w:rsidR="00464474" w:rsidRPr="003549B4" w:rsidRDefault="00464474" w:rsidP="00464474">
            <w:pPr>
              <w:spacing w:after="0"/>
              <w:rPr>
                <w:rFonts w:ascii="Times New Roman" w:hAnsi="Times New Roman" w:cs="Times New Roman"/>
                <w:sz w:val="20"/>
                <w:szCs w:val="20"/>
              </w:rPr>
            </w:pPr>
          </w:p>
          <w:p w14:paraId="29F9BB07" w14:textId="761D1D6E" w:rsidR="00464474" w:rsidRPr="003549B4" w:rsidRDefault="00E54999" w:rsidP="00464474">
            <w:pPr>
              <w:spacing w:after="0"/>
              <w:rPr>
                <w:rFonts w:ascii="Times New Roman" w:hAnsi="Times New Roman" w:cs="Times New Roman"/>
                <w:sz w:val="20"/>
                <w:szCs w:val="20"/>
              </w:rPr>
            </w:pPr>
            <w:r w:rsidRPr="003549B4">
              <w:rPr>
                <w:rFonts w:ascii="Times New Roman" w:hAnsi="Times New Roman" w:cs="Times New Roman"/>
                <w:sz w:val="20"/>
                <w:szCs w:val="20"/>
              </w:rPr>
              <w:t xml:space="preserve">(9) </w:t>
            </w:r>
            <w:r w:rsidR="00464474" w:rsidRPr="003549B4">
              <w:rPr>
                <w:rFonts w:ascii="Times New Roman" w:hAnsi="Times New Roman" w:cs="Times New Roman"/>
                <w:sz w:val="20"/>
                <w:szCs w:val="20"/>
              </w:rPr>
              <w:t>Ak väčšie stredné spaľovacie zariadenia je súčasťou prevádzky podľa osobitného predpisu</w:t>
            </w:r>
            <w:r w:rsidR="00464474" w:rsidRPr="003549B4">
              <w:rPr>
                <w:rFonts w:ascii="Times New Roman" w:hAnsi="Times New Roman" w:cs="Times New Roman"/>
                <w:sz w:val="20"/>
                <w:szCs w:val="20"/>
                <w:vertAlign w:val="superscript"/>
              </w:rPr>
              <w:t>4</w:t>
            </w:r>
            <w:r w:rsidRPr="003549B4">
              <w:rPr>
                <w:rFonts w:ascii="Times New Roman" w:hAnsi="Times New Roman" w:cs="Times New Roman"/>
                <w:sz w:val="20"/>
                <w:szCs w:val="20"/>
                <w:vertAlign w:val="superscript"/>
              </w:rPr>
              <w:t>2</w:t>
            </w:r>
            <w:r w:rsidR="00464474" w:rsidRPr="003549B4">
              <w:rPr>
                <w:rFonts w:ascii="Times New Roman" w:hAnsi="Times New Roman" w:cs="Times New Roman"/>
                <w:sz w:val="20"/>
                <w:szCs w:val="20"/>
              </w:rPr>
              <w:t>) orgán integrovaného povoľovania vyzve prevádzkovateľa na predloženie žiadosti o zmenu integrovaného povolenia v termíne podľa odseku 4 písm. a) a b), ak je to pre zosúladenie emisných limitov potrebné.</w:t>
            </w:r>
          </w:p>
          <w:p w14:paraId="6C88CA71" w14:textId="2FDE1764" w:rsidR="001C37B0" w:rsidRPr="003549B4" w:rsidRDefault="00464474" w:rsidP="00E54999">
            <w:pPr>
              <w:spacing w:after="0"/>
              <w:rPr>
                <w:rFonts w:ascii="Times New Roman" w:hAnsi="Times New Roman" w:cs="Times New Roman"/>
                <w:sz w:val="20"/>
                <w:szCs w:val="20"/>
              </w:rPr>
            </w:pPr>
            <w:r w:rsidRPr="003549B4">
              <w:rPr>
                <w:rFonts w:ascii="Times New Roman" w:hAnsi="Times New Roman" w:cs="Times New Roman"/>
                <w:sz w:val="20"/>
                <w:szCs w:val="20"/>
                <w:vertAlign w:val="superscript"/>
              </w:rPr>
              <w:t>4</w:t>
            </w:r>
            <w:r w:rsidR="00E54999" w:rsidRPr="003549B4">
              <w:rPr>
                <w:rFonts w:ascii="Times New Roman" w:hAnsi="Times New Roman" w:cs="Times New Roman"/>
                <w:sz w:val="20"/>
                <w:szCs w:val="20"/>
                <w:vertAlign w:val="superscript"/>
              </w:rPr>
              <w:t>2</w:t>
            </w:r>
            <w:r w:rsidRPr="003549B4">
              <w:rPr>
                <w:rFonts w:ascii="Times New Roman" w:hAnsi="Times New Roman" w:cs="Times New Roman"/>
                <w:sz w:val="20"/>
                <w:szCs w:val="20"/>
              </w:rPr>
              <w:t>) § 2 písm. d) zákona č. 39/2013 Z. z. v znení neskorších predpisov</w:t>
            </w:r>
          </w:p>
        </w:tc>
        <w:tc>
          <w:tcPr>
            <w:tcW w:w="429" w:type="dxa"/>
            <w:tcBorders>
              <w:top w:val="nil"/>
              <w:bottom w:val="single" w:sz="4" w:space="0" w:color="auto"/>
            </w:tcBorders>
            <w:vAlign w:val="center"/>
          </w:tcPr>
          <w:p w14:paraId="56CB3527" w14:textId="77777777" w:rsidR="001C37B0" w:rsidRPr="003549B4" w:rsidRDefault="001C37B0" w:rsidP="00603CC4">
            <w:pPr>
              <w:spacing w:after="0" w:line="240" w:lineRule="auto"/>
              <w:rPr>
                <w:rFonts w:ascii="Times New Roman" w:hAnsi="Times New Roman" w:cs="Times New Roman"/>
                <w:sz w:val="20"/>
                <w:szCs w:val="20"/>
              </w:rPr>
            </w:pPr>
          </w:p>
        </w:tc>
        <w:tc>
          <w:tcPr>
            <w:tcW w:w="660" w:type="dxa"/>
            <w:tcBorders>
              <w:top w:val="nil"/>
              <w:bottom w:val="single" w:sz="4" w:space="0" w:color="auto"/>
            </w:tcBorders>
            <w:vAlign w:val="center"/>
          </w:tcPr>
          <w:p w14:paraId="4CC30CC8" w14:textId="77777777" w:rsidR="001C37B0" w:rsidRPr="003549B4" w:rsidRDefault="001C37B0" w:rsidP="00603CC4">
            <w:pPr>
              <w:spacing w:after="0" w:line="240" w:lineRule="auto"/>
              <w:rPr>
                <w:rFonts w:ascii="Times New Roman" w:hAnsi="Times New Roman" w:cs="Times New Roman"/>
                <w:sz w:val="20"/>
                <w:szCs w:val="20"/>
              </w:rPr>
            </w:pPr>
          </w:p>
        </w:tc>
      </w:tr>
      <w:tr w:rsidR="00557F90" w:rsidRPr="003549B4" w14:paraId="727EDFBD"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F6A1DD6" w14:textId="77777777" w:rsidR="001C37B0" w:rsidRPr="003549B4" w:rsidRDefault="001C37B0" w:rsidP="00165BD8">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O5</w:t>
            </w:r>
          </w:p>
        </w:tc>
        <w:tc>
          <w:tcPr>
            <w:tcW w:w="6287" w:type="dxa"/>
            <w:tcBorders>
              <w:bottom w:val="single" w:sz="4" w:space="0" w:color="auto"/>
            </w:tcBorders>
          </w:tcPr>
          <w:p w14:paraId="75075076" w14:textId="77777777" w:rsidR="001C37B0" w:rsidRPr="003549B4" w:rsidRDefault="001C37B0" w:rsidP="001B1D25">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rPr>
              <w:t>5. Príslušný orgán vedie register s informáciami o každom stredne veľkom spaľovacom zariadení vrátane informácií uvedených v prílohe I a informácií získaných podľa článku 9. Existujúce stredne veľké spaľovacie zariadenia sú uvedené v registri od dátumu registrácie alebo od dátumu, keď im bolo udelené povolenie, v súlade s touto smernicou. Príslušný orgán sprístupní informácie obsiahnuté v registri verejnosti, a to aj prostredníctvom internetu, v súlade so smernicou 2003/4/ES.</w:t>
            </w:r>
          </w:p>
        </w:tc>
        <w:tc>
          <w:tcPr>
            <w:tcW w:w="433" w:type="dxa"/>
          </w:tcPr>
          <w:p w14:paraId="34A6C823" w14:textId="77777777" w:rsidR="001C37B0" w:rsidRPr="003549B4" w:rsidRDefault="001C37B0" w:rsidP="001B1D25">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p w14:paraId="7D58B78F" w14:textId="77777777" w:rsidR="001C37B0" w:rsidRPr="003549B4" w:rsidRDefault="001C37B0" w:rsidP="001B1D25">
            <w:pPr>
              <w:spacing w:after="0" w:line="240" w:lineRule="auto"/>
              <w:rPr>
                <w:rFonts w:ascii="Times New Roman" w:hAnsi="Times New Roman" w:cs="Times New Roman"/>
                <w:sz w:val="20"/>
                <w:szCs w:val="20"/>
              </w:rPr>
            </w:pPr>
          </w:p>
          <w:p w14:paraId="4F86E8C7" w14:textId="77777777" w:rsidR="001C37B0" w:rsidRPr="003549B4" w:rsidRDefault="001C37B0" w:rsidP="001B1D25">
            <w:pPr>
              <w:spacing w:after="0" w:line="240" w:lineRule="auto"/>
              <w:rPr>
                <w:rFonts w:ascii="Times New Roman" w:hAnsi="Times New Roman" w:cs="Times New Roman"/>
                <w:sz w:val="20"/>
                <w:szCs w:val="20"/>
              </w:rPr>
            </w:pPr>
          </w:p>
          <w:p w14:paraId="059CEFA4" w14:textId="77777777" w:rsidR="001C37B0" w:rsidRPr="003549B4" w:rsidRDefault="001C37B0" w:rsidP="001B1D25">
            <w:pPr>
              <w:spacing w:after="0" w:line="240" w:lineRule="auto"/>
              <w:rPr>
                <w:rFonts w:ascii="Times New Roman" w:hAnsi="Times New Roman" w:cs="Times New Roman"/>
                <w:sz w:val="20"/>
                <w:szCs w:val="20"/>
              </w:rPr>
            </w:pPr>
          </w:p>
          <w:p w14:paraId="70A215C8" w14:textId="77777777" w:rsidR="001C37B0" w:rsidRPr="003549B4" w:rsidRDefault="001C37B0" w:rsidP="001B1D25">
            <w:pPr>
              <w:spacing w:after="0" w:line="240" w:lineRule="auto"/>
              <w:rPr>
                <w:rFonts w:ascii="Times New Roman" w:hAnsi="Times New Roman" w:cs="Times New Roman"/>
                <w:sz w:val="20"/>
                <w:szCs w:val="20"/>
              </w:rPr>
            </w:pPr>
          </w:p>
          <w:p w14:paraId="152A8422" w14:textId="77777777" w:rsidR="001C37B0" w:rsidRPr="003549B4" w:rsidRDefault="001C37B0" w:rsidP="001B1D25">
            <w:pPr>
              <w:spacing w:after="0" w:line="240" w:lineRule="auto"/>
              <w:rPr>
                <w:rFonts w:ascii="Times New Roman" w:hAnsi="Times New Roman" w:cs="Times New Roman"/>
                <w:sz w:val="20"/>
                <w:szCs w:val="20"/>
              </w:rPr>
            </w:pPr>
          </w:p>
          <w:p w14:paraId="1B1BC42D" w14:textId="77777777" w:rsidR="001C37B0" w:rsidRPr="003549B4" w:rsidRDefault="001C37B0" w:rsidP="001B1D25">
            <w:pPr>
              <w:spacing w:after="0" w:line="240" w:lineRule="auto"/>
              <w:rPr>
                <w:rFonts w:ascii="Times New Roman" w:hAnsi="Times New Roman" w:cs="Times New Roman"/>
                <w:sz w:val="20"/>
                <w:szCs w:val="20"/>
              </w:rPr>
            </w:pPr>
          </w:p>
          <w:p w14:paraId="1341B231" w14:textId="77777777" w:rsidR="001C37B0" w:rsidRPr="003549B4" w:rsidRDefault="001C37B0" w:rsidP="001B1D25">
            <w:pPr>
              <w:spacing w:after="0" w:line="240" w:lineRule="auto"/>
              <w:rPr>
                <w:rFonts w:ascii="Times New Roman" w:hAnsi="Times New Roman" w:cs="Times New Roman"/>
                <w:sz w:val="20"/>
                <w:szCs w:val="20"/>
              </w:rPr>
            </w:pPr>
          </w:p>
          <w:p w14:paraId="5A5DABFC" w14:textId="77777777" w:rsidR="001C37B0" w:rsidRPr="003549B4" w:rsidRDefault="001C37B0" w:rsidP="001B1D25">
            <w:pPr>
              <w:spacing w:after="0" w:line="240" w:lineRule="auto"/>
              <w:rPr>
                <w:rFonts w:ascii="Times New Roman" w:hAnsi="Times New Roman" w:cs="Times New Roman"/>
                <w:sz w:val="20"/>
                <w:szCs w:val="20"/>
              </w:rPr>
            </w:pPr>
          </w:p>
          <w:p w14:paraId="569BC680" w14:textId="77777777" w:rsidR="001C37B0" w:rsidRPr="003549B4" w:rsidRDefault="001C37B0" w:rsidP="001B1D25">
            <w:pPr>
              <w:spacing w:after="0" w:line="240" w:lineRule="auto"/>
              <w:rPr>
                <w:rFonts w:ascii="Times New Roman" w:hAnsi="Times New Roman" w:cs="Times New Roman"/>
                <w:sz w:val="20"/>
                <w:szCs w:val="20"/>
              </w:rPr>
            </w:pPr>
          </w:p>
          <w:p w14:paraId="311B022E" w14:textId="77777777" w:rsidR="001C37B0" w:rsidRPr="003549B4" w:rsidRDefault="001C37B0" w:rsidP="001B1D25">
            <w:pPr>
              <w:spacing w:after="0" w:line="240" w:lineRule="auto"/>
              <w:rPr>
                <w:rFonts w:ascii="Times New Roman" w:hAnsi="Times New Roman" w:cs="Times New Roman"/>
                <w:sz w:val="20"/>
                <w:szCs w:val="20"/>
              </w:rPr>
            </w:pPr>
          </w:p>
        </w:tc>
        <w:tc>
          <w:tcPr>
            <w:tcW w:w="572" w:type="dxa"/>
          </w:tcPr>
          <w:p w14:paraId="742F64D7" w14:textId="77777777" w:rsidR="001C37B0" w:rsidRPr="003549B4" w:rsidRDefault="00E17FCE"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lastRenderedPageBreak/>
              <w:t>NZ</w:t>
            </w:r>
          </w:p>
          <w:p w14:paraId="593C8CE8" w14:textId="77777777" w:rsidR="001C37B0" w:rsidRPr="003549B4" w:rsidRDefault="001C37B0" w:rsidP="00F17024">
            <w:pPr>
              <w:spacing w:after="0" w:line="240" w:lineRule="auto"/>
              <w:ind w:right="-108"/>
              <w:rPr>
                <w:rFonts w:ascii="Times New Roman" w:hAnsi="Times New Roman" w:cs="Times New Roman"/>
                <w:sz w:val="20"/>
                <w:szCs w:val="20"/>
              </w:rPr>
            </w:pPr>
          </w:p>
          <w:p w14:paraId="02F6836A" w14:textId="77777777" w:rsidR="001C37B0" w:rsidRPr="003549B4" w:rsidRDefault="001C37B0" w:rsidP="00F17024">
            <w:pPr>
              <w:spacing w:after="0" w:line="240" w:lineRule="auto"/>
              <w:ind w:right="-108"/>
              <w:rPr>
                <w:rFonts w:ascii="Times New Roman" w:hAnsi="Times New Roman" w:cs="Times New Roman"/>
                <w:sz w:val="20"/>
                <w:szCs w:val="20"/>
              </w:rPr>
            </w:pPr>
          </w:p>
          <w:p w14:paraId="461C38E6" w14:textId="77777777" w:rsidR="001C37B0" w:rsidRPr="003549B4" w:rsidRDefault="001C37B0" w:rsidP="00F17024">
            <w:pPr>
              <w:spacing w:after="0" w:line="240" w:lineRule="auto"/>
              <w:ind w:right="-108"/>
              <w:rPr>
                <w:rFonts w:ascii="Times New Roman" w:hAnsi="Times New Roman" w:cs="Times New Roman"/>
                <w:sz w:val="20"/>
                <w:szCs w:val="20"/>
              </w:rPr>
            </w:pPr>
          </w:p>
          <w:p w14:paraId="43BF9CA9" w14:textId="77777777" w:rsidR="001C37B0" w:rsidRPr="003549B4" w:rsidRDefault="001C37B0" w:rsidP="00F17024">
            <w:pPr>
              <w:spacing w:after="0" w:line="240" w:lineRule="auto"/>
              <w:ind w:right="-108"/>
              <w:rPr>
                <w:rFonts w:ascii="Times New Roman" w:hAnsi="Times New Roman" w:cs="Times New Roman"/>
                <w:sz w:val="20"/>
                <w:szCs w:val="20"/>
              </w:rPr>
            </w:pPr>
          </w:p>
          <w:p w14:paraId="28E9C65A" w14:textId="77777777" w:rsidR="001C37B0" w:rsidRPr="003549B4" w:rsidRDefault="001C37B0" w:rsidP="00F17024">
            <w:pPr>
              <w:spacing w:after="0" w:line="240" w:lineRule="auto"/>
              <w:ind w:right="-108"/>
              <w:rPr>
                <w:rFonts w:ascii="Times New Roman" w:hAnsi="Times New Roman" w:cs="Times New Roman"/>
                <w:sz w:val="20"/>
                <w:szCs w:val="20"/>
              </w:rPr>
            </w:pPr>
          </w:p>
          <w:p w14:paraId="2B6B450F" w14:textId="77777777" w:rsidR="001C37B0" w:rsidRPr="003549B4" w:rsidRDefault="001C37B0" w:rsidP="00F17024">
            <w:pPr>
              <w:spacing w:after="0" w:line="240" w:lineRule="auto"/>
              <w:ind w:right="-108"/>
              <w:rPr>
                <w:rFonts w:ascii="Times New Roman" w:hAnsi="Times New Roman" w:cs="Times New Roman"/>
                <w:sz w:val="20"/>
                <w:szCs w:val="20"/>
              </w:rPr>
            </w:pPr>
          </w:p>
          <w:p w14:paraId="4D452C89" w14:textId="77777777" w:rsidR="001C37B0" w:rsidRPr="003549B4" w:rsidRDefault="001C37B0" w:rsidP="00F17024">
            <w:pPr>
              <w:spacing w:after="0" w:line="240" w:lineRule="auto"/>
              <w:ind w:right="-108"/>
              <w:rPr>
                <w:rFonts w:ascii="Times New Roman" w:hAnsi="Times New Roman" w:cs="Times New Roman"/>
                <w:sz w:val="20"/>
                <w:szCs w:val="20"/>
              </w:rPr>
            </w:pPr>
          </w:p>
          <w:p w14:paraId="71CA66AC" w14:textId="77777777" w:rsidR="001C37B0" w:rsidRPr="003549B4" w:rsidRDefault="001C37B0" w:rsidP="00F17024">
            <w:pPr>
              <w:spacing w:after="0" w:line="240" w:lineRule="auto"/>
              <w:ind w:right="-108"/>
              <w:rPr>
                <w:rFonts w:ascii="Times New Roman" w:hAnsi="Times New Roman" w:cs="Times New Roman"/>
                <w:sz w:val="20"/>
                <w:szCs w:val="20"/>
              </w:rPr>
            </w:pPr>
          </w:p>
          <w:p w14:paraId="7CD1CBB1" w14:textId="77777777" w:rsidR="001C37B0" w:rsidRPr="003549B4" w:rsidRDefault="001C37B0" w:rsidP="00F17024">
            <w:pPr>
              <w:spacing w:after="0" w:line="240" w:lineRule="auto"/>
              <w:ind w:right="-108"/>
              <w:rPr>
                <w:rFonts w:ascii="Times New Roman" w:hAnsi="Times New Roman" w:cs="Times New Roman"/>
                <w:sz w:val="20"/>
                <w:szCs w:val="20"/>
              </w:rPr>
            </w:pPr>
          </w:p>
          <w:p w14:paraId="17804535" w14:textId="77777777" w:rsidR="001C37B0" w:rsidRPr="003549B4" w:rsidRDefault="001C37B0" w:rsidP="00F17024">
            <w:pPr>
              <w:spacing w:after="0" w:line="240" w:lineRule="auto"/>
              <w:ind w:right="-108"/>
              <w:rPr>
                <w:rFonts w:ascii="Times New Roman" w:hAnsi="Times New Roman" w:cs="Times New Roman"/>
                <w:sz w:val="20"/>
                <w:szCs w:val="20"/>
              </w:rPr>
            </w:pPr>
          </w:p>
        </w:tc>
        <w:tc>
          <w:tcPr>
            <w:tcW w:w="569" w:type="dxa"/>
          </w:tcPr>
          <w:p w14:paraId="2EEBB821" w14:textId="77777777" w:rsidR="001C37B0" w:rsidRPr="003549B4" w:rsidRDefault="001C37B0"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lastRenderedPageBreak/>
              <w:t>§4</w:t>
            </w:r>
            <w:r w:rsidR="008147DE" w:rsidRPr="003549B4">
              <w:rPr>
                <w:rFonts w:ascii="Times New Roman" w:hAnsi="Times New Roman" w:cs="Times New Roman"/>
                <w:sz w:val="20"/>
                <w:szCs w:val="20"/>
              </w:rPr>
              <w:t>1</w:t>
            </w:r>
          </w:p>
          <w:p w14:paraId="24039478" w14:textId="77777777" w:rsidR="001C37B0" w:rsidRPr="003549B4" w:rsidRDefault="001C37B0"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Pk)</w:t>
            </w:r>
          </w:p>
          <w:p w14:paraId="38638833" w14:textId="77777777" w:rsidR="001C37B0" w:rsidRPr="003549B4" w:rsidRDefault="008147DE" w:rsidP="008147DE">
            <w:pPr>
              <w:spacing w:after="0" w:line="240" w:lineRule="auto"/>
              <w:ind w:left="14" w:right="-108" w:hanging="29"/>
              <w:rPr>
                <w:rFonts w:ascii="Times New Roman" w:hAnsi="Times New Roman" w:cs="Times New Roman"/>
                <w:sz w:val="20"/>
                <w:szCs w:val="20"/>
              </w:rPr>
            </w:pPr>
            <w:r w:rsidRPr="003549B4">
              <w:rPr>
                <w:rFonts w:ascii="Times New Roman" w:hAnsi="Times New Roman" w:cs="Times New Roman"/>
                <w:sz w:val="20"/>
                <w:szCs w:val="20"/>
              </w:rPr>
              <w:t>Bod2</w:t>
            </w:r>
          </w:p>
          <w:p w14:paraId="5D6CE6BD"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35DCD52D" w14:textId="77777777" w:rsidR="008147DE" w:rsidRPr="003549B4" w:rsidRDefault="008147DE" w:rsidP="00F17024">
            <w:pPr>
              <w:spacing w:after="0" w:line="240" w:lineRule="auto"/>
              <w:ind w:left="14" w:right="-9" w:hanging="29"/>
              <w:rPr>
                <w:rFonts w:ascii="Times New Roman" w:hAnsi="Times New Roman" w:cs="Times New Roman"/>
                <w:sz w:val="20"/>
                <w:szCs w:val="20"/>
              </w:rPr>
            </w:pPr>
          </w:p>
          <w:p w14:paraId="73EAE421" w14:textId="77777777" w:rsidR="001C37B0" w:rsidRPr="003549B4" w:rsidRDefault="001C37B0"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§24</w:t>
            </w:r>
          </w:p>
          <w:p w14:paraId="153EBC74" w14:textId="77777777" w:rsidR="001C37B0" w:rsidRPr="003549B4" w:rsidRDefault="001C37B0"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p w14:paraId="22D0685D" w14:textId="77777777" w:rsidR="001C37B0" w:rsidRPr="003549B4" w:rsidRDefault="001C37B0"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Pa)</w:t>
            </w:r>
          </w:p>
          <w:p w14:paraId="3040706F"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33261217" w14:textId="77777777" w:rsidR="001C37B0" w:rsidRPr="003549B4" w:rsidRDefault="001C37B0" w:rsidP="00F17024">
            <w:pPr>
              <w:spacing w:after="0" w:line="240" w:lineRule="auto"/>
              <w:ind w:left="14" w:right="-9" w:hanging="29"/>
              <w:rPr>
                <w:rFonts w:ascii="Times New Roman" w:hAnsi="Times New Roman" w:cs="Times New Roman"/>
                <w:sz w:val="20"/>
                <w:szCs w:val="20"/>
              </w:rPr>
            </w:pPr>
          </w:p>
          <w:p w14:paraId="5690C5EF" w14:textId="77777777" w:rsidR="001C37B0" w:rsidRPr="003549B4" w:rsidRDefault="001C37B0" w:rsidP="00F17024">
            <w:pPr>
              <w:spacing w:after="0" w:line="240" w:lineRule="auto"/>
              <w:ind w:left="14" w:right="-9" w:hanging="29"/>
              <w:rPr>
                <w:rFonts w:ascii="Times New Roman" w:hAnsi="Times New Roman" w:cs="Times New Roman"/>
                <w:sz w:val="20"/>
                <w:szCs w:val="20"/>
              </w:rPr>
            </w:pPr>
          </w:p>
        </w:tc>
        <w:tc>
          <w:tcPr>
            <w:tcW w:w="6006" w:type="dxa"/>
          </w:tcPr>
          <w:p w14:paraId="0B0649E7" w14:textId="77777777" w:rsidR="001C37B0" w:rsidRPr="003549B4" w:rsidRDefault="001C37B0" w:rsidP="001C37B0">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 xml:space="preserve">(k) vo veciach stacionárnych zdrojov prostredníctvom </w:t>
            </w:r>
          </w:p>
          <w:p w14:paraId="0B4DE1DC" w14:textId="77777777" w:rsidR="001C37B0" w:rsidRPr="003549B4" w:rsidRDefault="00B40A88" w:rsidP="00E54999">
            <w:pPr>
              <w:spacing w:after="240" w:line="240" w:lineRule="auto"/>
              <w:rPr>
                <w:rFonts w:ascii="Times New Roman" w:hAnsi="Times New Roman" w:cs="Times New Roman"/>
                <w:sz w:val="20"/>
                <w:szCs w:val="20"/>
              </w:rPr>
            </w:pPr>
            <w:r w:rsidRPr="003549B4">
              <w:rPr>
                <w:rFonts w:ascii="Times New Roman" w:hAnsi="Times New Roman" w:cs="Times New Roman"/>
                <w:sz w:val="20"/>
                <w:szCs w:val="20"/>
              </w:rPr>
              <w:t>2</w:t>
            </w:r>
            <w:r w:rsidR="001C37B0" w:rsidRPr="003549B4">
              <w:rPr>
                <w:rFonts w:ascii="Times New Roman" w:hAnsi="Times New Roman" w:cs="Times New Roman"/>
                <w:sz w:val="20"/>
                <w:szCs w:val="20"/>
              </w:rPr>
              <w:t>. poverenej organizácie spravuje Národný emisný informačný systém o stacionárnych zdrojoch a ich emisiách, vyhodnocuje získané údaje a vybrané údaje sprístupňuje verejnosti,</w:t>
            </w:r>
          </w:p>
          <w:p w14:paraId="03AABC73" w14:textId="77777777" w:rsidR="001C37B0" w:rsidRPr="003549B4" w:rsidRDefault="001C37B0" w:rsidP="001C37B0">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(2)Národný emisný informačný systém slúži ako zdroj údajov a informácií na účely výkonu štátnej správy ochrany ovzdušia a zahŕňa najmä:</w:t>
            </w:r>
          </w:p>
          <w:p w14:paraId="480C4299" w14:textId="77777777" w:rsidR="001C37B0" w:rsidRPr="003549B4" w:rsidRDefault="001C37B0" w:rsidP="001C37B0">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a) evidenciu vybraných údajov o veľkých zdrojoch a stredných zdrojoch, ich prevádzkovateľoch a emisiách,</w:t>
            </w:r>
          </w:p>
        </w:tc>
        <w:tc>
          <w:tcPr>
            <w:tcW w:w="429" w:type="dxa"/>
            <w:tcBorders>
              <w:top w:val="single" w:sz="4" w:space="0" w:color="auto"/>
              <w:bottom w:val="single" w:sz="4" w:space="0" w:color="auto"/>
            </w:tcBorders>
            <w:vAlign w:val="center"/>
          </w:tcPr>
          <w:p w14:paraId="1963B19D" w14:textId="77777777" w:rsidR="001C37B0" w:rsidRPr="003549B4" w:rsidRDefault="008147DE"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20A19932" w14:textId="77777777" w:rsidR="001C37B0" w:rsidRPr="003549B4" w:rsidRDefault="001C37B0" w:rsidP="00603CC4">
            <w:pPr>
              <w:spacing w:after="0" w:line="240" w:lineRule="auto"/>
              <w:rPr>
                <w:rFonts w:ascii="Times New Roman" w:hAnsi="Times New Roman" w:cs="Times New Roman"/>
                <w:sz w:val="20"/>
                <w:szCs w:val="20"/>
              </w:rPr>
            </w:pPr>
          </w:p>
        </w:tc>
      </w:tr>
      <w:tr w:rsidR="00557F90" w:rsidRPr="003549B4" w14:paraId="3B21AED4"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85A47EE" w14:textId="77777777" w:rsidR="001C37B0" w:rsidRPr="003549B4" w:rsidRDefault="001C37B0"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O6</w:t>
            </w:r>
          </w:p>
        </w:tc>
        <w:tc>
          <w:tcPr>
            <w:tcW w:w="6287" w:type="dxa"/>
            <w:tcBorders>
              <w:top w:val="single" w:sz="4" w:space="0" w:color="auto"/>
              <w:bottom w:val="single" w:sz="4" w:space="0" w:color="auto"/>
            </w:tcBorders>
          </w:tcPr>
          <w:p w14:paraId="0A862917" w14:textId="77777777" w:rsidR="001C37B0" w:rsidRPr="003549B4" w:rsidRDefault="001C37B0" w:rsidP="001B1D25">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rPr>
              <w:t>6. Bez toho, aby bola dotknutá povinnosť pre stredne veľké spaľovacie zariadenia byť držiteľom povolenia alebo byť registrované, členské štáty môžu požiadavky na určité kategórie stredne veľkých spaľovacích zariadení zahrnúť do všeobecne záväzných pravidiel. V prípade prijatia všeobecne záväzných pravidiel môže povolenie alebo registrácia obsahovať len odkaz na takéto pravidlá.</w:t>
            </w:r>
          </w:p>
        </w:tc>
        <w:tc>
          <w:tcPr>
            <w:tcW w:w="433" w:type="dxa"/>
          </w:tcPr>
          <w:p w14:paraId="57E31099" w14:textId="77777777" w:rsidR="001C37B0" w:rsidRPr="003549B4" w:rsidRDefault="00353E37" w:rsidP="001B1D25">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D</w:t>
            </w:r>
          </w:p>
        </w:tc>
        <w:tc>
          <w:tcPr>
            <w:tcW w:w="572" w:type="dxa"/>
          </w:tcPr>
          <w:p w14:paraId="3D00B518" w14:textId="77777777" w:rsidR="001C37B0" w:rsidRPr="003549B4" w:rsidRDefault="00A91825"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5F3028B1" w14:textId="77777777" w:rsidR="001C37B0" w:rsidRPr="003549B4" w:rsidRDefault="001C37B0"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§62 Pf)</w:t>
            </w:r>
          </w:p>
        </w:tc>
        <w:tc>
          <w:tcPr>
            <w:tcW w:w="6006" w:type="dxa"/>
            <w:vAlign w:val="center"/>
          </w:tcPr>
          <w:p w14:paraId="5595F95F" w14:textId="77777777" w:rsidR="001C37B0" w:rsidRPr="003549B4" w:rsidRDefault="001C37B0" w:rsidP="001C37B0">
            <w:pPr>
              <w:spacing w:after="0" w:line="240" w:lineRule="auto"/>
              <w:ind w:left="-6"/>
              <w:rPr>
                <w:rFonts w:ascii="Times New Roman" w:hAnsi="Times New Roman" w:cs="Times New Roman"/>
                <w:sz w:val="20"/>
                <w:szCs w:val="20"/>
              </w:rPr>
            </w:pPr>
            <w:r w:rsidRPr="003549B4">
              <w:rPr>
                <w:rFonts w:ascii="Times New Roman" w:hAnsi="Times New Roman" w:cs="Times New Roman"/>
                <w:sz w:val="20"/>
                <w:szCs w:val="20"/>
              </w:rPr>
              <w:t>Všeobecne záväzný právny predpis, ktorý vydá ministerstvo, ustanoví</w:t>
            </w:r>
          </w:p>
          <w:p w14:paraId="758CA101" w14:textId="77777777" w:rsidR="003F1796" w:rsidRPr="003549B4" w:rsidRDefault="003F1796" w:rsidP="00B40A88">
            <w:pPr>
              <w:spacing w:after="0" w:line="240" w:lineRule="auto"/>
              <w:ind w:left="-6"/>
              <w:rPr>
                <w:rFonts w:ascii="Times New Roman" w:hAnsi="Times New Roman" w:cs="Times New Roman"/>
                <w:sz w:val="20"/>
                <w:szCs w:val="20"/>
              </w:rPr>
            </w:pPr>
            <w:r w:rsidRPr="003549B4">
              <w:rPr>
                <w:rFonts w:ascii="Times New Roman" w:hAnsi="Times New Roman" w:cs="Times New Roman"/>
                <w:sz w:val="20"/>
                <w:szCs w:val="20"/>
              </w:rPr>
              <w:t>f)</w:t>
            </w:r>
            <w:r w:rsidRPr="003549B4">
              <w:rPr>
                <w:rFonts w:ascii="Times New Roman" w:hAnsi="Times New Roman" w:cs="Times New Roman"/>
                <w:sz w:val="20"/>
                <w:szCs w:val="20"/>
              </w:rPr>
              <w:tab/>
              <w:t>členenie a kategorizáciu stacionárnych zdrojov, zoznam vybraných osobitných činností a ich charakteristiky, členenie a vymedzenie zariadení stacionárnych zdrojov, agregačné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prechodných opatrení, požiadavky a podmienky vykonávania vybraných osobitných činností a oznamovanie ich výkonu, požiadavky zabezpečenia rozptylu emisií znečisťujúcich látok, zásady umiestňovania zdrojov znečisťovania ovzdušia a odporúčané odstupové vzdialenosti, požiadavky na vypracovanie plánu riadenia zápachu a plánu riadenia prašnosti, pravidlá uplatňovania kompenzačných opatrení,</w:t>
            </w:r>
          </w:p>
        </w:tc>
        <w:tc>
          <w:tcPr>
            <w:tcW w:w="429" w:type="dxa"/>
            <w:tcBorders>
              <w:top w:val="single" w:sz="4" w:space="0" w:color="auto"/>
              <w:bottom w:val="single" w:sz="4" w:space="0" w:color="auto"/>
            </w:tcBorders>
            <w:vAlign w:val="center"/>
          </w:tcPr>
          <w:p w14:paraId="2F0987FE" w14:textId="77777777" w:rsidR="001C37B0" w:rsidRPr="003549B4" w:rsidRDefault="008147DE"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1BB2F304" w14:textId="77777777" w:rsidR="001C37B0" w:rsidRPr="003549B4" w:rsidRDefault="001C37B0" w:rsidP="00603CC4">
            <w:pPr>
              <w:spacing w:after="0" w:line="240" w:lineRule="auto"/>
              <w:rPr>
                <w:rFonts w:ascii="Times New Roman" w:hAnsi="Times New Roman" w:cs="Times New Roman"/>
                <w:sz w:val="20"/>
                <w:szCs w:val="20"/>
              </w:rPr>
            </w:pPr>
          </w:p>
        </w:tc>
      </w:tr>
      <w:tr w:rsidR="00557F90" w:rsidRPr="003549B4" w14:paraId="6F57463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63CD4B5" w14:textId="77777777" w:rsidR="001C37B0" w:rsidRPr="003549B4" w:rsidRDefault="001C37B0" w:rsidP="00165BD8">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O7</w:t>
            </w:r>
          </w:p>
        </w:tc>
        <w:tc>
          <w:tcPr>
            <w:tcW w:w="6287" w:type="dxa"/>
            <w:tcBorders>
              <w:top w:val="single" w:sz="4" w:space="0" w:color="auto"/>
            </w:tcBorders>
          </w:tcPr>
          <w:p w14:paraId="36B8E77D" w14:textId="77777777" w:rsidR="001C37B0" w:rsidRPr="003549B4" w:rsidRDefault="001C37B0" w:rsidP="001B1D25">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rPr>
              <w:t>7. Ak sú stredne veľké spaľovacie zariadenia súčasťou zariadení, na ktoré sa vzťahuje kapitola II smernice 2010/75/EÚ o priemyselných emisiách, požiadavky v tomto článku sa pokladajú za splnené dodržiavaním uvedenej smernice.</w:t>
            </w:r>
          </w:p>
        </w:tc>
        <w:tc>
          <w:tcPr>
            <w:tcW w:w="433" w:type="dxa"/>
          </w:tcPr>
          <w:p w14:paraId="6E95880A" w14:textId="77777777" w:rsidR="001C37B0" w:rsidRPr="003549B4" w:rsidRDefault="001C37B0" w:rsidP="001B1D25">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7990DB78" w14:textId="77777777" w:rsidR="001C37B0" w:rsidRPr="003549B4" w:rsidRDefault="00464474" w:rsidP="00464474">
            <w:pPr>
              <w:spacing w:after="0" w:line="240" w:lineRule="auto"/>
              <w:ind w:left="-6"/>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454083E7" w14:textId="77777777" w:rsidR="00464474" w:rsidRPr="003549B4" w:rsidRDefault="00464474" w:rsidP="00464474">
            <w:pPr>
              <w:spacing w:after="0" w:line="240" w:lineRule="auto"/>
              <w:ind w:left="-6" w:hanging="29"/>
              <w:rPr>
                <w:rFonts w:ascii="Times New Roman" w:hAnsi="Times New Roman" w:cs="Times New Roman"/>
                <w:sz w:val="20"/>
                <w:szCs w:val="20"/>
              </w:rPr>
            </w:pPr>
            <w:r w:rsidRPr="003549B4">
              <w:rPr>
                <w:rFonts w:ascii="Times New Roman" w:hAnsi="Times New Roman" w:cs="Times New Roman"/>
                <w:sz w:val="20"/>
                <w:szCs w:val="20"/>
              </w:rPr>
              <w:t>§ 27</w:t>
            </w:r>
          </w:p>
          <w:p w14:paraId="571111C1" w14:textId="77777777" w:rsidR="001C37B0" w:rsidRPr="003549B4" w:rsidRDefault="00464474" w:rsidP="00464474">
            <w:pPr>
              <w:spacing w:after="0" w:line="240" w:lineRule="auto"/>
              <w:ind w:left="-6" w:hanging="29"/>
              <w:rPr>
                <w:rFonts w:ascii="Times New Roman" w:hAnsi="Times New Roman" w:cs="Times New Roman"/>
                <w:sz w:val="20"/>
                <w:szCs w:val="20"/>
              </w:rPr>
            </w:pPr>
            <w:r w:rsidRPr="003549B4">
              <w:rPr>
                <w:rFonts w:ascii="Times New Roman" w:hAnsi="Times New Roman" w:cs="Times New Roman"/>
                <w:sz w:val="20"/>
                <w:szCs w:val="20"/>
              </w:rPr>
              <w:t>O3</w:t>
            </w:r>
          </w:p>
        </w:tc>
        <w:tc>
          <w:tcPr>
            <w:tcW w:w="6006" w:type="dxa"/>
            <w:vAlign w:val="center"/>
          </w:tcPr>
          <w:p w14:paraId="44E2F4FA" w14:textId="01A1DAF0" w:rsidR="00464474" w:rsidRPr="003549B4" w:rsidRDefault="00464474" w:rsidP="00464474">
            <w:pPr>
              <w:pStyle w:val="tl1"/>
              <w:numPr>
                <w:ilvl w:val="0"/>
                <w:numId w:val="0"/>
              </w:numPr>
              <w:shd w:val="clear" w:color="auto" w:fill="auto"/>
              <w:spacing w:after="0" w:line="240" w:lineRule="auto"/>
              <w:ind w:left="-6"/>
              <w:contextualSpacing w:val="0"/>
              <w:jc w:val="both"/>
              <w:rPr>
                <w:rFonts w:eastAsia="Calibri"/>
                <w:color w:val="auto"/>
                <w:sz w:val="20"/>
                <w:szCs w:val="20"/>
              </w:rPr>
            </w:pPr>
            <w:r w:rsidRPr="003549B4">
              <w:rPr>
                <w:rFonts w:eastAsia="Calibri"/>
                <w:color w:val="auto"/>
                <w:sz w:val="20"/>
                <w:szCs w:val="20"/>
              </w:rPr>
              <w:t>(</w:t>
            </w:r>
            <w:r w:rsidR="00E50B2D" w:rsidRPr="003549B4">
              <w:rPr>
                <w:rFonts w:eastAsia="Calibri"/>
                <w:color w:val="auto"/>
                <w:sz w:val="20"/>
                <w:szCs w:val="20"/>
              </w:rPr>
              <w:t>3</w:t>
            </w:r>
            <w:r w:rsidRPr="003549B4">
              <w:rPr>
                <w:rFonts w:eastAsia="Calibri"/>
                <w:color w:val="auto"/>
                <w:sz w:val="20"/>
                <w:szCs w:val="20"/>
              </w:rPr>
              <w:t>) Povolenie zdroja, ktorý je súčasťou prevádzky podľa osobitného predpisu</w:t>
            </w:r>
            <w:r w:rsidR="00033DC4" w:rsidRPr="003549B4">
              <w:rPr>
                <w:rFonts w:eastAsia="Calibri"/>
                <w:color w:val="auto"/>
                <w:sz w:val="20"/>
                <w:szCs w:val="20"/>
                <w:vertAlign w:val="superscript"/>
              </w:rPr>
              <w:t>42</w:t>
            </w:r>
            <w:r w:rsidRPr="003549B4">
              <w:rPr>
                <w:rFonts w:eastAsia="Calibri"/>
                <w:color w:val="auto"/>
                <w:sz w:val="20"/>
                <w:szCs w:val="20"/>
              </w:rPr>
              <w:t>), je súčasťou integrovaného povolenia;</w:t>
            </w:r>
            <w:r w:rsidR="00033DC4" w:rsidRPr="003549B4">
              <w:rPr>
                <w:color w:val="auto"/>
                <w:vertAlign w:val="superscript"/>
              </w:rPr>
              <w:t>11</w:t>
            </w:r>
            <w:r w:rsidRPr="003549B4">
              <w:rPr>
                <w:rFonts w:eastAsia="Calibri"/>
                <w:color w:val="auto"/>
                <w:sz w:val="20"/>
                <w:szCs w:val="20"/>
              </w:rPr>
              <w:t>) okresný úrad, ako orgán ochrany ovzdušia si uplatní svoje požiadavky na stacionárny zdroj vo vyjadrení podľa § 25 ods. 2 písm. i).</w:t>
            </w:r>
          </w:p>
          <w:p w14:paraId="51DCE8D2" w14:textId="226F3369" w:rsidR="00464474" w:rsidRPr="003549B4" w:rsidRDefault="00033DC4" w:rsidP="009624D2">
            <w:pPr>
              <w:pStyle w:val="tl1"/>
              <w:numPr>
                <w:ilvl w:val="0"/>
                <w:numId w:val="0"/>
              </w:numPr>
              <w:shd w:val="clear" w:color="auto" w:fill="auto"/>
              <w:spacing w:before="120" w:after="0" w:line="240" w:lineRule="auto"/>
              <w:ind w:left="-6"/>
              <w:contextualSpacing w:val="0"/>
              <w:jc w:val="both"/>
              <w:rPr>
                <w:rFonts w:eastAsia="Calibri"/>
                <w:color w:val="auto"/>
                <w:sz w:val="20"/>
                <w:szCs w:val="20"/>
              </w:rPr>
            </w:pPr>
            <w:r w:rsidRPr="003549B4">
              <w:rPr>
                <w:color w:val="auto"/>
                <w:sz w:val="20"/>
                <w:szCs w:val="20"/>
                <w:vertAlign w:val="superscript"/>
              </w:rPr>
              <w:t>42</w:t>
            </w:r>
            <w:r w:rsidR="009624D2" w:rsidRPr="003549B4">
              <w:rPr>
                <w:color w:val="auto"/>
                <w:sz w:val="20"/>
                <w:szCs w:val="20"/>
              </w:rPr>
              <w:t>) § 2 písm. d) zákona č. 39/2013 Z. z. v znení neskorších predpisov</w:t>
            </w:r>
          </w:p>
          <w:p w14:paraId="22DC9D81" w14:textId="64FFD269" w:rsidR="00464474" w:rsidRPr="003549B4" w:rsidRDefault="00033DC4" w:rsidP="00464474">
            <w:pPr>
              <w:pStyle w:val="tl1"/>
              <w:numPr>
                <w:ilvl w:val="0"/>
                <w:numId w:val="0"/>
              </w:numPr>
              <w:shd w:val="clear" w:color="auto" w:fill="auto"/>
              <w:spacing w:after="0" w:line="240" w:lineRule="auto"/>
              <w:ind w:left="-6"/>
              <w:contextualSpacing w:val="0"/>
              <w:jc w:val="both"/>
              <w:rPr>
                <w:color w:val="auto"/>
                <w:sz w:val="20"/>
                <w:szCs w:val="20"/>
              </w:rPr>
            </w:pPr>
            <w:r w:rsidRPr="003549B4">
              <w:rPr>
                <w:rFonts w:eastAsia="Calibri"/>
                <w:color w:val="auto"/>
                <w:sz w:val="20"/>
                <w:szCs w:val="20"/>
                <w:vertAlign w:val="superscript"/>
              </w:rPr>
              <w:t>11</w:t>
            </w:r>
            <w:r w:rsidR="009624D2" w:rsidRPr="003549B4">
              <w:rPr>
                <w:color w:val="auto"/>
                <w:sz w:val="20"/>
                <w:szCs w:val="20"/>
              </w:rPr>
              <w:t>) § 3 ods. 2 zákona č. 39/2013 Z. z. o integrovanej prevencii a kontrole znečisťovania životného prostredia a o zmene a doplnení niektorých zákonov v znení neskorších predpisov</w:t>
            </w:r>
          </w:p>
          <w:p w14:paraId="04930FD8" w14:textId="77777777" w:rsidR="001C37B0" w:rsidRPr="003549B4" w:rsidRDefault="001C37B0" w:rsidP="00464474">
            <w:pPr>
              <w:autoSpaceDE w:val="0"/>
              <w:autoSpaceDN w:val="0"/>
              <w:adjustRightInd w:val="0"/>
              <w:spacing w:after="0" w:line="240" w:lineRule="auto"/>
              <w:ind w:left="-6"/>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18D38ADE" w14:textId="704E678C" w:rsidR="001C37B0" w:rsidRPr="003549B4" w:rsidRDefault="00E50B2D"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06831F5F" w14:textId="77777777" w:rsidR="001C37B0" w:rsidRPr="003549B4" w:rsidRDefault="001C37B0" w:rsidP="00603CC4">
            <w:pPr>
              <w:spacing w:after="0" w:line="240" w:lineRule="auto"/>
              <w:rPr>
                <w:rFonts w:ascii="Times New Roman" w:hAnsi="Times New Roman" w:cs="Times New Roman"/>
                <w:sz w:val="20"/>
                <w:szCs w:val="20"/>
              </w:rPr>
            </w:pPr>
          </w:p>
        </w:tc>
      </w:tr>
      <w:tr w:rsidR="00557F90" w:rsidRPr="003549B4" w14:paraId="32F1A19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022EA459" w14:textId="77777777" w:rsidR="001C37B0" w:rsidRPr="003549B4" w:rsidRDefault="001C37B0"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Č6</w:t>
            </w:r>
          </w:p>
        </w:tc>
        <w:tc>
          <w:tcPr>
            <w:tcW w:w="6287" w:type="dxa"/>
          </w:tcPr>
          <w:p w14:paraId="5263AC7E" w14:textId="77777777" w:rsidR="001C37B0" w:rsidRPr="003549B4" w:rsidRDefault="001C37B0" w:rsidP="001B1D25">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rPr>
              <w:t>Emisné limity</w:t>
            </w:r>
          </w:p>
        </w:tc>
        <w:tc>
          <w:tcPr>
            <w:tcW w:w="433" w:type="dxa"/>
          </w:tcPr>
          <w:p w14:paraId="54DD4686" w14:textId="77777777" w:rsidR="001C37B0" w:rsidRPr="003549B4" w:rsidRDefault="001C37B0" w:rsidP="001B1D25">
            <w:pPr>
              <w:spacing w:after="0" w:line="240" w:lineRule="auto"/>
              <w:rPr>
                <w:rFonts w:ascii="Times New Roman" w:hAnsi="Times New Roman" w:cs="Times New Roman"/>
                <w:sz w:val="20"/>
                <w:szCs w:val="20"/>
              </w:rPr>
            </w:pPr>
          </w:p>
        </w:tc>
        <w:tc>
          <w:tcPr>
            <w:tcW w:w="572" w:type="dxa"/>
          </w:tcPr>
          <w:p w14:paraId="47E770F9" w14:textId="77777777" w:rsidR="001C37B0" w:rsidRPr="003549B4" w:rsidRDefault="001C37B0" w:rsidP="00F17024">
            <w:pPr>
              <w:spacing w:after="0" w:line="240" w:lineRule="auto"/>
              <w:ind w:right="-108"/>
              <w:rPr>
                <w:rFonts w:ascii="Times New Roman" w:hAnsi="Times New Roman" w:cs="Times New Roman"/>
                <w:sz w:val="20"/>
                <w:szCs w:val="20"/>
              </w:rPr>
            </w:pPr>
          </w:p>
        </w:tc>
        <w:tc>
          <w:tcPr>
            <w:tcW w:w="569" w:type="dxa"/>
          </w:tcPr>
          <w:p w14:paraId="14E5E8AF" w14:textId="77777777" w:rsidR="001C37B0" w:rsidRPr="003549B4" w:rsidRDefault="001C37B0" w:rsidP="00F17024">
            <w:pPr>
              <w:spacing w:after="0" w:line="240" w:lineRule="auto"/>
              <w:ind w:left="14" w:right="-9" w:hanging="29"/>
              <w:rPr>
                <w:rFonts w:ascii="Times New Roman" w:hAnsi="Times New Roman" w:cs="Times New Roman"/>
                <w:sz w:val="20"/>
                <w:szCs w:val="20"/>
              </w:rPr>
            </w:pPr>
          </w:p>
        </w:tc>
        <w:tc>
          <w:tcPr>
            <w:tcW w:w="6006" w:type="dxa"/>
            <w:vAlign w:val="center"/>
          </w:tcPr>
          <w:p w14:paraId="531C4E73" w14:textId="77777777" w:rsidR="001C37B0" w:rsidRPr="003549B4" w:rsidRDefault="001C37B0" w:rsidP="00603CC4">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7FFA798D" w14:textId="77777777" w:rsidR="001C37B0" w:rsidRPr="003549B4" w:rsidRDefault="001C37B0" w:rsidP="00603CC4">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47160604" w14:textId="77777777" w:rsidR="001C37B0" w:rsidRPr="003549B4" w:rsidRDefault="001C37B0" w:rsidP="00603CC4">
            <w:pPr>
              <w:spacing w:after="0" w:line="240" w:lineRule="auto"/>
              <w:rPr>
                <w:rFonts w:ascii="Times New Roman" w:hAnsi="Times New Roman" w:cs="Times New Roman"/>
                <w:sz w:val="20"/>
                <w:szCs w:val="20"/>
              </w:rPr>
            </w:pPr>
          </w:p>
        </w:tc>
      </w:tr>
      <w:tr w:rsidR="00557F90" w:rsidRPr="003549B4" w14:paraId="4332D4F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AD10B66" w14:textId="77777777" w:rsidR="0096525A" w:rsidRPr="003549B4" w:rsidRDefault="0096525A"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40AF3753" w14:textId="77777777" w:rsidR="0096525A" w:rsidRPr="003549B4" w:rsidRDefault="0096525A" w:rsidP="001B1D25">
            <w:pPr>
              <w:pStyle w:val="Normlny1"/>
              <w:jc w:val="left"/>
              <w:rPr>
                <w:sz w:val="20"/>
                <w:szCs w:val="20"/>
              </w:rPr>
            </w:pPr>
            <w:r w:rsidRPr="003549B4">
              <w:rPr>
                <w:sz w:val="20"/>
                <w:szCs w:val="20"/>
              </w:rPr>
              <w:t>1. Bez toho, aby bola dotknutá kapitola II smernice 2010/75/EÚ, v prípade, keď sa uplatňuje, emisné limity stanovené v prílohe II k tejto smernici, platia pre stredne veľké spaľovacie zariadenia.</w:t>
            </w:r>
          </w:p>
          <w:p w14:paraId="1CEA3AF4" w14:textId="77777777" w:rsidR="0096525A" w:rsidRPr="003549B4" w:rsidRDefault="0096525A" w:rsidP="001B1D25">
            <w:pPr>
              <w:pStyle w:val="Normlny1"/>
              <w:jc w:val="left"/>
              <w:rPr>
                <w:sz w:val="20"/>
                <w:szCs w:val="20"/>
              </w:rPr>
            </w:pPr>
            <w:r w:rsidRPr="003549B4">
              <w:rPr>
                <w:sz w:val="20"/>
                <w:szCs w:val="20"/>
              </w:rPr>
              <w:t>Emisné limity stanovené v prílohe II sa nevzťahujú na stredne veľké spaľovacie zariadenia na Kanárskych ostrovoch, vo francúzskych zámorských departementoch a na Azorách a Madeire. Dotknuté členské štáty stanovia emisné limity pre tieto zariadenia s cieľom znížiť ich emisie do ovzdušia a potenciálne riziká pre ľudské zdravie a životné prostredie.</w:t>
            </w:r>
          </w:p>
        </w:tc>
        <w:tc>
          <w:tcPr>
            <w:tcW w:w="433" w:type="dxa"/>
          </w:tcPr>
          <w:p w14:paraId="60E46746" w14:textId="77777777" w:rsidR="0096525A" w:rsidRPr="003549B4" w:rsidRDefault="0096525A" w:rsidP="0075439B">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355AD0F5" w14:textId="77777777" w:rsidR="0096525A" w:rsidRPr="003549B4" w:rsidRDefault="0096525A"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780F0963" w14:textId="77777777" w:rsidR="0096525A" w:rsidRPr="003549B4" w:rsidRDefault="0096525A" w:rsidP="00F17024">
            <w:pPr>
              <w:spacing w:before="120" w:after="0" w:line="240" w:lineRule="auto"/>
              <w:ind w:right="-108"/>
              <w:rPr>
                <w:rFonts w:ascii="Times New Roman" w:hAnsi="Times New Roman" w:cs="Times New Roman"/>
                <w:sz w:val="20"/>
                <w:szCs w:val="20"/>
              </w:rPr>
            </w:pPr>
          </w:p>
        </w:tc>
        <w:tc>
          <w:tcPr>
            <w:tcW w:w="569" w:type="dxa"/>
          </w:tcPr>
          <w:p w14:paraId="73E8189E" w14:textId="77777777" w:rsidR="0096525A" w:rsidRPr="003549B4" w:rsidRDefault="00881646"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§16</w:t>
            </w:r>
          </w:p>
          <w:p w14:paraId="2A0556C4" w14:textId="77777777" w:rsidR="00881646" w:rsidRPr="003549B4" w:rsidRDefault="00881646"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p w14:paraId="29DE704D" w14:textId="77777777" w:rsidR="0096525A" w:rsidRPr="003549B4" w:rsidRDefault="0096525A" w:rsidP="00F17024">
            <w:pPr>
              <w:spacing w:before="120" w:after="0" w:line="240" w:lineRule="auto"/>
              <w:ind w:left="14" w:right="-9" w:hanging="29"/>
              <w:rPr>
                <w:rFonts w:ascii="Times New Roman" w:hAnsi="Times New Roman" w:cs="Times New Roman"/>
                <w:sz w:val="20"/>
                <w:szCs w:val="20"/>
              </w:rPr>
            </w:pPr>
          </w:p>
        </w:tc>
        <w:tc>
          <w:tcPr>
            <w:tcW w:w="6006" w:type="dxa"/>
          </w:tcPr>
          <w:p w14:paraId="5586FE4E" w14:textId="77777777" w:rsidR="00881646" w:rsidRPr="003549B4" w:rsidRDefault="00881646" w:rsidP="0061203F">
            <w:pPr>
              <w:autoSpaceDE w:val="0"/>
              <w:autoSpaceDN w:val="0"/>
              <w:adjustRightInd w:val="0"/>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(2) Emisné limity sa na väčšie stredné spaľovacie zariadenia uplatňujú podľa § 9. Požiadavky na zariadenia, ktoré sú súčasťou prevádzky podľa osobitného predpisu,</w:t>
            </w:r>
            <w:r w:rsidR="00AC46DF" w:rsidRPr="003549B4">
              <w:rPr>
                <w:rFonts w:ascii="Times New Roman" w:hAnsi="Times New Roman" w:cs="Times New Roman"/>
                <w:sz w:val="20"/>
                <w:szCs w:val="20"/>
                <w:vertAlign w:val="superscript"/>
                <w:lang w:eastAsia="sk-SK"/>
              </w:rPr>
              <w:t>6</w:t>
            </w:r>
            <w:r w:rsidRPr="003549B4">
              <w:rPr>
                <w:rFonts w:ascii="Times New Roman" w:hAnsi="Times New Roman" w:cs="Times New Roman"/>
                <w:sz w:val="20"/>
                <w:szCs w:val="20"/>
                <w:lang w:eastAsia="sk-SK"/>
              </w:rPr>
              <w:t>) tým nie sú dotknuté.</w:t>
            </w:r>
          </w:p>
          <w:p w14:paraId="36D6E95A" w14:textId="77777777" w:rsidR="00780D48" w:rsidRPr="003549B4" w:rsidRDefault="00780D48" w:rsidP="00881646">
            <w:pPr>
              <w:autoSpaceDE w:val="0"/>
              <w:autoSpaceDN w:val="0"/>
              <w:adjustRightInd w:val="0"/>
              <w:spacing w:after="0" w:line="240" w:lineRule="auto"/>
              <w:rPr>
                <w:rFonts w:ascii="Times New Roman" w:hAnsi="Times New Roman" w:cs="Times New Roman"/>
                <w:sz w:val="20"/>
                <w:szCs w:val="20"/>
                <w:lang w:eastAsia="sk-SK"/>
              </w:rPr>
            </w:pPr>
          </w:p>
          <w:p w14:paraId="6DC2F490" w14:textId="77777777" w:rsidR="00881646" w:rsidRPr="003549B4" w:rsidRDefault="00AC46DF" w:rsidP="00881646">
            <w:pPr>
              <w:pStyle w:val="Textpoznmkypodiarou"/>
            </w:pPr>
            <w:r w:rsidRPr="003549B4">
              <w:rPr>
                <w:rFonts w:eastAsia="Calibri"/>
                <w:vertAlign w:val="superscript"/>
              </w:rPr>
              <w:t>6</w:t>
            </w:r>
            <w:r w:rsidR="00881646" w:rsidRPr="003549B4">
              <w:rPr>
                <w:rFonts w:eastAsia="Calibri"/>
              </w:rPr>
              <w:t>)</w:t>
            </w:r>
            <w:r w:rsidR="00881646" w:rsidRPr="003549B4">
              <w:t xml:space="preserve"> Zákon č. 39/2013 Z. z. o integrovanej prevencii a kontrole znečisťovania životného prostredia a o zmene a doplnení niektorých zákonov v znení neskorších predpisov.</w:t>
            </w:r>
          </w:p>
          <w:p w14:paraId="6B2D3477" w14:textId="77777777" w:rsidR="0096525A" w:rsidRPr="003549B4" w:rsidRDefault="0096525A" w:rsidP="00881646">
            <w:pPr>
              <w:autoSpaceDE w:val="0"/>
              <w:autoSpaceDN w:val="0"/>
              <w:adjustRightInd w:val="0"/>
              <w:spacing w:before="120" w:after="0" w:line="240" w:lineRule="auto"/>
              <w:rPr>
                <w:rFonts w:ascii="Times New Roman" w:hAnsi="Times New Roman" w:cs="Times New Roman"/>
                <w:sz w:val="20"/>
                <w:szCs w:val="20"/>
                <w:lang w:eastAsia="sk-SK"/>
              </w:rPr>
            </w:pPr>
          </w:p>
        </w:tc>
        <w:tc>
          <w:tcPr>
            <w:tcW w:w="429" w:type="dxa"/>
            <w:tcBorders>
              <w:top w:val="single" w:sz="4" w:space="0" w:color="auto"/>
              <w:bottom w:val="single" w:sz="4" w:space="0" w:color="auto"/>
            </w:tcBorders>
            <w:vAlign w:val="center"/>
          </w:tcPr>
          <w:p w14:paraId="4042B8AF" w14:textId="77777777" w:rsidR="0096525A" w:rsidRPr="003549B4" w:rsidRDefault="009B1CDE"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5AB3EA5D" w14:textId="77777777" w:rsidR="0096525A" w:rsidRPr="003549B4" w:rsidRDefault="0096525A" w:rsidP="00603CC4">
            <w:pPr>
              <w:spacing w:after="0" w:line="240" w:lineRule="auto"/>
              <w:rPr>
                <w:rFonts w:ascii="Times New Roman" w:hAnsi="Times New Roman" w:cs="Times New Roman"/>
                <w:sz w:val="20"/>
                <w:szCs w:val="20"/>
              </w:rPr>
            </w:pPr>
          </w:p>
        </w:tc>
      </w:tr>
      <w:tr w:rsidR="00557F90" w:rsidRPr="003549B4" w14:paraId="1DFC5F0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021DAA2" w14:textId="77777777" w:rsidR="0096525A" w:rsidRPr="003549B4" w:rsidRDefault="0096525A" w:rsidP="00805B6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O2</w:t>
            </w:r>
          </w:p>
        </w:tc>
        <w:tc>
          <w:tcPr>
            <w:tcW w:w="6287" w:type="dxa"/>
          </w:tcPr>
          <w:p w14:paraId="7DCD41D4" w14:textId="77777777" w:rsidR="0096525A" w:rsidRPr="003549B4" w:rsidRDefault="0096525A" w:rsidP="001B1D25">
            <w:pPr>
              <w:pStyle w:val="Normlny1"/>
              <w:jc w:val="left"/>
              <w:rPr>
                <w:sz w:val="20"/>
                <w:szCs w:val="20"/>
              </w:rPr>
            </w:pPr>
            <w:r w:rsidRPr="003549B4">
              <w:rPr>
                <w:sz w:val="20"/>
                <w:szCs w:val="20"/>
              </w:rPr>
              <w:t>2. Od 1. januára 2025 nesmú emisie SO</w:t>
            </w:r>
            <w:r w:rsidRPr="003549B4">
              <w:rPr>
                <w:rStyle w:val="sub"/>
                <w:sz w:val="20"/>
                <w:szCs w:val="20"/>
              </w:rPr>
              <w:t>2</w:t>
            </w:r>
            <w:r w:rsidRPr="003549B4">
              <w:rPr>
                <w:sz w:val="20"/>
                <w:szCs w:val="20"/>
              </w:rPr>
              <w:t>, NO</w:t>
            </w:r>
            <w:r w:rsidRPr="003549B4">
              <w:rPr>
                <w:rStyle w:val="sub"/>
                <w:sz w:val="20"/>
                <w:szCs w:val="20"/>
              </w:rPr>
              <w:t>x</w:t>
            </w:r>
            <w:r w:rsidRPr="003549B4">
              <w:rPr>
                <w:sz w:val="20"/>
                <w:szCs w:val="20"/>
              </w:rPr>
              <w:t xml:space="preserve"> a prachu do ovzdušia z existujúcich stredne veľkých spaľovacích zariadení s menovitým tepelným príkonom väčším ako 5 MW prekročiť emisné limity stanovené v tabuľkách 2 a 3 časti 1 prílohy II.</w:t>
            </w:r>
          </w:p>
          <w:p w14:paraId="46635F12" w14:textId="77777777" w:rsidR="0096525A" w:rsidRPr="003549B4" w:rsidRDefault="0096525A" w:rsidP="001B1D25">
            <w:pPr>
              <w:pStyle w:val="Normlny1"/>
              <w:jc w:val="left"/>
              <w:rPr>
                <w:sz w:val="20"/>
                <w:szCs w:val="20"/>
              </w:rPr>
            </w:pPr>
            <w:r w:rsidRPr="003549B4">
              <w:rPr>
                <w:sz w:val="20"/>
                <w:szCs w:val="20"/>
              </w:rPr>
              <w:t>Od 1. januára 2030 nesmú emisie SO</w:t>
            </w:r>
            <w:r w:rsidRPr="003549B4">
              <w:rPr>
                <w:rStyle w:val="sub"/>
                <w:sz w:val="20"/>
                <w:szCs w:val="20"/>
              </w:rPr>
              <w:t>2</w:t>
            </w:r>
            <w:r w:rsidRPr="003549B4">
              <w:rPr>
                <w:sz w:val="20"/>
                <w:szCs w:val="20"/>
              </w:rPr>
              <w:t>, NO</w:t>
            </w:r>
            <w:r w:rsidRPr="003549B4">
              <w:rPr>
                <w:rStyle w:val="sub"/>
                <w:sz w:val="20"/>
                <w:szCs w:val="20"/>
              </w:rPr>
              <w:t>x</w:t>
            </w:r>
            <w:r w:rsidRPr="003549B4">
              <w:rPr>
                <w:sz w:val="20"/>
                <w:szCs w:val="20"/>
              </w:rPr>
              <w:t xml:space="preserve"> a prachu do ovzdušia z existujúcich stredne veľkých spaľovacích zariadení s menovitým tepelným príkonom menším alebo rovnajúcim sa 5 MW prekročiť emisné limity stanovené v tabuľkách 1 a 3 časti 1 prílohy II.</w:t>
            </w:r>
          </w:p>
        </w:tc>
        <w:tc>
          <w:tcPr>
            <w:tcW w:w="433" w:type="dxa"/>
          </w:tcPr>
          <w:p w14:paraId="6D431585" w14:textId="77777777" w:rsidR="0096525A" w:rsidRPr="003549B4" w:rsidRDefault="0096525A" w:rsidP="0075439B">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419D834E" w14:textId="77777777" w:rsidR="0096525A" w:rsidRPr="003549B4" w:rsidRDefault="0096525A"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52C32811" w14:textId="77777777" w:rsidR="0096525A" w:rsidRPr="003549B4" w:rsidRDefault="0096525A" w:rsidP="00F17024">
            <w:pPr>
              <w:spacing w:before="120" w:after="0" w:line="240" w:lineRule="auto"/>
              <w:ind w:right="-108"/>
              <w:rPr>
                <w:rFonts w:ascii="Times New Roman" w:hAnsi="Times New Roman" w:cs="Times New Roman"/>
                <w:sz w:val="20"/>
                <w:szCs w:val="20"/>
              </w:rPr>
            </w:pPr>
          </w:p>
        </w:tc>
        <w:tc>
          <w:tcPr>
            <w:tcW w:w="569" w:type="dxa"/>
          </w:tcPr>
          <w:p w14:paraId="23E50120" w14:textId="77777777" w:rsidR="0096525A" w:rsidRPr="003549B4" w:rsidRDefault="00780D48"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§16</w:t>
            </w:r>
          </w:p>
          <w:p w14:paraId="2368E026" w14:textId="77777777" w:rsidR="00780D48" w:rsidRPr="003549B4" w:rsidRDefault="00780D48"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O3</w:t>
            </w:r>
          </w:p>
          <w:p w14:paraId="096BDC23" w14:textId="77777777" w:rsidR="0096525A" w:rsidRPr="003549B4" w:rsidRDefault="0096525A" w:rsidP="00F17024">
            <w:pPr>
              <w:spacing w:before="120" w:after="0" w:line="240" w:lineRule="auto"/>
              <w:ind w:left="14" w:right="-9" w:hanging="29"/>
              <w:rPr>
                <w:rFonts w:ascii="Times New Roman" w:hAnsi="Times New Roman" w:cs="Times New Roman"/>
                <w:sz w:val="20"/>
                <w:szCs w:val="20"/>
              </w:rPr>
            </w:pPr>
          </w:p>
        </w:tc>
        <w:tc>
          <w:tcPr>
            <w:tcW w:w="6006" w:type="dxa"/>
          </w:tcPr>
          <w:p w14:paraId="09E8E563" w14:textId="77777777" w:rsidR="00780D48" w:rsidRPr="003549B4" w:rsidRDefault="00780D48" w:rsidP="00780D48">
            <w:pPr>
              <w:spacing w:before="120" w:after="0" w:line="240" w:lineRule="auto"/>
              <w:ind w:left="289" w:hanging="289"/>
              <w:rPr>
                <w:rFonts w:ascii="Times New Roman" w:hAnsi="Times New Roman" w:cs="Times New Roman"/>
                <w:sz w:val="20"/>
                <w:szCs w:val="20"/>
              </w:rPr>
            </w:pPr>
            <w:r w:rsidRPr="003549B4">
              <w:rPr>
                <w:rFonts w:ascii="Times New Roman" w:hAnsi="Times New Roman" w:cs="Times New Roman"/>
                <w:sz w:val="20"/>
                <w:szCs w:val="20"/>
              </w:rPr>
              <w:t>(3) Pre väčšie stredné spaľovacie zariadenia začlenené ako jestvujúce zariadenia platia emisné limity, technické požiadavky a podmienky prevádzkovania uvedené</w:t>
            </w:r>
          </w:p>
          <w:p w14:paraId="46B4C30F" w14:textId="77777777" w:rsidR="00780D48" w:rsidRPr="003549B4" w:rsidRDefault="00780D48" w:rsidP="00780D48">
            <w:pPr>
              <w:spacing w:before="60" w:after="0" w:line="240" w:lineRule="auto"/>
              <w:rPr>
                <w:rFonts w:ascii="Times New Roman" w:hAnsi="Times New Roman" w:cs="Times New Roman"/>
                <w:sz w:val="20"/>
                <w:szCs w:val="20"/>
              </w:rPr>
            </w:pPr>
            <w:r w:rsidRPr="003549B4">
              <w:rPr>
                <w:rFonts w:ascii="Times New Roman" w:hAnsi="Times New Roman" w:cs="Times New Roman"/>
                <w:sz w:val="20"/>
                <w:szCs w:val="20"/>
              </w:rPr>
              <w:t>a) v prílohe č. 4 piatej časti pre jestvujúce zariadenia do dátumov uvedených v písmene b),</w:t>
            </w:r>
          </w:p>
          <w:p w14:paraId="1FABE3DA" w14:textId="77777777" w:rsidR="00780D48" w:rsidRPr="003549B4" w:rsidRDefault="00780D48" w:rsidP="00780D48">
            <w:pPr>
              <w:spacing w:before="60" w:after="0" w:line="240" w:lineRule="auto"/>
              <w:rPr>
                <w:rFonts w:ascii="Times New Roman" w:hAnsi="Times New Roman" w:cs="Times New Roman"/>
                <w:sz w:val="20"/>
                <w:szCs w:val="20"/>
              </w:rPr>
            </w:pPr>
            <w:r w:rsidRPr="003549B4">
              <w:rPr>
                <w:rFonts w:ascii="Times New Roman" w:hAnsi="Times New Roman" w:cs="Times New Roman"/>
                <w:sz w:val="20"/>
                <w:szCs w:val="20"/>
              </w:rPr>
              <w:t>b) v prílohe č. 4 štvrtej časti bodoch 2 až 4 tabuľkách A pre väčšie stredné spaľovacie zariadenia začlenené ako jestvujúce zariadenia s celkovým menovitým tepelným príkonom</w:t>
            </w:r>
          </w:p>
          <w:p w14:paraId="2050EE06" w14:textId="77777777" w:rsidR="00780D48" w:rsidRPr="003549B4" w:rsidRDefault="00780D48" w:rsidP="00780D48">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 xml:space="preserve">1. väčším ako 5 MW, od 1. januára 2025, </w:t>
            </w:r>
          </w:p>
          <w:p w14:paraId="5BC82F20" w14:textId="77777777" w:rsidR="0096525A" w:rsidRPr="003549B4" w:rsidRDefault="00780D48" w:rsidP="0061203F">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2. 5 MW alebo menším, od 1. januára 2030.</w:t>
            </w:r>
          </w:p>
        </w:tc>
        <w:tc>
          <w:tcPr>
            <w:tcW w:w="429" w:type="dxa"/>
            <w:tcBorders>
              <w:top w:val="single" w:sz="4" w:space="0" w:color="auto"/>
              <w:bottom w:val="single" w:sz="4" w:space="0" w:color="auto"/>
            </w:tcBorders>
            <w:vAlign w:val="center"/>
          </w:tcPr>
          <w:p w14:paraId="29C4BB63" w14:textId="77777777" w:rsidR="0096525A" w:rsidRPr="003549B4" w:rsidRDefault="009B1CDE" w:rsidP="00603CC4">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B5599DB" w14:textId="77777777" w:rsidR="0096525A" w:rsidRPr="003549B4" w:rsidRDefault="0096525A" w:rsidP="00603CC4">
            <w:pPr>
              <w:spacing w:after="0" w:line="240" w:lineRule="auto"/>
              <w:rPr>
                <w:rFonts w:ascii="Times New Roman" w:hAnsi="Times New Roman" w:cs="Times New Roman"/>
                <w:sz w:val="20"/>
                <w:szCs w:val="20"/>
              </w:rPr>
            </w:pPr>
          </w:p>
        </w:tc>
      </w:tr>
      <w:tr w:rsidR="00557F90" w:rsidRPr="003549B4" w14:paraId="6860879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5D705D4" w14:textId="77777777" w:rsidR="00824651" w:rsidRPr="003549B4" w:rsidRDefault="00824651"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O3</w:t>
            </w:r>
          </w:p>
        </w:tc>
        <w:tc>
          <w:tcPr>
            <w:tcW w:w="6287" w:type="dxa"/>
          </w:tcPr>
          <w:p w14:paraId="5507983D" w14:textId="77777777" w:rsidR="00824651" w:rsidRPr="003549B4" w:rsidRDefault="00824651"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3. Členské štáty môžu existujúce stredne veľké spaľovacie zariadenia, ktorých prevádzka neprekračuje 500 prevádzkových hodín ročne, ako kĺzavý priemer počas obdobia piatich rokov, oslobodiť od požiadavky dodržiavať emisné limity stanovené v tabuľkách 1, 2 a 3 časti 1 prílohy II.</w:t>
            </w:r>
          </w:p>
          <w:p w14:paraId="1F6850AD" w14:textId="77777777" w:rsidR="00824651" w:rsidRPr="003549B4" w:rsidRDefault="00824651"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Členské štáty môžu obmedzenie uvedené v prvom pododseku predĺžiť na 1 000 prevádzkových hodín v týchto prípadoch núdze alebo mimoriadnych okolností:</w:t>
            </w:r>
          </w:p>
          <w:tbl>
            <w:tblPr>
              <w:tblW w:w="5000" w:type="pct"/>
              <w:tblCellSpacing w:w="0" w:type="dxa"/>
              <w:tblLayout w:type="fixed"/>
              <w:tblCellMar>
                <w:left w:w="0" w:type="dxa"/>
                <w:right w:w="0" w:type="dxa"/>
              </w:tblCellMar>
              <w:tblLook w:val="00A0" w:firstRow="1" w:lastRow="0" w:firstColumn="1" w:lastColumn="0" w:noHBand="0" w:noVBand="0"/>
            </w:tblPr>
            <w:tblGrid>
              <w:gridCol w:w="179"/>
              <w:gridCol w:w="5834"/>
            </w:tblGrid>
            <w:tr w:rsidR="00824651" w:rsidRPr="003549B4" w14:paraId="7585D1DB" w14:textId="77777777" w:rsidTr="0061203F">
              <w:trPr>
                <w:tblCellSpacing w:w="0" w:type="dxa"/>
              </w:trPr>
              <w:tc>
                <w:tcPr>
                  <w:tcW w:w="165" w:type="dxa"/>
                </w:tcPr>
                <w:p w14:paraId="7FEBC1A1" w14:textId="77777777" w:rsidR="00824651" w:rsidRPr="003549B4" w:rsidRDefault="00824651"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p>
              </w:tc>
              <w:tc>
                <w:tcPr>
                  <w:tcW w:w="5390" w:type="dxa"/>
                </w:tcPr>
                <w:p w14:paraId="127033F4" w14:textId="77777777" w:rsidR="00824651" w:rsidRPr="003549B4" w:rsidRDefault="00824651"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pre záložnú výrobu elektrickej energie na prepojených ostrovoch v prípade prerušenia hlavnej dodávky elektriny na ostrov,</w:t>
                  </w:r>
                </w:p>
              </w:tc>
            </w:tr>
            <w:tr w:rsidR="00824651" w:rsidRPr="003549B4" w14:paraId="2307D570" w14:textId="77777777" w:rsidTr="0061203F">
              <w:trPr>
                <w:tblCellSpacing w:w="0" w:type="dxa"/>
              </w:trPr>
              <w:tc>
                <w:tcPr>
                  <w:tcW w:w="165" w:type="dxa"/>
                </w:tcPr>
                <w:p w14:paraId="29D0C3EF" w14:textId="77777777" w:rsidR="00824651" w:rsidRPr="003549B4" w:rsidRDefault="00824651"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w:t>
                  </w:r>
                </w:p>
              </w:tc>
              <w:tc>
                <w:tcPr>
                  <w:tcW w:w="5390" w:type="dxa"/>
                </w:tcPr>
                <w:p w14:paraId="48F96797" w14:textId="77777777" w:rsidR="00824651" w:rsidRPr="003549B4" w:rsidRDefault="00824651"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pre stredne veľké spaľovacie zariadenia používané na výrobu tepla v prípade výnimočne chladného počasia.</w:t>
                  </w:r>
                </w:p>
              </w:tc>
            </w:tr>
          </w:tbl>
          <w:p w14:paraId="7E93EB65" w14:textId="77777777" w:rsidR="00824651" w:rsidRPr="003549B4" w:rsidRDefault="00824651"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Vo všetkých prípadoch uvedených v tomto odseku sa na zariadenia spaľujúce tuhé palivá uplatňuje emisný limit pre prach 200 mg/Nm</w:t>
            </w:r>
            <w:r w:rsidRPr="003549B4">
              <w:rPr>
                <w:rFonts w:ascii="Times New Roman" w:hAnsi="Times New Roman" w:cs="Times New Roman"/>
                <w:sz w:val="20"/>
                <w:szCs w:val="20"/>
                <w:vertAlign w:val="superscript"/>
                <w:lang w:eastAsia="sk-SK"/>
              </w:rPr>
              <w:t>3</w:t>
            </w:r>
            <w:r w:rsidRPr="003549B4">
              <w:rPr>
                <w:rFonts w:ascii="Times New Roman" w:hAnsi="Times New Roman" w:cs="Times New Roman"/>
                <w:sz w:val="20"/>
                <w:szCs w:val="20"/>
                <w:lang w:eastAsia="sk-SK"/>
              </w:rPr>
              <w:t>.</w:t>
            </w:r>
          </w:p>
        </w:tc>
        <w:tc>
          <w:tcPr>
            <w:tcW w:w="433" w:type="dxa"/>
          </w:tcPr>
          <w:p w14:paraId="0BBA8D5C" w14:textId="77777777" w:rsidR="00824651" w:rsidRPr="003549B4" w:rsidRDefault="006042C6"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D</w:t>
            </w:r>
          </w:p>
          <w:p w14:paraId="0ECDCC14" w14:textId="77777777" w:rsidR="009B1CDE" w:rsidRPr="003549B4" w:rsidRDefault="009B1CDE" w:rsidP="00824651">
            <w:pPr>
              <w:spacing w:before="120" w:after="0" w:line="240" w:lineRule="auto"/>
              <w:rPr>
                <w:rFonts w:ascii="Times New Roman" w:hAnsi="Times New Roman" w:cs="Times New Roman"/>
                <w:sz w:val="20"/>
                <w:szCs w:val="20"/>
              </w:rPr>
            </w:pPr>
          </w:p>
          <w:p w14:paraId="081AE3F3" w14:textId="77777777" w:rsidR="009B1CDE" w:rsidRPr="003549B4" w:rsidRDefault="009B1CDE" w:rsidP="00824651">
            <w:pPr>
              <w:spacing w:before="120" w:after="0" w:line="240" w:lineRule="auto"/>
              <w:rPr>
                <w:rFonts w:ascii="Times New Roman" w:hAnsi="Times New Roman" w:cs="Times New Roman"/>
                <w:sz w:val="20"/>
                <w:szCs w:val="20"/>
              </w:rPr>
            </w:pPr>
          </w:p>
          <w:p w14:paraId="0AA79C1A" w14:textId="77777777" w:rsidR="009B1CDE" w:rsidRPr="003549B4" w:rsidRDefault="009B1CDE" w:rsidP="00824651">
            <w:pPr>
              <w:spacing w:before="120" w:after="0" w:line="240" w:lineRule="auto"/>
              <w:rPr>
                <w:rFonts w:ascii="Times New Roman" w:hAnsi="Times New Roman" w:cs="Times New Roman"/>
                <w:sz w:val="20"/>
                <w:szCs w:val="20"/>
              </w:rPr>
            </w:pPr>
          </w:p>
          <w:p w14:paraId="5B1C351C" w14:textId="77777777" w:rsidR="009B1CDE" w:rsidRPr="003549B4" w:rsidRDefault="009B1CDE" w:rsidP="00824651">
            <w:pPr>
              <w:spacing w:before="120" w:after="0" w:line="240" w:lineRule="auto"/>
              <w:rPr>
                <w:rFonts w:ascii="Times New Roman" w:hAnsi="Times New Roman" w:cs="Times New Roman"/>
                <w:sz w:val="20"/>
                <w:szCs w:val="20"/>
              </w:rPr>
            </w:pPr>
          </w:p>
          <w:p w14:paraId="642E5EB1" w14:textId="77777777" w:rsidR="009B1CDE" w:rsidRPr="003549B4" w:rsidRDefault="009B1CDE" w:rsidP="00824651">
            <w:pPr>
              <w:spacing w:before="120" w:after="0" w:line="240" w:lineRule="auto"/>
              <w:rPr>
                <w:rFonts w:ascii="Times New Roman" w:hAnsi="Times New Roman" w:cs="Times New Roman"/>
                <w:sz w:val="20"/>
                <w:szCs w:val="20"/>
              </w:rPr>
            </w:pPr>
          </w:p>
          <w:p w14:paraId="61F39F3D" w14:textId="77777777" w:rsidR="009B1CDE" w:rsidRPr="003549B4" w:rsidRDefault="009B1CDE" w:rsidP="00824651">
            <w:pPr>
              <w:spacing w:before="120" w:after="0" w:line="240" w:lineRule="auto"/>
              <w:rPr>
                <w:rFonts w:ascii="Times New Roman" w:hAnsi="Times New Roman" w:cs="Times New Roman"/>
                <w:sz w:val="20"/>
                <w:szCs w:val="20"/>
              </w:rPr>
            </w:pPr>
          </w:p>
          <w:p w14:paraId="5A30D96D" w14:textId="77777777" w:rsidR="009B1CDE" w:rsidRPr="003549B4" w:rsidRDefault="009B1CDE" w:rsidP="00824651">
            <w:pPr>
              <w:spacing w:before="120" w:after="0" w:line="240" w:lineRule="auto"/>
              <w:rPr>
                <w:rFonts w:ascii="Times New Roman" w:hAnsi="Times New Roman" w:cs="Times New Roman"/>
                <w:sz w:val="20"/>
                <w:szCs w:val="20"/>
              </w:rPr>
            </w:pPr>
          </w:p>
          <w:p w14:paraId="1F120484" w14:textId="77777777" w:rsidR="009B1CDE" w:rsidRPr="003549B4" w:rsidRDefault="009B1CDE" w:rsidP="00824651">
            <w:pPr>
              <w:spacing w:before="120" w:after="0" w:line="240" w:lineRule="auto"/>
              <w:rPr>
                <w:rFonts w:ascii="Times New Roman" w:hAnsi="Times New Roman" w:cs="Times New Roman"/>
                <w:sz w:val="20"/>
                <w:szCs w:val="20"/>
              </w:rPr>
            </w:pPr>
          </w:p>
          <w:p w14:paraId="1143EE3C" w14:textId="77777777" w:rsidR="009B1CDE" w:rsidRPr="003549B4" w:rsidRDefault="009B1CDE" w:rsidP="00824651">
            <w:pPr>
              <w:spacing w:before="120" w:after="0" w:line="240" w:lineRule="auto"/>
              <w:rPr>
                <w:rFonts w:ascii="Times New Roman" w:hAnsi="Times New Roman" w:cs="Times New Roman"/>
                <w:sz w:val="20"/>
                <w:szCs w:val="20"/>
              </w:rPr>
            </w:pPr>
          </w:p>
          <w:p w14:paraId="761722B3" w14:textId="77777777" w:rsidR="009B1CDE" w:rsidRPr="003549B4" w:rsidRDefault="009B1CDE"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709B21FD" w14:textId="77777777" w:rsidR="00824651" w:rsidRPr="003549B4" w:rsidRDefault="00824651"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0A73D595" w14:textId="77777777" w:rsidR="00A91825" w:rsidRPr="003549B4" w:rsidRDefault="00A91825" w:rsidP="00F17024">
            <w:pPr>
              <w:spacing w:before="120" w:after="0" w:line="240" w:lineRule="auto"/>
              <w:ind w:right="-108"/>
              <w:rPr>
                <w:rFonts w:ascii="Times New Roman" w:hAnsi="Times New Roman" w:cs="Times New Roman"/>
                <w:sz w:val="20"/>
                <w:szCs w:val="20"/>
              </w:rPr>
            </w:pPr>
          </w:p>
          <w:p w14:paraId="18D5738C" w14:textId="77777777" w:rsidR="00A91825" w:rsidRPr="003549B4" w:rsidRDefault="00A91825" w:rsidP="00F17024">
            <w:pPr>
              <w:spacing w:before="120" w:after="0" w:line="240" w:lineRule="auto"/>
              <w:ind w:right="-108"/>
              <w:rPr>
                <w:rFonts w:ascii="Times New Roman" w:hAnsi="Times New Roman" w:cs="Times New Roman"/>
                <w:sz w:val="20"/>
                <w:szCs w:val="20"/>
              </w:rPr>
            </w:pPr>
          </w:p>
          <w:p w14:paraId="4FBE8119" w14:textId="77777777" w:rsidR="00A91825" w:rsidRPr="003549B4" w:rsidRDefault="00A91825" w:rsidP="00F17024">
            <w:pPr>
              <w:spacing w:before="120" w:after="0" w:line="240" w:lineRule="auto"/>
              <w:ind w:right="-108"/>
              <w:rPr>
                <w:rFonts w:ascii="Times New Roman" w:hAnsi="Times New Roman" w:cs="Times New Roman"/>
                <w:sz w:val="20"/>
                <w:szCs w:val="20"/>
              </w:rPr>
            </w:pPr>
          </w:p>
          <w:p w14:paraId="5A6B819C" w14:textId="77777777" w:rsidR="00A91825" w:rsidRPr="003549B4" w:rsidRDefault="00A91825" w:rsidP="00F17024">
            <w:pPr>
              <w:spacing w:before="120" w:after="0" w:line="240" w:lineRule="auto"/>
              <w:ind w:right="-108"/>
              <w:rPr>
                <w:rFonts w:ascii="Times New Roman" w:hAnsi="Times New Roman" w:cs="Times New Roman"/>
                <w:sz w:val="20"/>
                <w:szCs w:val="20"/>
              </w:rPr>
            </w:pPr>
          </w:p>
          <w:p w14:paraId="69581C3B" w14:textId="77777777" w:rsidR="00A91825" w:rsidRPr="003549B4" w:rsidRDefault="00A91825" w:rsidP="00F17024">
            <w:pPr>
              <w:spacing w:before="120" w:after="0" w:line="240" w:lineRule="auto"/>
              <w:ind w:right="-108"/>
              <w:rPr>
                <w:rFonts w:ascii="Times New Roman" w:hAnsi="Times New Roman" w:cs="Times New Roman"/>
                <w:sz w:val="20"/>
                <w:szCs w:val="20"/>
              </w:rPr>
            </w:pPr>
          </w:p>
          <w:p w14:paraId="743FE61C" w14:textId="77777777" w:rsidR="00A91825" w:rsidRPr="003549B4" w:rsidRDefault="00A91825" w:rsidP="00F17024">
            <w:pPr>
              <w:spacing w:before="120" w:after="0" w:line="240" w:lineRule="auto"/>
              <w:ind w:right="-108"/>
              <w:rPr>
                <w:rFonts w:ascii="Times New Roman" w:hAnsi="Times New Roman" w:cs="Times New Roman"/>
                <w:sz w:val="20"/>
                <w:szCs w:val="20"/>
              </w:rPr>
            </w:pPr>
          </w:p>
          <w:p w14:paraId="526BC8D7" w14:textId="77777777" w:rsidR="00A91825" w:rsidRPr="003549B4" w:rsidRDefault="00A91825" w:rsidP="00F17024">
            <w:pPr>
              <w:spacing w:before="120" w:after="0" w:line="240" w:lineRule="auto"/>
              <w:ind w:right="-108"/>
              <w:rPr>
                <w:rFonts w:ascii="Times New Roman" w:hAnsi="Times New Roman" w:cs="Times New Roman"/>
                <w:sz w:val="20"/>
                <w:szCs w:val="20"/>
              </w:rPr>
            </w:pPr>
          </w:p>
          <w:p w14:paraId="0C04C5F0" w14:textId="77777777" w:rsidR="00A91825" w:rsidRPr="003549B4" w:rsidRDefault="00A91825" w:rsidP="00F17024">
            <w:pPr>
              <w:spacing w:before="120" w:after="0" w:line="240" w:lineRule="auto"/>
              <w:ind w:right="-108"/>
              <w:rPr>
                <w:rFonts w:ascii="Times New Roman" w:hAnsi="Times New Roman" w:cs="Times New Roman"/>
                <w:sz w:val="20"/>
                <w:szCs w:val="20"/>
              </w:rPr>
            </w:pPr>
          </w:p>
          <w:p w14:paraId="2E2A35E5" w14:textId="77777777" w:rsidR="00A91825" w:rsidRPr="003549B4" w:rsidRDefault="00A91825" w:rsidP="00F17024">
            <w:pPr>
              <w:spacing w:before="120" w:after="0" w:line="240" w:lineRule="auto"/>
              <w:ind w:right="-108"/>
              <w:rPr>
                <w:rFonts w:ascii="Times New Roman" w:hAnsi="Times New Roman" w:cs="Times New Roman"/>
                <w:sz w:val="20"/>
                <w:szCs w:val="20"/>
              </w:rPr>
            </w:pPr>
          </w:p>
          <w:p w14:paraId="24626464" w14:textId="77777777" w:rsidR="00824651" w:rsidRPr="003549B4" w:rsidRDefault="00824651"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NV2</w:t>
            </w:r>
          </w:p>
        </w:tc>
        <w:tc>
          <w:tcPr>
            <w:tcW w:w="569" w:type="dxa"/>
          </w:tcPr>
          <w:p w14:paraId="6DB20DC4" w14:textId="77777777" w:rsidR="00824651" w:rsidRPr="003549B4" w:rsidRDefault="00780D48"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§17</w:t>
            </w:r>
          </w:p>
          <w:p w14:paraId="62C7164E" w14:textId="77777777" w:rsidR="0061203F" w:rsidRPr="003549B4" w:rsidRDefault="0061203F"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0AAFA327" w14:textId="77777777" w:rsidR="0061203F" w:rsidRPr="003549B4" w:rsidRDefault="0061203F"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xml:space="preserve">až </w:t>
            </w:r>
          </w:p>
          <w:p w14:paraId="0F12C977" w14:textId="77777777" w:rsidR="0061203F" w:rsidRPr="003549B4" w:rsidRDefault="0061203F"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O3</w:t>
            </w:r>
          </w:p>
          <w:p w14:paraId="5EC799D8" w14:textId="77777777" w:rsidR="0061203F" w:rsidRPr="003549B4" w:rsidRDefault="0061203F" w:rsidP="00F17024">
            <w:pPr>
              <w:spacing w:before="120" w:after="0" w:line="240" w:lineRule="auto"/>
              <w:ind w:left="14" w:right="-9" w:hanging="29"/>
              <w:rPr>
                <w:rFonts w:ascii="Times New Roman" w:hAnsi="Times New Roman" w:cs="Times New Roman"/>
                <w:sz w:val="20"/>
                <w:szCs w:val="20"/>
              </w:rPr>
            </w:pPr>
          </w:p>
          <w:p w14:paraId="2A65D57A" w14:textId="77777777" w:rsidR="0061203F" w:rsidRPr="003549B4" w:rsidRDefault="0061203F" w:rsidP="00F17024">
            <w:pPr>
              <w:spacing w:before="120" w:after="0" w:line="240" w:lineRule="auto"/>
              <w:ind w:left="14" w:right="-9" w:hanging="29"/>
              <w:rPr>
                <w:rFonts w:ascii="Times New Roman" w:hAnsi="Times New Roman" w:cs="Times New Roman"/>
                <w:sz w:val="20"/>
                <w:szCs w:val="20"/>
              </w:rPr>
            </w:pPr>
          </w:p>
          <w:p w14:paraId="1FBB7347" w14:textId="77777777" w:rsidR="0061203F" w:rsidRPr="003549B4" w:rsidRDefault="0061203F" w:rsidP="00F17024">
            <w:pPr>
              <w:spacing w:before="120" w:after="0" w:line="240" w:lineRule="auto"/>
              <w:ind w:left="14" w:right="-9" w:hanging="29"/>
              <w:rPr>
                <w:rFonts w:ascii="Times New Roman" w:hAnsi="Times New Roman" w:cs="Times New Roman"/>
                <w:sz w:val="20"/>
                <w:szCs w:val="20"/>
              </w:rPr>
            </w:pPr>
          </w:p>
          <w:p w14:paraId="754228FB" w14:textId="77777777" w:rsidR="0061203F" w:rsidRPr="003549B4" w:rsidRDefault="0061203F" w:rsidP="00F17024">
            <w:pPr>
              <w:spacing w:before="120" w:after="0" w:line="240" w:lineRule="auto"/>
              <w:ind w:left="14" w:right="-9" w:hanging="29"/>
              <w:rPr>
                <w:rFonts w:ascii="Times New Roman" w:hAnsi="Times New Roman" w:cs="Times New Roman"/>
                <w:sz w:val="20"/>
                <w:szCs w:val="20"/>
              </w:rPr>
            </w:pPr>
          </w:p>
          <w:p w14:paraId="062B1C40" w14:textId="77777777" w:rsidR="0061203F" w:rsidRPr="003549B4" w:rsidRDefault="0061203F" w:rsidP="00F17024">
            <w:pPr>
              <w:spacing w:before="120" w:after="0" w:line="240" w:lineRule="auto"/>
              <w:ind w:left="14" w:right="-9" w:hanging="29"/>
              <w:rPr>
                <w:rFonts w:ascii="Times New Roman" w:hAnsi="Times New Roman" w:cs="Times New Roman"/>
                <w:sz w:val="20"/>
                <w:szCs w:val="20"/>
              </w:rPr>
            </w:pPr>
          </w:p>
          <w:p w14:paraId="3EE7687D" w14:textId="77777777" w:rsidR="0061203F" w:rsidRPr="003549B4" w:rsidRDefault="0061203F" w:rsidP="00F17024">
            <w:pPr>
              <w:spacing w:before="120" w:after="0" w:line="240" w:lineRule="auto"/>
              <w:ind w:left="14" w:right="-9" w:hanging="29"/>
              <w:rPr>
                <w:rFonts w:ascii="Times New Roman" w:hAnsi="Times New Roman" w:cs="Times New Roman"/>
                <w:sz w:val="20"/>
                <w:szCs w:val="20"/>
              </w:rPr>
            </w:pPr>
          </w:p>
          <w:p w14:paraId="4EA067D0" w14:textId="77777777" w:rsidR="00824651" w:rsidRPr="003549B4" w:rsidRDefault="00824651"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7ABB7FAF" w14:textId="77777777" w:rsidR="00824651" w:rsidRPr="003549B4" w:rsidRDefault="00824651"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O9</w:t>
            </w:r>
          </w:p>
          <w:p w14:paraId="061E56B6" w14:textId="77777777" w:rsidR="00824651" w:rsidRPr="003549B4" w:rsidRDefault="00A91825"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w:t>
            </w:r>
            <w:r w:rsidR="00824651" w:rsidRPr="003549B4">
              <w:rPr>
                <w:rFonts w:ascii="Times New Roman" w:hAnsi="Times New Roman" w:cs="Times New Roman"/>
                <w:sz w:val="20"/>
                <w:szCs w:val="20"/>
              </w:rPr>
              <w:t>10</w:t>
            </w:r>
          </w:p>
          <w:p w14:paraId="54F13A97" w14:textId="77777777" w:rsidR="00824651" w:rsidRPr="003549B4" w:rsidRDefault="00824651" w:rsidP="00F17024">
            <w:pPr>
              <w:spacing w:before="120" w:after="0" w:line="240" w:lineRule="auto"/>
              <w:ind w:left="14" w:right="-9" w:hanging="29"/>
              <w:rPr>
                <w:rFonts w:ascii="Times New Roman" w:hAnsi="Times New Roman" w:cs="Times New Roman"/>
                <w:sz w:val="20"/>
                <w:szCs w:val="20"/>
              </w:rPr>
            </w:pPr>
          </w:p>
        </w:tc>
        <w:tc>
          <w:tcPr>
            <w:tcW w:w="6006" w:type="dxa"/>
          </w:tcPr>
          <w:p w14:paraId="45618EB8" w14:textId="77777777" w:rsidR="00780D48" w:rsidRPr="003549B4" w:rsidRDefault="00780D48" w:rsidP="0061203F">
            <w:pPr>
              <w:spacing w:before="120" w:after="0" w:line="240" w:lineRule="auto"/>
              <w:jc w:val="both"/>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(1) Do obmedzeného prevádzkového režimu možno zaradiť väčšie stredné spaľovacie zariadenie s prevádzkou do 500 h ročne, pričom, ak ide o </w:t>
            </w:r>
          </w:p>
          <w:p w14:paraId="4AACF6D8" w14:textId="77777777" w:rsidR="00780D48" w:rsidRPr="003549B4" w:rsidRDefault="00780D48" w:rsidP="00FE4978">
            <w:pPr>
              <w:numPr>
                <w:ilvl w:val="0"/>
                <w:numId w:val="11"/>
              </w:numPr>
              <w:spacing w:before="120" w:after="0" w:line="240" w:lineRule="auto"/>
              <w:ind w:hanging="283"/>
              <w:jc w:val="both"/>
              <w:rPr>
                <w:rFonts w:ascii="Times New Roman" w:hAnsi="Times New Roman" w:cs="Times New Roman"/>
                <w:sz w:val="20"/>
                <w:szCs w:val="20"/>
                <w:lang w:eastAsia="sk-SK"/>
              </w:rPr>
            </w:pPr>
            <w:r w:rsidRPr="003549B4">
              <w:rPr>
                <w:rFonts w:ascii="Times New Roman" w:hAnsi="Times New Roman" w:cs="Times New Roman"/>
                <w:sz w:val="20"/>
                <w:szCs w:val="20"/>
                <w:lang w:eastAsia="sk-SK"/>
              </w:rPr>
              <w:t>jestvujúce zariadenie, prevádzkové hodiny sa počítajú ako päťročný plávajúci priemer,</w:t>
            </w:r>
          </w:p>
          <w:p w14:paraId="688699AD" w14:textId="77777777" w:rsidR="00780D48" w:rsidRPr="003549B4" w:rsidRDefault="0061203F" w:rsidP="0061203F">
            <w:pPr>
              <w:spacing w:before="120" w:after="0" w:line="240" w:lineRule="auto"/>
              <w:jc w:val="both"/>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(2) </w:t>
            </w:r>
            <w:r w:rsidR="00780D48" w:rsidRPr="003549B4">
              <w:rPr>
                <w:rFonts w:ascii="Times New Roman" w:hAnsi="Times New Roman" w:cs="Times New Roman"/>
                <w:sz w:val="20"/>
                <w:szCs w:val="20"/>
                <w:lang w:eastAsia="sk-SK"/>
              </w:rPr>
              <w:t>Pre väčšie stredné spaľovacie zariadenie, ktoré je jestvujúcim zariadením, možno obmedzený prevádzkový režim predĺžiť na 1 000 h ročne v núdzi a za mimoriadnych okolností pre zariadenia používané na výrobu tepla pri výnimočne chladnom počasí.</w:t>
            </w:r>
          </w:p>
          <w:p w14:paraId="0EC2808E" w14:textId="77777777" w:rsidR="00824651" w:rsidRPr="003549B4" w:rsidRDefault="0061203F" w:rsidP="0061203F">
            <w:pPr>
              <w:spacing w:before="120" w:after="0" w:line="240" w:lineRule="auto"/>
              <w:jc w:val="both"/>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(3) </w:t>
            </w:r>
            <w:r w:rsidR="00780D48" w:rsidRPr="003549B4">
              <w:rPr>
                <w:rFonts w:ascii="Times New Roman" w:hAnsi="Times New Roman" w:cs="Times New Roman"/>
                <w:sz w:val="20"/>
                <w:szCs w:val="20"/>
                <w:lang w:eastAsia="sk-SK"/>
              </w:rPr>
              <w:t>Na zariadenia v obmedzenom prevádzkovom režime sa emisné limity neuplatňujú, okrem emisného limitu pre TZL pri spaľovaní tuhých palív, vrátane biomasy.</w:t>
            </w:r>
          </w:p>
          <w:p w14:paraId="56CA80FB" w14:textId="77777777" w:rsidR="0061203F" w:rsidRPr="003549B4" w:rsidRDefault="0061203F" w:rsidP="0061203F">
            <w:pPr>
              <w:spacing w:before="120" w:after="0" w:line="240" w:lineRule="auto"/>
              <w:jc w:val="both"/>
              <w:rPr>
                <w:rFonts w:ascii="Times New Roman" w:hAnsi="Times New Roman" w:cs="Times New Roman"/>
                <w:sz w:val="20"/>
                <w:szCs w:val="20"/>
                <w:lang w:eastAsia="sk-SK"/>
              </w:rPr>
            </w:pPr>
          </w:p>
          <w:p w14:paraId="31C2FC45" w14:textId="77777777" w:rsidR="00824651" w:rsidRPr="003549B4" w:rsidRDefault="00824651" w:rsidP="00824651">
            <w:pPr>
              <w:spacing w:before="120" w:after="0" w:line="240" w:lineRule="auto"/>
              <w:ind w:left="142" w:hanging="142"/>
              <w:rPr>
                <w:rFonts w:ascii="Times New Roman" w:hAnsi="Times New Roman" w:cs="Times New Roman"/>
                <w:sz w:val="20"/>
                <w:szCs w:val="20"/>
                <w:lang w:eastAsia="sk-SK"/>
              </w:rPr>
            </w:pPr>
            <w:r w:rsidRPr="003549B4">
              <w:rPr>
                <w:rFonts w:ascii="Times New Roman" w:hAnsi="Times New Roman" w:cs="Times New Roman"/>
                <w:sz w:val="20"/>
                <w:szCs w:val="20"/>
                <w:lang w:eastAsia="sk-SK"/>
              </w:rPr>
              <w:t>(9)</w:t>
            </w:r>
            <w:r w:rsidRPr="003549B4">
              <w:rPr>
                <w:rFonts w:ascii="Times New Roman" w:hAnsi="Times New Roman" w:cs="Times New Roman"/>
                <w:sz w:val="20"/>
                <w:szCs w:val="20"/>
                <w:lang w:eastAsia="sk-SK"/>
              </w:rPr>
              <w:tab/>
              <w:t>Ak ide o občasné väčšie stredné spaľovacie zariadenie, ktoré je uvedené do prevádzky pred 20. decembrom 2018 alebo pre ktoré bolo vydané povolenie pred 19. decembrom 2017 pod podmienkou, že zariadenie začne prevádzku najneskôr 20. decembra 2018 (ďalej len „jestvujúce väčšie stredné spaľovacie zariadenie“), interval periodického merania podľa odseku 8 platí pre také jestvujúce občasné väčšie stredné spaľovacie zariadenie, ktorého čas prevádzky ako kĺzavý priemer počas obdobia piatich rokov neprekračuje</w:t>
            </w:r>
          </w:p>
          <w:p w14:paraId="2054A9CD" w14:textId="77777777" w:rsidR="00824651" w:rsidRPr="003549B4" w:rsidRDefault="00824651" w:rsidP="00824651">
            <w:pPr>
              <w:spacing w:before="120" w:after="0" w:line="240" w:lineRule="auto"/>
              <w:ind w:left="142" w:hanging="142"/>
              <w:rPr>
                <w:rFonts w:ascii="Times New Roman" w:hAnsi="Times New Roman" w:cs="Times New Roman"/>
                <w:sz w:val="20"/>
                <w:szCs w:val="20"/>
                <w:lang w:eastAsia="sk-SK"/>
              </w:rPr>
            </w:pPr>
            <w:r w:rsidRPr="003549B4">
              <w:rPr>
                <w:rFonts w:ascii="Times New Roman" w:hAnsi="Times New Roman" w:cs="Times New Roman"/>
                <w:sz w:val="20"/>
                <w:szCs w:val="20"/>
                <w:lang w:eastAsia="sk-SK"/>
              </w:rPr>
              <w:t>a) 500 prevádzkových hodín ročne, alebo</w:t>
            </w:r>
          </w:p>
          <w:p w14:paraId="6B02E2EE" w14:textId="77777777" w:rsidR="00824651" w:rsidRPr="003549B4" w:rsidRDefault="00824651" w:rsidP="00824651">
            <w:pPr>
              <w:spacing w:before="120" w:after="0" w:line="240" w:lineRule="auto"/>
              <w:ind w:left="142" w:hanging="142"/>
              <w:rPr>
                <w:rFonts w:ascii="Times New Roman" w:hAnsi="Times New Roman" w:cs="Times New Roman"/>
                <w:sz w:val="20"/>
                <w:szCs w:val="20"/>
                <w:lang w:eastAsia="sk-SK"/>
              </w:rPr>
            </w:pPr>
            <w:r w:rsidRPr="003549B4">
              <w:rPr>
                <w:rFonts w:ascii="Times New Roman" w:hAnsi="Times New Roman" w:cs="Times New Roman"/>
                <w:sz w:val="20"/>
                <w:szCs w:val="20"/>
                <w:lang w:eastAsia="sk-SK"/>
              </w:rPr>
              <w:t>b) 1 000 prevádzkových hodín ročne, ak pri núdzi alebo mimoriadnych okolnostiach ide o</w:t>
            </w:r>
          </w:p>
          <w:p w14:paraId="68C8ACE9" w14:textId="77777777" w:rsidR="00824651" w:rsidRPr="003549B4" w:rsidRDefault="00824651" w:rsidP="00824651">
            <w:pPr>
              <w:spacing w:before="120" w:after="0" w:line="240" w:lineRule="auto"/>
              <w:ind w:left="142" w:hanging="142"/>
              <w:rPr>
                <w:rFonts w:ascii="Times New Roman" w:hAnsi="Times New Roman" w:cs="Times New Roman"/>
                <w:sz w:val="20"/>
                <w:szCs w:val="20"/>
                <w:lang w:eastAsia="sk-SK"/>
              </w:rPr>
            </w:pPr>
            <w:r w:rsidRPr="003549B4">
              <w:rPr>
                <w:rFonts w:ascii="Times New Roman" w:hAnsi="Times New Roman" w:cs="Times New Roman"/>
                <w:sz w:val="20"/>
                <w:szCs w:val="20"/>
                <w:lang w:eastAsia="sk-SK"/>
              </w:rPr>
              <w:t>1. záložnú výrobu elektrickej energie na prepojených ostrovoch pri prerušení hlavnej dodávky elektriny na ostrov alebo</w:t>
            </w:r>
          </w:p>
          <w:p w14:paraId="759E4893" w14:textId="77777777" w:rsidR="00824651" w:rsidRPr="003549B4" w:rsidRDefault="00824651" w:rsidP="00824651">
            <w:pPr>
              <w:spacing w:before="120" w:after="0" w:line="240" w:lineRule="auto"/>
              <w:ind w:left="142" w:hanging="142"/>
              <w:rPr>
                <w:rFonts w:ascii="Times New Roman" w:hAnsi="Times New Roman" w:cs="Times New Roman"/>
                <w:sz w:val="20"/>
                <w:szCs w:val="20"/>
                <w:lang w:eastAsia="sk-SK"/>
              </w:rPr>
            </w:pPr>
            <w:r w:rsidRPr="003549B4">
              <w:rPr>
                <w:rFonts w:ascii="Times New Roman" w:hAnsi="Times New Roman" w:cs="Times New Roman"/>
                <w:sz w:val="20"/>
                <w:szCs w:val="20"/>
                <w:lang w:eastAsia="sk-SK"/>
              </w:rPr>
              <w:t>2. občasné väčšie stredné spaľovacie zariadenie používané na výrobu tepla pri výnimočne chladnom počasí.</w:t>
            </w:r>
          </w:p>
          <w:p w14:paraId="545318C0" w14:textId="77777777" w:rsidR="00824651" w:rsidRPr="003549B4" w:rsidRDefault="00824651" w:rsidP="00824651">
            <w:pPr>
              <w:spacing w:before="120" w:after="0" w:line="240" w:lineRule="auto"/>
              <w:ind w:left="142" w:hanging="142"/>
              <w:rPr>
                <w:rFonts w:ascii="Times New Roman" w:hAnsi="Times New Roman" w:cs="Times New Roman"/>
                <w:sz w:val="20"/>
                <w:szCs w:val="20"/>
                <w:lang w:eastAsia="sk-SK"/>
              </w:rPr>
            </w:pPr>
            <w:r w:rsidRPr="003549B4">
              <w:rPr>
                <w:rFonts w:ascii="Times New Roman" w:hAnsi="Times New Roman" w:cs="Times New Roman"/>
                <w:sz w:val="20"/>
                <w:szCs w:val="20"/>
                <w:lang w:eastAsia="sk-SK"/>
              </w:rPr>
              <w:lastRenderedPageBreak/>
              <w:t>(10)</w:t>
            </w:r>
            <w:r w:rsidRPr="003549B4">
              <w:rPr>
                <w:rFonts w:ascii="Times New Roman" w:hAnsi="Times New Roman" w:cs="Times New Roman"/>
                <w:sz w:val="20"/>
                <w:szCs w:val="20"/>
                <w:lang w:eastAsia="sk-SK"/>
              </w:rPr>
              <w:tab/>
              <w:t>Ak ide o občasné väčšie stredné spaľovacie zariadenie povolené alebo uvedené do prevádzky po lehotách podľa odseku 9 (ďalej len „nové väčšie stredné spaľovacie zariadenie“), interval periodického merania podľa odseku 8 platí pre také nové občasné väčšie stredné spaľovacie zariadenie, ktorého čas prevádzky ako kĺzavý priemer počas obdobia troch rokov neprekračuje 500 prevádzkových hodín ročne.</w:t>
            </w:r>
          </w:p>
        </w:tc>
        <w:tc>
          <w:tcPr>
            <w:tcW w:w="429" w:type="dxa"/>
            <w:tcBorders>
              <w:top w:val="single" w:sz="4" w:space="0" w:color="auto"/>
              <w:bottom w:val="single" w:sz="4" w:space="0" w:color="auto"/>
            </w:tcBorders>
            <w:vAlign w:val="center"/>
          </w:tcPr>
          <w:p w14:paraId="12E96694" w14:textId="77777777" w:rsidR="00824651" w:rsidRPr="003549B4" w:rsidRDefault="009B1CDE"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1F10F3AA" w14:textId="77777777" w:rsidR="00824651" w:rsidRPr="003549B4" w:rsidRDefault="00824651" w:rsidP="00824651">
            <w:pPr>
              <w:spacing w:after="0" w:line="240" w:lineRule="auto"/>
              <w:rPr>
                <w:rFonts w:ascii="Times New Roman" w:hAnsi="Times New Roman" w:cs="Times New Roman"/>
                <w:sz w:val="20"/>
                <w:szCs w:val="20"/>
              </w:rPr>
            </w:pPr>
          </w:p>
        </w:tc>
      </w:tr>
      <w:tr w:rsidR="00557F90" w:rsidRPr="003549B4" w14:paraId="1558885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A3D921A" w14:textId="77777777" w:rsidR="00824651" w:rsidRPr="003549B4" w:rsidRDefault="00824651"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O4</w:t>
            </w:r>
          </w:p>
        </w:tc>
        <w:tc>
          <w:tcPr>
            <w:tcW w:w="6287" w:type="dxa"/>
          </w:tcPr>
          <w:p w14:paraId="071AD3C7" w14:textId="77777777" w:rsidR="00824651" w:rsidRPr="003549B4" w:rsidRDefault="00824651"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rPr>
              <w:t>4. Existujúce stredne veľké spaľovacie zariadenia, ktoré sú súčasťou malej izolovanej sústavy (SIS) alebo izolovanej mikrosústavy (MIS) musia spĺňať emisné limity stanovené v tabuľkách 1, 2 a 3 časti 1 prílohy II od 1. januára 2030.</w:t>
            </w:r>
          </w:p>
        </w:tc>
        <w:tc>
          <w:tcPr>
            <w:tcW w:w="433" w:type="dxa"/>
          </w:tcPr>
          <w:p w14:paraId="2B3B3516" w14:textId="77777777" w:rsidR="00824651" w:rsidRPr="003549B4" w:rsidRDefault="004916ED"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197064E3" w14:textId="77777777" w:rsidR="00824651" w:rsidRPr="003549B4" w:rsidRDefault="00824651" w:rsidP="00F17024">
            <w:pPr>
              <w:spacing w:after="0" w:line="240" w:lineRule="auto"/>
              <w:ind w:right="-108"/>
              <w:rPr>
                <w:rFonts w:ascii="Times New Roman" w:hAnsi="Times New Roman" w:cs="Times New Roman"/>
                <w:sz w:val="20"/>
                <w:szCs w:val="20"/>
              </w:rPr>
            </w:pPr>
          </w:p>
        </w:tc>
        <w:tc>
          <w:tcPr>
            <w:tcW w:w="569" w:type="dxa"/>
          </w:tcPr>
          <w:p w14:paraId="07DB0E6B" w14:textId="77777777" w:rsidR="00824651" w:rsidRPr="003549B4" w:rsidRDefault="00824651" w:rsidP="00F17024">
            <w:pPr>
              <w:spacing w:after="0" w:line="240" w:lineRule="auto"/>
              <w:ind w:left="14" w:right="-9" w:hanging="29"/>
              <w:rPr>
                <w:rFonts w:ascii="Times New Roman" w:hAnsi="Times New Roman" w:cs="Times New Roman"/>
                <w:sz w:val="20"/>
                <w:szCs w:val="20"/>
              </w:rPr>
            </w:pPr>
          </w:p>
        </w:tc>
        <w:tc>
          <w:tcPr>
            <w:tcW w:w="6006" w:type="dxa"/>
          </w:tcPr>
          <w:p w14:paraId="79C4C9F4" w14:textId="77777777" w:rsidR="00824651" w:rsidRPr="003549B4" w:rsidRDefault="00824651"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0D84807E" w14:textId="77777777" w:rsidR="00824651" w:rsidRPr="003549B4" w:rsidRDefault="00383ACF"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2F421626" w14:textId="5E387F1F" w:rsidR="00824651" w:rsidRPr="003549B4" w:rsidRDefault="00E50B2D" w:rsidP="00E50B2D">
            <w:pPr>
              <w:spacing w:after="0" w:line="240" w:lineRule="auto"/>
              <w:ind w:right="-161"/>
              <w:rPr>
                <w:rFonts w:ascii="Times New Roman" w:hAnsi="Times New Roman" w:cs="Times New Roman"/>
                <w:sz w:val="18"/>
                <w:szCs w:val="18"/>
              </w:rPr>
            </w:pPr>
            <w:r w:rsidRPr="003549B4">
              <w:rPr>
                <w:rFonts w:ascii="Times New Roman" w:hAnsi="Times New Roman" w:cs="Times New Roman"/>
                <w:sz w:val="18"/>
                <w:szCs w:val="18"/>
              </w:rPr>
              <w:t>SR nemá takto defino-vané zaria-denia.</w:t>
            </w:r>
          </w:p>
        </w:tc>
      </w:tr>
      <w:tr w:rsidR="00557F90" w:rsidRPr="003549B4" w14:paraId="40A6B2D9"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07472D1" w14:textId="77777777" w:rsidR="00824651" w:rsidRPr="003549B4" w:rsidRDefault="00824651"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O5</w:t>
            </w:r>
          </w:p>
        </w:tc>
        <w:tc>
          <w:tcPr>
            <w:tcW w:w="6287" w:type="dxa"/>
          </w:tcPr>
          <w:p w14:paraId="0E656849" w14:textId="77777777" w:rsidR="00824651" w:rsidRPr="003549B4" w:rsidRDefault="00824651" w:rsidP="00824651">
            <w:pPr>
              <w:pStyle w:val="Normlny1"/>
              <w:jc w:val="left"/>
              <w:rPr>
                <w:sz w:val="20"/>
                <w:szCs w:val="20"/>
              </w:rPr>
            </w:pPr>
            <w:r w:rsidRPr="003549B4">
              <w:rPr>
                <w:sz w:val="20"/>
                <w:szCs w:val="20"/>
              </w:rPr>
              <w:t>5. Do 1. januára 2030 môžu členské štáty oslobodiť existujúce stredne veľké spaľovacie zariadenia s menovitým tepelným príkonom väčším ako 5 MW od povinnosti dodržiavať emisné limity stanovené v prílohe II za predpokladu, že sa najmenej 50 % výroby využiteľného tepla v zariadení ako kĺzavý priemer za päť rokov dodá vo forme pary alebo horúcej vody do verejnej siete na diaľkové vykurovanie. V prípade takéhoto oslobodenia emisné limity stanovené príslušným orgánom nesmú prekročiť 1 100 mg/Nm</w:t>
            </w:r>
            <w:r w:rsidRPr="003549B4">
              <w:rPr>
                <w:rStyle w:val="super"/>
                <w:sz w:val="20"/>
                <w:szCs w:val="20"/>
              </w:rPr>
              <w:t>3</w:t>
            </w:r>
            <w:r w:rsidRPr="003549B4">
              <w:rPr>
                <w:sz w:val="20"/>
                <w:szCs w:val="20"/>
              </w:rPr>
              <w:t xml:space="preserve"> pre SO</w:t>
            </w:r>
            <w:r w:rsidRPr="003549B4">
              <w:rPr>
                <w:rStyle w:val="sub"/>
                <w:sz w:val="20"/>
                <w:szCs w:val="20"/>
              </w:rPr>
              <w:t>2</w:t>
            </w:r>
            <w:r w:rsidRPr="003549B4">
              <w:rPr>
                <w:sz w:val="20"/>
                <w:szCs w:val="20"/>
              </w:rPr>
              <w:t xml:space="preserve"> a 150 mg/Nm</w:t>
            </w:r>
            <w:r w:rsidRPr="003549B4">
              <w:rPr>
                <w:rStyle w:val="super"/>
                <w:sz w:val="20"/>
                <w:szCs w:val="20"/>
              </w:rPr>
              <w:t>3</w:t>
            </w:r>
            <w:r w:rsidRPr="003549B4">
              <w:rPr>
                <w:sz w:val="20"/>
                <w:szCs w:val="20"/>
              </w:rPr>
              <w:t xml:space="preserve"> pre prach.</w:t>
            </w:r>
          </w:p>
          <w:p w14:paraId="635E8060" w14:textId="77777777" w:rsidR="00824651" w:rsidRPr="003549B4" w:rsidRDefault="00824651" w:rsidP="00824651">
            <w:pPr>
              <w:pStyle w:val="Normlny1"/>
              <w:jc w:val="left"/>
              <w:rPr>
                <w:sz w:val="20"/>
                <w:szCs w:val="20"/>
              </w:rPr>
            </w:pPr>
            <w:r w:rsidRPr="003549B4">
              <w:rPr>
                <w:sz w:val="20"/>
                <w:szCs w:val="20"/>
              </w:rPr>
              <w:t>Do 1. januára 2030 môžu členské štáty oslobodiť stredne veľké spaľovacie zariadenia spaľujúce tuhú biomasu ako hlavné palivo, ktoré sa nachádzajú v zónach, kde je podľa hodnotení na základe smernice 2008/50/ES zabezpečený súlad s limitnými hodnotami uvedenej smernice, od povinnosti dodržiavať emisné limity pre prach stanovené v prílohe II k tejto smernici. V prípade takéhoto oslobodenia emisné limity stanovené príslušným orgánom nesmú prekročiť 150 mg/Nm</w:t>
            </w:r>
            <w:r w:rsidRPr="003549B4">
              <w:rPr>
                <w:rStyle w:val="super"/>
                <w:sz w:val="20"/>
                <w:szCs w:val="20"/>
              </w:rPr>
              <w:t>3</w:t>
            </w:r>
            <w:r w:rsidRPr="003549B4">
              <w:rPr>
                <w:sz w:val="20"/>
                <w:szCs w:val="20"/>
              </w:rPr>
              <w:t xml:space="preserve"> pre prach.</w:t>
            </w:r>
          </w:p>
          <w:p w14:paraId="3B6FCFA2" w14:textId="77777777" w:rsidR="00824651" w:rsidRPr="003549B4" w:rsidRDefault="00824651" w:rsidP="00824651">
            <w:pPr>
              <w:pStyle w:val="Normlny1"/>
              <w:jc w:val="left"/>
              <w:rPr>
                <w:sz w:val="20"/>
                <w:szCs w:val="20"/>
              </w:rPr>
            </w:pPr>
            <w:r w:rsidRPr="003549B4">
              <w:rPr>
                <w:sz w:val="20"/>
                <w:szCs w:val="20"/>
              </w:rPr>
              <w:t>Príslušný orgán v každom prípade zabezpečí, aby nedošlo k spôsobeniu žiadneho významného znečistenia a bola dosiahnutá vysoká úroveň ochrany životného prostredia ako celku.</w:t>
            </w:r>
          </w:p>
          <w:p w14:paraId="4B7D5976" w14:textId="77777777" w:rsidR="00824651" w:rsidRPr="003549B4" w:rsidRDefault="00824651" w:rsidP="00824651">
            <w:pPr>
              <w:spacing w:before="120" w:after="0" w:line="240" w:lineRule="auto"/>
              <w:rPr>
                <w:rFonts w:ascii="Times New Roman" w:hAnsi="Times New Roman" w:cs="Times New Roman"/>
                <w:sz w:val="20"/>
                <w:szCs w:val="20"/>
                <w:lang w:eastAsia="sk-SK"/>
              </w:rPr>
            </w:pPr>
          </w:p>
        </w:tc>
        <w:tc>
          <w:tcPr>
            <w:tcW w:w="433" w:type="dxa"/>
          </w:tcPr>
          <w:p w14:paraId="22DDD504" w14:textId="77777777" w:rsidR="00824651" w:rsidRPr="003549B4" w:rsidRDefault="00353E37"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D</w:t>
            </w:r>
          </w:p>
        </w:tc>
        <w:tc>
          <w:tcPr>
            <w:tcW w:w="572" w:type="dxa"/>
          </w:tcPr>
          <w:p w14:paraId="3341C96E" w14:textId="77777777" w:rsidR="00824651" w:rsidRPr="003549B4" w:rsidRDefault="00824651"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p w14:paraId="7DD945AB" w14:textId="77777777" w:rsidR="000505B7" w:rsidRPr="003549B4" w:rsidRDefault="000505B7" w:rsidP="00F17024">
            <w:pPr>
              <w:spacing w:after="0" w:line="240" w:lineRule="auto"/>
              <w:ind w:right="-108"/>
              <w:rPr>
                <w:rFonts w:ascii="Times New Roman" w:hAnsi="Times New Roman" w:cs="Times New Roman"/>
                <w:sz w:val="20"/>
                <w:szCs w:val="20"/>
              </w:rPr>
            </w:pPr>
          </w:p>
          <w:p w14:paraId="1352A09E" w14:textId="77777777" w:rsidR="000505B7" w:rsidRPr="003549B4" w:rsidRDefault="000505B7" w:rsidP="00F17024">
            <w:pPr>
              <w:spacing w:after="0" w:line="240" w:lineRule="auto"/>
              <w:ind w:right="-108"/>
              <w:rPr>
                <w:rFonts w:ascii="Times New Roman" w:hAnsi="Times New Roman" w:cs="Times New Roman"/>
                <w:sz w:val="20"/>
                <w:szCs w:val="20"/>
              </w:rPr>
            </w:pPr>
          </w:p>
          <w:p w14:paraId="63E88BA9" w14:textId="77777777" w:rsidR="000505B7" w:rsidRPr="003549B4" w:rsidRDefault="000505B7" w:rsidP="00F17024">
            <w:pPr>
              <w:spacing w:after="0" w:line="240" w:lineRule="auto"/>
              <w:ind w:right="-108"/>
              <w:rPr>
                <w:rFonts w:ascii="Times New Roman" w:hAnsi="Times New Roman" w:cs="Times New Roman"/>
                <w:sz w:val="20"/>
                <w:szCs w:val="20"/>
              </w:rPr>
            </w:pPr>
          </w:p>
          <w:p w14:paraId="6B42D06C" w14:textId="77777777" w:rsidR="000505B7" w:rsidRPr="003549B4" w:rsidRDefault="000505B7" w:rsidP="00F17024">
            <w:pPr>
              <w:spacing w:after="0" w:line="240" w:lineRule="auto"/>
              <w:ind w:right="-108"/>
              <w:rPr>
                <w:rFonts w:ascii="Times New Roman" w:hAnsi="Times New Roman" w:cs="Times New Roman"/>
                <w:sz w:val="20"/>
                <w:szCs w:val="20"/>
              </w:rPr>
            </w:pPr>
          </w:p>
          <w:p w14:paraId="7D42AD00" w14:textId="77777777" w:rsidR="000505B7" w:rsidRPr="003549B4" w:rsidRDefault="000505B7" w:rsidP="00F17024">
            <w:pPr>
              <w:spacing w:after="0" w:line="240" w:lineRule="auto"/>
              <w:ind w:right="-108"/>
              <w:rPr>
                <w:rFonts w:ascii="Times New Roman" w:hAnsi="Times New Roman" w:cs="Times New Roman"/>
                <w:sz w:val="20"/>
                <w:szCs w:val="20"/>
              </w:rPr>
            </w:pPr>
          </w:p>
          <w:p w14:paraId="01F3DD41" w14:textId="77777777" w:rsidR="000505B7" w:rsidRPr="003549B4" w:rsidRDefault="000505B7" w:rsidP="00F17024">
            <w:pPr>
              <w:spacing w:after="0" w:line="240" w:lineRule="auto"/>
              <w:ind w:right="-108"/>
              <w:rPr>
                <w:rFonts w:ascii="Times New Roman" w:hAnsi="Times New Roman" w:cs="Times New Roman"/>
                <w:sz w:val="20"/>
                <w:szCs w:val="20"/>
              </w:rPr>
            </w:pPr>
          </w:p>
          <w:p w14:paraId="037BAAA8" w14:textId="77777777" w:rsidR="000505B7" w:rsidRPr="003549B4" w:rsidRDefault="000505B7" w:rsidP="00F17024">
            <w:pPr>
              <w:spacing w:after="0" w:line="240" w:lineRule="auto"/>
              <w:ind w:right="-108"/>
              <w:rPr>
                <w:rFonts w:ascii="Times New Roman" w:hAnsi="Times New Roman" w:cs="Times New Roman"/>
                <w:sz w:val="20"/>
                <w:szCs w:val="20"/>
              </w:rPr>
            </w:pPr>
          </w:p>
          <w:p w14:paraId="3A4EB0AC" w14:textId="77777777" w:rsidR="000505B7" w:rsidRPr="003549B4" w:rsidRDefault="000505B7" w:rsidP="00F17024">
            <w:pPr>
              <w:spacing w:after="0" w:line="240" w:lineRule="auto"/>
              <w:ind w:right="-108"/>
              <w:rPr>
                <w:rFonts w:ascii="Times New Roman" w:hAnsi="Times New Roman" w:cs="Times New Roman"/>
                <w:sz w:val="20"/>
                <w:szCs w:val="20"/>
              </w:rPr>
            </w:pPr>
          </w:p>
          <w:p w14:paraId="77DC8572" w14:textId="77777777" w:rsidR="000505B7" w:rsidRPr="003549B4" w:rsidRDefault="000505B7" w:rsidP="00F17024">
            <w:pPr>
              <w:spacing w:after="0" w:line="240" w:lineRule="auto"/>
              <w:ind w:right="-108"/>
              <w:rPr>
                <w:rFonts w:ascii="Times New Roman" w:hAnsi="Times New Roman" w:cs="Times New Roman"/>
                <w:sz w:val="20"/>
                <w:szCs w:val="20"/>
              </w:rPr>
            </w:pPr>
          </w:p>
          <w:p w14:paraId="61F86890" w14:textId="77777777" w:rsidR="000505B7" w:rsidRPr="003549B4" w:rsidRDefault="000505B7" w:rsidP="00F17024">
            <w:pPr>
              <w:spacing w:after="0" w:line="240" w:lineRule="auto"/>
              <w:ind w:right="-108"/>
              <w:rPr>
                <w:rFonts w:ascii="Times New Roman" w:hAnsi="Times New Roman" w:cs="Times New Roman"/>
                <w:sz w:val="20"/>
                <w:szCs w:val="20"/>
              </w:rPr>
            </w:pPr>
          </w:p>
          <w:p w14:paraId="11D049C9" w14:textId="77777777" w:rsidR="000505B7" w:rsidRPr="003549B4" w:rsidRDefault="000505B7" w:rsidP="00F17024">
            <w:pPr>
              <w:spacing w:after="0" w:line="240" w:lineRule="auto"/>
              <w:ind w:right="-108"/>
              <w:rPr>
                <w:rFonts w:ascii="Times New Roman" w:hAnsi="Times New Roman" w:cs="Times New Roman"/>
                <w:sz w:val="20"/>
                <w:szCs w:val="20"/>
              </w:rPr>
            </w:pPr>
          </w:p>
          <w:p w14:paraId="7EAB65F4" w14:textId="77777777" w:rsidR="000505B7" w:rsidRPr="003549B4" w:rsidRDefault="000505B7" w:rsidP="00F17024">
            <w:pPr>
              <w:spacing w:after="0" w:line="240" w:lineRule="auto"/>
              <w:ind w:right="-108"/>
              <w:rPr>
                <w:rFonts w:ascii="Times New Roman" w:hAnsi="Times New Roman" w:cs="Times New Roman"/>
                <w:sz w:val="20"/>
                <w:szCs w:val="20"/>
              </w:rPr>
            </w:pPr>
          </w:p>
          <w:p w14:paraId="10733BDA" w14:textId="77777777" w:rsidR="000505B7" w:rsidRPr="003549B4" w:rsidRDefault="000505B7" w:rsidP="00F17024">
            <w:pPr>
              <w:spacing w:after="0" w:line="240" w:lineRule="auto"/>
              <w:ind w:right="-108"/>
              <w:rPr>
                <w:rFonts w:ascii="Times New Roman" w:hAnsi="Times New Roman" w:cs="Times New Roman"/>
                <w:sz w:val="20"/>
                <w:szCs w:val="20"/>
              </w:rPr>
            </w:pPr>
          </w:p>
          <w:p w14:paraId="2FCBD790" w14:textId="77777777" w:rsidR="000505B7" w:rsidRPr="003549B4" w:rsidRDefault="000505B7" w:rsidP="00F17024">
            <w:pPr>
              <w:spacing w:after="0" w:line="240" w:lineRule="auto"/>
              <w:ind w:right="-108"/>
              <w:rPr>
                <w:rFonts w:ascii="Times New Roman" w:hAnsi="Times New Roman" w:cs="Times New Roman"/>
                <w:sz w:val="20"/>
                <w:szCs w:val="20"/>
              </w:rPr>
            </w:pPr>
          </w:p>
          <w:p w14:paraId="3A198016" w14:textId="77777777" w:rsidR="000505B7" w:rsidRPr="003549B4" w:rsidRDefault="000505B7" w:rsidP="00F17024">
            <w:pPr>
              <w:spacing w:after="0" w:line="240" w:lineRule="auto"/>
              <w:ind w:right="-108"/>
              <w:rPr>
                <w:rFonts w:ascii="Times New Roman" w:hAnsi="Times New Roman" w:cs="Times New Roman"/>
                <w:sz w:val="20"/>
                <w:szCs w:val="20"/>
              </w:rPr>
            </w:pPr>
          </w:p>
          <w:p w14:paraId="7F539E7C" w14:textId="77777777" w:rsidR="000505B7" w:rsidRPr="003549B4" w:rsidRDefault="000505B7" w:rsidP="00F17024">
            <w:pPr>
              <w:spacing w:after="0" w:line="240" w:lineRule="auto"/>
              <w:ind w:right="-108"/>
              <w:rPr>
                <w:rFonts w:ascii="Times New Roman" w:hAnsi="Times New Roman" w:cs="Times New Roman"/>
                <w:sz w:val="20"/>
                <w:szCs w:val="20"/>
              </w:rPr>
            </w:pPr>
          </w:p>
          <w:p w14:paraId="45F3FABA" w14:textId="77777777" w:rsidR="000505B7" w:rsidRPr="003549B4" w:rsidRDefault="000505B7" w:rsidP="00F17024">
            <w:pPr>
              <w:spacing w:after="0" w:line="240" w:lineRule="auto"/>
              <w:ind w:right="-108"/>
              <w:rPr>
                <w:rFonts w:ascii="Times New Roman" w:hAnsi="Times New Roman" w:cs="Times New Roman"/>
                <w:sz w:val="20"/>
                <w:szCs w:val="20"/>
              </w:rPr>
            </w:pPr>
          </w:p>
          <w:p w14:paraId="3BE678D4" w14:textId="77777777" w:rsidR="000505B7" w:rsidRPr="003549B4" w:rsidRDefault="000505B7" w:rsidP="00F17024">
            <w:pPr>
              <w:spacing w:after="0" w:line="240" w:lineRule="auto"/>
              <w:ind w:right="-108"/>
              <w:rPr>
                <w:rFonts w:ascii="Times New Roman" w:hAnsi="Times New Roman" w:cs="Times New Roman"/>
                <w:sz w:val="20"/>
                <w:szCs w:val="20"/>
              </w:rPr>
            </w:pPr>
          </w:p>
          <w:p w14:paraId="13B62CE4" w14:textId="77777777" w:rsidR="000505B7" w:rsidRPr="003549B4" w:rsidRDefault="000505B7" w:rsidP="00F17024">
            <w:pPr>
              <w:spacing w:after="0" w:line="240" w:lineRule="auto"/>
              <w:ind w:right="-108"/>
              <w:rPr>
                <w:rFonts w:ascii="Times New Roman" w:hAnsi="Times New Roman" w:cs="Times New Roman"/>
                <w:sz w:val="20"/>
                <w:szCs w:val="20"/>
              </w:rPr>
            </w:pPr>
          </w:p>
          <w:p w14:paraId="4EE4F26E" w14:textId="77777777" w:rsidR="000505B7" w:rsidRPr="003549B4" w:rsidRDefault="000505B7" w:rsidP="00F17024">
            <w:pPr>
              <w:spacing w:after="0" w:line="240" w:lineRule="auto"/>
              <w:ind w:right="-108"/>
              <w:rPr>
                <w:rFonts w:ascii="Times New Roman" w:hAnsi="Times New Roman" w:cs="Times New Roman"/>
                <w:sz w:val="20"/>
                <w:szCs w:val="20"/>
              </w:rPr>
            </w:pPr>
          </w:p>
          <w:p w14:paraId="40354A5D" w14:textId="77777777" w:rsidR="000505B7" w:rsidRPr="003549B4" w:rsidRDefault="000505B7" w:rsidP="00F17024">
            <w:pPr>
              <w:spacing w:after="0" w:line="240" w:lineRule="auto"/>
              <w:ind w:right="-108"/>
              <w:rPr>
                <w:rFonts w:ascii="Times New Roman" w:hAnsi="Times New Roman" w:cs="Times New Roman"/>
                <w:sz w:val="20"/>
                <w:szCs w:val="20"/>
              </w:rPr>
            </w:pPr>
          </w:p>
          <w:p w14:paraId="5772BAE9" w14:textId="77777777" w:rsidR="000505B7" w:rsidRPr="003549B4" w:rsidRDefault="000505B7" w:rsidP="00F17024">
            <w:pPr>
              <w:spacing w:after="0" w:line="240" w:lineRule="auto"/>
              <w:ind w:right="-108"/>
              <w:rPr>
                <w:rFonts w:ascii="Times New Roman" w:hAnsi="Times New Roman" w:cs="Times New Roman"/>
                <w:sz w:val="20"/>
                <w:szCs w:val="20"/>
              </w:rPr>
            </w:pPr>
          </w:p>
          <w:p w14:paraId="6779506A" w14:textId="77777777" w:rsidR="000505B7" w:rsidRPr="003549B4" w:rsidRDefault="000505B7" w:rsidP="00F17024">
            <w:pPr>
              <w:spacing w:after="0" w:line="240" w:lineRule="auto"/>
              <w:ind w:right="-108"/>
              <w:rPr>
                <w:rFonts w:ascii="Times New Roman" w:hAnsi="Times New Roman" w:cs="Times New Roman"/>
                <w:sz w:val="20"/>
                <w:szCs w:val="20"/>
              </w:rPr>
            </w:pPr>
          </w:p>
          <w:p w14:paraId="340ECF32" w14:textId="77777777" w:rsidR="000505B7" w:rsidRPr="003549B4" w:rsidRDefault="000505B7" w:rsidP="00F17024">
            <w:pPr>
              <w:spacing w:after="0" w:line="240" w:lineRule="auto"/>
              <w:ind w:right="-108"/>
              <w:rPr>
                <w:rFonts w:ascii="Times New Roman" w:hAnsi="Times New Roman" w:cs="Times New Roman"/>
                <w:sz w:val="20"/>
                <w:szCs w:val="20"/>
              </w:rPr>
            </w:pPr>
          </w:p>
          <w:p w14:paraId="372F7F17" w14:textId="77777777" w:rsidR="000505B7" w:rsidRPr="003549B4" w:rsidRDefault="000505B7" w:rsidP="00F17024">
            <w:pPr>
              <w:spacing w:after="0" w:line="240" w:lineRule="auto"/>
              <w:ind w:right="-108"/>
              <w:rPr>
                <w:rFonts w:ascii="Times New Roman" w:hAnsi="Times New Roman" w:cs="Times New Roman"/>
                <w:sz w:val="20"/>
                <w:szCs w:val="20"/>
              </w:rPr>
            </w:pPr>
          </w:p>
          <w:p w14:paraId="342B6B99" w14:textId="77777777" w:rsidR="000505B7" w:rsidRPr="003549B4" w:rsidRDefault="000505B7" w:rsidP="00F17024">
            <w:pPr>
              <w:spacing w:after="0" w:line="240" w:lineRule="auto"/>
              <w:ind w:right="-108"/>
              <w:rPr>
                <w:rFonts w:ascii="Times New Roman" w:hAnsi="Times New Roman" w:cs="Times New Roman"/>
                <w:sz w:val="20"/>
                <w:szCs w:val="20"/>
              </w:rPr>
            </w:pPr>
          </w:p>
          <w:p w14:paraId="00CBA90C" w14:textId="77777777" w:rsidR="000505B7" w:rsidRPr="003549B4" w:rsidRDefault="000505B7" w:rsidP="00F17024">
            <w:pPr>
              <w:spacing w:after="0" w:line="240" w:lineRule="auto"/>
              <w:ind w:right="-108"/>
              <w:rPr>
                <w:rFonts w:ascii="Times New Roman" w:hAnsi="Times New Roman" w:cs="Times New Roman"/>
                <w:sz w:val="20"/>
                <w:szCs w:val="20"/>
              </w:rPr>
            </w:pPr>
          </w:p>
          <w:p w14:paraId="2020EA62" w14:textId="77777777" w:rsidR="000505B7" w:rsidRPr="003549B4" w:rsidRDefault="000505B7" w:rsidP="00F17024">
            <w:pPr>
              <w:spacing w:after="0" w:line="240" w:lineRule="auto"/>
              <w:ind w:right="-108"/>
              <w:rPr>
                <w:rFonts w:ascii="Times New Roman" w:hAnsi="Times New Roman" w:cs="Times New Roman"/>
                <w:sz w:val="20"/>
                <w:szCs w:val="20"/>
              </w:rPr>
            </w:pPr>
          </w:p>
          <w:p w14:paraId="29CC6DD9" w14:textId="77777777" w:rsidR="000505B7" w:rsidRPr="003549B4" w:rsidRDefault="000505B7" w:rsidP="00F17024">
            <w:pPr>
              <w:spacing w:after="0" w:line="240" w:lineRule="auto"/>
              <w:ind w:right="-108"/>
              <w:rPr>
                <w:rFonts w:ascii="Times New Roman" w:hAnsi="Times New Roman" w:cs="Times New Roman"/>
                <w:sz w:val="20"/>
                <w:szCs w:val="20"/>
              </w:rPr>
            </w:pPr>
          </w:p>
          <w:p w14:paraId="229EDE4F" w14:textId="77777777" w:rsidR="000505B7" w:rsidRPr="003549B4" w:rsidRDefault="000505B7" w:rsidP="00F17024">
            <w:pPr>
              <w:spacing w:after="0" w:line="240" w:lineRule="auto"/>
              <w:ind w:right="-108"/>
              <w:rPr>
                <w:rFonts w:ascii="Times New Roman" w:hAnsi="Times New Roman" w:cs="Times New Roman"/>
                <w:sz w:val="20"/>
                <w:szCs w:val="20"/>
              </w:rPr>
            </w:pPr>
          </w:p>
          <w:p w14:paraId="43C34EEF" w14:textId="77777777" w:rsidR="000505B7" w:rsidRPr="003549B4" w:rsidRDefault="000505B7" w:rsidP="00F17024">
            <w:pPr>
              <w:spacing w:after="0" w:line="240" w:lineRule="auto"/>
              <w:ind w:right="-108"/>
              <w:rPr>
                <w:rFonts w:ascii="Times New Roman" w:hAnsi="Times New Roman" w:cs="Times New Roman"/>
                <w:sz w:val="20"/>
                <w:szCs w:val="20"/>
              </w:rPr>
            </w:pPr>
          </w:p>
          <w:p w14:paraId="36B7FAEF" w14:textId="77777777" w:rsidR="000505B7" w:rsidRPr="003549B4" w:rsidRDefault="000505B7" w:rsidP="00F17024">
            <w:pPr>
              <w:spacing w:after="0" w:line="240" w:lineRule="auto"/>
              <w:ind w:right="-108"/>
              <w:rPr>
                <w:rFonts w:ascii="Times New Roman" w:hAnsi="Times New Roman" w:cs="Times New Roman"/>
                <w:sz w:val="20"/>
                <w:szCs w:val="20"/>
              </w:rPr>
            </w:pPr>
          </w:p>
          <w:p w14:paraId="4B22655C" w14:textId="77777777" w:rsidR="000505B7" w:rsidRPr="003549B4" w:rsidRDefault="000505B7" w:rsidP="00F17024">
            <w:pPr>
              <w:spacing w:after="0" w:line="240" w:lineRule="auto"/>
              <w:ind w:right="-108"/>
              <w:rPr>
                <w:rFonts w:ascii="Times New Roman" w:hAnsi="Times New Roman" w:cs="Times New Roman"/>
                <w:sz w:val="20"/>
                <w:szCs w:val="20"/>
              </w:rPr>
            </w:pPr>
          </w:p>
          <w:p w14:paraId="01975FA7" w14:textId="77777777" w:rsidR="000505B7" w:rsidRPr="003549B4" w:rsidRDefault="000505B7" w:rsidP="00F17024">
            <w:pPr>
              <w:spacing w:after="0" w:line="240" w:lineRule="auto"/>
              <w:ind w:right="-108"/>
              <w:rPr>
                <w:rFonts w:ascii="Times New Roman" w:hAnsi="Times New Roman" w:cs="Times New Roman"/>
                <w:sz w:val="20"/>
                <w:szCs w:val="20"/>
              </w:rPr>
            </w:pPr>
          </w:p>
          <w:p w14:paraId="273D4C5B" w14:textId="77777777" w:rsidR="000505B7" w:rsidRPr="003549B4" w:rsidRDefault="000505B7" w:rsidP="00F17024">
            <w:pPr>
              <w:spacing w:after="0" w:line="240" w:lineRule="auto"/>
              <w:ind w:right="-108"/>
              <w:rPr>
                <w:rFonts w:ascii="Times New Roman" w:hAnsi="Times New Roman" w:cs="Times New Roman"/>
                <w:sz w:val="20"/>
                <w:szCs w:val="20"/>
              </w:rPr>
            </w:pPr>
          </w:p>
          <w:p w14:paraId="75A70BDC" w14:textId="77777777" w:rsidR="000505B7" w:rsidRPr="003549B4" w:rsidRDefault="000505B7" w:rsidP="00F17024">
            <w:pPr>
              <w:spacing w:after="0" w:line="240" w:lineRule="auto"/>
              <w:ind w:right="-108"/>
              <w:rPr>
                <w:rFonts w:ascii="Times New Roman" w:hAnsi="Times New Roman" w:cs="Times New Roman"/>
                <w:sz w:val="20"/>
                <w:szCs w:val="20"/>
              </w:rPr>
            </w:pPr>
          </w:p>
          <w:p w14:paraId="247EE33C" w14:textId="77777777" w:rsidR="000505B7" w:rsidRPr="003549B4" w:rsidRDefault="000505B7" w:rsidP="00F17024">
            <w:pPr>
              <w:spacing w:after="0" w:line="240" w:lineRule="auto"/>
              <w:ind w:right="-108"/>
              <w:rPr>
                <w:rFonts w:ascii="Times New Roman" w:hAnsi="Times New Roman" w:cs="Times New Roman"/>
                <w:sz w:val="20"/>
                <w:szCs w:val="20"/>
              </w:rPr>
            </w:pPr>
          </w:p>
          <w:p w14:paraId="32E02AAC" w14:textId="77777777" w:rsidR="000505B7" w:rsidRPr="003549B4" w:rsidRDefault="000505B7" w:rsidP="00F17024">
            <w:pPr>
              <w:spacing w:after="0" w:line="240" w:lineRule="auto"/>
              <w:ind w:right="-108"/>
              <w:rPr>
                <w:rFonts w:ascii="Times New Roman" w:hAnsi="Times New Roman" w:cs="Times New Roman"/>
                <w:sz w:val="20"/>
                <w:szCs w:val="20"/>
              </w:rPr>
            </w:pPr>
          </w:p>
          <w:p w14:paraId="5CD1D2F6" w14:textId="77777777" w:rsidR="000505B7" w:rsidRPr="003549B4" w:rsidRDefault="000505B7" w:rsidP="00F17024">
            <w:pPr>
              <w:spacing w:after="0" w:line="240" w:lineRule="auto"/>
              <w:ind w:right="-108"/>
              <w:rPr>
                <w:rFonts w:ascii="Times New Roman" w:hAnsi="Times New Roman" w:cs="Times New Roman"/>
                <w:sz w:val="20"/>
                <w:szCs w:val="20"/>
              </w:rPr>
            </w:pPr>
          </w:p>
          <w:p w14:paraId="78971655" w14:textId="77777777" w:rsidR="000505B7" w:rsidRPr="003549B4" w:rsidRDefault="000505B7" w:rsidP="00F17024">
            <w:pPr>
              <w:spacing w:after="0" w:line="240" w:lineRule="auto"/>
              <w:ind w:right="-108"/>
              <w:rPr>
                <w:rFonts w:ascii="Times New Roman" w:hAnsi="Times New Roman" w:cs="Times New Roman"/>
                <w:sz w:val="20"/>
                <w:szCs w:val="20"/>
              </w:rPr>
            </w:pPr>
          </w:p>
          <w:p w14:paraId="5740BB74" w14:textId="77777777" w:rsidR="000505B7" w:rsidRPr="003549B4" w:rsidRDefault="000505B7"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w:t>
            </w:r>
            <w:r w:rsidR="00A91825" w:rsidRPr="003549B4">
              <w:rPr>
                <w:rFonts w:ascii="Times New Roman" w:hAnsi="Times New Roman" w:cs="Times New Roman"/>
                <w:sz w:val="20"/>
                <w:szCs w:val="20"/>
              </w:rPr>
              <w:t>1</w:t>
            </w:r>
          </w:p>
          <w:p w14:paraId="696445A7" w14:textId="77777777" w:rsidR="000505B7" w:rsidRPr="003549B4" w:rsidRDefault="000505B7" w:rsidP="00F17024">
            <w:pPr>
              <w:spacing w:after="0" w:line="240" w:lineRule="auto"/>
              <w:ind w:right="-108"/>
              <w:rPr>
                <w:rFonts w:ascii="Times New Roman" w:hAnsi="Times New Roman" w:cs="Times New Roman"/>
                <w:sz w:val="20"/>
                <w:szCs w:val="20"/>
              </w:rPr>
            </w:pPr>
          </w:p>
          <w:p w14:paraId="46D102D1" w14:textId="77777777" w:rsidR="000505B7" w:rsidRPr="003549B4" w:rsidRDefault="000505B7" w:rsidP="00F17024">
            <w:pPr>
              <w:spacing w:after="0" w:line="240" w:lineRule="auto"/>
              <w:ind w:right="-108"/>
              <w:rPr>
                <w:rFonts w:ascii="Times New Roman" w:hAnsi="Times New Roman" w:cs="Times New Roman"/>
                <w:sz w:val="20"/>
                <w:szCs w:val="20"/>
              </w:rPr>
            </w:pPr>
          </w:p>
          <w:p w14:paraId="5B65DC06" w14:textId="77777777" w:rsidR="000505B7" w:rsidRPr="003549B4" w:rsidRDefault="000505B7" w:rsidP="00F17024">
            <w:pPr>
              <w:spacing w:after="0" w:line="240" w:lineRule="auto"/>
              <w:ind w:right="-108"/>
              <w:rPr>
                <w:rFonts w:ascii="Times New Roman" w:hAnsi="Times New Roman" w:cs="Times New Roman"/>
                <w:sz w:val="20"/>
                <w:szCs w:val="20"/>
              </w:rPr>
            </w:pPr>
          </w:p>
          <w:p w14:paraId="6DB6B2AF" w14:textId="77777777" w:rsidR="000505B7" w:rsidRPr="003549B4" w:rsidRDefault="000505B7" w:rsidP="00F17024">
            <w:pPr>
              <w:spacing w:after="0" w:line="240" w:lineRule="auto"/>
              <w:ind w:right="-108"/>
              <w:rPr>
                <w:rFonts w:ascii="Times New Roman" w:hAnsi="Times New Roman" w:cs="Times New Roman"/>
                <w:sz w:val="20"/>
                <w:szCs w:val="20"/>
              </w:rPr>
            </w:pPr>
          </w:p>
          <w:p w14:paraId="14F1E1FB" w14:textId="77777777" w:rsidR="000505B7" w:rsidRPr="003549B4" w:rsidRDefault="000505B7" w:rsidP="00F17024">
            <w:pPr>
              <w:spacing w:after="0" w:line="240" w:lineRule="auto"/>
              <w:ind w:right="-108"/>
              <w:rPr>
                <w:rFonts w:ascii="Times New Roman" w:hAnsi="Times New Roman" w:cs="Times New Roman"/>
                <w:sz w:val="20"/>
                <w:szCs w:val="20"/>
              </w:rPr>
            </w:pPr>
          </w:p>
          <w:p w14:paraId="1E771E25" w14:textId="77777777" w:rsidR="000505B7" w:rsidRPr="003549B4" w:rsidRDefault="000505B7" w:rsidP="00F17024">
            <w:pPr>
              <w:spacing w:after="0" w:line="240" w:lineRule="auto"/>
              <w:ind w:right="-108"/>
              <w:rPr>
                <w:rFonts w:ascii="Times New Roman" w:hAnsi="Times New Roman" w:cs="Times New Roman"/>
                <w:sz w:val="20"/>
                <w:szCs w:val="20"/>
              </w:rPr>
            </w:pPr>
          </w:p>
          <w:p w14:paraId="5ACC419D" w14:textId="77777777" w:rsidR="000505B7" w:rsidRPr="003549B4" w:rsidRDefault="000505B7" w:rsidP="00F17024">
            <w:pPr>
              <w:spacing w:after="0" w:line="240" w:lineRule="auto"/>
              <w:ind w:right="-108"/>
              <w:rPr>
                <w:rFonts w:ascii="Times New Roman" w:hAnsi="Times New Roman" w:cs="Times New Roman"/>
                <w:sz w:val="20"/>
                <w:szCs w:val="20"/>
              </w:rPr>
            </w:pPr>
          </w:p>
          <w:p w14:paraId="68FE0B82" w14:textId="77777777" w:rsidR="000505B7" w:rsidRPr="003549B4" w:rsidRDefault="000505B7" w:rsidP="00F17024">
            <w:pPr>
              <w:spacing w:after="0" w:line="240" w:lineRule="auto"/>
              <w:ind w:right="-108"/>
              <w:rPr>
                <w:rFonts w:ascii="Times New Roman" w:hAnsi="Times New Roman" w:cs="Times New Roman"/>
                <w:sz w:val="20"/>
                <w:szCs w:val="20"/>
              </w:rPr>
            </w:pPr>
          </w:p>
          <w:p w14:paraId="750C7482" w14:textId="77777777" w:rsidR="000505B7" w:rsidRPr="003549B4" w:rsidRDefault="000505B7" w:rsidP="00F17024">
            <w:pPr>
              <w:spacing w:after="0" w:line="240" w:lineRule="auto"/>
              <w:ind w:right="-108"/>
              <w:rPr>
                <w:rFonts w:ascii="Times New Roman" w:hAnsi="Times New Roman" w:cs="Times New Roman"/>
                <w:sz w:val="20"/>
                <w:szCs w:val="20"/>
              </w:rPr>
            </w:pPr>
          </w:p>
          <w:p w14:paraId="79DE89D9" w14:textId="77777777" w:rsidR="000505B7" w:rsidRPr="003549B4" w:rsidRDefault="000505B7" w:rsidP="00F17024">
            <w:pPr>
              <w:spacing w:after="0" w:line="240" w:lineRule="auto"/>
              <w:ind w:right="-108"/>
              <w:rPr>
                <w:rFonts w:ascii="Times New Roman" w:hAnsi="Times New Roman" w:cs="Times New Roman"/>
                <w:sz w:val="20"/>
                <w:szCs w:val="20"/>
              </w:rPr>
            </w:pPr>
          </w:p>
          <w:p w14:paraId="695B35F4" w14:textId="77777777" w:rsidR="000505B7" w:rsidRPr="003549B4" w:rsidRDefault="000505B7" w:rsidP="00F17024">
            <w:pPr>
              <w:spacing w:after="0" w:line="240" w:lineRule="auto"/>
              <w:ind w:right="-108"/>
              <w:rPr>
                <w:rFonts w:ascii="Times New Roman" w:hAnsi="Times New Roman" w:cs="Times New Roman"/>
                <w:sz w:val="20"/>
                <w:szCs w:val="20"/>
              </w:rPr>
            </w:pPr>
          </w:p>
          <w:p w14:paraId="6B31AFAC" w14:textId="77777777" w:rsidR="000505B7" w:rsidRPr="003549B4" w:rsidRDefault="000505B7"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w:t>
            </w:r>
            <w:r w:rsidR="00A91825" w:rsidRPr="003549B4">
              <w:rPr>
                <w:rFonts w:ascii="Times New Roman" w:hAnsi="Times New Roman" w:cs="Times New Roman"/>
                <w:sz w:val="20"/>
                <w:szCs w:val="20"/>
              </w:rPr>
              <w:t>1</w:t>
            </w:r>
          </w:p>
        </w:tc>
        <w:tc>
          <w:tcPr>
            <w:tcW w:w="569" w:type="dxa"/>
          </w:tcPr>
          <w:p w14:paraId="6C2D581C" w14:textId="77777777" w:rsidR="00824651" w:rsidRPr="003549B4" w:rsidRDefault="00824651"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lastRenderedPageBreak/>
              <w:t>§31</w:t>
            </w:r>
          </w:p>
          <w:p w14:paraId="229A297A" w14:textId="77777777" w:rsidR="00824651" w:rsidRPr="003549B4" w:rsidRDefault="00824651"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0F35F82D" w14:textId="77777777" w:rsidR="00824651" w:rsidRPr="003549B4" w:rsidRDefault="00824651"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xml:space="preserve">Až </w:t>
            </w:r>
          </w:p>
          <w:p w14:paraId="247E9B6F" w14:textId="77777777" w:rsidR="00824651" w:rsidRPr="003549B4" w:rsidRDefault="00824651"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281DB6EF"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16FFBEDA"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6C49645E"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569C6CAC"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4A01EC82"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46DB11E4"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5D4A296C"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01240D06"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5F144B29"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289455A3"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5DA6292D"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4A8690D1"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276E8A3A"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56B9A6EA"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2B4542AA"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1B1B3D91"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7F1593ED"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79D8EA66"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11A53C46"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0B060E98"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026A8370"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4B41053A"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18725BFD"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763FC230"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07099E02"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16FF5BDD"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5D73FC68"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45A71ACA"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36BB9EA3"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56C1923A"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5B13B20E"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1DA2AE03"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04FA644A"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14E60B08"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5841E275"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72999750"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094EDF16"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31D10EC2" w14:textId="77777777" w:rsidR="000505B7" w:rsidRPr="003549B4" w:rsidRDefault="000505B7"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19</w:t>
            </w:r>
          </w:p>
          <w:p w14:paraId="3C2FF20F"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1665EB2A"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5EFB6932"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6DFF932E"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00BE3AC2"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1CE0DF73"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79E8F061"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785AA804"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48ECA3E7"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3958B7E6"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1B93CA60" w14:textId="77777777" w:rsidR="000505B7" w:rsidRPr="003549B4" w:rsidRDefault="000505B7" w:rsidP="00F17024">
            <w:pPr>
              <w:spacing w:after="0" w:line="240" w:lineRule="auto"/>
              <w:ind w:left="14" w:right="-9" w:hanging="29"/>
              <w:rPr>
                <w:rFonts w:ascii="Times New Roman" w:hAnsi="Times New Roman" w:cs="Times New Roman"/>
                <w:sz w:val="20"/>
                <w:szCs w:val="20"/>
              </w:rPr>
            </w:pPr>
          </w:p>
          <w:p w14:paraId="0FC773DC" w14:textId="77777777" w:rsidR="000505B7" w:rsidRPr="003549B4" w:rsidRDefault="000505B7"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§18</w:t>
            </w:r>
          </w:p>
          <w:p w14:paraId="71B46E20" w14:textId="77777777" w:rsidR="000505B7" w:rsidRPr="003549B4" w:rsidRDefault="000505B7"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tc>
        <w:tc>
          <w:tcPr>
            <w:tcW w:w="6006" w:type="dxa"/>
            <w:vAlign w:val="center"/>
          </w:tcPr>
          <w:p w14:paraId="31F1AC19" w14:textId="77777777" w:rsidR="00824651" w:rsidRPr="003549B4" w:rsidRDefault="00824651" w:rsidP="00824651">
            <w:pPr>
              <w:spacing w:after="120" w:line="240" w:lineRule="auto"/>
              <w:jc w:val="both"/>
              <w:rPr>
                <w:rFonts w:ascii="Times New Roman" w:hAnsi="Times New Roman" w:cs="Times New Roman"/>
                <w:sz w:val="20"/>
                <w:szCs w:val="20"/>
              </w:rPr>
            </w:pPr>
            <w:r w:rsidRPr="003549B4">
              <w:rPr>
                <w:rFonts w:ascii="Times New Roman" w:hAnsi="Times New Roman" w:cs="Times New Roman"/>
                <w:sz w:val="20"/>
                <w:szCs w:val="20"/>
              </w:rPr>
              <w:lastRenderedPageBreak/>
              <w:t>(1) Pre väčšie stredné spaľovacie zariadenia s celkovým menovitým tepelným príkonom 5 MW a viac, ktoré spĺňajú podmienky ustanovené vykonávacím predpisom podľa § 62 písm. f), možno na základe žiadosti prevádzkovateľa povoliť do 1. januára 2030 tieto prechodné opatrenia:</w:t>
            </w:r>
          </w:p>
          <w:p w14:paraId="1F641945" w14:textId="77777777" w:rsidR="00824651" w:rsidRPr="003549B4" w:rsidRDefault="00824651" w:rsidP="00824651">
            <w:pPr>
              <w:spacing w:after="120" w:line="240" w:lineRule="auto"/>
              <w:jc w:val="both"/>
              <w:rPr>
                <w:rFonts w:ascii="Times New Roman" w:hAnsi="Times New Roman" w:cs="Times New Roman"/>
                <w:sz w:val="20"/>
                <w:szCs w:val="20"/>
              </w:rPr>
            </w:pPr>
            <w:r w:rsidRPr="003549B4">
              <w:rPr>
                <w:rFonts w:ascii="Times New Roman" w:hAnsi="Times New Roman" w:cs="Times New Roman"/>
                <w:sz w:val="20"/>
                <w:szCs w:val="20"/>
              </w:rPr>
              <w:t>a) zaradiť jestvujúce väčšie stredné spaľovacie zariadenie do osobitného režimu pre zariadenia centrálneho zásobovania teplom,</w:t>
            </w:r>
          </w:p>
          <w:p w14:paraId="5E2A2BE7" w14:textId="77777777" w:rsidR="00824651" w:rsidRPr="003549B4" w:rsidRDefault="00824651" w:rsidP="00824651">
            <w:pPr>
              <w:spacing w:after="120" w:line="240" w:lineRule="auto"/>
              <w:jc w:val="both"/>
              <w:rPr>
                <w:rFonts w:ascii="Times New Roman" w:hAnsi="Times New Roman" w:cs="Times New Roman"/>
                <w:sz w:val="20"/>
                <w:szCs w:val="20"/>
              </w:rPr>
            </w:pPr>
            <w:r w:rsidRPr="003549B4">
              <w:rPr>
                <w:rFonts w:ascii="Times New Roman" w:hAnsi="Times New Roman" w:cs="Times New Roman"/>
                <w:sz w:val="20"/>
                <w:szCs w:val="20"/>
              </w:rPr>
              <w:t>b) určiť osobitný emisný limit pre oxidy dusíka v ustanovenom rozsahu, ak ide o jestvujúce zariadenie, ktoré sa využíva na pohon kompresorových staníc potrebných na zaistenie bezpečnosti vnútroštátnej plynárenskej prepravnej sústavy,</w:t>
            </w:r>
          </w:p>
          <w:p w14:paraId="12E333D5" w14:textId="77777777" w:rsidR="00824651" w:rsidRPr="003549B4" w:rsidRDefault="00824651" w:rsidP="00824651">
            <w:pPr>
              <w:spacing w:after="120" w:line="240" w:lineRule="auto"/>
              <w:jc w:val="both"/>
              <w:rPr>
                <w:rFonts w:ascii="Times New Roman" w:hAnsi="Times New Roman" w:cs="Times New Roman"/>
                <w:sz w:val="20"/>
                <w:szCs w:val="20"/>
              </w:rPr>
            </w:pPr>
            <w:r w:rsidRPr="003549B4">
              <w:rPr>
                <w:rFonts w:ascii="Times New Roman" w:hAnsi="Times New Roman" w:cs="Times New Roman"/>
                <w:sz w:val="20"/>
                <w:szCs w:val="20"/>
              </w:rPr>
              <w:t>c) určiť osobitný emisný limit pre tuhé znečisťujúce látky v ustanovenom rozsahu, ak ide o spaľovanie biomasy ako hlavného paliva, v zóne alebo aglomerácii, kde je kvalita ovzdušia dobrá.</w:t>
            </w:r>
          </w:p>
          <w:p w14:paraId="31482FF9" w14:textId="77777777" w:rsidR="00824651" w:rsidRPr="003549B4" w:rsidRDefault="00824651"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(2) Jestvujúce väčšie stredné spaľovacie zariadenie je zariadenie uvedené do prevádzky pred 20. decembrom 2018 alebo zariadenie, pre ktoré bolo vydané stavebné povolenie pred 19. decembrom 2017, ak bolo toto zariadenie uvedené do prevádzky najneskôr do 20. decembra 2018.</w:t>
            </w:r>
          </w:p>
          <w:p w14:paraId="396522C6" w14:textId="77777777" w:rsidR="00824651" w:rsidRPr="003549B4" w:rsidRDefault="00824651"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(3) Väčšie stredné spaľovacie zariadenie možno na základe žiadosti prevádzkovateľa zaradiť do obmedzeného prevádzkového režimu, ak sa prevádzkovateľ zaviaže neprekročiť počet prevádzkových hodín ustanovený vykonávacím predpisom podľa § 62 písm. f).</w:t>
            </w:r>
          </w:p>
          <w:p w14:paraId="77F3CC0F" w14:textId="77777777" w:rsidR="00824651" w:rsidRPr="003549B4" w:rsidRDefault="00824651"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 xml:space="preserve">(4) Prevádzkovateľ väčšieho stredného spaľovacieho zariadenia predkladá orgánu ochrany ovzdušia žiadosť podľa odseku 1 o zaradenie do osobitného režimu centrálneho zásobovania teplom, uplatnenie miernejšieho emisného limitu alebo podľa odseku 3 do obmedzeného prevádzkového režimu do 30. júna 2024. V žiadosti o zaradenie väčšieho stredného spaľovacieho zariadenia do režimu podľa odseku 1 písm. a) je </w:t>
            </w:r>
            <w:r w:rsidRPr="003549B4">
              <w:rPr>
                <w:rFonts w:eastAsia="Calibri"/>
                <w:color w:val="auto"/>
                <w:sz w:val="20"/>
                <w:szCs w:val="20"/>
                <w:lang w:eastAsia="en-US"/>
              </w:rPr>
              <w:lastRenderedPageBreak/>
              <w:t xml:space="preserve">prevádzkovateľ povinný preukázať splnenie podmienok ustanovených vykonávacím prepisom podľa § 62 písm. f). Súčasne je prevádzkovateľ povinný predložiť čestné vyhlásenie, že zariadenie bude prevádzkované v súlade s podmienkami ustanovenými vykonávacím predpisom. </w:t>
            </w:r>
          </w:p>
          <w:p w14:paraId="5EE85C40" w14:textId="77777777" w:rsidR="0061203F" w:rsidRPr="003549B4" w:rsidRDefault="00824651"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 xml:space="preserve">(5) Uplatnenie prechodných opatrení podľa odseku 1 možno povoliť, len ak prevádzkovateľ zdokumentuje, že nespôsobí žiadne významné znečistenie ovzdušia a zabezpečí vysokú úroveň ochrany životného prostredia ako celku. </w:t>
            </w:r>
          </w:p>
          <w:p w14:paraId="1327E662" w14:textId="77777777" w:rsidR="000505B7" w:rsidRPr="003549B4" w:rsidRDefault="000505B7" w:rsidP="000505B7">
            <w:pPr>
              <w:pStyle w:val="odsek"/>
              <w:numPr>
                <w:ilvl w:val="0"/>
                <w:numId w:val="0"/>
              </w:numPr>
              <w:spacing w:after="0" w:line="240" w:lineRule="auto"/>
              <w:jc w:val="both"/>
              <w:rPr>
                <w:rFonts w:eastAsia="Calibri"/>
                <w:color w:val="auto"/>
                <w:sz w:val="20"/>
                <w:szCs w:val="20"/>
                <w:lang w:eastAsia="en-US"/>
              </w:rPr>
            </w:pPr>
          </w:p>
          <w:p w14:paraId="7CBDFCFD" w14:textId="77777777" w:rsidR="000505B7" w:rsidRPr="003549B4" w:rsidRDefault="000505B7" w:rsidP="000505B7">
            <w:pPr>
              <w:spacing w:after="0" w:line="240" w:lineRule="auto"/>
              <w:ind w:left="-15"/>
              <w:jc w:val="both"/>
              <w:rPr>
                <w:rFonts w:ascii="Times New Roman" w:hAnsi="Times New Roman" w:cs="Times New Roman"/>
                <w:sz w:val="20"/>
                <w:szCs w:val="20"/>
              </w:rPr>
            </w:pPr>
            <w:r w:rsidRPr="003549B4">
              <w:rPr>
                <w:rFonts w:ascii="Times New Roman" w:hAnsi="Times New Roman" w:cs="Times New Roman"/>
                <w:sz w:val="20"/>
                <w:szCs w:val="20"/>
              </w:rPr>
              <w:t>Pre väčšie stredné spaľovacie zariadenie, ktoré je jestvujúcim zariadením s celkovým menovitým tepelným príkonom väčším ako 5 MW, možno od 1. januára 2025 do 1. januára 2030 na základe písomnej žiadosti prevádzkovateľa využívať osobitný režim pre zariadenia centrálneho zásobovania teplom, ak najmenej 50 % z výroby využiteľného tepla vyjadreného ako plávajúci päťročný priemer sa zo spaľovacieho zariadenia odvádza ako para alebo horúca voda do verejnej siete na diaľkové vykurovanie. Počas využívania osobitného režimu pre centrálne zásobovanie teplom sa na spaľovacie zariadenia uplatňujú emisné limity podľa prílohy č. 4 štvrtej časti bodu 2.2 tabuľky A ustanovené pre tento režim.</w:t>
            </w:r>
          </w:p>
          <w:p w14:paraId="1F9F6961" w14:textId="77777777" w:rsidR="000505B7" w:rsidRPr="003549B4" w:rsidRDefault="000505B7" w:rsidP="000505B7">
            <w:pPr>
              <w:pStyle w:val="odsek"/>
              <w:numPr>
                <w:ilvl w:val="0"/>
                <w:numId w:val="0"/>
              </w:numPr>
              <w:spacing w:after="0" w:line="240" w:lineRule="auto"/>
              <w:jc w:val="both"/>
              <w:rPr>
                <w:rFonts w:eastAsia="Calibri"/>
                <w:color w:val="auto"/>
                <w:sz w:val="20"/>
                <w:szCs w:val="20"/>
                <w:lang w:eastAsia="en-US"/>
              </w:rPr>
            </w:pPr>
          </w:p>
          <w:p w14:paraId="419A5E44" w14:textId="77777777" w:rsidR="000505B7" w:rsidRPr="003549B4" w:rsidRDefault="000505B7" w:rsidP="000505B7">
            <w:pPr>
              <w:spacing w:after="0" w:line="240" w:lineRule="auto"/>
              <w:ind w:left="-15"/>
              <w:jc w:val="both"/>
              <w:rPr>
                <w:rFonts w:ascii="Times New Roman" w:hAnsi="Times New Roman" w:cs="Times New Roman"/>
                <w:sz w:val="20"/>
                <w:szCs w:val="20"/>
              </w:rPr>
            </w:pPr>
            <w:r w:rsidRPr="003549B4">
              <w:rPr>
                <w:rFonts w:ascii="Times New Roman" w:hAnsi="Times New Roman" w:cs="Times New Roman"/>
                <w:sz w:val="20"/>
                <w:szCs w:val="20"/>
              </w:rPr>
              <w:t>(1) Pre väčšie stredné spaľovacie zariadenie, ktoré je jestvujúcim zariadením s celkovým menovitým tepelným príkonom väčším ako 5 MW a používa ako hlavné palivo biomasu, možno do 1. januára 2030 uplatniť osobitný emisný limit pre TZL ustanovený v prílohe č. 4 štvrtej časti bode 2.2 tabuľke A, ak predmetné zariadenie je umiestnené v zóne, ktorá spĺňa limitné hodnoty a cieľové hodnoty určujúce dobrú kvalitu ovzdušia podľa § 3 zákona. Uplatnenie osobitného emisného limitu nesmie spôsobiť žiadne významné znečistenie ovzdušia a musí byť dosiahnutá vysoká úroveň ochrany životného prostredia ako celku.</w:t>
            </w:r>
          </w:p>
        </w:tc>
        <w:tc>
          <w:tcPr>
            <w:tcW w:w="429" w:type="dxa"/>
            <w:tcBorders>
              <w:top w:val="single" w:sz="4" w:space="0" w:color="auto"/>
              <w:bottom w:val="single" w:sz="4" w:space="0" w:color="auto"/>
            </w:tcBorders>
            <w:vAlign w:val="center"/>
          </w:tcPr>
          <w:p w14:paraId="5A1F411A" w14:textId="77777777" w:rsidR="00824651" w:rsidRPr="003549B4" w:rsidRDefault="009B1CDE"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7C115995" w14:textId="77777777" w:rsidR="00824651" w:rsidRPr="003549B4" w:rsidRDefault="00824651" w:rsidP="00824651">
            <w:pPr>
              <w:spacing w:after="0" w:line="240" w:lineRule="auto"/>
              <w:rPr>
                <w:rFonts w:ascii="Times New Roman" w:hAnsi="Times New Roman" w:cs="Times New Roman"/>
                <w:sz w:val="20"/>
                <w:szCs w:val="20"/>
              </w:rPr>
            </w:pPr>
          </w:p>
        </w:tc>
      </w:tr>
      <w:tr w:rsidR="00557F90" w:rsidRPr="003549B4" w14:paraId="5CA5395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6280346" w14:textId="77777777" w:rsidR="00824651" w:rsidRPr="003549B4" w:rsidRDefault="00824651"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O6</w:t>
            </w:r>
          </w:p>
        </w:tc>
        <w:tc>
          <w:tcPr>
            <w:tcW w:w="6287" w:type="dxa"/>
          </w:tcPr>
          <w:p w14:paraId="58128977" w14:textId="77777777" w:rsidR="00824651" w:rsidRPr="003549B4" w:rsidRDefault="00824651" w:rsidP="00824651">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rPr>
              <w:t>6. Do 1. januára 2030 môžu členské štáty oslobodiť existujúce stredne veľké spaľovacie zariadenia s menovitým tepelným príkonom väčším ako 5 MW, ktoré sú využívané na pohon plynových kompresorových staníc potrebných na zaistenie bezpečnosti vnútroštátnych plynárenských prepravných sústav, od povinnosti dodržiavať emisné limity pre emisie NO</w:t>
            </w:r>
            <w:r w:rsidRPr="003549B4">
              <w:rPr>
                <w:rStyle w:val="sub"/>
                <w:rFonts w:ascii="Times New Roman" w:hAnsi="Times New Roman" w:cs="Times New Roman"/>
                <w:sz w:val="20"/>
                <w:szCs w:val="20"/>
              </w:rPr>
              <w:t>x</w:t>
            </w:r>
            <w:r w:rsidRPr="003549B4">
              <w:rPr>
                <w:rFonts w:ascii="Times New Roman" w:hAnsi="Times New Roman" w:cs="Times New Roman"/>
                <w:sz w:val="20"/>
                <w:szCs w:val="20"/>
              </w:rPr>
              <w:t xml:space="preserve"> uvedené v tabuľke 3 časti 1 prílohy II.</w:t>
            </w:r>
          </w:p>
        </w:tc>
        <w:tc>
          <w:tcPr>
            <w:tcW w:w="433" w:type="dxa"/>
          </w:tcPr>
          <w:p w14:paraId="5A308FCB" w14:textId="77777777" w:rsidR="00824651" w:rsidRPr="003549B4" w:rsidRDefault="00824651"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1409385D" w14:textId="77777777" w:rsidR="00824651" w:rsidRPr="003549B4" w:rsidRDefault="00824651"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40C4048D" w14:textId="77777777" w:rsidR="00824651" w:rsidRPr="003549B4" w:rsidRDefault="00824651" w:rsidP="00F17024">
            <w:pPr>
              <w:spacing w:before="120" w:after="0" w:line="240" w:lineRule="auto"/>
              <w:ind w:right="-108"/>
              <w:rPr>
                <w:rFonts w:ascii="Times New Roman" w:hAnsi="Times New Roman" w:cs="Times New Roman"/>
                <w:sz w:val="20"/>
                <w:szCs w:val="20"/>
              </w:rPr>
            </w:pPr>
          </w:p>
        </w:tc>
        <w:tc>
          <w:tcPr>
            <w:tcW w:w="569" w:type="dxa"/>
          </w:tcPr>
          <w:p w14:paraId="3AEF7AFA" w14:textId="77777777" w:rsidR="00824651" w:rsidRPr="003549B4" w:rsidRDefault="000505B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§18</w:t>
            </w:r>
          </w:p>
          <w:p w14:paraId="104D95ED" w14:textId="77777777" w:rsidR="000505B7" w:rsidRPr="003549B4" w:rsidRDefault="000505B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p w14:paraId="0B7D550E" w14:textId="77777777" w:rsidR="00824651" w:rsidRPr="003549B4" w:rsidRDefault="00824651" w:rsidP="00F17024">
            <w:pPr>
              <w:spacing w:before="120" w:after="0" w:line="240" w:lineRule="auto"/>
              <w:ind w:left="14" w:right="-9" w:hanging="29"/>
              <w:rPr>
                <w:rFonts w:ascii="Times New Roman" w:hAnsi="Times New Roman" w:cs="Times New Roman"/>
                <w:sz w:val="20"/>
                <w:szCs w:val="20"/>
              </w:rPr>
            </w:pPr>
          </w:p>
        </w:tc>
        <w:tc>
          <w:tcPr>
            <w:tcW w:w="6006" w:type="dxa"/>
          </w:tcPr>
          <w:p w14:paraId="6234B727" w14:textId="77777777" w:rsidR="00824651" w:rsidRPr="003549B4" w:rsidRDefault="000505B7" w:rsidP="000505B7">
            <w:pPr>
              <w:spacing w:after="0" w:line="240" w:lineRule="auto"/>
              <w:ind w:left="-15"/>
              <w:jc w:val="both"/>
              <w:rPr>
                <w:rFonts w:ascii="Times New Roman" w:hAnsi="Times New Roman" w:cs="Times New Roman"/>
                <w:sz w:val="20"/>
                <w:szCs w:val="20"/>
              </w:rPr>
            </w:pPr>
            <w:r w:rsidRPr="003549B4">
              <w:rPr>
                <w:rFonts w:ascii="Times New Roman" w:hAnsi="Times New Roman" w:cs="Times New Roman"/>
                <w:sz w:val="20"/>
                <w:szCs w:val="20"/>
              </w:rPr>
              <w:t>(2) Pre väčšie stredné spaľovacie zariadenie, ktoré je jestvujúcim zariadením s celkovým menovitým tepelným príkonom väčším ako 5 MW a využíva sa na pohon plynovej kompresorovej stanice potrebnej na zaistenie bezpečnosti vnútroštátnej plynárenskej prepravnej sústavy, možno do 1. januára 2030 uplatniť osobitný emisný limit pre NOx podľa prílohy č. 4 štvrtej časti bodov 3.2 a 4.2 tabuľky A.</w:t>
            </w:r>
          </w:p>
        </w:tc>
        <w:tc>
          <w:tcPr>
            <w:tcW w:w="429" w:type="dxa"/>
            <w:tcBorders>
              <w:top w:val="single" w:sz="4" w:space="0" w:color="auto"/>
              <w:bottom w:val="single" w:sz="4" w:space="0" w:color="auto"/>
            </w:tcBorders>
            <w:vAlign w:val="center"/>
          </w:tcPr>
          <w:p w14:paraId="1B632E6F" w14:textId="77777777" w:rsidR="00824651" w:rsidRPr="003549B4" w:rsidRDefault="009B1CDE"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6F914F1" w14:textId="77777777" w:rsidR="00824651" w:rsidRPr="003549B4" w:rsidRDefault="00824651" w:rsidP="00824651">
            <w:pPr>
              <w:spacing w:after="0" w:line="240" w:lineRule="auto"/>
              <w:rPr>
                <w:rFonts w:ascii="Times New Roman" w:hAnsi="Times New Roman" w:cs="Times New Roman"/>
                <w:sz w:val="20"/>
                <w:szCs w:val="20"/>
              </w:rPr>
            </w:pPr>
          </w:p>
        </w:tc>
      </w:tr>
      <w:tr w:rsidR="00557F90" w:rsidRPr="003549B4" w14:paraId="282B93E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996A07E" w14:textId="77777777" w:rsidR="00824651" w:rsidRPr="003549B4" w:rsidRDefault="00824651"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O7</w:t>
            </w:r>
          </w:p>
        </w:tc>
        <w:tc>
          <w:tcPr>
            <w:tcW w:w="6287" w:type="dxa"/>
          </w:tcPr>
          <w:p w14:paraId="3297D758" w14:textId="77777777" w:rsidR="00824651" w:rsidRPr="003549B4" w:rsidRDefault="00824651"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rPr>
              <w:t>7. Od 20. decembra 2018 nesmú emisie SO</w:t>
            </w:r>
            <w:r w:rsidRPr="003549B4">
              <w:rPr>
                <w:rStyle w:val="sub"/>
                <w:rFonts w:ascii="Times New Roman" w:hAnsi="Times New Roman" w:cs="Times New Roman"/>
                <w:sz w:val="20"/>
                <w:szCs w:val="20"/>
              </w:rPr>
              <w:t>2</w:t>
            </w:r>
            <w:r w:rsidRPr="003549B4">
              <w:rPr>
                <w:rFonts w:ascii="Times New Roman" w:hAnsi="Times New Roman" w:cs="Times New Roman"/>
                <w:sz w:val="20"/>
                <w:szCs w:val="20"/>
              </w:rPr>
              <w:t>, NO</w:t>
            </w:r>
            <w:r w:rsidRPr="003549B4">
              <w:rPr>
                <w:rStyle w:val="sub"/>
                <w:rFonts w:ascii="Times New Roman" w:hAnsi="Times New Roman" w:cs="Times New Roman"/>
                <w:sz w:val="20"/>
                <w:szCs w:val="20"/>
              </w:rPr>
              <w:t>x</w:t>
            </w:r>
            <w:r w:rsidRPr="003549B4">
              <w:rPr>
                <w:rFonts w:ascii="Times New Roman" w:hAnsi="Times New Roman" w:cs="Times New Roman"/>
                <w:sz w:val="20"/>
                <w:szCs w:val="20"/>
              </w:rPr>
              <w:t xml:space="preserve"> a prachu do ovzdušia z nových stredne veľkých spaľovacích zariadení prekročiť emisné limity stanovené v časti 2 prílohy II.</w:t>
            </w:r>
          </w:p>
        </w:tc>
        <w:tc>
          <w:tcPr>
            <w:tcW w:w="433" w:type="dxa"/>
          </w:tcPr>
          <w:p w14:paraId="062D0F15" w14:textId="77777777" w:rsidR="00824651" w:rsidRPr="003549B4" w:rsidRDefault="00824651"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09A85061" w14:textId="77777777" w:rsidR="00824651" w:rsidRPr="003549B4" w:rsidRDefault="00824651"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1920521D" w14:textId="77777777" w:rsidR="00824651" w:rsidRPr="003549B4" w:rsidRDefault="00824651" w:rsidP="00F17024">
            <w:pPr>
              <w:spacing w:before="120" w:after="0" w:line="240" w:lineRule="auto"/>
              <w:ind w:right="-108"/>
              <w:rPr>
                <w:rFonts w:ascii="Times New Roman" w:hAnsi="Times New Roman" w:cs="Times New Roman"/>
                <w:sz w:val="20"/>
                <w:szCs w:val="20"/>
              </w:rPr>
            </w:pPr>
          </w:p>
        </w:tc>
        <w:tc>
          <w:tcPr>
            <w:tcW w:w="569" w:type="dxa"/>
          </w:tcPr>
          <w:p w14:paraId="07FAD0D8" w14:textId="77777777" w:rsidR="00824651" w:rsidRPr="003549B4" w:rsidRDefault="0075380B"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§16</w:t>
            </w:r>
          </w:p>
          <w:p w14:paraId="3C2AABB0"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O4</w:t>
            </w:r>
          </w:p>
        </w:tc>
        <w:tc>
          <w:tcPr>
            <w:tcW w:w="6006" w:type="dxa"/>
          </w:tcPr>
          <w:p w14:paraId="4C0941C6" w14:textId="77777777" w:rsidR="0075380B" w:rsidRPr="003549B4" w:rsidRDefault="0075380B" w:rsidP="0075380B">
            <w:pPr>
              <w:spacing w:before="120" w:after="0" w:line="240" w:lineRule="auto"/>
              <w:ind w:left="-17" w:firstLine="17"/>
              <w:jc w:val="both"/>
              <w:rPr>
                <w:rFonts w:ascii="Times New Roman" w:hAnsi="Times New Roman" w:cs="Times New Roman"/>
                <w:sz w:val="20"/>
                <w:szCs w:val="20"/>
              </w:rPr>
            </w:pPr>
            <w:r w:rsidRPr="003549B4">
              <w:rPr>
                <w:rFonts w:ascii="Times New Roman" w:hAnsi="Times New Roman" w:cs="Times New Roman"/>
                <w:sz w:val="20"/>
                <w:szCs w:val="20"/>
              </w:rPr>
              <w:t>(4) Pre väčšie stredné spaľovacie zariadenia začlenené ako nové zariadenia platia emisné limity uvedené v prílohe č. 4 štvrtej časti bodoch 2 až 4 tabuľkách B.</w:t>
            </w:r>
          </w:p>
          <w:p w14:paraId="1A2D23AC" w14:textId="77777777" w:rsidR="00824651" w:rsidRPr="003549B4" w:rsidRDefault="00824651" w:rsidP="000505B7">
            <w:pPr>
              <w:spacing w:after="0" w:line="240" w:lineRule="auto"/>
              <w:ind w:left="-15"/>
              <w:jc w:val="both"/>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50BE2FB0" w14:textId="77777777" w:rsidR="00824651" w:rsidRPr="003549B4" w:rsidRDefault="009B1CDE"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B38413D" w14:textId="77777777" w:rsidR="00824651" w:rsidRPr="003549B4" w:rsidRDefault="00824651" w:rsidP="00824651">
            <w:pPr>
              <w:spacing w:after="0" w:line="240" w:lineRule="auto"/>
              <w:rPr>
                <w:rFonts w:ascii="Times New Roman" w:hAnsi="Times New Roman" w:cs="Times New Roman"/>
                <w:sz w:val="20"/>
                <w:szCs w:val="20"/>
              </w:rPr>
            </w:pPr>
          </w:p>
        </w:tc>
      </w:tr>
      <w:tr w:rsidR="00557F90" w:rsidRPr="003549B4" w14:paraId="4979AE6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AD50CF6"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O8</w:t>
            </w:r>
          </w:p>
        </w:tc>
        <w:tc>
          <w:tcPr>
            <w:tcW w:w="6287" w:type="dxa"/>
          </w:tcPr>
          <w:p w14:paraId="4A5EF443"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rPr>
              <w:t xml:space="preserve">8. Členské štáty môžu nové stredne veľké spaľovacie zariadenia, ktorých prevádzka neprekračuje 500 prevádzkových hodín ročne, ako kĺzavý priemer počas obdobia troch rokov, oslobodiť od požiadavky dodržiavať </w:t>
            </w:r>
            <w:r w:rsidRPr="003549B4">
              <w:rPr>
                <w:rFonts w:ascii="Times New Roman" w:hAnsi="Times New Roman" w:cs="Times New Roman"/>
                <w:sz w:val="20"/>
                <w:szCs w:val="20"/>
              </w:rPr>
              <w:lastRenderedPageBreak/>
              <w:t>emisné limity stanovené v časti 2 prílohy II. V prípade takéhoto oslobodenia sa na zariadenia spaľujúce tuhé palivá uplatňuje emisný limit pre prach 100 mg/Nm</w:t>
            </w:r>
            <w:r w:rsidRPr="003549B4">
              <w:rPr>
                <w:rStyle w:val="super"/>
                <w:rFonts w:ascii="Times New Roman" w:hAnsi="Times New Roman" w:cs="Times New Roman"/>
                <w:sz w:val="20"/>
                <w:szCs w:val="20"/>
              </w:rPr>
              <w:t>3</w:t>
            </w:r>
            <w:r w:rsidRPr="003549B4">
              <w:rPr>
                <w:rFonts w:ascii="Times New Roman" w:hAnsi="Times New Roman" w:cs="Times New Roman"/>
                <w:sz w:val="20"/>
                <w:szCs w:val="20"/>
              </w:rPr>
              <w:t>.</w:t>
            </w:r>
          </w:p>
        </w:tc>
        <w:tc>
          <w:tcPr>
            <w:tcW w:w="433" w:type="dxa"/>
          </w:tcPr>
          <w:p w14:paraId="37CD7F57"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w:t>
            </w:r>
          </w:p>
        </w:tc>
        <w:tc>
          <w:tcPr>
            <w:tcW w:w="572" w:type="dxa"/>
          </w:tcPr>
          <w:p w14:paraId="619AEDA4" w14:textId="77777777" w:rsidR="0075380B" w:rsidRPr="003549B4" w:rsidRDefault="0075380B"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0F9B9FE5" w14:textId="77777777" w:rsidR="0075380B" w:rsidRPr="003549B4" w:rsidRDefault="0075380B" w:rsidP="00F17024">
            <w:pPr>
              <w:spacing w:before="120" w:after="0" w:line="240" w:lineRule="auto"/>
              <w:ind w:right="-108"/>
              <w:rPr>
                <w:rFonts w:ascii="Times New Roman" w:hAnsi="Times New Roman" w:cs="Times New Roman"/>
                <w:sz w:val="20"/>
                <w:szCs w:val="20"/>
              </w:rPr>
            </w:pPr>
          </w:p>
        </w:tc>
        <w:tc>
          <w:tcPr>
            <w:tcW w:w="569" w:type="dxa"/>
          </w:tcPr>
          <w:p w14:paraId="6051DC92"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17</w:t>
            </w:r>
          </w:p>
          <w:p w14:paraId="3F87B8B6"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54C5F8A1"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lastRenderedPageBreak/>
              <w:t>Pb)</w:t>
            </w:r>
          </w:p>
          <w:p w14:paraId="49E02283"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3698D641"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§17</w:t>
            </w:r>
          </w:p>
          <w:p w14:paraId="20604D36"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tc>
        <w:tc>
          <w:tcPr>
            <w:tcW w:w="6006" w:type="dxa"/>
          </w:tcPr>
          <w:p w14:paraId="297EE30A" w14:textId="77777777" w:rsidR="0075380B" w:rsidRPr="003549B4" w:rsidRDefault="0075380B" w:rsidP="00836F70">
            <w:pPr>
              <w:spacing w:after="0" w:line="240" w:lineRule="auto"/>
              <w:ind w:left="-15"/>
              <w:jc w:val="both"/>
              <w:rPr>
                <w:rFonts w:ascii="Times New Roman" w:hAnsi="Times New Roman" w:cs="Times New Roman"/>
                <w:sz w:val="20"/>
                <w:szCs w:val="20"/>
              </w:rPr>
            </w:pPr>
            <w:r w:rsidRPr="003549B4">
              <w:rPr>
                <w:rFonts w:ascii="Times New Roman" w:hAnsi="Times New Roman" w:cs="Times New Roman"/>
                <w:noProof/>
                <w:sz w:val="20"/>
                <w:szCs w:val="20"/>
              </w:rPr>
              <w:lastRenderedPageBreak/>
              <w:t>(</w:t>
            </w:r>
            <w:r w:rsidRPr="003549B4">
              <w:rPr>
                <w:rFonts w:ascii="Times New Roman" w:hAnsi="Times New Roman" w:cs="Times New Roman"/>
                <w:sz w:val="20"/>
                <w:szCs w:val="20"/>
              </w:rPr>
              <w:t xml:space="preserve">1) Do obmedzeného prevádzkového režimu možno zaradiť väčšie stredné spaľovacie zariadenie s prevádzkou do 500 h ročne, pričom, ak ide o </w:t>
            </w:r>
          </w:p>
          <w:p w14:paraId="03D8C8FC" w14:textId="77777777" w:rsidR="0075380B" w:rsidRPr="003549B4" w:rsidRDefault="0075380B" w:rsidP="00836F70">
            <w:pPr>
              <w:spacing w:after="0" w:line="240" w:lineRule="auto"/>
              <w:ind w:left="-15"/>
              <w:jc w:val="both"/>
              <w:rPr>
                <w:rFonts w:ascii="Times New Roman" w:hAnsi="Times New Roman" w:cs="Times New Roman"/>
                <w:sz w:val="20"/>
                <w:szCs w:val="20"/>
              </w:rPr>
            </w:pPr>
            <w:r w:rsidRPr="003549B4">
              <w:rPr>
                <w:rFonts w:ascii="Times New Roman" w:hAnsi="Times New Roman" w:cs="Times New Roman"/>
                <w:sz w:val="20"/>
                <w:szCs w:val="20"/>
              </w:rPr>
              <w:lastRenderedPageBreak/>
              <w:t>b) nové zariadenie, prevádzkové hodiny sa počítajú ako trojročný plávajúci priemer.</w:t>
            </w:r>
          </w:p>
          <w:p w14:paraId="2EA31090" w14:textId="77777777" w:rsidR="0075380B" w:rsidRPr="003549B4" w:rsidRDefault="0075380B" w:rsidP="00836F70">
            <w:pPr>
              <w:spacing w:after="0" w:line="240" w:lineRule="auto"/>
              <w:ind w:left="-15"/>
              <w:jc w:val="both"/>
              <w:rPr>
                <w:rFonts w:ascii="Times New Roman" w:hAnsi="Times New Roman" w:cs="Times New Roman"/>
                <w:sz w:val="20"/>
                <w:szCs w:val="20"/>
              </w:rPr>
            </w:pPr>
          </w:p>
          <w:p w14:paraId="40BF33D0" w14:textId="77777777" w:rsidR="0075380B" w:rsidRPr="003549B4" w:rsidRDefault="0075380B" w:rsidP="0075380B">
            <w:pPr>
              <w:spacing w:after="0" w:line="240" w:lineRule="auto"/>
              <w:ind w:left="-15"/>
              <w:jc w:val="both"/>
              <w:rPr>
                <w:rFonts w:ascii="Times New Roman" w:hAnsi="Times New Roman" w:cs="Times New Roman"/>
                <w:noProof/>
                <w:sz w:val="20"/>
                <w:szCs w:val="20"/>
              </w:rPr>
            </w:pPr>
            <w:r w:rsidRPr="003549B4">
              <w:rPr>
                <w:rFonts w:ascii="Times New Roman" w:hAnsi="Times New Roman" w:cs="Times New Roman"/>
                <w:noProof/>
                <w:sz w:val="20"/>
                <w:szCs w:val="20"/>
              </w:rPr>
              <w:t>(</w:t>
            </w:r>
            <w:r w:rsidRPr="003549B4">
              <w:rPr>
                <w:rFonts w:ascii="Times New Roman" w:hAnsi="Times New Roman" w:cs="Times New Roman"/>
                <w:sz w:val="20"/>
                <w:szCs w:val="20"/>
              </w:rPr>
              <w:t xml:space="preserve">2) </w:t>
            </w:r>
            <w:r w:rsidRPr="003549B4">
              <w:rPr>
                <w:rFonts w:ascii="Times New Roman" w:hAnsi="Times New Roman" w:cs="Times New Roman"/>
                <w:noProof/>
                <w:sz w:val="20"/>
                <w:szCs w:val="20"/>
              </w:rPr>
              <w:t>Na zariadenia v obmedzenom prevádzkovom režime sa emisné limity neuplatňujú, okrem emisného limitu pre TZL pri spaľovaní tuhých palív, vrátane biomasy.</w:t>
            </w:r>
          </w:p>
        </w:tc>
        <w:tc>
          <w:tcPr>
            <w:tcW w:w="429" w:type="dxa"/>
            <w:tcBorders>
              <w:top w:val="single" w:sz="4" w:space="0" w:color="auto"/>
              <w:bottom w:val="single" w:sz="4" w:space="0" w:color="auto"/>
            </w:tcBorders>
            <w:vAlign w:val="center"/>
          </w:tcPr>
          <w:p w14:paraId="023381B1" w14:textId="77777777" w:rsidR="0075380B" w:rsidRPr="003549B4" w:rsidRDefault="009B1CDE"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0D030F96"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7152BCF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C23BB9C"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 xml:space="preserve">O9 </w:t>
            </w:r>
          </w:p>
          <w:p w14:paraId="61E12E4E" w14:textId="77777777" w:rsidR="0075380B" w:rsidRPr="003549B4" w:rsidRDefault="0075380B" w:rsidP="00824651">
            <w:pPr>
              <w:spacing w:after="0" w:line="240" w:lineRule="auto"/>
              <w:rPr>
                <w:rFonts w:ascii="Times New Roman" w:hAnsi="Times New Roman" w:cs="Times New Roman"/>
                <w:sz w:val="20"/>
                <w:szCs w:val="20"/>
              </w:rPr>
            </w:pPr>
          </w:p>
          <w:p w14:paraId="16BA4FFD" w14:textId="77777777" w:rsidR="0075380B" w:rsidRPr="003549B4" w:rsidRDefault="0075380B" w:rsidP="00824651">
            <w:pPr>
              <w:spacing w:after="0" w:line="240" w:lineRule="auto"/>
              <w:rPr>
                <w:rFonts w:ascii="Times New Roman" w:hAnsi="Times New Roman" w:cs="Times New Roman"/>
                <w:sz w:val="20"/>
                <w:szCs w:val="20"/>
              </w:rPr>
            </w:pPr>
          </w:p>
          <w:p w14:paraId="049B54BC" w14:textId="77777777" w:rsidR="0075380B" w:rsidRPr="003549B4" w:rsidRDefault="0075380B" w:rsidP="00824651">
            <w:pPr>
              <w:spacing w:after="0" w:line="240" w:lineRule="auto"/>
              <w:rPr>
                <w:rFonts w:ascii="Times New Roman" w:hAnsi="Times New Roman" w:cs="Times New Roman"/>
                <w:sz w:val="20"/>
                <w:szCs w:val="20"/>
              </w:rPr>
            </w:pPr>
          </w:p>
          <w:p w14:paraId="560E7022" w14:textId="77777777" w:rsidR="0075380B" w:rsidRPr="003549B4" w:rsidRDefault="0075380B" w:rsidP="00824651">
            <w:pPr>
              <w:spacing w:after="0" w:line="240" w:lineRule="auto"/>
              <w:rPr>
                <w:rFonts w:ascii="Times New Roman" w:hAnsi="Times New Roman" w:cs="Times New Roman"/>
                <w:sz w:val="20"/>
                <w:szCs w:val="20"/>
              </w:rPr>
            </w:pPr>
          </w:p>
          <w:p w14:paraId="02F0BF44" w14:textId="77777777" w:rsidR="0075380B" w:rsidRPr="003549B4" w:rsidRDefault="0075380B" w:rsidP="00824651">
            <w:pPr>
              <w:spacing w:after="0" w:line="240" w:lineRule="auto"/>
              <w:rPr>
                <w:rFonts w:ascii="Times New Roman" w:hAnsi="Times New Roman" w:cs="Times New Roman"/>
                <w:sz w:val="20"/>
                <w:szCs w:val="20"/>
              </w:rPr>
            </w:pPr>
          </w:p>
          <w:p w14:paraId="68E6514B" w14:textId="77777777" w:rsidR="0075380B" w:rsidRPr="003549B4" w:rsidRDefault="0075380B" w:rsidP="00824651">
            <w:pPr>
              <w:spacing w:after="0" w:line="240" w:lineRule="auto"/>
              <w:rPr>
                <w:rFonts w:ascii="Times New Roman" w:hAnsi="Times New Roman" w:cs="Times New Roman"/>
                <w:sz w:val="20"/>
                <w:szCs w:val="20"/>
              </w:rPr>
            </w:pPr>
          </w:p>
          <w:p w14:paraId="66C98FED" w14:textId="77777777" w:rsidR="0075380B" w:rsidRPr="003549B4" w:rsidRDefault="0075380B" w:rsidP="00824651">
            <w:pPr>
              <w:spacing w:after="0" w:line="240" w:lineRule="auto"/>
              <w:rPr>
                <w:rFonts w:ascii="Times New Roman" w:hAnsi="Times New Roman" w:cs="Times New Roman"/>
                <w:sz w:val="20"/>
                <w:szCs w:val="20"/>
              </w:rPr>
            </w:pPr>
          </w:p>
          <w:p w14:paraId="5DA3543B" w14:textId="77777777" w:rsidR="0075380B" w:rsidRPr="003549B4" w:rsidRDefault="0075380B" w:rsidP="00824651">
            <w:pPr>
              <w:spacing w:after="0" w:line="240" w:lineRule="auto"/>
              <w:rPr>
                <w:rFonts w:ascii="Times New Roman" w:hAnsi="Times New Roman" w:cs="Times New Roman"/>
                <w:sz w:val="20"/>
                <w:szCs w:val="20"/>
              </w:rPr>
            </w:pPr>
          </w:p>
          <w:p w14:paraId="5DE3532B" w14:textId="77777777" w:rsidR="0075380B" w:rsidRPr="003549B4" w:rsidRDefault="0075380B" w:rsidP="00824651">
            <w:pPr>
              <w:spacing w:after="0" w:line="240" w:lineRule="auto"/>
              <w:rPr>
                <w:rFonts w:ascii="Times New Roman" w:hAnsi="Times New Roman" w:cs="Times New Roman"/>
                <w:sz w:val="20"/>
                <w:szCs w:val="20"/>
              </w:rPr>
            </w:pPr>
          </w:p>
          <w:p w14:paraId="74FA7C7F" w14:textId="77777777" w:rsidR="0075380B" w:rsidRPr="003549B4" w:rsidRDefault="0075380B" w:rsidP="00824651">
            <w:pPr>
              <w:spacing w:after="0" w:line="240" w:lineRule="auto"/>
              <w:rPr>
                <w:rFonts w:ascii="Times New Roman" w:hAnsi="Times New Roman" w:cs="Times New Roman"/>
                <w:sz w:val="20"/>
                <w:szCs w:val="20"/>
              </w:rPr>
            </w:pPr>
          </w:p>
          <w:p w14:paraId="48871936" w14:textId="77777777" w:rsidR="0075380B" w:rsidRPr="003549B4" w:rsidRDefault="0075380B" w:rsidP="00824651">
            <w:pPr>
              <w:spacing w:after="0" w:line="240" w:lineRule="auto"/>
              <w:rPr>
                <w:rFonts w:ascii="Times New Roman" w:hAnsi="Times New Roman" w:cs="Times New Roman"/>
                <w:sz w:val="20"/>
                <w:szCs w:val="20"/>
              </w:rPr>
            </w:pPr>
          </w:p>
          <w:p w14:paraId="01DEF6E0" w14:textId="77777777" w:rsidR="0075380B" w:rsidRPr="003549B4" w:rsidRDefault="0075380B" w:rsidP="00824651">
            <w:pPr>
              <w:spacing w:after="0" w:line="240" w:lineRule="auto"/>
              <w:rPr>
                <w:rFonts w:ascii="Times New Roman" w:hAnsi="Times New Roman" w:cs="Times New Roman"/>
                <w:sz w:val="20"/>
                <w:szCs w:val="20"/>
              </w:rPr>
            </w:pPr>
          </w:p>
          <w:p w14:paraId="61B1A313"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O10</w:t>
            </w:r>
          </w:p>
        </w:tc>
        <w:tc>
          <w:tcPr>
            <w:tcW w:w="6287" w:type="dxa"/>
          </w:tcPr>
          <w:p w14:paraId="76C9F67A" w14:textId="77777777" w:rsidR="0075380B" w:rsidRPr="003549B4" w:rsidRDefault="0075380B" w:rsidP="00824651">
            <w:pPr>
              <w:pStyle w:val="Normlny1"/>
              <w:jc w:val="left"/>
              <w:rPr>
                <w:sz w:val="20"/>
                <w:szCs w:val="20"/>
              </w:rPr>
            </w:pPr>
            <w:r w:rsidRPr="003549B4">
              <w:rPr>
                <w:sz w:val="20"/>
                <w:szCs w:val="20"/>
              </w:rPr>
              <w:t xml:space="preserve">9. V zónach alebo častiach zón, ktoré nespĺňajú limitné hodnoty týkajúce sa kvality ovzdušia stanovené v smernici 2008/50/ES, členské štáty pri jednotlivých stredne veľkých spaľovacích zariadeniach v týchto zónach posúdia v rámci vypracúvania plánov kvality ovzdušia uvedených v článku 23 smernice 2008/50/ES potrebu uplatniť prísnejšie emisné limity, ako sú stanovené v tejto smernici, pričom zohľadnia výsledky výmeny informácií uvedené v odseku 10 tohto článku, za predpokladu, že použitie takýchto hodnôt emisných limitov by účinne prispelo k zjavnému zlepšeniu kvality ovzdušia. </w:t>
            </w:r>
          </w:p>
          <w:p w14:paraId="3D01B0B7" w14:textId="77777777" w:rsidR="0075380B" w:rsidRPr="003549B4" w:rsidRDefault="0075380B" w:rsidP="00824651">
            <w:pPr>
              <w:pStyle w:val="Normlny1"/>
              <w:jc w:val="left"/>
              <w:rPr>
                <w:sz w:val="20"/>
                <w:szCs w:val="20"/>
              </w:rPr>
            </w:pPr>
          </w:p>
          <w:p w14:paraId="04E522D8" w14:textId="77777777" w:rsidR="0075380B" w:rsidRPr="003549B4" w:rsidRDefault="0075380B" w:rsidP="00824651">
            <w:pPr>
              <w:pStyle w:val="Normlny1"/>
              <w:jc w:val="left"/>
              <w:rPr>
                <w:sz w:val="20"/>
                <w:szCs w:val="20"/>
              </w:rPr>
            </w:pPr>
            <w:r w:rsidRPr="003549B4">
              <w:rPr>
                <w:sz w:val="20"/>
                <w:szCs w:val="20"/>
              </w:rPr>
              <w:t>10. Komisia zorganizuje výmenu informácií s členskými štátmi, dotknutými odvetviami a mimovládnymi organizáciami o úrovniach emisií, ktoré sú dosiahnuteľné za pomoci najlepších dostupných a vznikajúcich technológií, a o súvisiacich nákladoch.</w:t>
            </w:r>
          </w:p>
          <w:p w14:paraId="65765B15" w14:textId="77777777" w:rsidR="0075380B" w:rsidRPr="003549B4" w:rsidRDefault="0075380B" w:rsidP="00824651">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rPr>
              <w:t>Komisia zverejní výsledky výmeny informácií.</w:t>
            </w:r>
          </w:p>
        </w:tc>
        <w:tc>
          <w:tcPr>
            <w:tcW w:w="433" w:type="dxa"/>
          </w:tcPr>
          <w:p w14:paraId="089131B0"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452BE67C"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4035E9B4"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 O1 Pb)</w:t>
            </w:r>
          </w:p>
          <w:p w14:paraId="6F53833E"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tcPr>
          <w:p w14:paraId="71DECE18" w14:textId="02B15163" w:rsidR="003F1796" w:rsidRPr="003549B4" w:rsidRDefault="009B1CDE" w:rsidP="0075380B">
            <w:pPr>
              <w:pStyle w:val="odsek"/>
              <w:numPr>
                <w:ilvl w:val="0"/>
                <w:numId w:val="0"/>
              </w:numPr>
              <w:spacing w:after="0" w:line="240" w:lineRule="auto"/>
              <w:rPr>
                <w:rFonts w:eastAsia="Calibri"/>
                <w:color w:val="auto"/>
                <w:sz w:val="20"/>
                <w:szCs w:val="20"/>
                <w:lang w:eastAsia="en-US"/>
              </w:rPr>
            </w:pPr>
            <w:r w:rsidRPr="003549B4">
              <w:rPr>
                <w:rFonts w:eastAsia="Calibri"/>
                <w:color w:val="auto"/>
                <w:sz w:val="20"/>
                <w:szCs w:val="20"/>
                <w:lang w:eastAsia="en-US"/>
              </w:rPr>
              <w:t xml:space="preserve"> </w:t>
            </w:r>
            <w:r w:rsidR="00033DC4" w:rsidRPr="003549B4">
              <w:rPr>
                <w:rFonts w:eastAsia="Calibri"/>
                <w:color w:val="auto"/>
                <w:sz w:val="20"/>
                <w:szCs w:val="20"/>
                <w:lang w:eastAsia="en-US"/>
              </w:rPr>
              <w:t>(1) Opatrenia na dosiahnutie súladu s normami kvality ovzdušia sú tieto:</w:t>
            </w:r>
          </w:p>
          <w:p w14:paraId="0B955034" w14:textId="77777777" w:rsidR="0075380B" w:rsidRPr="003549B4" w:rsidRDefault="002F1F73" w:rsidP="002F1F73">
            <w:pPr>
              <w:pStyle w:val="odsek"/>
              <w:numPr>
                <w:ilvl w:val="0"/>
                <w:numId w:val="0"/>
              </w:numPr>
              <w:spacing w:before="120" w:after="0" w:line="240" w:lineRule="auto"/>
              <w:rPr>
                <w:color w:val="auto"/>
                <w:sz w:val="20"/>
                <w:szCs w:val="20"/>
              </w:rPr>
            </w:pPr>
            <w:r w:rsidRPr="003549B4">
              <w:rPr>
                <w:color w:val="auto"/>
                <w:sz w:val="20"/>
                <w:szCs w:val="20"/>
              </w:rPr>
              <w:t>b) prísnejšie emisné limity pre novobudované väčšie stredné spaľovacie zariadenia, ak sa preukáže, že uplatnenie prísnejších emisných limitov celkovo na tento druh zariadení v konkrétnej oblasti riadenia kvality ovzdušia by v porovnaní s ustanovenými emisnými limitmi významne prispelo k zlepšeniu kvality ovzdušia; pri tom sa zohľadnia výsledky výmeny informácií zverejnené Komisiou,</w:t>
            </w:r>
          </w:p>
        </w:tc>
        <w:tc>
          <w:tcPr>
            <w:tcW w:w="429" w:type="dxa"/>
            <w:tcBorders>
              <w:top w:val="single" w:sz="4" w:space="0" w:color="auto"/>
              <w:bottom w:val="single" w:sz="4" w:space="0" w:color="auto"/>
            </w:tcBorders>
            <w:vAlign w:val="center"/>
          </w:tcPr>
          <w:p w14:paraId="7A329A80" w14:textId="77777777" w:rsidR="0075380B" w:rsidRPr="003549B4" w:rsidRDefault="009B1CDE"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025E28E0"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06CEB53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E28344A"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O11</w:t>
            </w:r>
          </w:p>
          <w:p w14:paraId="376ABC4C" w14:textId="77777777" w:rsidR="0075380B" w:rsidRPr="003549B4" w:rsidRDefault="0075380B" w:rsidP="00824651">
            <w:pPr>
              <w:spacing w:after="0" w:line="240" w:lineRule="auto"/>
              <w:rPr>
                <w:rFonts w:ascii="Times New Roman" w:hAnsi="Times New Roman" w:cs="Times New Roman"/>
                <w:sz w:val="20"/>
                <w:szCs w:val="20"/>
              </w:rPr>
            </w:pPr>
          </w:p>
          <w:p w14:paraId="14C6790B" w14:textId="77777777" w:rsidR="0075380B" w:rsidRPr="003549B4" w:rsidRDefault="0075380B" w:rsidP="00824651">
            <w:pPr>
              <w:spacing w:after="0" w:line="240" w:lineRule="auto"/>
              <w:rPr>
                <w:rFonts w:ascii="Times New Roman" w:hAnsi="Times New Roman" w:cs="Times New Roman"/>
                <w:sz w:val="20"/>
                <w:szCs w:val="20"/>
              </w:rPr>
            </w:pPr>
          </w:p>
          <w:p w14:paraId="1D1E4EC6" w14:textId="77777777" w:rsidR="0075380B" w:rsidRPr="003549B4" w:rsidRDefault="0075380B" w:rsidP="00824651">
            <w:pPr>
              <w:spacing w:after="0" w:line="240" w:lineRule="auto"/>
              <w:rPr>
                <w:rFonts w:ascii="Times New Roman" w:hAnsi="Times New Roman" w:cs="Times New Roman"/>
                <w:sz w:val="20"/>
                <w:szCs w:val="20"/>
              </w:rPr>
            </w:pPr>
          </w:p>
          <w:p w14:paraId="2EC0C91D" w14:textId="77777777" w:rsidR="0075380B" w:rsidRPr="003549B4" w:rsidRDefault="0075380B" w:rsidP="00824651">
            <w:pPr>
              <w:spacing w:after="0" w:line="240" w:lineRule="auto"/>
              <w:rPr>
                <w:rFonts w:ascii="Times New Roman" w:hAnsi="Times New Roman" w:cs="Times New Roman"/>
                <w:sz w:val="20"/>
                <w:szCs w:val="20"/>
              </w:rPr>
            </w:pPr>
          </w:p>
          <w:p w14:paraId="34F02671" w14:textId="77777777" w:rsidR="0075380B" w:rsidRPr="003549B4" w:rsidRDefault="0075380B" w:rsidP="00824651">
            <w:pPr>
              <w:spacing w:after="0" w:line="240" w:lineRule="auto"/>
              <w:rPr>
                <w:rFonts w:ascii="Times New Roman" w:hAnsi="Times New Roman" w:cs="Times New Roman"/>
                <w:sz w:val="20"/>
                <w:szCs w:val="20"/>
              </w:rPr>
            </w:pPr>
          </w:p>
          <w:p w14:paraId="7BFF8CC5" w14:textId="77777777" w:rsidR="0075380B" w:rsidRPr="003549B4" w:rsidRDefault="0075380B" w:rsidP="00824651">
            <w:pPr>
              <w:spacing w:after="0" w:line="240" w:lineRule="auto"/>
              <w:rPr>
                <w:rFonts w:ascii="Times New Roman" w:hAnsi="Times New Roman" w:cs="Times New Roman"/>
                <w:sz w:val="20"/>
                <w:szCs w:val="20"/>
              </w:rPr>
            </w:pPr>
          </w:p>
          <w:p w14:paraId="15C86BF6" w14:textId="77777777" w:rsidR="0075380B" w:rsidRPr="003549B4" w:rsidRDefault="0075380B" w:rsidP="00824651">
            <w:pPr>
              <w:spacing w:after="0" w:line="240" w:lineRule="auto"/>
              <w:rPr>
                <w:rFonts w:ascii="Times New Roman" w:hAnsi="Times New Roman" w:cs="Times New Roman"/>
                <w:sz w:val="20"/>
                <w:szCs w:val="20"/>
              </w:rPr>
            </w:pPr>
          </w:p>
          <w:p w14:paraId="44E282BA" w14:textId="77777777" w:rsidR="0075380B" w:rsidRPr="003549B4" w:rsidRDefault="0075380B" w:rsidP="00824651">
            <w:pPr>
              <w:spacing w:after="0" w:line="240" w:lineRule="auto"/>
              <w:rPr>
                <w:rFonts w:ascii="Times New Roman" w:hAnsi="Times New Roman" w:cs="Times New Roman"/>
                <w:sz w:val="20"/>
                <w:szCs w:val="20"/>
              </w:rPr>
            </w:pPr>
          </w:p>
          <w:p w14:paraId="40BDE28D" w14:textId="77777777" w:rsidR="0075380B" w:rsidRPr="003549B4" w:rsidRDefault="0075380B" w:rsidP="00824651">
            <w:pPr>
              <w:spacing w:after="0" w:line="240" w:lineRule="auto"/>
              <w:rPr>
                <w:rFonts w:ascii="Times New Roman" w:hAnsi="Times New Roman" w:cs="Times New Roman"/>
                <w:sz w:val="20"/>
                <w:szCs w:val="20"/>
              </w:rPr>
            </w:pPr>
          </w:p>
          <w:p w14:paraId="4FA911EA" w14:textId="77777777" w:rsidR="0075380B" w:rsidRPr="003549B4" w:rsidRDefault="0075380B" w:rsidP="00824651">
            <w:pPr>
              <w:spacing w:after="0" w:line="240" w:lineRule="auto"/>
              <w:rPr>
                <w:rFonts w:ascii="Times New Roman" w:hAnsi="Times New Roman" w:cs="Times New Roman"/>
                <w:sz w:val="20"/>
                <w:szCs w:val="20"/>
              </w:rPr>
            </w:pPr>
          </w:p>
          <w:p w14:paraId="24211DEB" w14:textId="77777777" w:rsidR="0075380B" w:rsidRPr="003549B4" w:rsidRDefault="0075380B" w:rsidP="00824651">
            <w:pPr>
              <w:spacing w:after="0" w:line="240" w:lineRule="auto"/>
              <w:rPr>
                <w:rFonts w:ascii="Times New Roman" w:hAnsi="Times New Roman" w:cs="Times New Roman"/>
                <w:sz w:val="20"/>
                <w:szCs w:val="20"/>
              </w:rPr>
            </w:pPr>
          </w:p>
          <w:p w14:paraId="25858708" w14:textId="77777777" w:rsidR="0075380B" w:rsidRPr="003549B4" w:rsidRDefault="0075380B" w:rsidP="00824651">
            <w:pPr>
              <w:spacing w:after="0" w:line="240" w:lineRule="auto"/>
              <w:rPr>
                <w:rFonts w:ascii="Times New Roman" w:hAnsi="Times New Roman" w:cs="Times New Roman"/>
                <w:sz w:val="20"/>
                <w:szCs w:val="20"/>
              </w:rPr>
            </w:pPr>
          </w:p>
          <w:p w14:paraId="0E99FC66"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O12</w:t>
            </w:r>
          </w:p>
        </w:tc>
        <w:tc>
          <w:tcPr>
            <w:tcW w:w="6287" w:type="dxa"/>
          </w:tcPr>
          <w:p w14:paraId="44749B43" w14:textId="77777777" w:rsidR="0075380B" w:rsidRPr="003549B4" w:rsidRDefault="0075380B" w:rsidP="00824651">
            <w:pPr>
              <w:pStyle w:val="Normlny1"/>
              <w:jc w:val="left"/>
              <w:rPr>
                <w:sz w:val="20"/>
                <w:szCs w:val="20"/>
              </w:rPr>
            </w:pPr>
            <w:r w:rsidRPr="003549B4">
              <w:rPr>
                <w:sz w:val="20"/>
                <w:szCs w:val="20"/>
              </w:rPr>
              <w:t>11. Príslušný orgán môže najviac na obdobie šiestich mesiacov udeliť výnimku z povinnosti dodržiavať emisné limity podľa odsekov 2 a 7 pre SO</w:t>
            </w:r>
            <w:r w:rsidRPr="003549B4">
              <w:rPr>
                <w:rStyle w:val="sub"/>
                <w:sz w:val="20"/>
                <w:szCs w:val="20"/>
              </w:rPr>
              <w:t>2</w:t>
            </w:r>
            <w:r w:rsidRPr="003549B4">
              <w:rPr>
                <w:sz w:val="20"/>
                <w:szCs w:val="20"/>
              </w:rPr>
              <w:t>, ak ide o stredne veľké spaľovacie zariadenie, ktoré na tento účel za bežnej prevádzky používa palivo s nízkym obsahom síry, v prípadoch, keď prevádzkovateľ nedokáže tieto emisné limity dodržať z dôvodu prerušeniu dodávky paliva s nízkym obsahom síry v dôsledku závažného nedostatku daného paliva.</w:t>
            </w:r>
          </w:p>
          <w:p w14:paraId="48753ABF" w14:textId="77777777" w:rsidR="0075380B" w:rsidRPr="003549B4" w:rsidRDefault="0075380B" w:rsidP="00824651">
            <w:pPr>
              <w:pStyle w:val="Normlny1"/>
              <w:jc w:val="left"/>
              <w:rPr>
                <w:sz w:val="20"/>
                <w:szCs w:val="20"/>
              </w:rPr>
            </w:pPr>
            <w:r w:rsidRPr="003549B4">
              <w:rPr>
                <w:sz w:val="20"/>
                <w:szCs w:val="20"/>
              </w:rPr>
              <w:t>Členské štáty informujú Komisiu v lehote jedného mesiaca o akejkoľvek výnimke udelenej na základe prvého pododseku.</w:t>
            </w:r>
          </w:p>
          <w:p w14:paraId="545B9052" w14:textId="77777777" w:rsidR="0075380B" w:rsidRPr="003549B4" w:rsidRDefault="0075380B" w:rsidP="00824651">
            <w:pPr>
              <w:spacing w:after="0"/>
              <w:rPr>
                <w:rFonts w:ascii="Times New Roman" w:hAnsi="Times New Roman" w:cs="Times New Roman"/>
                <w:sz w:val="20"/>
                <w:szCs w:val="20"/>
                <w:lang w:eastAsia="sk-SK"/>
              </w:rPr>
            </w:pPr>
          </w:p>
          <w:p w14:paraId="57BC78F2" w14:textId="77777777" w:rsidR="001938F7" w:rsidRPr="003549B4" w:rsidRDefault="001938F7" w:rsidP="00824651">
            <w:pPr>
              <w:spacing w:after="0"/>
              <w:rPr>
                <w:rFonts w:ascii="Times New Roman" w:hAnsi="Times New Roman" w:cs="Times New Roman"/>
                <w:sz w:val="20"/>
                <w:szCs w:val="20"/>
                <w:lang w:eastAsia="sk-SK"/>
              </w:rPr>
            </w:pPr>
          </w:p>
          <w:p w14:paraId="7478CFFA" w14:textId="77777777" w:rsidR="0075380B" w:rsidRPr="003549B4" w:rsidRDefault="0075380B" w:rsidP="00824651">
            <w:pPr>
              <w:pStyle w:val="Normlny1"/>
              <w:jc w:val="left"/>
              <w:rPr>
                <w:sz w:val="20"/>
                <w:szCs w:val="20"/>
              </w:rPr>
            </w:pPr>
            <w:r w:rsidRPr="003549B4">
              <w:rPr>
                <w:sz w:val="20"/>
                <w:szCs w:val="20"/>
              </w:rPr>
              <w:t>12. Príslušný orgán môže udeliť výnimku z povinnosti dodržiavať emisné limity v zmysle odsekov 2 a 7 v prípadoch, keď sa stredne veľké spaľovacie zariadenie, kde sa používa výlučne plynné palivo, musí výnimočne uchýliť k používaniu iných palív z dôvodu náhleho prerušenia dodávky plynu a z tohto dôvodu musí byť vybavené sekundárnym zariadením na znižovanie emisií. Obdobie, na ktoré sa udelí takáto výnimka, nesmie prekročiť desať dní okrem prípadov, keď prevádzkovateľ príslušnému orgánu preukáže odôvodnenosť dlhšieho obdobia.</w:t>
            </w:r>
          </w:p>
          <w:p w14:paraId="59CF9185" w14:textId="77777777" w:rsidR="0075380B" w:rsidRPr="003549B4" w:rsidRDefault="0075380B" w:rsidP="00824651">
            <w:pPr>
              <w:rPr>
                <w:rFonts w:ascii="Times New Roman" w:hAnsi="Times New Roman" w:cs="Times New Roman"/>
                <w:sz w:val="20"/>
                <w:szCs w:val="20"/>
                <w:lang w:eastAsia="sk-SK"/>
              </w:rPr>
            </w:pPr>
            <w:r w:rsidRPr="003549B4">
              <w:rPr>
                <w:rFonts w:ascii="Times New Roman" w:hAnsi="Times New Roman" w:cs="Times New Roman"/>
                <w:sz w:val="20"/>
                <w:szCs w:val="20"/>
              </w:rPr>
              <w:lastRenderedPageBreak/>
              <w:t>Členské štáty informujú Komisiu v lehote jedného mesiaca o akejkoľvek výnimke udelenej na základe prvého pododseku.</w:t>
            </w:r>
          </w:p>
        </w:tc>
        <w:tc>
          <w:tcPr>
            <w:tcW w:w="433" w:type="dxa"/>
          </w:tcPr>
          <w:p w14:paraId="0B0E8425"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w:t>
            </w:r>
          </w:p>
          <w:p w14:paraId="46F03756" w14:textId="77777777" w:rsidR="0075380B" w:rsidRPr="003549B4" w:rsidRDefault="0075380B" w:rsidP="00824651">
            <w:pPr>
              <w:spacing w:after="0" w:line="240" w:lineRule="auto"/>
              <w:rPr>
                <w:rFonts w:ascii="Times New Roman" w:hAnsi="Times New Roman" w:cs="Times New Roman"/>
                <w:sz w:val="20"/>
                <w:szCs w:val="20"/>
              </w:rPr>
            </w:pPr>
          </w:p>
          <w:p w14:paraId="0887CB6B" w14:textId="77777777" w:rsidR="0075380B" w:rsidRPr="003549B4" w:rsidRDefault="0075380B" w:rsidP="00824651">
            <w:pPr>
              <w:spacing w:after="0" w:line="240" w:lineRule="auto"/>
              <w:rPr>
                <w:rFonts w:ascii="Times New Roman" w:hAnsi="Times New Roman" w:cs="Times New Roman"/>
                <w:sz w:val="20"/>
                <w:szCs w:val="20"/>
              </w:rPr>
            </w:pPr>
          </w:p>
          <w:p w14:paraId="5C936DEF" w14:textId="77777777" w:rsidR="0075380B" w:rsidRPr="003549B4" w:rsidRDefault="0075380B" w:rsidP="00824651">
            <w:pPr>
              <w:spacing w:after="0" w:line="240" w:lineRule="auto"/>
              <w:rPr>
                <w:rFonts w:ascii="Times New Roman" w:hAnsi="Times New Roman" w:cs="Times New Roman"/>
                <w:sz w:val="20"/>
                <w:szCs w:val="20"/>
              </w:rPr>
            </w:pPr>
          </w:p>
          <w:p w14:paraId="1EED4E28" w14:textId="77777777" w:rsidR="0075380B" w:rsidRPr="003549B4" w:rsidRDefault="0075380B" w:rsidP="00824651">
            <w:pPr>
              <w:spacing w:after="0" w:line="240" w:lineRule="auto"/>
              <w:rPr>
                <w:rFonts w:ascii="Times New Roman" w:hAnsi="Times New Roman" w:cs="Times New Roman"/>
                <w:sz w:val="20"/>
                <w:szCs w:val="20"/>
              </w:rPr>
            </w:pPr>
          </w:p>
          <w:p w14:paraId="10DC1054" w14:textId="77777777" w:rsidR="0075380B" w:rsidRPr="003549B4" w:rsidRDefault="0075380B" w:rsidP="00824651">
            <w:pPr>
              <w:spacing w:after="0" w:line="240" w:lineRule="auto"/>
              <w:rPr>
                <w:rFonts w:ascii="Times New Roman" w:hAnsi="Times New Roman" w:cs="Times New Roman"/>
                <w:sz w:val="20"/>
                <w:szCs w:val="20"/>
              </w:rPr>
            </w:pPr>
          </w:p>
          <w:p w14:paraId="656B180B" w14:textId="77777777" w:rsidR="0075380B" w:rsidRPr="003549B4" w:rsidRDefault="0075380B" w:rsidP="00824651">
            <w:pPr>
              <w:spacing w:after="0" w:line="240" w:lineRule="auto"/>
              <w:rPr>
                <w:rFonts w:ascii="Times New Roman" w:hAnsi="Times New Roman" w:cs="Times New Roman"/>
                <w:sz w:val="20"/>
                <w:szCs w:val="20"/>
              </w:rPr>
            </w:pPr>
          </w:p>
          <w:p w14:paraId="58863A4E" w14:textId="77777777" w:rsidR="0075380B" w:rsidRPr="003549B4" w:rsidRDefault="0075380B" w:rsidP="00824651">
            <w:pPr>
              <w:spacing w:after="0" w:line="240" w:lineRule="auto"/>
              <w:rPr>
                <w:rFonts w:ascii="Times New Roman" w:hAnsi="Times New Roman" w:cs="Times New Roman"/>
                <w:sz w:val="20"/>
                <w:szCs w:val="20"/>
              </w:rPr>
            </w:pPr>
          </w:p>
          <w:p w14:paraId="3077BA26" w14:textId="77777777" w:rsidR="0075380B" w:rsidRPr="003549B4" w:rsidRDefault="0075380B" w:rsidP="00824651">
            <w:pPr>
              <w:spacing w:after="0" w:line="240" w:lineRule="auto"/>
              <w:rPr>
                <w:rFonts w:ascii="Times New Roman" w:hAnsi="Times New Roman" w:cs="Times New Roman"/>
                <w:sz w:val="20"/>
                <w:szCs w:val="20"/>
              </w:rPr>
            </w:pPr>
          </w:p>
          <w:p w14:paraId="7C2D0849" w14:textId="77777777" w:rsidR="0075380B" w:rsidRPr="003549B4" w:rsidRDefault="0075380B" w:rsidP="00824651">
            <w:pPr>
              <w:spacing w:after="0" w:line="240" w:lineRule="auto"/>
              <w:rPr>
                <w:rFonts w:ascii="Times New Roman" w:hAnsi="Times New Roman" w:cs="Times New Roman"/>
                <w:sz w:val="20"/>
                <w:szCs w:val="20"/>
              </w:rPr>
            </w:pPr>
          </w:p>
          <w:p w14:paraId="66A3D978" w14:textId="77777777" w:rsidR="0075380B" w:rsidRPr="003549B4" w:rsidRDefault="0075380B" w:rsidP="00824651">
            <w:pPr>
              <w:spacing w:after="0" w:line="240" w:lineRule="auto"/>
              <w:rPr>
                <w:rFonts w:ascii="Times New Roman" w:hAnsi="Times New Roman" w:cs="Times New Roman"/>
                <w:sz w:val="20"/>
                <w:szCs w:val="20"/>
              </w:rPr>
            </w:pPr>
          </w:p>
          <w:p w14:paraId="36DAC1A9" w14:textId="77777777" w:rsidR="0075380B" w:rsidRPr="003549B4" w:rsidRDefault="0075380B" w:rsidP="00824651">
            <w:pPr>
              <w:spacing w:after="0" w:line="240" w:lineRule="auto"/>
              <w:rPr>
                <w:rFonts w:ascii="Times New Roman" w:hAnsi="Times New Roman" w:cs="Times New Roman"/>
                <w:sz w:val="20"/>
                <w:szCs w:val="20"/>
              </w:rPr>
            </w:pPr>
          </w:p>
          <w:p w14:paraId="01444DE9" w14:textId="77777777" w:rsidR="0075380B" w:rsidRPr="003549B4" w:rsidRDefault="0075380B" w:rsidP="00824651">
            <w:pPr>
              <w:spacing w:after="0" w:line="240" w:lineRule="auto"/>
              <w:rPr>
                <w:rFonts w:ascii="Times New Roman" w:hAnsi="Times New Roman" w:cs="Times New Roman"/>
                <w:sz w:val="20"/>
                <w:szCs w:val="20"/>
              </w:rPr>
            </w:pPr>
          </w:p>
          <w:p w14:paraId="346D8B22" w14:textId="77777777" w:rsidR="0075380B" w:rsidRPr="003549B4" w:rsidRDefault="0075380B" w:rsidP="00824651">
            <w:pPr>
              <w:spacing w:after="0" w:line="240" w:lineRule="auto"/>
              <w:rPr>
                <w:rFonts w:ascii="Times New Roman" w:hAnsi="Times New Roman" w:cs="Times New Roman"/>
                <w:sz w:val="20"/>
                <w:szCs w:val="20"/>
              </w:rPr>
            </w:pPr>
          </w:p>
          <w:p w14:paraId="697F66A0"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p w14:paraId="5790F435" w14:textId="77777777" w:rsidR="0075380B" w:rsidRPr="003549B4" w:rsidRDefault="0075380B" w:rsidP="00824651">
            <w:pPr>
              <w:spacing w:after="0" w:line="240" w:lineRule="auto"/>
              <w:rPr>
                <w:rFonts w:ascii="Times New Roman" w:hAnsi="Times New Roman" w:cs="Times New Roman"/>
                <w:sz w:val="20"/>
                <w:szCs w:val="20"/>
              </w:rPr>
            </w:pPr>
          </w:p>
          <w:p w14:paraId="6EF582F2" w14:textId="77777777" w:rsidR="0075380B" w:rsidRPr="003549B4" w:rsidRDefault="0075380B" w:rsidP="00824651">
            <w:pPr>
              <w:spacing w:after="0" w:line="240" w:lineRule="auto"/>
              <w:rPr>
                <w:rFonts w:ascii="Times New Roman" w:hAnsi="Times New Roman" w:cs="Times New Roman"/>
                <w:sz w:val="20"/>
                <w:szCs w:val="20"/>
              </w:rPr>
            </w:pPr>
          </w:p>
          <w:p w14:paraId="5BAD7B1E" w14:textId="77777777" w:rsidR="0075380B" w:rsidRPr="003549B4" w:rsidRDefault="0075380B" w:rsidP="00824651">
            <w:pPr>
              <w:spacing w:after="0" w:line="240" w:lineRule="auto"/>
              <w:rPr>
                <w:rFonts w:ascii="Times New Roman" w:hAnsi="Times New Roman" w:cs="Times New Roman"/>
                <w:sz w:val="20"/>
                <w:szCs w:val="20"/>
              </w:rPr>
            </w:pPr>
          </w:p>
          <w:p w14:paraId="29591BD2" w14:textId="77777777" w:rsidR="0075380B" w:rsidRPr="003549B4" w:rsidRDefault="0075380B" w:rsidP="00824651">
            <w:pPr>
              <w:spacing w:after="0" w:line="240" w:lineRule="auto"/>
              <w:rPr>
                <w:rFonts w:ascii="Times New Roman" w:hAnsi="Times New Roman" w:cs="Times New Roman"/>
                <w:sz w:val="20"/>
                <w:szCs w:val="20"/>
              </w:rPr>
            </w:pPr>
          </w:p>
          <w:p w14:paraId="5A8D0CAC" w14:textId="77777777" w:rsidR="0075380B" w:rsidRPr="003549B4" w:rsidRDefault="0075380B" w:rsidP="00824651">
            <w:pPr>
              <w:spacing w:after="0" w:line="240" w:lineRule="auto"/>
              <w:rPr>
                <w:rFonts w:ascii="Times New Roman" w:hAnsi="Times New Roman" w:cs="Times New Roman"/>
                <w:sz w:val="20"/>
                <w:szCs w:val="20"/>
              </w:rPr>
            </w:pPr>
          </w:p>
          <w:p w14:paraId="702C03F7" w14:textId="77777777" w:rsidR="0075380B" w:rsidRPr="003549B4" w:rsidRDefault="0075380B" w:rsidP="00824651">
            <w:pPr>
              <w:spacing w:after="0" w:line="240" w:lineRule="auto"/>
              <w:rPr>
                <w:rFonts w:ascii="Times New Roman" w:hAnsi="Times New Roman" w:cs="Times New Roman"/>
                <w:sz w:val="20"/>
                <w:szCs w:val="20"/>
              </w:rPr>
            </w:pPr>
          </w:p>
          <w:p w14:paraId="63A100A2" w14:textId="77777777" w:rsidR="0075380B" w:rsidRPr="003549B4" w:rsidRDefault="0075380B" w:rsidP="00824651">
            <w:pPr>
              <w:spacing w:after="0" w:line="240" w:lineRule="auto"/>
              <w:rPr>
                <w:rFonts w:ascii="Times New Roman" w:hAnsi="Times New Roman" w:cs="Times New Roman"/>
                <w:sz w:val="20"/>
                <w:szCs w:val="20"/>
              </w:rPr>
            </w:pPr>
          </w:p>
          <w:p w14:paraId="32A221E4" w14:textId="77777777" w:rsidR="004A0787" w:rsidRPr="003549B4" w:rsidRDefault="004A0787" w:rsidP="00824651">
            <w:pPr>
              <w:spacing w:after="0" w:line="240" w:lineRule="auto"/>
              <w:rPr>
                <w:rFonts w:ascii="Times New Roman" w:hAnsi="Times New Roman" w:cs="Times New Roman"/>
                <w:sz w:val="20"/>
                <w:szCs w:val="20"/>
              </w:rPr>
            </w:pPr>
          </w:p>
          <w:p w14:paraId="10FAF5E8" w14:textId="77777777" w:rsidR="004A0787" w:rsidRPr="003549B4" w:rsidRDefault="004A0787" w:rsidP="00824651">
            <w:pPr>
              <w:spacing w:after="0" w:line="240" w:lineRule="auto"/>
              <w:rPr>
                <w:rFonts w:ascii="Times New Roman" w:hAnsi="Times New Roman" w:cs="Times New Roman"/>
                <w:sz w:val="20"/>
                <w:szCs w:val="20"/>
              </w:rPr>
            </w:pPr>
          </w:p>
          <w:p w14:paraId="06B8831A" w14:textId="77777777" w:rsidR="004A0787" w:rsidRPr="003549B4" w:rsidRDefault="004A0787" w:rsidP="00824651">
            <w:pPr>
              <w:spacing w:after="0" w:line="240" w:lineRule="auto"/>
              <w:rPr>
                <w:rFonts w:ascii="Times New Roman" w:hAnsi="Times New Roman" w:cs="Times New Roman"/>
                <w:sz w:val="20"/>
                <w:szCs w:val="20"/>
              </w:rPr>
            </w:pPr>
          </w:p>
          <w:p w14:paraId="6F8A2A4D" w14:textId="77777777" w:rsidR="004A0787" w:rsidRPr="003549B4" w:rsidRDefault="004A0787" w:rsidP="00824651">
            <w:pPr>
              <w:spacing w:after="0" w:line="240" w:lineRule="auto"/>
              <w:rPr>
                <w:rFonts w:ascii="Times New Roman" w:hAnsi="Times New Roman" w:cs="Times New Roman"/>
                <w:sz w:val="20"/>
                <w:szCs w:val="20"/>
              </w:rPr>
            </w:pPr>
          </w:p>
          <w:p w14:paraId="2285AC1C" w14:textId="77777777" w:rsidR="004A0787" w:rsidRPr="003549B4" w:rsidRDefault="004A0787" w:rsidP="00824651">
            <w:pPr>
              <w:spacing w:after="0" w:line="240" w:lineRule="auto"/>
              <w:rPr>
                <w:rFonts w:ascii="Times New Roman" w:hAnsi="Times New Roman" w:cs="Times New Roman"/>
                <w:sz w:val="20"/>
                <w:szCs w:val="20"/>
              </w:rPr>
            </w:pPr>
          </w:p>
          <w:p w14:paraId="7D286371" w14:textId="77777777" w:rsidR="004A0787" w:rsidRPr="003549B4" w:rsidRDefault="004A0787" w:rsidP="00824651">
            <w:pPr>
              <w:spacing w:after="0" w:line="240" w:lineRule="auto"/>
              <w:rPr>
                <w:rFonts w:ascii="Times New Roman" w:hAnsi="Times New Roman" w:cs="Times New Roman"/>
                <w:sz w:val="20"/>
                <w:szCs w:val="20"/>
              </w:rPr>
            </w:pPr>
          </w:p>
          <w:p w14:paraId="117BEBE0" w14:textId="77777777" w:rsidR="004A0787" w:rsidRPr="003549B4" w:rsidRDefault="004A0787" w:rsidP="00824651">
            <w:pPr>
              <w:spacing w:after="0" w:line="240" w:lineRule="auto"/>
              <w:rPr>
                <w:rFonts w:ascii="Times New Roman" w:hAnsi="Times New Roman" w:cs="Times New Roman"/>
                <w:sz w:val="20"/>
                <w:szCs w:val="20"/>
              </w:rPr>
            </w:pPr>
          </w:p>
          <w:p w14:paraId="5A14B3BC" w14:textId="77777777" w:rsidR="00B12E56" w:rsidRPr="003549B4" w:rsidRDefault="00B12E56" w:rsidP="00824651">
            <w:pPr>
              <w:spacing w:after="0" w:line="240" w:lineRule="auto"/>
              <w:rPr>
                <w:rFonts w:ascii="Times New Roman" w:hAnsi="Times New Roman" w:cs="Times New Roman"/>
                <w:sz w:val="20"/>
                <w:szCs w:val="20"/>
              </w:rPr>
            </w:pPr>
          </w:p>
          <w:p w14:paraId="67401873"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20F6D5DC"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lastRenderedPageBreak/>
              <w:t>NZ</w:t>
            </w:r>
          </w:p>
          <w:p w14:paraId="387729D8" w14:textId="77777777" w:rsidR="0075380B" w:rsidRPr="003549B4" w:rsidRDefault="0075380B" w:rsidP="00F17024">
            <w:pPr>
              <w:spacing w:after="0" w:line="240" w:lineRule="auto"/>
              <w:ind w:right="-108"/>
              <w:rPr>
                <w:rFonts w:ascii="Times New Roman" w:hAnsi="Times New Roman" w:cs="Times New Roman"/>
                <w:sz w:val="20"/>
                <w:szCs w:val="20"/>
              </w:rPr>
            </w:pPr>
          </w:p>
          <w:p w14:paraId="4E8D23E7" w14:textId="77777777" w:rsidR="0075380B" w:rsidRPr="003549B4" w:rsidRDefault="0075380B" w:rsidP="00F17024">
            <w:pPr>
              <w:spacing w:after="0" w:line="240" w:lineRule="auto"/>
              <w:ind w:right="-108"/>
              <w:rPr>
                <w:rFonts w:ascii="Times New Roman" w:hAnsi="Times New Roman" w:cs="Times New Roman"/>
                <w:sz w:val="20"/>
                <w:szCs w:val="20"/>
              </w:rPr>
            </w:pPr>
          </w:p>
          <w:p w14:paraId="17A725FE" w14:textId="77777777" w:rsidR="0075380B" w:rsidRPr="003549B4" w:rsidRDefault="0075380B" w:rsidP="00F17024">
            <w:pPr>
              <w:spacing w:after="0" w:line="240" w:lineRule="auto"/>
              <w:ind w:right="-108"/>
              <w:rPr>
                <w:rFonts w:ascii="Times New Roman" w:hAnsi="Times New Roman" w:cs="Times New Roman"/>
                <w:sz w:val="20"/>
                <w:szCs w:val="20"/>
              </w:rPr>
            </w:pPr>
          </w:p>
          <w:p w14:paraId="02694949" w14:textId="77777777" w:rsidR="0075380B" w:rsidRPr="003549B4" w:rsidRDefault="0075380B" w:rsidP="00F17024">
            <w:pPr>
              <w:spacing w:after="0" w:line="240" w:lineRule="auto"/>
              <w:ind w:right="-108"/>
              <w:rPr>
                <w:rFonts w:ascii="Times New Roman" w:hAnsi="Times New Roman" w:cs="Times New Roman"/>
                <w:sz w:val="20"/>
                <w:szCs w:val="20"/>
              </w:rPr>
            </w:pPr>
          </w:p>
          <w:p w14:paraId="1C2D17FD" w14:textId="77777777" w:rsidR="0075380B" w:rsidRPr="003549B4" w:rsidRDefault="0075380B" w:rsidP="00F17024">
            <w:pPr>
              <w:spacing w:after="0" w:line="240" w:lineRule="auto"/>
              <w:ind w:right="-108"/>
              <w:rPr>
                <w:rFonts w:ascii="Times New Roman" w:hAnsi="Times New Roman" w:cs="Times New Roman"/>
                <w:sz w:val="20"/>
                <w:szCs w:val="20"/>
              </w:rPr>
            </w:pPr>
          </w:p>
          <w:p w14:paraId="08FE0DAC" w14:textId="77777777" w:rsidR="0075380B" w:rsidRPr="003549B4" w:rsidRDefault="0075380B" w:rsidP="00F17024">
            <w:pPr>
              <w:spacing w:after="0" w:line="240" w:lineRule="auto"/>
              <w:ind w:right="-108"/>
              <w:rPr>
                <w:rFonts w:ascii="Times New Roman" w:hAnsi="Times New Roman" w:cs="Times New Roman"/>
                <w:sz w:val="20"/>
                <w:szCs w:val="20"/>
              </w:rPr>
            </w:pPr>
          </w:p>
          <w:p w14:paraId="155F31EA" w14:textId="77777777" w:rsidR="0075380B" w:rsidRPr="003549B4" w:rsidRDefault="0075380B" w:rsidP="00F17024">
            <w:pPr>
              <w:spacing w:after="0" w:line="240" w:lineRule="auto"/>
              <w:ind w:right="-108"/>
              <w:rPr>
                <w:rFonts w:ascii="Times New Roman" w:hAnsi="Times New Roman" w:cs="Times New Roman"/>
                <w:sz w:val="20"/>
                <w:szCs w:val="20"/>
              </w:rPr>
            </w:pPr>
          </w:p>
          <w:p w14:paraId="000A9ADB" w14:textId="77777777" w:rsidR="0075380B" w:rsidRPr="003549B4" w:rsidRDefault="0075380B" w:rsidP="00F17024">
            <w:pPr>
              <w:spacing w:after="0" w:line="240" w:lineRule="auto"/>
              <w:ind w:right="-108"/>
              <w:rPr>
                <w:rFonts w:ascii="Times New Roman" w:hAnsi="Times New Roman" w:cs="Times New Roman"/>
                <w:sz w:val="20"/>
                <w:szCs w:val="20"/>
              </w:rPr>
            </w:pPr>
          </w:p>
          <w:p w14:paraId="31E3638E" w14:textId="77777777" w:rsidR="0075380B" w:rsidRPr="003549B4" w:rsidRDefault="0075380B" w:rsidP="00F17024">
            <w:pPr>
              <w:spacing w:after="0" w:line="240" w:lineRule="auto"/>
              <w:ind w:right="-108"/>
              <w:rPr>
                <w:rFonts w:ascii="Times New Roman" w:hAnsi="Times New Roman" w:cs="Times New Roman"/>
                <w:sz w:val="20"/>
                <w:szCs w:val="20"/>
              </w:rPr>
            </w:pPr>
          </w:p>
          <w:p w14:paraId="7B6F0790" w14:textId="77777777" w:rsidR="0075380B" w:rsidRPr="003549B4" w:rsidRDefault="0075380B" w:rsidP="00F17024">
            <w:pPr>
              <w:spacing w:after="0" w:line="240" w:lineRule="auto"/>
              <w:ind w:right="-108"/>
              <w:rPr>
                <w:rFonts w:ascii="Times New Roman" w:hAnsi="Times New Roman" w:cs="Times New Roman"/>
                <w:sz w:val="20"/>
                <w:szCs w:val="20"/>
              </w:rPr>
            </w:pPr>
          </w:p>
          <w:p w14:paraId="6D822A01" w14:textId="77777777" w:rsidR="0075380B" w:rsidRPr="003549B4" w:rsidRDefault="0075380B" w:rsidP="00F17024">
            <w:pPr>
              <w:spacing w:after="0" w:line="240" w:lineRule="auto"/>
              <w:ind w:right="-108"/>
              <w:rPr>
                <w:rFonts w:ascii="Times New Roman" w:hAnsi="Times New Roman" w:cs="Times New Roman"/>
                <w:sz w:val="20"/>
                <w:szCs w:val="20"/>
              </w:rPr>
            </w:pPr>
          </w:p>
          <w:p w14:paraId="35924A98" w14:textId="77777777" w:rsidR="0075380B" w:rsidRPr="003549B4" w:rsidRDefault="0075380B" w:rsidP="00F17024">
            <w:pPr>
              <w:spacing w:after="0" w:line="240" w:lineRule="auto"/>
              <w:ind w:right="-108"/>
              <w:rPr>
                <w:rFonts w:ascii="Times New Roman" w:hAnsi="Times New Roman" w:cs="Times New Roman"/>
                <w:sz w:val="20"/>
                <w:szCs w:val="20"/>
              </w:rPr>
            </w:pPr>
          </w:p>
          <w:p w14:paraId="48448827" w14:textId="77777777" w:rsidR="0075380B" w:rsidRPr="003549B4" w:rsidRDefault="0075380B" w:rsidP="00F17024">
            <w:pPr>
              <w:spacing w:after="0" w:line="240" w:lineRule="auto"/>
              <w:ind w:right="-108"/>
              <w:rPr>
                <w:rFonts w:ascii="Times New Roman" w:hAnsi="Times New Roman" w:cs="Times New Roman"/>
                <w:sz w:val="20"/>
                <w:szCs w:val="20"/>
              </w:rPr>
            </w:pPr>
          </w:p>
          <w:p w14:paraId="08281F55"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0646A738" w14:textId="77777777" w:rsidR="0075380B" w:rsidRPr="003549B4" w:rsidRDefault="0075380B" w:rsidP="00F17024">
            <w:pPr>
              <w:spacing w:after="0" w:line="240" w:lineRule="auto"/>
              <w:ind w:right="-108"/>
              <w:rPr>
                <w:rFonts w:ascii="Times New Roman" w:hAnsi="Times New Roman" w:cs="Times New Roman"/>
                <w:sz w:val="20"/>
                <w:szCs w:val="20"/>
              </w:rPr>
            </w:pPr>
          </w:p>
          <w:p w14:paraId="5F89D0AE" w14:textId="77777777" w:rsidR="0075380B" w:rsidRPr="003549B4" w:rsidRDefault="0075380B" w:rsidP="00F17024">
            <w:pPr>
              <w:spacing w:after="0" w:line="240" w:lineRule="auto"/>
              <w:ind w:right="-108"/>
              <w:rPr>
                <w:rFonts w:ascii="Times New Roman" w:hAnsi="Times New Roman" w:cs="Times New Roman"/>
                <w:sz w:val="20"/>
                <w:szCs w:val="20"/>
              </w:rPr>
            </w:pPr>
          </w:p>
          <w:p w14:paraId="45178C09" w14:textId="77777777" w:rsidR="0075380B" w:rsidRPr="003549B4" w:rsidRDefault="0075380B" w:rsidP="00F17024">
            <w:pPr>
              <w:spacing w:after="0" w:line="240" w:lineRule="auto"/>
              <w:ind w:right="-108"/>
              <w:rPr>
                <w:rFonts w:ascii="Times New Roman" w:hAnsi="Times New Roman" w:cs="Times New Roman"/>
                <w:sz w:val="20"/>
                <w:szCs w:val="20"/>
              </w:rPr>
            </w:pPr>
          </w:p>
          <w:p w14:paraId="33641388" w14:textId="77777777" w:rsidR="0075380B" w:rsidRPr="003549B4" w:rsidRDefault="0075380B" w:rsidP="00F17024">
            <w:pPr>
              <w:spacing w:after="0" w:line="240" w:lineRule="auto"/>
              <w:ind w:right="-108"/>
              <w:rPr>
                <w:rFonts w:ascii="Times New Roman" w:hAnsi="Times New Roman" w:cs="Times New Roman"/>
                <w:sz w:val="20"/>
                <w:szCs w:val="20"/>
              </w:rPr>
            </w:pPr>
          </w:p>
          <w:p w14:paraId="214E0F37" w14:textId="77777777" w:rsidR="0075380B" w:rsidRPr="003549B4" w:rsidRDefault="0075380B" w:rsidP="00F17024">
            <w:pPr>
              <w:spacing w:after="0" w:line="240" w:lineRule="auto"/>
              <w:ind w:right="-108"/>
              <w:rPr>
                <w:rFonts w:ascii="Times New Roman" w:hAnsi="Times New Roman" w:cs="Times New Roman"/>
                <w:sz w:val="20"/>
                <w:szCs w:val="20"/>
              </w:rPr>
            </w:pPr>
          </w:p>
          <w:p w14:paraId="4AAA7D68" w14:textId="77777777" w:rsidR="0075380B" w:rsidRPr="003549B4" w:rsidRDefault="0075380B" w:rsidP="00F17024">
            <w:pPr>
              <w:spacing w:after="0" w:line="240" w:lineRule="auto"/>
              <w:ind w:right="-108"/>
              <w:rPr>
                <w:rFonts w:ascii="Times New Roman" w:hAnsi="Times New Roman" w:cs="Times New Roman"/>
                <w:sz w:val="20"/>
                <w:szCs w:val="20"/>
              </w:rPr>
            </w:pPr>
          </w:p>
          <w:p w14:paraId="0999E31D" w14:textId="77777777" w:rsidR="0075380B" w:rsidRPr="003549B4" w:rsidRDefault="0075380B" w:rsidP="00F17024">
            <w:pPr>
              <w:spacing w:after="0" w:line="240" w:lineRule="auto"/>
              <w:ind w:right="-108"/>
              <w:rPr>
                <w:rFonts w:ascii="Times New Roman" w:hAnsi="Times New Roman" w:cs="Times New Roman"/>
                <w:sz w:val="20"/>
                <w:szCs w:val="20"/>
              </w:rPr>
            </w:pPr>
          </w:p>
          <w:p w14:paraId="6FAA8B53" w14:textId="77777777" w:rsidR="004A0787" w:rsidRPr="003549B4" w:rsidRDefault="004A0787" w:rsidP="00F17024">
            <w:pPr>
              <w:spacing w:after="0" w:line="240" w:lineRule="auto"/>
              <w:ind w:right="-108"/>
              <w:rPr>
                <w:rFonts w:ascii="Times New Roman" w:hAnsi="Times New Roman" w:cs="Times New Roman"/>
                <w:sz w:val="20"/>
                <w:szCs w:val="20"/>
              </w:rPr>
            </w:pPr>
          </w:p>
          <w:p w14:paraId="7CAFED67" w14:textId="77777777" w:rsidR="004A0787" w:rsidRPr="003549B4" w:rsidRDefault="004A0787" w:rsidP="00F17024">
            <w:pPr>
              <w:spacing w:after="0" w:line="240" w:lineRule="auto"/>
              <w:ind w:right="-108"/>
              <w:rPr>
                <w:rFonts w:ascii="Times New Roman" w:hAnsi="Times New Roman" w:cs="Times New Roman"/>
                <w:sz w:val="20"/>
                <w:szCs w:val="20"/>
              </w:rPr>
            </w:pPr>
          </w:p>
          <w:p w14:paraId="04338B2C" w14:textId="77777777" w:rsidR="004A0787" w:rsidRPr="003549B4" w:rsidRDefault="004A0787" w:rsidP="00F17024">
            <w:pPr>
              <w:spacing w:after="0" w:line="240" w:lineRule="auto"/>
              <w:ind w:right="-108"/>
              <w:rPr>
                <w:rFonts w:ascii="Times New Roman" w:hAnsi="Times New Roman" w:cs="Times New Roman"/>
                <w:sz w:val="20"/>
                <w:szCs w:val="20"/>
              </w:rPr>
            </w:pPr>
          </w:p>
          <w:p w14:paraId="486EC91C" w14:textId="77777777" w:rsidR="004A0787" w:rsidRPr="003549B4" w:rsidRDefault="004A0787" w:rsidP="00F17024">
            <w:pPr>
              <w:spacing w:after="0" w:line="240" w:lineRule="auto"/>
              <w:ind w:right="-108"/>
              <w:rPr>
                <w:rFonts w:ascii="Times New Roman" w:hAnsi="Times New Roman" w:cs="Times New Roman"/>
                <w:sz w:val="20"/>
                <w:szCs w:val="20"/>
              </w:rPr>
            </w:pPr>
          </w:p>
          <w:p w14:paraId="5D2624DE" w14:textId="77777777" w:rsidR="004A0787" w:rsidRPr="003549B4" w:rsidRDefault="004A0787" w:rsidP="00F17024">
            <w:pPr>
              <w:spacing w:after="0" w:line="240" w:lineRule="auto"/>
              <w:ind w:right="-108"/>
              <w:rPr>
                <w:rFonts w:ascii="Times New Roman" w:hAnsi="Times New Roman" w:cs="Times New Roman"/>
                <w:sz w:val="20"/>
                <w:szCs w:val="20"/>
              </w:rPr>
            </w:pPr>
          </w:p>
          <w:p w14:paraId="1B612F7E" w14:textId="77777777" w:rsidR="004A0787" w:rsidRPr="003549B4" w:rsidRDefault="004A0787" w:rsidP="00F17024">
            <w:pPr>
              <w:spacing w:after="0" w:line="240" w:lineRule="auto"/>
              <w:ind w:right="-108"/>
              <w:rPr>
                <w:rFonts w:ascii="Times New Roman" w:hAnsi="Times New Roman" w:cs="Times New Roman"/>
                <w:sz w:val="20"/>
                <w:szCs w:val="20"/>
              </w:rPr>
            </w:pPr>
          </w:p>
          <w:p w14:paraId="7A67BC40" w14:textId="77777777" w:rsidR="004A0787" w:rsidRPr="003549B4" w:rsidRDefault="004A0787" w:rsidP="00F17024">
            <w:pPr>
              <w:spacing w:after="0" w:line="240" w:lineRule="auto"/>
              <w:ind w:right="-108"/>
              <w:rPr>
                <w:rFonts w:ascii="Times New Roman" w:hAnsi="Times New Roman" w:cs="Times New Roman"/>
                <w:sz w:val="20"/>
                <w:szCs w:val="20"/>
              </w:rPr>
            </w:pPr>
          </w:p>
          <w:p w14:paraId="78ADEE64" w14:textId="77777777" w:rsidR="00B12E56" w:rsidRPr="003549B4" w:rsidRDefault="00B12E56" w:rsidP="00F17024">
            <w:pPr>
              <w:spacing w:after="0" w:line="240" w:lineRule="auto"/>
              <w:ind w:right="-108"/>
              <w:rPr>
                <w:rFonts w:ascii="Times New Roman" w:hAnsi="Times New Roman" w:cs="Times New Roman"/>
                <w:sz w:val="20"/>
                <w:szCs w:val="20"/>
              </w:rPr>
            </w:pPr>
          </w:p>
          <w:p w14:paraId="439F5802" w14:textId="77777777" w:rsidR="0075380B" w:rsidRPr="003549B4" w:rsidRDefault="00B12E56"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NV4</w:t>
            </w:r>
          </w:p>
        </w:tc>
        <w:tc>
          <w:tcPr>
            <w:tcW w:w="569" w:type="dxa"/>
          </w:tcPr>
          <w:p w14:paraId="53000AEF"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lastRenderedPageBreak/>
              <w:t>§34</w:t>
            </w:r>
          </w:p>
          <w:p w14:paraId="43B0543B"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xml:space="preserve">O9 </w:t>
            </w:r>
          </w:p>
          <w:p w14:paraId="5E9C3A5E" w14:textId="77777777" w:rsidR="0075380B" w:rsidRPr="003549B4" w:rsidRDefault="009B1CDE"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Pa</w:t>
            </w:r>
            <w:r w:rsidR="0075380B" w:rsidRPr="003549B4">
              <w:rPr>
                <w:rFonts w:ascii="Times New Roman" w:hAnsi="Times New Roman" w:cs="Times New Roman"/>
                <w:sz w:val="20"/>
                <w:szCs w:val="20"/>
              </w:rPr>
              <w:t>),</w:t>
            </w:r>
          </w:p>
          <w:p w14:paraId="2A78074F" w14:textId="77777777" w:rsidR="0075380B" w:rsidRPr="003549B4" w:rsidRDefault="009B1CDE"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b),c</w:t>
            </w:r>
            <w:r w:rsidR="0075380B" w:rsidRPr="003549B4">
              <w:rPr>
                <w:rFonts w:ascii="Times New Roman" w:hAnsi="Times New Roman" w:cs="Times New Roman"/>
                <w:sz w:val="20"/>
                <w:szCs w:val="20"/>
              </w:rPr>
              <w:t>)</w:t>
            </w:r>
          </w:p>
          <w:p w14:paraId="59BD2F66"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49D043C1"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55C42BF0"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61D67472"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7B3E2695"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1A5B14EC"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333E5FB4"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7AEA382E"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067A3AF8"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1A34F21F"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7C39414F"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15</w:t>
            </w:r>
          </w:p>
          <w:p w14:paraId="3B8B80CA"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71D8A06B"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1E8F1D50"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73644406"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6892A2B2"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§15</w:t>
            </w:r>
          </w:p>
          <w:p w14:paraId="5C788511"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p w14:paraId="1695C76D" w14:textId="77777777" w:rsidR="00B12E56" w:rsidRPr="003549B4" w:rsidRDefault="00B12E56" w:rsidP="00F17024">
            <w:pPr>
              <w:spacing w:after="0" w:line="240" w:lineRule="auto"/>
              <w:ind w:left="14" w:right="-9" w:hanging="29"/>
              <w:rPr>
                <w:rFonts w:ascii="Times New Roman" w:hAnsi="Times New Roman" w:cs="Times New Roman"/>
                <w:sz w:val="20"/>
                <w:szCs w:val="20"/>
              </w:rPr>
            </w:pPr>
          </w:p>
          <w:p w14:paraId="0B1069CE" w14:textId="77777777" w:rsidR="00B12E56" w:rsidRPr="003549B4" w:rsidRDefault="00B12E56" w:rsidP="00F17024">
            <w:pPr>
              <w:spacing w:after="0" w:line="240" w:lineRule="auto"/>
              <w:ind w:left="14" w:right="-9" w:hanging="29"/>
              <w:rPr>
                <w:rFonts w:ascii="Times New Roman" w:hAnsi="Times New Roman" w:cs="Times New Roman"/>
                <w:sz w:val="20"/>
                <w:szCs w:val="20"/>
              </w:rPr>
            </w:pPr>
          </w:p>
          <w:p w14:paraId="0FB7C913" w14:textId="77777777" w:rsidR="00B12E56" w:rsidRPr="003549B4" w:rsidRDefault="00B12E56" w:rsidP="00F17024">
            <w:pPr>
              <w:spacing w:after="0" w:line="240" w:lineRule="auto"/>
              <w:ind w:left="14" w:right="-9" w:hanging="29"/>
              <w:rPr>
                <w:rFonts w:ascii="Times New Roman" w:hAnsi="Times New Roman" w:cs="Times New Roman"/>
                <w:sz w:val="20"/>
                <w:szCs w:val="20"/>
              </w:rPr>
            </w:pPr>
          </w:p>
          <w:p w14:paraId="18A98B16" w14:textId="77777777" w:rsidR="00B12E56" w:rsidRPr="003549B4" w:rsidRDefault="00B12E56" w:rsidP="00F17024">
            <w:pPr>
              <w:spacing w:after="0" w:line="240" w:lineRule="auto"/>
              <w:ind w:left="14" w:right="-9" w:hanging="29"/>
              <w:rPr>
                <w:rFonts w:ascii="Times New Roman" w:hAnsi="Times New Roman" w:cs="Times New Roman"/>
                <w:sz w:val="20"/>
                <w:szCs w:val="20"/>
              </w:rPr>
            </w:pPr>
          </w:p>
          <w:p w14:paraId="3B4992C6" w14:textId="77777777" w:rsidR="00B12E56" w:rsidRPr="003549B4" w:rsidRDefault="00B12E56" w:rsidP="00F17024">
            <w:pPr>
              <w:spacing w:after="0" w:line="240" w:lineRule="auto"/>
              <w:ind w:left="14" w:right="-9" w:hanging="29"/>
              <w:rPr>
                <w:rFonts w:ascii="Times New Roman" w:hAnsi="Times New Roman" w:cs="Times New Roman"/>
                <w:sz w:val="20"/>
                <w:szCs w:val="20"/>
              </w:rPr>
            </w:pPr>
          </w:p>
          <w:p w14:paraId="10909039" w14:textId="77777777" w:rsidR="00B12E56" w:rsidRPr="003549B4" w:rsidRDefault="00B12E56" w:rsidP="00F17024">
            <w:pPr>
              <w:spacing w:after="0" w:line="240" w:lineRule="auto"/>
              <w:ind w:left="14" w:right="-9" w:hanging="29"/>
              <w:rPr>
                <w:rFonts w:ascii="Times New Roman" w:hAnsi="Times New Roman" w:cs="Times New Roman"/>
                <w:sz w:val="20"/>
                <w:szCs w:val="20"/>
              </w:rPr>
            </w:pPr>
          </w:p>
          <w:p w14:paraId="14F98977" w14:textId="77777777" w:rsidR="00B12E56" w:rsidRPr="003549B4" w:rsidRDefault="00B12E56" w:rsidP="00F17024">
            <w:pPr>
              <w:spacing w:after="0" w:line="240" w:lineRule="auto"/>
              <w:ind w:left="14" w:right="-9" w:hanging="29"/>
              <w:rPr>
                <w:rFonts w:ascii="Times New Roman" w:hAnsi="Times New Roman" w:cs="Times New Roman"/>
                <w:sz w:val="20"/>
                <w:szCs w:val="20"/>
              </w:rPr>
            </w:pPr>
          </w:p>
          <w:p w14:paraId="441B5AE5" w14:textId="77777777" w:rsidR="00B12E56" w:rsidRPr="003549B4" w:rsidRDefault="00B12E56" w:rsidP="00F17024">
            <w:pPr>
              <w:spacing w:after="0" w:line="240" w:lineRule="auto"/>
              <w:ind w:left="14" w:right="-9" w:hanging="29"/>
              <w:rPr>
                <w:rFonts w:ascii="Times New Roman" w:hAnsi="Times New Roman" w:cs="Times New Roman"/>
                <w:sz w:val="20"/>
                <w:szCs w:val="20"/>
              </w:rPr>
            </w:pPr>
          </w:p>
          <w:p w14:paraId="687AD3AA" w14:textId="77777777" w:rsidR="00B12E56" w:rsidRPr="003549B4" w:rsidRDefault="00B12E56" w:rsidP="00F17024">
            <w:pPr>
              <w:spacing w:after="0" w:line="240" w:lineRule="auto"/>
              <w:ind w:left="14" w:right="-9" w:hanging="29"/>
              <w:rPr>
                <w:rFonts w:ascii="Times New Roman" w:hAnsi="Times New Roman" w:cs="Times New Roman"/>
                <w:sz w:val="20"/>
                <w:szCs w:val="20"/>
              </w:rPr>
            </w:pPr>
          </w:p>
          <w:p w14:paraId="4B16FDBE" w14:textId="77777777" w:rsidR="00B12E56" w:rsidRPr="003549B4" w:rsidRDefault="00B12E56"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Pr.1</w:t>
            </w:r>
          </w:p>
          <w:p w14:paraId="4C114BD2" w14:textId="77777777" w:rsidR="00B12E56" w:rsidRPr="003549B4" w:rsidRDefault="00B12E56" w:rsidP="00B12E56">
            <w:pPr>
              <w:spacing w:after="0" w:line="240" w:lineRule="auto"/>
              <w:ind w:left="14" w:right="-108" w:hanging="29"/>
              <w:rPr>
                <w:rFonts w:ascii="Times New Roman" w:hAnsi="Times New Roman" w:cs="Times New Roman"/>
                <w:sz w:val="20"/>
                <w:szCs w:val="20"/>
              </w:rPr>
            </w:pPr>
            <w:r w:rsidRPr="003549B4">
              <w:rPr>
                <w:rFonts w:ascii="Times New Roman" w:hAnsi="Times New Roman" w:cs="Times New Roman"/>
                <w:sz w:val="20"/>
                <w:szCs w:val="20"/>
              </w:rPr>
              <w:t>Časť 4</w:t>
            </w:r>
          </w:p>
          <w:p w14:paraId="4E96A369"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tcPr>
          <w:p w14:paraId="0407D11C" w14:textId="77777777" w:rsidR="0075380B" w:rsidRPr="003549B4" w:rsidRDefault="0075380B" w:rsidP="00824651">
            <w:pPr>
              <w:pStyle w:val="odsek"/>
              <w:numPr>
                <w:ilvl w:val="0"/>
                <w:numId w:val="0"/>
              </w:numPr>
              <w:spacing w:before="120" w:after="0" w:line="240" w:lineRule="auto"/>
              <w:rPr>
                <w:rFonts w:eastAsia="Calibri"/>
                <w:color w:val="auto"/>
                <w:sz w:val="20"/>
                <w:szCs w:val="20"/>
                <w:lang w:eastAsia="en-US"/>
              </w:rPr>
            </w:pPr>
            <w:r w:rsidRPr="003549B4">
              <w:rPr>
                <w:rFonts w:eastAsia="Calibri"/>
                <w:color w:val="auto"/>
                <w:sz w:val="20"/>
                <w:szCs w:val="20"/>
                <w:lang w:eastAsia="en-US"/>
              </w:rPr>
              <w:lastRenderedPageBreak/>
              <w:t xml:space="preserve">(9) </w:t>
            </w:r>
            <w:r w:rsidR="0053748B" w:rsidRPr="003549B4">
              <w:rPr>
                <w:rFonts w:eastAsia="Calibri"/>
                <w:color w:val="auto"/>
                <w:sz w:val="20"/>
                <w:szCs w:val="20"/>
                <w:lang w:eastAsia="en-US"/>
              </w:rPr>
              <w:t>Prevádzkovatelia väčších stredných spaľovacích zariadení sú pri uvedených neštandardných prevádzkových stavoch okrem povinností podľa odseku 7, povinní</w:t>
            </w:r>
          </w:p>
          <w:p w14:paraId="3AEDCA1B" w14:textId="77777777" w:rsidR="0075380B" w:rsidRPr="003549B4" w:rsidRDefault="0075380B" w:rsidP="00824651">
            <w:pPr>
              <w:pStyle w:val="odsek"/>
              <w:numPr>
                <w:ilvl w:val="0"/>
                <w:numId w:val="0"/>
              </w:numPr>
              <w:spacing w:before="120" w:after="0" w:line="240" w:lineRule="auto"/>
              <w:rPr>
                <w:rFonts w:eastAsia="Calibri"/>
                <w:color w:val="auto"/>
                <w:sz w:val="20"/>
                <w:szCs w:val="20"/>
                <w:lang w:eastAsia="en-US"/>
              </w:rPr>
            </w:pPr>
            <w:r w:rsidRPr="003549B4">
              <w:rPr>
                <w:rFonts w:eastAsia="Calibri"/>
                <w:color w:val="auto"/>
                <w:sz w:val="20"/>
                <w:szCs w:val="20"/>
                <w:lang w:eastAsia="en-US"/>
              </w:rPr>
              <w:t>a) oznámiť bezodkladne povoľujúcemu orgánu prerušenie dodávky nízkosírneho paliva a požiadať o udelenie výnimky na použitie iného paliva,</w:t>
            </w:r>
          </w:p>
          <w:p w14:paraId="4F6F4AB8" w14:textId="77777777" w:rsidR="0075380B" w:rsidRPr="003549B4" w:rsidRDefault="0075380B" w:rsidP="00824651">
            <w:pPr>
              <w:pStyle w:val="odsek"/>
              <w:numPr>
                <w:ilvl w:val="0"/>
                <w:numId w:val="0"/>
              </w:numPr>
              <w:spacing w:before="120" w:after="0" w:line="240" w:lineRule="auto"/>
              <w:rPr>
                <w:rFonts w:eastAsia="Calibri"/>
                <w:color w:val="auto"/>
                <w:sz w:val="20"/>
                <w:szCs w:val="20"/>
                <w:lang w:eastAsia="en-US"/>
              </w:rPr>
            </w:pPr>
            <w:r w:rsidRPr="003549B4">
              <w:rPr>
                <w:rFonts w:eastAsia="Calibri"/>
                <w:color w:val="auto"/>
                <w:sz w:val="20"/>
                <w:szCs w:val="20"/>
                <w:lang w:eastAsia="en-US"/>
              </w:rPr>
              <w:t xml:space="preserve">b) oznámiť bezodkladne povoľujúcemu orgánu prerušenie dodávky zemného plynu a požiadať o udelenie výnimky na použitie iného paliva, </w:t>
            </w:r>
          </w:p>
          <w:p w14:paraId="7B9257AC" w14:textId="77777777" w:rsidR="0075380B" w:rsidRPr="003549B4" w:rsidRDefault="0075380B" w:rsidP="00824651">
            <w:pPr>
              <w:pStyle w:val="Textpsmene"/>
              <w:spacing w:before="120" w:after="0" w:line="240" w:lineRule="auto"/>
              <w:rPr>
                <w:rFonts w:eastAsia="Calibri"/>
                <w:lang w:val="sk-SK" w:eastAsia="en-US"/>
              </w:rPr>
            </w:pPr>
            <w:r w:rsidRPr="003549B4">
              <w:rPr>
                <w:rFonts w:eastAsia="Calibri"/>
                <w:lang w:val="sk-SK" w:eastAsia="en-US"/>
              </w:rPr>
              <w:t>c) neprekročiť povolený prevádzkový čas pri uplatňovaní výnimky podľa písmena a) a b).</w:t>
            </w:r>
          </w:p>
          <w:p w14:paraId="383A51BA" w14:textId="77777777" w:rsidR="0075380B" w:rsidRPr="003549B4" w:rsidRDefault="0075380B" w:rsidP="00824651">
            <w:pPr>
              <w:pStyle w:val="Textpsmene"/>
              <w:tabs>
                <w:tab w:val="left" w:pos="2385"/>
              </w:tabs>
              <w:spacing w:after="0" w:line="240" w:lineRule="auto"/>
              <w:rPr>
                <w:rFonts w:eastAsia="Calibri"/>
                <w:lang w:val="sk-SK" w:eastAsia="en-US"/>
              </w:rPr>
            </w:pPr>
          </w:p>
          <w:p w14:paraId="305E2A4F" w14:textId="77777777" w:rsidR="0075380B" w:rsidRPr="003549B4" w:rsidRDefault="001938F7" w:rsidP="001938F7">
            <w:pPr>
              <w:pStyle w:val="odsek"/>
              <w:numPr>
                <w:ilvl w:val="0"/>
                <w:numId w:val="0"/>
              </w:numPr>
              <w:spacing w:after="0" w:line="240" w:lineRule="auto"/>
              <w:ind w:left="33"/>
              <w:rPr>
                <w:rFonts w:eastAsia="Calibri"/>
                <w:color w:val="auto"/>
                <w:sz w:val="20"/>
                <w:szCs w:val="20"/>
                <w:lang w:eastAsia="en-US"/>
              </w:rPr>
            </w:pPr>
            <w:r w:rsidRPr="003549B4">
              <w:rPr>
                <w:rFonts w:eastAsia="Calibri"/>
                <w:color w:val="auto"/>
                <w:sz w:val="20"/>
                <w:szCs w:val="20"/>
                <w:lang w:eastAsia="en-US"/>
              </w:rPr>
              <w:t>(1)</w:t>
            </w:r>
            <w:r w:rsidR="0075380B" w:rsidRPr="003549B4">
              <w:rPr>
                <w:rFonts w:eastAsia="Calibri"/>
                <w:color w:val="auto"/>
                <w:sz w:val="20"/>
                <w:szCs w:val="20"/>
                <w:lang w:eastAsia="en-US"/>
              </w:rPr>
              <w:t>Z dôvodu prerušenia dodávky nízkosírneho paliva pre jeho vážny nedostatok, možno pre spaľovacie zariadenie, ktoré spaľuje palivo s nízkym obsahom síry, povoliť na obmedzený čas, najviac však na šesť mesiacov, vyššie emisie SO</w:t>
            </w:r>
            <w:r w:rsidR="0075380B" w:rsidRPr="003549B4">
              <w:rPr>
                <w:rFonts w:eastAsia="Calibri"/>
                <w:color w:val="auto"/>
                <w:sz w:val="20"/>
                <w:szCs w:val="20"/>
                <w:vertAlign w:val="subscript"/>
                <w:lang w:eastAsia="en-US"/>
              </w:rPr>
              <w:t>2</w:t>
            </w:r>
            <w:r w:rsidR="0075380B" w:rsidRPr="003549B4">
              <w:rPr>
                <w:rFonts w:eastAsia="Calibri"/>
                <w:color w:val="auto"/>
                <w:sz w:val="20"/>
                <w:szCs w:val="20"/>
                <w:lang w:eastAsia="en-US"/>
              </w:rPr>
              <w:t>, ako sú ustanovené emisné limity.</w:t>
            </w:r>
          </w:p>
          <w:p w14:paraId="2789D518" w14:textId="77777777" w:rsidR="0075380B" w:rsidRPr="003549B4" w:rsidRDefault="0075380B" w:rsidP="0075380B">
            <w:pPr>
              <w:pStyle w:val="odsek"/>
              <w:numPr>
                <w:ilvl w:val="0"/>
                <w:numId w:val="0"/>
              </w:numPr>
              <w:spacing w:after="0" w:line="240" w:lineRule="auto"/>
              <w:rPr>
                <w:rFonts w:eastAsia="Calibri"/>
                <w:color w:val="auto"/>
                <w:sz w:val="20"/>
                <w:szCs w:val="20"/>
                <w:lang w:eastAsia="en-US"/>
              </w:rPr>
            </w:pPr>
          </w:p>
          <w:p w14:paraId="6DC0BCA1" w14:textId="77777777" w:rsidR="0075380B" w:rsidRPr="003549B4" w:rsidRDefault="0075380B" w:rsidP="0075380B">
            <w:pPr>
              <w:pStyle w:val="odsek"/>
              <w:numPr>
                <w:ilvl w:val="0"/>
                <w:numId w:val="0"/>
              </w:numPr>
              <w:spacing w:after="0" w:line="240" w:lineRule="auto"/>
              <w:rPr>
                <w:rFonts w:eastAsia="Calibri"/>
                <w:color w:val="auto"/>
                <w:sz w:val="20"/>
                <w:szCs w:val="20"/>
                <w:lang w:eastAsia="en-US"/>
              </w:rPr>
            </w:pPr>
            <w:r w:rsidRPr="003549B4">
              <w:rPr>
                <w:rFonts w:eastAsia="Calibri"/>
                <w:color w:val="auto"/>
                <w:sz w:val="20"/>
                <w:szCs w:val="20"/>
                <w:lang w:eastAsia="en-US"/>
              </w:rPr>
              <w:t>(2) Z dôvodu náhleho výpadku dodávky plynu a stavu núdze podľa osobitného predpisu</w:t>
            </w:r>
            <w:r w:rsidRPr="003549B4">
              <w:rPr>
                <w:rFonts w:eastAsia="Calibri"/>
                <w:color w:val="auto"/>
                <w:sz w:val="20"/>
                <w:szCs w:val="20"/>
                <w:vertAlign w:val="superscript"/>
                <w:lang w:eastAsia="en-US"/>
              </w:rPr>
              <w:t>7</w:t>
            </w:r>
            <w:r w:rsidRPr="003549B4">
              <w:rPr>
                <w:rFonts w:eastAsia="Calibri"/>
                <w:color w:val="auto"/>
                <w:sz w:val="20"/>
                <w:szCs w:val="20"/>
                <w:lang w:eastAsia="en-US"/>
              </w:rPr>
              <w:t xml:space="preserve">) možno pre spaľovacie zariadenie, ktoré spaľuje len plynné palivo, povoliť na obmedzený čas používanie iných palív, </w:t>
            </w:r>
            <w:r w:rsidRPr="003549B4">
              <w:rPr>
                <w:rFonts w:eastAsia="Calibri"/>
                <w:color w:val="auto"/>
                <w:sz w:val="20"/>
                <w:szCs w:val="20"/>
                <w:lang w:eastAsia="en-US"/>
              </w:rPr>
              <w:lastRenderedPageBreak/>
              <w:t>ktoré vyžadujú odlučovanie, a povoliť vyššie emisie znečisťujúcich látok ako ustanovené emisné limity, najviac však na desať dní. Tento čas môže byť prekročený, ak z dôvodu potreby prednostnej dodávky energie je nutné spaľovať iné palivo, ktoré si na dodržanie emisných limitov vyžaduje odlučovanie.</w:t>
            </w:r>
          </w:p>
          <w:p w14:paraId="16114E33" w14:textId="77777777" w:rsidR="0075380B" w:rsidRPr="003549B4" w:rsidRDefault="0075380B" w:rsidP="0075380B">
            <w:pPr>
              <w:pStyle w:val="Textpoznmkypodiarou"/>
              <w:spacing w:before="120" w:after="0" w:line="240" w:lineRule="auto"/>
              <w:jc w:val="both"/>
            </w:pPr>
            <w:r w:rsidRPr="003549B4">
              <w:rPr>
                <w:vertAlign w:val="superscript"/>
              </w:rPr>
              <w:t>7</w:t>
            </w:r>
            <w:r w:rsidRPr="003549B4">
              <w:t>) § 21 zákona č. 251/2012Z. z. o energetike a o zmene a doplnení niektorých zákonov.</w:t>
            </w:r>
          </w:p>
          <w:p w14:paraId="30F1A89C" w14:textId="77777777" w:rsidR="0075380B" w:rsidRPr="003549B4" w:rsidRDefault="0075380B" w:rsidP="004A0787">
            <w:pPr>
              <w:pStyle w:val="Textpsmene"/>
              <w:spacing w:before="120" w:after="0" w:line="240" w:lineRule="auto"/>
              <w:rPr>
                <w:rFonts w:eastAsia="Calibri"/>
                <w:lang w:val="sk-SK"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436"/>
              <w:gridCol w:w="2986"/>
              <w:gridCol w:w="1297"/>
            </w:tblGrid>
            <w:tr w:rsidR="00B12E56" w:rsidRPr="003549B4" w14:paraId="4E0931F2" w14:textId="77777777" w:rsidTr="00353E37">
              <w:tc>
                <w:tcPr>
                  <w:tcW w:w="2294" w:type="dxa"/>
                  <w:vMerge w:val="restar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1DE3759" w14:textId="77777777" w:rsidR="00B12E56" w:rsidRPr="003549B4" w:rsidRDefault="00B12E56" w:rsidP="00353E37">
                  <w:pPr>
                    <w:rPr>
                      <w:rFonts w:ascii="Times New Roman" w:eastAsia="Trebuchet MS" w:hAnsi="Times New Roman" w:cs="Times New Roman"/>
                      <w:sz w:val="20"/>
                      <w:szCs w:val="20"/>
                    </w:rPr>
                  </w:pPr>
                  <w:r w:rsidRPr="003549B4">
                    <w:rPr>
                      <w:rFonts w:ascii="Times New Roman" w:eastAsia="Trebuchet MS" w:hAnsi="Times New Roman" w:cs="Times New Roman"/>
                      <w:sz w:val="20"/>
                      <w:szCs w:val="20"/>
                      <w:lang w:eastAsia="zh-CN"/>
                    </w:rPr>
                    <w:t>Oznámenie o uplatnení výnimky z emisných limitov</w:t>
                  </w: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4FE2089" w14:textId="77777777" w:rsidR="00B12E56" w:rsidRPr="003549B4" w:rsidRDefault="00B12E56" w:rsidP="00353E37">
                  <w:pPr>
                    <w:rPr>
                      <w:rFonts w:ascii="Times New Roman" w:eastAsia="Trebuchet MS" w:hAnsi="Times New Roman" w:cs="Times New Roman"/>
                      <w:sz w:val="20"/>
                      <w:szCs w:val="20"/>
                    </w:rPr>
                  </w:pPr>
                  <w:r w:rsidRPr="003549B4">
                    <w:rPr>
                      <w:rFonts w:ascii="Times New Roman" w:eastAsia="Trebuchet MS" w:hAnsi="Times New Roman" w:cs="Times New Roman"/>
                      <w:sz w:val="20"/>
                      <w:szCs w:val="20"/>
                      <w:lang w:eastAsia="zh-CN"/>
                    </w:rPr>
                    <w:t>Pre nedostatok nízkosírneho paliva.</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432DB06" w14:textId="77777777" w:rsidR="00B12E56" w:rsidRPr="003549B4" w:rsidRDefault="00B12E56" w:rsidP="00353E37">
                  <w:pPr>
                    <w:rPr>
                      <w:rFonts w:ascii="Times New Roman" w:eastAsia="Trebuchet MS" w:hAnsi="Times New Roman" w:cs="Times New Roman"/>
                      <w:sz w:val="20"/>
                      <w:szCs w:val="20"/>
                    </w:rPr>
                  </w:pPr>
                  <w:r w:rsidRPr="003549B4">
                    <w:rPr>
                      <w:rFonts w:ascii="Times New Roman" w:eastAsia="Trebuchet MS" w:hAnsi="Times New Roman" w:cs="Times New Roman"/>
                      <w:sz w:val="20"/>
                      <w:szCs w:val="20"/>
                      <w:lang w:eastAsia="zh-CN"/>
                    </w:rPr>
                    <w:t>Do jedného mesiaca</w:t>
                  </w:r>
                  <w:r w:rsidRPr="003549B4">
                    <w:rPr>
                      <w:rFonts w:ascii="Times New Roman" w:eastAsia="Trebuchet MS" w:hAnsi="Times New Roman" w:cs="Times New Roman"/>
                      <w:sz w:val="20"/>
                      <w:szCs w:val="20"/>
                      <w:lang w:eastAsia="zh-CN"/>
                    </w:rPr>
                    <w:br/>
                    <w:t>od uplatnenia výnimky</w:t>
                  </w:r>
                </w:p>
              </w:tc>
            </w:tr>
            <w:tr w:rsidR="00B12E56" w:rsidRPr="003549B4" w14:paraId="6412699C" w14:textId="77777777" w:rsidTr="00353E37">
              <w:tc>
                <w:tcPr>
                  <w:tcW w:w="2294" w:type="dxa"/>
                  <w:vMerge/>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1CDF6AA" w14:textId="77777777" w:rsidR="00B12E56" w:rsidRPr="003549B4" w:rsidRDefault="00B12E56" w:rsidP="00353E37">
                  <w:pPr>
                    <w:rPr>
                      <w:rFonts w:ascii="Times New Roman" w:eastAsia="Trebuchet MS" w:hAnsi="Times New Roman" w:cs="Times New Roman"/>
                      <w:sz w:val="20"/>
                      <w:szCs w:val="20"/>
                      <w:lang w:eastAsia="zh-CN"/>
                    </w:rPr>
                  </w:pP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57CCB38" w14:textId="77777777" w:rsidR="00B12E56" w:rsidRPr="003549B4" w:rsidRDefault="00B12E56" w:rsidP="00353E37">
                  <w:pPr>
                    <w:rPr>
                      <w:rFonts w:ascii="Times New Roman" w:eastAsia="Trebuchet MS" w:hAnsi="Times New Roman" w:cs="Times New Roman"/>
                      <w:sz w:val="20"/>
                      <w:szCs w:val="20"/>
                    </w:rPr>
                  </w:pPr>
                  <w:r w:rsidRPr="003549B4">
                    <w:rPr>
                      <w:rFonts w:ascii="Times New Roman" w:eastAsia="Trebuchet MS" w:hAnsi="Times New Roman" w:cs="Times New Roman"/>
                      <w:sz w:val="20"/>
                      <w:szCs w:val="20"/>
                      <w:lang w:eastAsia="zh-CN"/>
                    </w:rPr>
                    <w:t>Pri prerušení dodávky plynu, ak ide o zariadenie, ktoré používa v riadnej prevádzke len plynné palivá.</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F8D2005" w14:textId="77777777" w:rsidR="00B12E56" w:rsidRPr="003549B4" w:rsidRDefault="00B12E56" w:rsidP="00353E37">
                  <w:pPr>
                    <w:rPr>
                      <w:rFonts w:ascii="Times New Roman" w:eastAsia="Trebuchet MS" w:hAnsi="Times New Roman" w:cs="Times New Roman"/>
                      <w:sz w:val="20"/>
                      <w:szCs w:val="20"/>
                    </w:rPr>
                  </w:pPr>
                  <w:r w:rsidRPr="003549B4">
                    <w:rPr>
                      <w:rFonts w:ascii="Times New Roman" w:eastAsia="Trebuchet MS" w:hAnsi="Times New Roman" w:cs="Times New Roman"/>
                      <w:sz w:val="20"/>
                      <w:szCs w:val="20"/>
                      <w:lang w:eastAsia="zh-CN"/>
                    </w:rPr>
                    <w:t>Do jedného mesiaca</w:t>
                  </w:r>
                  <w:r w:rsidRPr="003549B4">
                    <w:rPr>
                      <w:rFonts w:ascii="Times New Roman" w:eastAsia="Trebuchet MS" w:hAnsi="Times New Roman" w:cs="Times New Roman"/>
                      <w:sz w:val="20"/>
                      <w:szCs w:val="20"/>
                      <w:lang w:eastAsia="zh-CN"/>
                    </w:rPr>
                    <w:br/>
                    <w:t>od uplatnenia výnimky</w:t>
                  </w:r>
                </w:p>
              </w:tc>
            </w:tr>
          </w:tbl>
          <w:p w14:paraId="316A6103" w14:textId="77777777" w:rsidR="0075380B" w:rsidRPr="003549B4" w:rsidRDefault="0075380B" w:rsidP="00824651">
            <w:pPr>
              <w:spacing w:after="0"/>
              <w:contextualSpacing/>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591873AD" w14:textId="77777777" w:rsidR="0075380B" w:rsidRPr="003549B4" w:rsidRDefault="009B1CDE"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1A1A878C"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7EBE2F7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30AD107"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O13</w:t>
            </w:r>
          </w:p>
        </w:tc>
        <w:tc>
          <w:tcPr>
            <w:tcW w:w="6287" w:type="dxa"/>
          </w:tcPr>
          <w:p w14:paraId="1101CF6A"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13. Keď sa v stredne veľkom spaľovacom zariadení používajú súčasne dve alebo viac palív, emisný limit sa pre každú znečisťujúcu látku vypočíta takto:</w:t>
            </w:r>
          </w:p>
          <w:tbl>
            <w:tblPr>
              <w:tblW w:w="5000" w:type="pct"/>
              <w:tblCellSpacing w:w="0" w:type="dxa"/>
              <w:tblLayout w:type="fixed"/>
              <w:tblCellMar>
                <w:left w:w="0" w:type="dxa"/>
                <w:right w:w="0" w:type="dxa"/>
              </w:tblCellMar>
              <w:tblLook w:val="00A0" w:firstRow="1" w:lastRow="0" w:firstColumn="1" w:lastColumn="0" w:noHBand="0" w:noVBand="0"/>
            </w:tblPr>
            <w:tblGrid>
              <w:gridCol w:w="155"/>
              <w:gridCol w:w="9"/>
              <w:gridCol w:w="9"/>
              <w:gridCol w:w="5840"/>
            </w:tblGrid>
            <w:tr w:rsidR="0075380B" w:rsidRPr="003549B4" w14:paraId="3B5451C5" w14:textId="77777777" w:rsidTr="0096525A">
              <w:trPr>
                <w:tblCellSpacing w:w="0" w:type="dxa"/>
              </w:trPr>
              <w:tc>
                <w:tcPr>
                  <w:tcW w:w="144" w:type="dxa"/>
                </w:tcPr>
                <w:p w14:paraId="0D7ECF22"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a</w:t>
                  </w:r>
                </w:p>
              </w:tc>
              <w:tc>
                <w:tcPr>
                  <w:tcW w:w="5411" w:type="dxa"/>
                  <w:gridSpan w:val="3"/>
                </w:tcPr>
                <w:p w14:paraId="54DCF29D"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)každému jednotlivému palivu sa priradí príslušný emisný limit, ako je stanovený v prílohe II;</w:t>
                  </w:r>
                </w:p>
              </w:tc>
            </w:tr>
            <w:tr w:rsidR="0075380B" w:rsidRPr="003549B4" w14:paraId="2812F586" w14:textId="77777777" w:rsidTr="0096525A">
              <w:trPr>
                <w:tblCellSpacing w:w="0" w:type="dxa"/>
              </w:trPr>
              <w:tc>
                <w:tcPr>
                  <w:tcW w:w="152" w:type="dxa"/>
                  <w:gridSpan w:val="2"/>
                </w:tcPr>
                <w:p w14:paraId="2CD1B926"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b</w:t>
                  </w:r>
                </w:p>
              </w:tc>
              <w:tc>
                <w:tcPr>
                  <w:tcW w:w="5403" w:type="dxa"/>
                  <w:gridSpan w:val="2"/>
                </w:tcPr>
                <w:p w14:paraId="04B8C4B2"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)určia sa vážené emisné limity jednotlivých palív, ktoré sa získajú vynásobením jednotlivých emisných limitov uvedených v písmene a) tepelným príkonom dodaným každým palivom a následným vydelením výsledku súčtom tepelných </w:t>
                  </w:r>
                </w:p>
                <w:p w14:paraId="3F5E84A1"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dodaných všetkými palivami, a</w:t>
                  </w:r>
                </w:p>
              </w:tc>
            </w:tr>
            <w:tr w:rsidR="0075380B" w:rsidRPr="003549B4" w14:paraId="049796C9" w14:textId="77777777" w:rsidTr="0096525A">
              <w:trPr>
                <w:tblCellSpacing w:w="0" w:type="dxa"/>
              </w:trPr>
              <w:tc>
                <w:tcPr>
                  <w:tcW w:w="160" w:type="dxa"/>
                  <w:gridSpan w:val="3"/>
                </w:tcPr>
                <w:p w14:paraId="7A61D1C5"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c)</w:t>
                  </w:r>
                </w:p>
              </w:tc>
              <w:tc>
                <w:tcPr>
                  <w:tcW w:w="5395" w:type="dxa"/>
                </w:tcPr>
                <w:p w14:paraId="15B96655"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vytvorí sa súhrn vážených emisných limitov jednotlivých palív.</w:t>
                  </w:r>
                </w:p>
              </w:tc>
            </w:tr>
          </w:tbl>
          <w:p w14:paraId="46805092" w14:textId="77777777" w:rsidR="0075380B" w:rsidRPr="003549B4" w:rsidRDefault="0075380B" w:rsidP="00824651">
            <w:pPr>
              <w:spacing w:before="120" w:after="0" w:line="240" w:lineRule="auto"/>
              <w:rPr>
                <w:rFonts w:ascii="Times New Roman" w:hAnsi="Times New Roman" w:cs="Times New Roman"/>
                <w:sz w:val="20"/>
                <w:szCs w:val="20"/>
              </w:rPr>
            </w:pPr>
          </w:p>
        </w:tc>
        <w:tc>
          <w:tcPr>
            <w:tcW w:w="433" w:type="dxa"/>
          </w:tcPr>
          <w:p w14:paraId="439FC9AE"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6408ED7A" w14:textId="77777777" w:rsidR="0075380B" w:rsidRPr="003549B4" w:rsidRDefault="0075380B"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458B5649" w14:textId="77777777" w:rsidR="0075380B" w:rsidRPr="003549B4" w:rsidRDefault="0075380B" w:rsidP="00F17024">
            <w:pPr>
              <w:spacing w:before="120" w:after="0" w:line="240" w:lineRule="auto"/>
              <w:ind w:right="-108"/>
              <w:rPr>
                <w:rFonts w:ascii="Times New Roman" w:hAnsi="Times New Roman" w:cs="Times New Roman"/>
                <w:sz w:val="20"/>
                <w:szCs w:val="20"/>
              </w:rPr>
            </w:pPr>
          </w:p>
        </w:tc>
        <w:tc>
          <w:tcPr>
            <w:tcW w:w="569" w:type="dxa"/>
          </w:tcPr>
          <w:p w14:paraId="0D79F6C1" w14:textId="77777777" w:rsidR="0075380B" w:rsidRPr="003549B4" w:rsidRDefault="00005C03"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Pr.4</w:t>
            </w:r>
          </w:p>
          <w:p w14:paraId="1AFC017D" w14:textId="77777777" w:rsidR="00005C03" w:rsidRPr="003549B4" w:rsidRDefault="00005C03"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Časť II.</w:t>
            </w:r>
          </w:p>
          <w:p w14:paraId="50D1D4CD" w14:textId="77777777" w:rsidR="00005C03" w:rsidRPr="003549B4" w:rsidRDefault="00005C03"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Bod 1.3</w:t>
            </w:r>
          </w:p>
          <w:p w14:paraId="1CDDA5C0"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p>
        </w:tc>
        <w:tc>
          <w:tcPr>
            <w:tcW w:w="6006" w:type="dxa"/>
          </w:tcPr>
          <w:p w14:paraId="7E2C7217" w14:textId="77777777" w:rsidR="00005C03" w:rsidRPr="003549B4" w:rsidRDefault="00005C03" w:rsidP="00005C03">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1.3 Emisný limit vyjadrený ako modifikovaný vážený priemer sa určí takto:</w:t>
            </w:r>
          </w:p>
          <w:p w14:paraId="0A21D72B" w14:textId="77777777" w:rsidR="00005C03" w:rsidRPr="003549B4" w:rsidRDefault="00005C03" w:rsidP="00005C03">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a) pre každé palivo a časť zariadenia, ktorá uplatňuje rovnaký emisný limit pre danú znečisťujúcu látku sa určí emisný limit zodpovedajúci celkovému MTP,</w:t>
            </w:r>
          </w:p>
          <w:p w14:paraId="4F483502" w14:textId="77777777" w:rsidR="00005C03" w:rsidRPr="003549B4" w:rsidRDefault="00005C03" w:rsidP="00005C03">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b) vypočíta sa vážený podiel emisných limitov pre jednotlivé palivá a časti zariadenia; tieto hodnoty sa získajú vynásobením hodnoty emisného limitu platného pre uvedené palivo tepelným vstupom dodaným týmto palivom a tento súčin sa vydelí súčtom tepelných vstupov dodaných všetkými palivami; za časť zariadenia sa považujú všetky spaľovacie jednotky, na ktoré sa uplatňuje rovnaký emisný limit ELi,</w:t>
            </w:r>
          </w:p>
          <w:p w14:paraId="202663E5" w14:textId="77777777" w:rsidR="00005C03" w:rsidRPr="003549B4" w:rsidRDefault="00005C03" w:rsidP="00005C03">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c) modifikovaný vážený priemer emisných limitov sa určí ako súčet vážených podielov emisných limitov jednotlivých palív po prepočte na O2 ref.</w:t>
            </w:r>
          </w:p>
        </w:tc>
        <w:tc>
          <w:tcPr>
            <w:tcW w:w="429" w:type="dxa"/>
            <w:tcBorders>
              <w:top w:val="single" w:sz="4" w:space="0" w:color="auto"/>
              <w:bottom w:val="single" w:sz="4" w:space="0" w:color="auto"/>
            </w:tcBorders>
            <w:vAlign w:val="center"/>
          </w:tcPr>
          <w:p w14:paraId="7BD31DAE" w14:textId="77777777" w:rsidR="0075380B" w:rsidRPr="003549B4" w:rsidRDefault="00B12E56"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D26A614"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7F74E6B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6130FA12"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Č7</w:t>
            </w:r>
          </w:p>
        </w:tc>
        <w:tc>
          <w:tcPr>
            <w:tcW w:w="6287" w:type="dxa"/>
          </w:tcPr>
          <w:p w14:paraId="2EF663C6"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Povinnosti prevádzkovateľa</w:t>
            </w:r>
          </w:p>
        </w:tc>
        <w:tc>
          <w:tcPr>
            <w:tcW w:w="433" w:type="dxa"/>
          </w:tcPr>
          <w:p w14:paraId="3D5E7799"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6C1F0C29"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7E226A17"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094CF576"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68716224"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60CEFAB5"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6F78BE3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2C3E913"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shd w:val="clear" w:color="auto" w:fill="auto"/>
          </w:tcPr>
          <w:p w14:paraId="70D15BA3"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1. Členské štáty zabezpečia, aby prevádzkovatelia vykonávali monitorovanie emisií prinajmenšom v súlade s časťou 1 prílohy III.</w:t>
            </w:r>
          </w:p>
        </w:tc>
        <w:tc>
          <w:tcPr>
            <w:tcW w:w="433" w:type="dxa"/>
            <w:shd w:val="clear" w:color="auto" w:fill="auto"/>
          </w:tcPr>
          <w:p w14:paraId="2AB55EF9" w14:textId="77777777" w:rsidR="0075380B" w:rsidRPr="003549B4" w:rsidRDefault="0075380B" w:rsidP="00824651">
            <w:pPr>
              <w:spacing w:after="0" w:line="240" w:lineRule="auto"/>
              <w:ind w:right="-79"/>
              <w:rPr>
                <w:rFonts w:ascii="Times New Roman" w:hAnsi="Times New Roman" w:cs="Times New Roman"/>
                <w:sz w:val="20"/>
                <w:szCs w:val="20"/>
              </w:rPr>
            </w:pPr>
            <w:r w:rsidRPr="003549B4">
              <w:rPr>
                <w:rFonts w:ascii="Times New Roman" w:hAnsi="Times New Roman" w:cs="Times New Roman"/>
                <w:sz w:val="20"/>
                <w:szCs w:val="20"/>
              </w:rPr>
              <w:t>N</w:t>
            </w:r>
          </w:p>
          <w:p w14:paraId="0B093985" w14:textId="77777777" w:rsidR="0075380B" w:rsidRPr="003549B4" w:rsidRDefault="0075380B" w:rsidP="00824651">
            <w:pPr>
              <w:spacing w:after="0" w:line="240" w:lineRule="auto"/>
              <w:ind w:right="-79"/>
              <w:rPr>
                <w:rFonts w:ascii="Times New Roman" w:hAnsi="Times New Roman" w:cs="Times New Roman"/>
                <w:sz w:val="20"/>
                <w:szCs w:val="20"/>
              </w:rPr>
            </w:pPr>
          </w:p>
          <w:p w14:paraId="7BF06C98" w14:textId="77777777" w:rsidR="0075380B" w:rsidRPr="003549B4" w:rsidRDefault="0075380B" w:rsidP="00824651">
            <w:pPr>
              <w:spacing w:after="0" w:line="240" w:lineRule="auto"/>
              <w:ind w:right="-79"/>
              <w:rPr>
                <w:rFonts w:ascii="Times New Roman" w:hAnsi="Times New Roman" w:cs="Times New Roman"/>
                <w:sz w:val="20"/>
                <w:szCs w:val="20"/>
              </w:rPr>
            </w:pPr>
          </w:p>
          <w:p w14:paraId="5182F5C9" w14:textId="77777777" w:rsidR="0075380B" w:rsidRPr="003549B4" w:rsidRDefault="0075380B" w:rsidP="00824651">
            <w:pPr>
              <w:spacing w:after="0" w:line="240" w:lineRule="auto"/>
              <w:ind w:right="-79"/>
              <w:rPr>
                <w:rFonts w:ascii="Times New Roman" w:hAnsi="Times New Roman" w:cs="Times New Roman"/>
                <w:sz w:val="20"/>
                <w:szCs w:val="20"/>
              </w:rPr>
            </w:pPr>
          </w:p>
          <w:p w14:paraId="281BEF85" w14:textId="77777777" w:rsidR="0075380B" w:rsidRPr="003549B4" w:rsidRDefault="0075380B" w:rsidP="00824651">
            <w:pPr>
              <w:spacing w:after="0" w:line="240" w:lineRule="auto"/>
              <w:ind w:right="-79"/>
              <w:rPr>
                <w:rFonts w:ascii="Times New Roman" w:hAnsi="Times New Roman" w:cs="Times New Roman"/>
                <w:sz w:val="20"/>
                <w:szCs w:val="20"/>
              </w:rPr>
            </w:pPr>
          </w:p>
          <w:p w14:paraId="52C09071" w14:textId="77777777" w:rsidR="0075380B" w:rsidRPr="003549B4" w:rsidRDefault="0075380B" w:rsidP="00824651">
            <w:pPr>
              <w:spacing w:after="0" w:line="240" w:lineRule="auto"/>
              <w:ind w:right="-79"/>
              <w:rPr>
                <w:rFonts w:ascii="Times New Roman" w:hAnsi="Times New Roman" w:cs="Times New Roman"/>
                <w:sz w:val="20"/>
                <w:szCs w:val="20"/>
              </w:rPr>
            </w:pPr>
          </w:p>
          <w:p w14:paraId="407211B2" w14:textId="77777777" w:rsidR="0075380B" w:rsidRPr="003549B4" w:rsidRDefault="0075380B" w:rsidP="00824651">
            <w:pPr>
              <w:spacing w:after="0" w:line="240" w:lineRule="auto"/>
              <w:ind w:right="-79"/>
              <w:rPr>
                <w:rFonts w:ascii="Times New Roman" w:hAnsi="Times New Roman" w:cs="Times New Roman"/>
                <w:sz w:val="20"/>
                <w:szCs w:val="20"/>
              </w:rPr>
            </w:pPr>
          </w:p>
          <w:p w14:paraId="731DC0EA" w14:textId="77777777" w:rsidR="0075380B" w:rsidRPr="003549B4" w:rsidRDefault="0075380B" w:rsidP="00824651">
            <w:pPr>
              <w:spacing w:after="0" w:line="240" w:lineRule="auto"/>
              <w:ind w:right="-79"/>
              <w:rPr>
                <w:rFonts w:ascii="Times New Roman" w:hAnsi="Times New Roman" w:cs="Times New Roman"/>
                <w:sz w:val="20"/>
                <w:szCs w:val="20"/>
              </w:rPr>
            </w:pPr>
          </w:p>
          <w:p w14:paraId="577EB662" w14:textId="77777777" w:rsidR="0075380B" w:rsidRPr="003549B4" w:rsidRDefault="0075380B" w:rsidP="00824651">
            <w:pPr>
              <w:spacing w:after="0" w:line="240" w:lineRule="auto"/>
              <w:ind w:right="-79"/>
              <w:rPr>
                <w:rFonts w:ascii="Times New Roman" w:hAnsi="Times New Roman" w:cs="Times New Roman"/>
                <w:sz w:val="20"/>
                <w:szCs w:val="20"/>
              </w:rPr>
            </w:pPr>
          </w:p>
          <w:p w14:paraId="3327C4AA" w14:textId="77777777" w:rsidR="0075380B" w:rsidRPr="003549B4" w:rsidRDefault="0075380B" w:rsidP="00824651">
            <w:pPr>
              <w:spacing w:after="0" w:line="240" w:lineRule="auto"/>
              <w:ind w:right="-79"/>
              <w:rPr>
                <w:rFonts w:ascii="Times New Roman" w:hAnsi="Times New Roman" w:cs="Times New Roman"/>
                <w:sz w:val="20"/>
                <w:szCs w:val="20"/>
              </w:rPr>
            </w:pPr>
            <w:r w:rsidRPr="003549B4">
              <w:rPr>
                <w:rFonts w:ascii="Times New Roman" w:hAnsi="Times New Roman" w:cs="Times New Roman"/>
                <w:sz w:val="20"/>
                <w:szCs w:val="20"/>
              </w:rPr>
              <w:t>N</w:t>
            </w:r>
          </w:p>
          <w:p w14:paraId="17B0794A" w14:textId="77777777" w:rsidR="0075380B" w:rsidRPr="003549B4" w:rsidRDefault="0075380B" w:rsidP="00824651">
            <w:pPr>
              <w:spacing w:after="0" w:line="240" w:lineRule="auto"/>
              <w:ind w:right="-79"/>
              <w:rPr>
                <w:rFonts w:ascii="Times New Roman" w:hAnsi="Times New Roman" w:cs="Times New Roman"/>
                <w:sz w:val="20"/>
                <w:szCs w:val="20"/>
              </w:rPr>
            </w:pPr>
          </w:p>
        </w:tc>
        <w:tc>
          <w:tcPr>
            <w:tcW w:w="572" w:type="dxa"/>
            <w:shd w:val="clear" w:color="auto" w:fill="auto"/>
          </w:tcPr>
          <w:p w14:paraId="6829C2F4"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lastRenderedPageBreak/>
              <w:t>NZ</w:t>
            </w:r>
          </w:p>
          <w:p w14:paraId="2528F7E3" w14:textId="77777777" w:rsidR="0075380B" w:rsidRPr="003549B4" w:rsidRDefault="0075380B" w:rsidP="00F17024">
            <w:pPr>
              <w:spacing w:after="0" w:line="240" w:lineRule="auto"/>
              <w:ind w:right="-108"/>
              <w:rPr>
                <w:rFonts w:ascii="Times New Roman" w:hAnsi="Times New Roman" w:cs="Times New Roman"/>
                <w:sz w:val="20"/>
                <w:szCs w:val="20"/>
              </w:rPr>
            </w:pPr>
          </w:p>
          <w:p w14:paraId="2FBA92DD" w14:textId="77777777" w:rsidR="0075380B" w:rsidRPr="003549B4" w:rsidRDefault="0075380B" w:rsidP="00F17024">
            <w:pPr>
              <w:spacing w:after="0" w:line="240" w:lineRule="auto"/>
              <w:ind w:right="-108"/>
              <w:rPr>
                <w:rFonts w:ascii="Times New Roman" w:hAnsi="Times New Roman" w:cs="Times New Roman"/>
                <w:sz w:val="20"/>
                <w:szCs w:val="20"/>
              </w:rPr>
            </w:pPr>
          </w:p>
          <w:p w14:paraId="23A0E222" w14:textId="77777777" w:rsidR="0075380B" w:rsidRPr="003549B4" w:rsidRDefault="0075380B" w:rsidP="00F17024">
            <w:pPr>
              <w:spacing w:after="0" w:line="240" w:lineRule="auto"/>
              <w:ind w:right="-108"/>
              <w:rPr>
                <w:rFonts w:ascii="Times New Roman" w:hAnsi="Times New Roman" w:cs="Times New Roman"/>
                <w:sz w:val="20"/>
                <w:szCs w:val="20"/>
              </w:rPr>
            </w:pPr>
          </w:p>
          <w:p w14:paraId="6E0FEE84" w14:textId="77777777" w:rsidR="0075380B" w:rsidRPr="003549B4" w:rsidRDefault="0075380B" w:rsidP="00F17024">
            <w:pPr>
              <w:spacing w:after="0" w:line="240" w:lineRule="auto"/>
              <w:ind w:right="-108"/>
              <w:rPr>
                <w:rFonts w:ascii="Times New Roman" w:hAnsi="Times New Roman" w:cs="Times New Roman"/>
                <w:sz w:val="20"/>
                <w:szCs w:val="20"/>
              </w:rPr>
            </w:pPr>
          </w:p>
          <w:p w14:paraId="743E38AF" w14:textId="77777777" w:rsidR="0075380B" w:rsidRPr="003549B4" w:rsidRDefault="0075380B" w:rsidP="00F17024">
            <w:pPr>
              <w:spacing w:after="0" w:line="240" w:lineRule="auto"/>
              <w:ind w:right="-108"/>
              <w:rPr>
                <w:rFonts w:ascii="Times New Roman" w:hAnsi="Times New Roman" w:cs="Times New Roman"/>
                <w:sz w:val="20"/>
                <w:szCs w:val="20"/>
              </w:rPr>
            </w:pPr>
          </w:p>
          <w:p w14:paraId="12117FCC" w14:textId="77777777" w:rsidR="0075380B" w:rsidRPr="003549B4" w:rsidRDefault="0075380B" w:rsidP="00F17024">
            <w:pPr>
              <w:spacing w:after="0" w:line="240" w:lineRule="auto"/>
              <w:ind w:right="-108"/>
              <w:rPr>
                <w:rFonts w:ascii="Times New Roman" w:hAnsi="Times New Roman" w:cs="Times New Roman"/>
                <w:sz w:val="20"/>
                <w:szCs w:val="20"/>
              </w:rPr>
            </w:pPr>
          </w:p>
          <w:p w14:paraId="44607014" w14:textId="77777777" w:rsidR="0075380B" w:rsidRPr="003549B4" w:rsidRDefault="0075380B" w:rsidP="00F17024">
            <w:pPr>
              <w:spacing w:after="0" w:line="240" w:lineRule="auto"/>
              <w:ind w:right="-108"/>
              <w:rPr>
                <w:rFonts w:ascii="Times New Roman" w:hAnsi="Times New Roman" w:cs="Times New Roman"/>
                <w:sz w:val="20"/>
                <w:szCs w:val="20"/>
              </w:rPr>
            </w:pPr>
          </w:p>
          <w:p w14:paraId="42B8873B" w14:textId="77777777" w:rsidR="0075380B" w:rsidRPr="003549B4" w:rsidRDefault="0075380B" w:rsidP="00F17024">
            <w:pPr>
              <w:spacing w:after="0" w:line="240" w:lineRule="auto"/>
              <w:ind w:right="-108"/>
              <w:rPr>
                <w:rFonts w:ascii="Times New Roman" w:hAnsi="Times New Roman" w:cs="Times New Roman"/>
                <w:sz w:val="20"/>
                <w:szCs w:val="20"/>
              </w:rPr>
            </w:pPr>
          </w:p>
          <w:p w14:paraId="3C28C5B7"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NV2</w:t>
            </w:r>
          </w:p>
          <w:p w14:paraId="0335CACF"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shd w:val="clear" w:color="auto" w:fill="auto"/>
          </w:tcPr>
          <w:p w14:paraId="41B22C0F"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lastRenderedPageBreak/>
              <w:t>§34</w:t>
            </w:r>
          </w:p>
          <w:p w14:paraId="6B511284"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O3</w:t>
            </w:r>
          </w:p>
          <w:p w14:paraId="20404558"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Pa)</w:t>
            </w:r>
          </w:p>
          <w:p w14:paraId="5CB11051"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0FCBDAFB"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1A9C83B6"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01759D43"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181EB30A"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6CC733BD"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3118CC57"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8</w:t>
            </w:r>
          </w:p>
          <w:p w14:paraId="1F63EC6A"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O14</w:t>
            </w:r>
          </w:p>
          <w:p w14:paraId="57716AEF"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35203727"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2FF0B553"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4069090B"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188CC74F"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§15</w:t>
            </w:r>
          </w:p>
          <w:p w14:paraId="6BC6F325"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4A6ABD4A"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p w14:paraId="7BEC9A9E"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O3</w:t>
            </w:r>
          </w:p>
        </w:tc>
        <w:tc>
          <w:tcPr>
            <w:tcW w:w="6006" w:type="dxa"/>
            <w:shd w:val="clear" w:color="auto" w:fill="auto"/>
          </w:tcPr>
          <w:p w14:paraId="3EF49E54" w14:textId="77777777" w:rsidR="0075380B" w:rsidRPr="003549B4" w:rsidRDefault="0075380B" w:rsidP="00824651">
            <w:pPr>
              <w:pStyle w:val="odsek"/>
              <w:numPr>
                <w:ilvl w:val="0"/>
                <w:numId w:val="0"/>
              </w:numPr>
              <w:spacing w:line="240" w:lineRule="auto"/>
              <w:rPr>
                <w:rFonts w:eastAsia="Calibri"/>
                <w:color w:val="auto"/>
                <w:sz w:val="20"/>
                <w:szCs w:val="20"/>
                <w:lang w:eastAsia="en-US"/>
              </w:rPr>
            </w:pPr>
            <w:r w:rsidRPr="003549B4">
              <w:rPr>
                <w:rFonts w:eastAsia="Calibri"/>
                <w:color w:val="auto"/>
                <w:sz w:val="20"/>
                <w:szCs w:val="20"/>
                <w:lang w:eastAsia="en-US"/>
              </w:rPr>
              <w:lastRenderedPageBreak/>
              <w:t xml:space="preserve">(3) </w:t>
            </w:r>
            <w:r w:rsidR="0053748B" w:rsidRPr="003549B4">
              <w:rPr>
                <w:rFonts w:eastAsia="Calibri"/>
                <w:color w:val="auto"/>
                <w:sz w:val="20"/>
                <w:szCs w:val="20"/>
                <w:lang w:eastAsia="en-US"/>
              </w:rPr>
              <w:t>Prevádzkovatelia veľkých zdrojov a prevádzkovatelia stredných zdrojov vo veciach monitorovania a preukazovania dodržiavania prípustnej miery znečisťovania ovzdušia sú povinní</w:t>
            </w:r>
          </w:p>
          <w:p w14:paraId="496ACAF7" w14:textId="77777777" w:rsidR="0075380B" w:rsidRPr="003549B4" w:rsidRDefault="002F1F73" w:rsidP="00824651">
            <w:pPr>
              <w:pStyle w:val="odsek"/>
              <w:numPr>
                <w:ilvl w:val="0"/>
                <w:numId w:val="0"/>
              </w:numPr>
              <w:spacing w:line="240" w:lineRule="auto"/>
              <w:rPr>
                <w:rFonts w:eastAsia="Calibri"/>
                <w:color w:val="auto"/>
                <w:sz w:val="20"/>
                <w:szCs w:val="20"/>
                <w:lang w:eastAsia="en-US"/>
              </w:rPr>
            </w:pPr>
            <w:r w:rsidRPr="003549B4">
              <w:rPr>
                <w:rFonts w:eastAsia="Calibri"/>
                <w:color w:val="auto"/>
                <w:sz w:val="20"/>
                <w:szCs w:val="20"/>
                <w:lang w:eastAsia="en-US"/>
              </w:rPr>
              <w:t xml:space="preserve">a) monitorovať vybrané znečisťujúce látky a preukazovať dodržiavanie emisných limitov, technických požiadaviek a podmienok prevádzkovania podľa § 22 v súlade s požiadavkami určenými v </w:t>
            </w:r>
            <w:r w:rsidRPr="003549B4">
              <w:rPr>
                <w:rFonts w:eastAsia="Calibri"/>
                <w:color w:val="auto"/>
                <w:sz w:val="20"/>
                <w:szCs w:val="20"/>
                <w:lang w:eastAsia="en-US"/>
              </w:rPr>
              <w:lastRenderedPageBreak/>
              <w:t xml:space="preserve">povolení, spôsobom a v lehotách ustanovených vykonávacím predpisom podľa § 62 písm. g), </w:t>
            </w:r>
            <w:r w:rsidR="0075380B" w:rsidRPr="003549B4">
              <w:rPr>
                <w:rFonts w:eastAsia="Calibri"/>
                <w:color w:val="auto"/>
                <w:sz w:val="20"/>
                <w:szCs w:val="20"/>
                <w:lang w:eastAsia="en-US"/>
              </w:rPr>
              <w:t xml:space="preserve"> </w:t>
            </w:r>
          </w:p>
          <w:p w14:paraId="20F94664" w14:textId="77777777" w:rsidR="0075380B" w:rsidRPr="003549B4" w:rsidRDefault="0075380B" w:rsidP="00824651">
            <w:pPr>
              <w:spacing w:after="0" w:line="240" w:lineRule="auto"/>
              <w:rPr>
                <w:rFonts w:ascii="Times New Roman" w:hAnsi="Times New Roman" w:cs="Times New Roman"/>
                <w:sz w:val="20"/>
                <w:szCs w:val="20"/>
              </w:rPr>
            </w:pPr>
          </w:p>
          <w:p w14:paraId="160E29F2" w14:textId="77777777" w:rsidR="0075380B" w:rsidRPr="003549B4" w:rsidRDefault="0075380B" w:rsidP="00824651">
            <w:pPr>
              <w:spacing w:after="0" w:line="240" w:lineRule="auto"/>
              <w:ind w:left="168" w:hanging="168"/>
              <w:rPr>
                <w:rFonts w:ascii="Times New Roman" w:hAnsi="Times New Roman" w:cs="Times New Roman"/>
                <w:sz w:val="20"/>
                <w:szCs w:val="20"/>
              </w:rPr>
            </w:pPr>
            <w:r w:rsidRPr="003549B4">
              <w:rPr>
                <w:rFonts w:ascii="Times New Roman" w:hAnsi="Times New Roman" w:cs="Times New Roman"/>
                <w:sz w:val="20"/>
                <w:szCs w:val="20"/>
              </w:rPr>
              <w:t>Odbery vzoriek, analýzy príslušných znečisťujúcich látok, merania prevádzkových parametrov a alternatívne metódy merania pri technickom výpočte podľa odseku 6 musia byť založené na metódach, ktoré umožňujú spoľahlivé, reprezentatívne a porovnateľné výsledky podľa § 15 ods.1 až 3.</w:t>
            </w:r>
          </w:p>
          <w:p w14:paraId="386BE48F" w14:textId="77777777" w:rsidR="0075380B" w:rsidRPr="003549B4" w:rsidRDefault="0075380B" w:rsidP="00824651">
            <w:pPr>
              <w:spacing w:after="0" w:line="240" w:lineRule="auto"/>
              <w:ind w:left="168" w:hanging="168"/>
              <w:rPr>
                <w:rFonts w:ascii="Times New Roman" w:hAnsi="Times New Roman" w:cs="Times New Roman"/>
                <w:sz w:val="20"/>
                <w:szCs w:val="20"/>
              </w:rPr>
            </w:pPr>
          </w:p>
          <w:p w14:paraId="1E2C0BE8" w14:textId="77777777" w:rsidR="0075380B" w:rsidRPr="003549B4" w:rsidRDefault="0075380B" w:rsidP="00824651">
            <w:pPr>
              <w:spacing w:after="0" w:line="240" w:lineRule="auto"/>
              <w:ind w:left="168" w:hanging="168"/>
              <w:rPr>
                <w:rFonts w:ascii="Times New Roman" w:hAnsi="Times New Roman" w:cs="Times New Roman"/>
                <w:sz w:val="20"/>
                <w:szCs w:val="20"/>
              </w:rPr>
            </w:pPr>
            <w:r w:rsidRPr="003549B4">
              <w:rPr>
                <w:rFonts w:ascii="Times New Roman" w:hAnsi="Times New Roman" w:cs="Times New Roman"/>
                <w:sz w:val="20"/>
                <w:szCs w:val="20"/>
              </w:rPr>
              <w:t>(1)</w:t>
            </w:r>
            <w:r w:rsidRPr="003549B4">
              <w:rPr>
                <w:rFonts w:ascii="Times New Roman" w:hAnsi="Times New Roman" w:cs="Times New Roman"/>
                <w:sz w:val="20"/>
                <w:szCs w:val="20"/>
              </w:rPr>
              <w:tab/>
              <w:t xml:space="preserve">Metódy a metodiky monitorovania podľa § 2 až 14 musia umožňovať zistenie spoľahlivých, reprezentatívnych, porovnateľných a vedecky odôvodnených hodnôt v súlade so súčasným stavom vedeckého poznania a techniky. </w:t>
            </w:r>
          </w:p>
          <w:p w14:paraId="1AD18179" w14:textId="77777777" w:rsidR="0075380B" w:rsidRPr="003549B4" w:rsidRDefault="0075380B" w:rsidP="00824651">
            <w:pPr>
              <w:spacing w:after="0" w:line="240" w:lineRule="auto"/>
              <w:ind w:left="168" w:hanging="168"/>
              <w:rPr>
                <w:rFonts w:ascii="Times New Roman" w:hAnsi="Times New Roman" w:cs="Times New Roman"/>
                <w:sz w:val="20"/>
                <w:szCs w:val="20"/>
              </w:rPr>
            </w:pPr>
            <w:r w:rsidRPr="003549B4">
              <w:rPr>
                <w:rFonts w:ascii="Times New Roman" w:hAnsi="Times New Roman" w:cs="Times New Roman"/>
                <w:sz w:val="20"/>
                <w:szCs w:val="20"/>
              </w:rPr>
              <w:t>(2)</w:t>
            </w:r>
            <w:r w:rsidRPr="003549B4">
              <w:rPr>
                <w:rFonts w:ascii="Times New Roman" w:hAnsi="Times New Roman" w:cs="Times New Roman"/>
                <w:sz w:val="20"/>
                <w:szCs w:val="20"/>
              </w:rPr>
              <w:tab/>
              <w:t>Predpokladá sa, že požiadavky podľa odseku 1 spĺňajú metódy, ktoré sú v súlade s harmonizovanými technickými normami. )</w:t>
            </w:r>
          </w:p>
          <w:p w14:paraId="7260CFA7" w14:textId="77777777" w:rsidR="0075380B" w:rsidRPr="003549B4" w:rsidRDefault="0075380B" w:rsidP="00824651">
            <w:pPr>
              <w:spacing w:after="0" w:line="240" w:lineRule="auto"/>
              <w:ind w:left="168" w:hanging="168"/>
              <w:rPr>
                <w:rFonts w:ascii="Times New Roman" w:hAnsi="Times New Roman" w:cs="Times New Roman"/>
                <w:sz w:val="20"/>
                <w:szCs w:val="20"/>
              </w:rPr>
            </w:pPr>
            <w:r w:rsidRPr="003549B4">
              <w:rPr>
                <w:rFonts w:ascii="Times New Roman" w:hAnsi="Times New Roman" w:cs="Times New Roman"/>
                <w:sz w:val="20"/>
                <w:szCs w:val="20"/>
              </w:rPr>
              <w:t>(3)</w:t>
            </w:r>
            <w:r w:rsidRPr="003549B4">
              <w:rPr>
                <w:rFonts w:ascii="Times New Roman" w:hAnsi="Times New Roman" w:cs="Times New Roman"/>
                <w:sz w:val="20"/>
                <w:szCs w:val="20"/>
              </w:rPr>
              <w:tab/>
              <w:t>Ak harmonizované technické normy podľa odseku 2 nie sú k dispozícii, predpokladá sa, že požiadavky podľa odseku 1 spĺňajú metódy podľa európskych noriem, medzinárodných noriem, slovenských technických noriem alebo iných národných technických noriem, ktorými sa zabezpečia údaje rovnakej odbornej kvality</w:t>
            </w:r>
          </w:p>
          <w:p w14:paraId="070B2B90" w14:textId="77777777" w:rsidR="0075380B" w:rsidRPr="003549B4" w:rsidRDefault="0075380B" w:rsidP="00824651">
            <w:pPr>
              <w:spacing w:after="0" w:line="240" w:lineRule="auto"/>
              <w:ind w:left="168" w:hanging="168"/>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5292EA62"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69369ED8"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71A65F6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6269748"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O2</w:t>
            </w:r>
          </w:p>
        </w:tc>
        <w:tc>
          <w:tcPr>
            <w:tcW w:w="6287" w:type="dxa"/>
            <w:tcBorders>
              <w:bottom w:val="single" w:sz="4" w:space="0" w:color="auto"/>
            </w:tcBorders>
            <w:shd w:val="clear" w:color="auto" w:fill="auto"/>
            <w:noWrap/>
          </w:tcPr>
          <w:p w14:paraId="11866154"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2. V prípade stredne veľkých spaľovacích zariadení používajúcich viaceré palivá sa monitorovanie emisií vykonáva pri spaľovaní paliva alebo zmesi palív, ktoré pravdepodobne dosiahne najvyššiu úroveň emisií a v čase, ktorý zodpovedá normálnym prevádzkovým podmienkam.</w:t>
            </w:r>
          </w:p>
        </w:tc>
        <w:tc>
          <w:tcPr>
            <w:tcW w:w="433" w:type="dxa"/>
            <w:shd w:val="clear" w:color="auto" w:fill="auto"/>
            <w:noWrap/>
          </w:tcPr>
          <w:p w14:paraId="6B508185"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p w14:paraId="0A85B964" w14:textId="77777777" w:rsidR="0075380B" w:rsidRPr="003549B4" w:rsidRDefault="0075380B" w:rsidP="00824651">
            <w:pPr>
              <w:spacing w:after="0" w:line="240" w:lineRule="auto"/>
              <w:rPr>
                <w:rFonts w:ascii="Times New Roman" w:hAnsi="Times New Roman" w:cs="Times New Roman"/>
                <w:sz w:val="20"/>
                <w:szCs w:val="20"/>
              </w:rPr>
            </w:pPr>
          </w:p>
          <w:p w14:paraId="4725DE5C" w14:textId="77777777" w:rsidR="0075380B" w:rsidRPr="003549B4" w:rsidRDefault="0075380B" w:rsidP="00824651">
            <w:pPr>
              <w:spacing w:after="0" w:line="240" w:lineRule="auto"/>
              <w:rPr>
                <w:rFonts w:ascii="Times New Roman" w:hAnsi="Times New Roman" w:cs="Times New Roman"/>
                <w:sz w:val="20"/>
                <w:szCs w:val="20"/>
              </w:rPr>
            </w:pPr>
          </w:p>
          <w:p w14:paraId="12D04FA2" w14:textId="77777777" w:rsidR="0075380B" w:rsidRPr="003549B4" w:rsidRDefault="0075380B" w:rsidP="00824651">
            <w:pPr>
              <w:spacing w:after="0" w:line="240" w:lineRule="auto"/>
              <w:rPr>
                <w:rFonts w:ascii="Times New Roman" w:hAnsi="Times New Roman" w:cs="Times New Roman"/>
                <w:sz w:val="20"/>
                <w:szCs w:val="20"/>
              </w:rPr>
            </w:pPr>
          </w:p>
          <w:p w14:paraId="5C8BB604" w14:textId="77777777" w:rsidR="0075380B" w:rsidRPr="003549B4" w:rsidRDefault="0075380B" w:rsidP="00824651">
            <w:pPr>
              <w:spacing w:after="0" w:line="240" w:lineRule="auto"/>
              <w:rPr>
                <w:rFonts w:ascii="Times New Roman" w:hAnsi="Times New Roman" w:cs="Times New Roman"/>
                <w:sz w:val="20"/>
                <w:szCs w:val="20"/>
              </w:rPr>
            </w:pPr>
          </w:p>
          <w:p w14:paraId="76D2B22F" w14:textId="77777777" w:rsidR="0075380B" w:rsidRPr="003549B4" w:rsidRDefault="0075380B" w:rsidP="00824651">
            <w:pPr>
              <w:spacing w:after="0" w:line="240" w:lineRule="auto"/>
              <w:rPr>
                <w:rFonts w:ascii="Times New Roman" w:hAnsi="Times New Roman" w:cs="Times New Roman"/>
                <w:sz w:val="20"/>
                <w:szCs w:val="20"/>
              </w:rPr>
            </w:pPr>
          </w:p>
          <w:p w14:paraId="0C0AA326" w14:textId="77777777" w:rsidR="0075380B" w:rsidRPr="003549B4" w:rsidRDefault="0075380B" w:rsidP="00824651">
            <w:pPr>
              <w:spacing w:after="0" w:line="240" w:lineRule="auto"/>
              <w:rPr>
                <w:rFonts w:ascii="Times New Roman" w:hAnsi="Times New Roman" w:cs="Times New Roman"/>
                <w:sz w:val="20"/>
                <w:szCs w:val="20"/>
              </w:rPr>
            </w:pPr>
          </w:p>
          <w:p w14:paraId="0F2195D7" w14:textId="77777777" w:rsidR="0075380B" w:rsidRPr="003549B4" w:rsidRDefault="0075380B" w:rsidP="00824651">
            <w:pPr>
              <w:spacing w:after="0" w:line="240" w:lineRule="auto"/>
              <w:rPr>
                <w:rFonts w:ascii="Times New Roman" w:hAnsi="Times New Roman" w:cs="Times New Roman"/>
                <w:sz w:val="20"/>
                <w:szCs w:val="20"/>
              </w:rPr>
            </w:pPr>
          </w:p>
          <w:p w14:paraId="167E12F4" w14:textId="77777777" w:rsidR="0075380B" w:rsidRPr="003549B4" w:rsidRDefault="0075380B" w:rsidP="00824651">
            <w:pPr>
              <w:spacing w:after="0" w:line="240" w:lineRule="auto"/>
              <w:rPr>
                <w:rFonts w:ascii="Times New Roman" w:hAnsi="Times New Roman" w:cs="Times New Roman"/>
                <w:sz w:val="20"/>
                <w:szCs w:val="20"/>
              </w:rPr>
            </w:pPr>
          </w:p>
          <w:p w14:paraId="7DA9D6CE" w14:textId="77777777" w:rsidR="0075380B" w:rsidRPr="003549B4" w:rsidRDefault="0075380B" w:rsidP="00824651">
            <w:pPr>
              <w:spacing w:after="0" w:line="240" w:lineRule="auto"/>
              <w:rPr>
                <w:rFonts w:ascii="Times New Roman" w:hAnsi="Times New Roman" w:cs="Times New Roman"/>
                <w:sz w:val="20"/>
                <w:szCs w:val="20"/>
              </w:rPr>
            </w:pPr>
          </w:p>
          <w:p w14:paraId="77A29791" w14:textId="77777777" w:rsidR="00005C03" w:rsidRPr="003549B4" w:rsidRDefault="00005C03" w:rsidP="00824651">
            <w:pPr>
              <w:spacing w:after="0" w:line="240" w:lineRule="auto"/>
              <w:rPr>
                <w:rFonts w:ascii="Times New Roman" w:hAnsi="Times New Roman" w:cs="Times New Roman"/>
                <w:sz w:val="20"/>
                <w:szCs w:val="20"/>
              </w:rPr>
            </w:pPr>
          </w:p>
          <w:p w14:paraId="339D83E5"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p w14:paraId="3CD9C986"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shd w:val="clear" w:color="auto" w:fill="auto"/>
            <w:noWrap/>
          </w:tcPr>
          <w:p w14:paraId="0A14F1A6"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p w14:paraId="60872A38" w14:textId="77777777" w:rsidR="0075380B" w:rsidRPr="003549B4" w:rsidRDefault="0075380B" w:rsidP="00F17024">
            <w:pPr>
              <w:spacing w:after="0" w:line="240" w:lineRule="auto"/>
              <w:ind w:right="-108"/>
              <w:rPr>
                <w:rFonts w:ascii="Times New Roman" w:hAnsi="Times New Roman" w:cs="Times New Roman"/>
                <w:sz w:val="20"/>
                <w:szCs w:val="20"/>
              </w:rPr>
            </w:pPr>
          </w:p>
          <w:p w14:paraId="3C6B9A09" w14:textId="77777777" w:rsidR="0075380B" w:rsidRPr="003549B4" w:rsidRDefault="0075380B" w:rsidP="00F17024">
            <w:pPr>
              <w:spacing w:after="0" w:line="240" w:lineRule="auto"/>
              <w:ind w:right="-108"/>
              <w:rPr>
                <w:rFonts w:ascii="Times New Roman" w:hAnsi="Times New Roman" w:cs="Times New Roman"/>
                <w:sz w:val="20"/>
                <w:szCs w:val="20"/>
              </w:rPr>
            </w:pPr>
          </w:p>
          <w:p w14:paraId="07011022" w14:textId="77777777" w:rsidR="0075380B" w:rsidRPr="003549B4" w:rsidRDefault="0075380B" w:rsidP="00F17024">
            <w:pPr>
              <w:spacing w:after="0" w:line="240" w:lineRule="auto"/>
              <w:ind w:right="-108"/>
              <w:rPr>
                <w:rFonts w:ascii="Times New Roman" w:hAnsi="Times New Roman" w:cs="Times New Roman"/>
                <w:sz w:val="20"/>
                <w:szCs w:val="20"/>
              </w:rPr>
            </w:pPr>
          </w:p>
          <w:p w14:paraId="4ED4990E" w14:textId="77777777" w:rsidR="0075380B" w:rsidRPr="003549B4" w:rsidRDefault="0075380B" w:rsidP="00F17024">
            <w:pPr>
              <w:spacing w:after="0" w:line="240" w:lineRule="auto"/>
              <w:ind w:right="-108"/>
              <w:rPr>
                <w:rFonts w:ascii="Times New Roman" w:hAnsi="Times New Roman" w:cs="Times New Roman"/>
                <w:sz w:val="20"/>
                <w:szCs w:val="20"/>
              </w:rPr>
            </w:pPr>
          </w:p>
          <w:p w14:paraId="4D008A79" w14:textId="77777777" w:rsidR="0075380B" w:rsidRPr="003549B4" w:rsidRDefault="0075380B" w:rsidP="00F17024">
            <w:pPr>
              <w:spacing w:after="0" w:line="240" w:lineRule="auto"/>
              <w:ind w:right="-108"/>
              <w:rPr>
                <w:rFonts w:ascii="Times New Roman" w:hAnsi="Times New Roman" w:cs="Times New Roman"/>
                <w:sz w:val="20"/>
                <w:szCs w:val="20"/>
              </w:rPr>
            </w:pPr>
          </w:p>
          <w:p w14:paraId="28CD1C60" w14:textId="77777777" w:rsidR="0075380B" w:rsidRPr="003549B4" w:rsidRDefault="0075380B" w:rsidP="00F17024">
            <w:pPr>
              <w:spacing w:after="0" w:line="240" w:lineRule="auto"/>
              <w:ind w:right="-108"/>
              <w:rPr>
                <w:rFonts w:ascii="Times New Roman" w:hAnsi="Times New Roman" w:cs="Times New Roman"/>
                <w:sz w:val="20"/>
                <w:szCs w:val="20"/>
              </w:rPr>
            </w:pPr>
          </w:p>
          <w:p w14:paraId="5FC64F3D" w14:textId="77777777" w:rsidR="0075380B" w:rsidRPr="003549B4" w:rsidRDefault="0075380B" w:rsidP="00F17024">
            <w:pPr>
              <w:spacing w:after="0" w:line="240" w:lineRule="auto"/>
              <w:ind w:right="-108"/>
              <w:rPr>
                <w:rFonts w:ascii="Times New Roman" w:hAnsi="Times New Roman" w:cs="Times New Roman"/>
                <w:sz w:val="20"/>
                <w:szCs w:val="20"/>
              </w:rPr>
            </w:pPr>
          </w:p>
          <w:p w14:paraId="55DAB21F" w14:textId="77777777" w:rsidR="0075380B" w:rsidRPr="003549B4" w:rsidRDefault="0075380B" w:rsidP="00F17024">
            <w:pPr>
              <w:spacing w:after="0" w:line="240" w:lineRule="auto"/>
              <w:ind w:right="-108"/>
              <w:rPr>
                <w:rFonts w:ascii="Times New Roman" w:hAnsi="Times New Roman" w:cs="Times New Roman"/>
                <w:sz w:val="20"/>
                <w:szCs w:val="20"/>
              </w:rPr>
            </w:pPr>
          </w:p>
          <w:p w14:paraId="41F03CBB" w14:textId="77777777" w:rsidR="0075380B" w:rsidRPr="003549B4" w:rsidRDefault="0075380B" w:rsidP="00F17024">
            <w:pPr>
              <w:spacing w:after="0" w:line="240" w:lineRule="auto"/>
              <w:ind w:right="-108"/>
              <w:rPr>
                <w:rFonts w:ascii="Times New Roman" w:hAnsi="Times New Roman" w:cs="Times New Roman"/>
                <w:sz w:val="20"/>
                <w:szCs w:val="20"/>
              </w:rPr>
            </w:pPr>
          </w:p>
          <w:p w14:paraId="3856BA3C" w14:textId="77777777" w:rsidR="00005C03" w:rsidRPr="003549B4" w:rsidRDefault="00005C03" w:rsidP="00F17024">
            <w:pPr>
              <w:spacing w:after="0" w:line="240" w:lineRule="auto"/>
              <w:ind w:right="-108"/>
              <w:rPr>
                <w:rFonts w:ascii="Times New Roman" w:hAnsi="Times New Roman" w:cs="Times New Roman"/>
                <w:sz w:val="20"/>
                <w:szCs w:val="20"/>
              </w:rPr>
            </w:pPr>
          </w:p>
          <w:p w14:paraId="723363A4"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NV2</w:t>
            </w:r>
          </w:p>
        </w:tc>
        <w:tc>
          <w:tcPr>
            <w:tcW w:w="569" w:type="dxa"/>
            <w:shd w:val="clear" w:color="auto" w:fill="auto"/>
            <w:noWrap/>
          </w:tcPr>
          <w:p w14:paraId="38826E3C"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§34</w:t>
            </w:r>
          </w:p>
          <w:p w14:paraId="7ECBBDBF"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O3</w:t>
            </w:r>
          </w:p>
          <w:p w14:paraId="693B534D"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Pb)</w:t>
            </w:r>
          </w:p>
          <w:p w14:paraId="23F7A830"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6EFBEC89"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51AE3F53"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24C04139"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7E92FB06"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67B514C8"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28EB2362"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5FB94190"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61151EC8"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8</w:t>
            </w:r>
          </w:p>
          <w:p w14:paraId="024AC6F6"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O12</w:t>
            </w:r>
          </w:p>
          <w:p w14:paraId="09BF78DA"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shd w:val="clear" w:color="auto" w:fill="auto"/>
            <w:noWrap/>
            <w:vAlign w:val="center"/>
          </w:tcPr>
          <w:p w14:paraId="118C007E" w14:textId="77777777" w:rsidR="0053748B" w:rsidRPr="003549B4" w:rsidRDefault="0053748B" w:rsidP="0053748B">
            <w:pPr>
              <w:pStyle w:val="odsek"/>
              <w:numPr>
                <w:ilvl w:val="0"/>
                <w:numId w:val="0"/>
              </w:numPr>
              <w:spacing w:line="240" w:lineRule="auto"/>
              <w:rPr>
                <w:rFonts w:eastAsia="Calibri"/>
                <w:color w:val="auto"/>
                <w:sz w:val="20"/>
                <w:szCs w:val="20"/>
                <w:lang w:eastAsia="en-US"/>
              </w:rPr>
            </w:pPr>
            <w:r w:rsidRPr="003549B4">
              <w:rPr>
                <w:rFonts w:eastAsia="Calibri"/>
                <w:color w:val="auto"/>
                <w:sz w:val="20"/>
                <w:szCs w:val="20"/>
                <w:lang w:eastAsia="en-US"/>
              </w:rPr>
              <w:t>(3) Prevádzkovatelia veľkých zdrojov a prevádzkovatelia stredných zdrojov vo veciach monitorovania a preukazovania dodržiavania prípustnej miery znečisťovania ovzdušia sú povinní</w:t>
            </w:r>
          </w:p>
          <w:p w14:paraId="42FB9C35" w14:textId="77777777" w:rsidR="0075380B" w:rsidRPr="003549B4" w:rsidRDefault="0075380B"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b) prevádzkovať zdroj počas výkonu oprávnenej technickej činnosti v súlade s platným povolením, notifikáciou oprávnenej technickej činnosti podľa § 22 ods. 7 a § 58 ods. 7 a 8, s požiadavkami na monitorovanie a požiadavkami na zistenie reprezentatívneho výsledku oprávnenej technickej činnosti ustanovenými vykonávacím predpisom podľa § 62 písm. g) a j) a v súlade so schválenými osobitnými podmienkami merania; dodržanie týchto požiadaviek zdokumentovať údajmi z prevádzkovej evidencie a potvrdiť písomným vyhlásením, ktoré predloží zodpovednej osobe za oprávnenú technickú činnosť,</w:t>
            </w:r>
          </w:p>
          <w:p w14:paraId="49A481EB" w14:textId="77777777" w:rsidR="0075380B" w:rsidRPr="003549B4" w:rsidRDefault="0075380B" w:rsidP="00824651">
            <w:pPr>
              <w:tabs>
                <w:tab w:val="left" w:pos="567"/>
              </w:tabs>
              <w:spacing w:before="120" w:after="0" w:line="22" w:lineRule="atLeast"/>
              <w:rPr>
                <w:rFonts w:ascii="Times New Roman" w:hAnsi="Times New Roman" w:cs="Times New Roman"/>
                <w:sz w:val="20"/>
                <w:szCs w:val="20"/>
              </w:rPr>
            </w:pPr>
            <w:r w:rsidRPr="003549B4">
              <w:rPr>
                <w:rFonts w:ascii="Times New Roman" w:hAnsi="Times New Roman" w:cs="Times New Roman"/>
                <w:sz w:val="20"/>
                <w:szCs w:val="20"/>
              </w:rPr>
              <w:t>(12)</w:t>
            </w:r>
            <w:r w:rsidRPr="003549B4">
              <w:rPr>
                <w:rFonts w:ascii="Times New Roman" w:hAnsi="Times New Roman" w:cs="Times New Roman"/>
                <w:sz w:val="20"/>
                <w:szCs w:val="20"/>
              </w:rPr>
              <w:tab/>
              <w:t xml:space="preserve">Spaľovacie zariadenie musí byť počas každého diskontinuálneho merania prevádzkované v stabilnom režime a zaťažené reprezentatívne a rovnomerne; čas nábehu a čas odstavovania sa v tejto súvislosti do času diskontinuálneho merania nezapočítavajú. Ak ide o viacpalivové spaľovacie zariadenie, meranie sa vykonáva v čase spaľovania paliva alebo zmesi palív, pre ktoré sa pravdepodobne dosiahne najvyššia úroveň emisií, a v čase, ktorý zodpovedá bežným prevádzkovým podmienkam. Podmienky diskontinuálneho merania </w:t>
            </w:r>
            <w:r w:rsidRPr="003549B4">
              <w:rPr>
                <w:rFonts w:ascii="Times New Roman" w:hAnsi="Times New Roman" w:cs="Times New Roman"/>
                <w:sz w:val="20"/>
                <w:szCs w:val="20"/>
              </w:rPr>
              <w:lastRenderedPageBreak/>
              <w:t xml:space="preserve">podľa § 6 ods. 4 až 7 sa v týchto súvislostiach uplatňujú podľa svojho významu. </w:t>
            </w:r>
          </w:p>
        </w:tc>
        <w:tc>
          <w:tcPr>
            <w:tcW w:w="429" w:type="dxa"/>
            <w:tcBorders>
              <w:top w:val="single" w:sz="4" w:space="0" w:color="auto"/>
              <w:bottom w:val="single" w:sz="4" w:space="0" w:color="auto"/>
            </w:tcBorders>
            <w:vAlign w:val="center"/>
          </w:tcPr>
          <w:p w14:paraId="471902AA"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25881BFC"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572D557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6A79A03"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O3</w:t>
            </w:r>
          </w:p>
        </w:tc>
        <w:tc>
          <w:tcPr>
            <w:tcW w:w="6287" w:type="dxa"/>
            <w:tcBorders>
              <w:top w:val="single" w:sz="4" w:space="0" w:color="auto"/>
              <w:bottom w:val="single" w:sz="4" w:space="0" w:color="auto"/>
            </w:tcBorders>
            <w:shd w:val="clear" w:color="auto" w:fill="auto"/>
          </w:tcPr>
          <w:p w14:paraId="36CC2E98"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3. Prevádzkovateľ vedie záznamy všetkých výsledkov monitorovania a tieto výsledky spracúva tak, aby sa umožnilo overenie dodržiavania emisných limitov v súlade s pravidlami uvedenými v časti 2 prílohy III.</w:t>
            </w:r>
          </w:p>
        </w:tc>
        <w:tc>
          <w:tcPr>
            <w:tcW w:w="433" w:type="dxa"/>
            <w:shd w:val="clear" w:color="auto" w:fill="auto"/>
          </w:tcPr>
          <w:p w14:paraId="52245E53"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shd w:val="clear" w:color="auto" w:fill="auto"/>
          </w:tcPr>
          <w:p w14:paraId="58437F93" w14:textId="77777777" w:rsidR="0075380B" w:rsidRPr="003549B4" w:rsidRDefault="0075380B"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NV2</w:t>
            </w:r>
          </w:p>
          <w:p w14:paraId="30821A0C" w14:textId="77777777" w:rsidR="0075380B" w:rsidRPr="003549B4" w:rsidRDefault="0075380B"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0A2E0A91"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235805BD"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O15</w:t>
            </w:r>
          </w:p>
          <w:p w14:paraId="02E0EBD2"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09C387B2" w14:textId="77777777" w:rsidR="0075380B" w:rsidRPr="003549B4" w:rsidRDefault="0075380B" w:rsidP="00824651">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(15)</w:t>
            </w:r>
            <w:r w:rsidRPr="003549B4">
              <w:rPr>
                <w:rFonts w:ascii="Times New Roman" w:hAnsi="Times New Roman" w:cs="Times New Roman"/>
                <w:sz w:val="20"/>
                <w:szCs w:val="20"/>
              </w:rPr>
              <w:tab/>
              <w:t>Všetky výsledky monitorovania emisií sa zaznamenávajú, vedú a spracúvajú tak, že je možné kontrolovať dodržiavanie emisných limitov v súlade s ustanovenými alebo s určenými podmienkami ich dodržiavania podľa § 34 ods. 1 písm. b) a ods. 3 písm. a) zákona. Sledovanie údajov, ktoré sú podstatné na posúdenie zmien podmienok monitorovania emisií, sa konkretizuje podľa prílohy č. 6 ods. 2 písm. g) zákona; ak dôjde k podstatnej zmene spôsobu prevádzky spaľovacieho zariadenia vrátane zmeny druhu alebo typu používaného paliva, súčasťou žiadosti okrem náležitosti podľa prílohy č. 6 zákona alebo náležitosti ohlásenia podľa osobitného predpisu ) je aj informácia, či podmienky monitorovania podľa vydaného povolenia sú stále aktuálne alebo vyžadujú jeho zmenu.</w:t>
            </w:r>
          </w:p>
        </w:tc>
        <w:tc>
          <w:tcPr>
            <w:tcW w:w="429" w:type="dxa"/>
            <w:tcBorders>
              <w:top w:val="single" w:sz="4" w:space="0" w:color="auto"/>
              <w:bottom w:val="single" w:sz="4" w:space="0" w:color="auto"/>
            </w:tcBorders>
            <w:vAlign w:val="center"/>
          </w:tcPr>
          <w:p w14:paraId="2D39782E"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10C4563E"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02BA444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13381C5"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O4</w:t>
            </w:r>
          </w:p>
        </w:tc>
        <w:tc>
          <w:tcPr>
            <w:tcW w:w="6287" w:type="dxa"/>
            <w:tcBorders>
              <w:top w:val="single" w:sz="4" w:space="0" w:color="auto"/>
            </w:tcBorders>
          </w:tcPr>
          <w:p w14:paraId="300616B8"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4. V prípade stredne veľkých spaľovacích zariadení používajúcich sekundárne zariadenie na znižovanie emisií s cieľom splniť emisné limity prevádzkovateľ vedie záznamy alebo informácie, ktoré preukazujú účinnú a nepretržitú prevádzku daného zariadenia.</w:t>
            </w:r>
          </w:p>
        </w:tc>
        <w:tc>
          <w:tcPr>
            <w:tcW w:w="433" w:type="dxa"/>
          </w:tcPr>
          <w:p w14:paraId="74A25481"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p w14:paraId="1290BF08" w14:textId="77777777" w:rsidR="0075380B" w:rsidRPr="003549B4" w:rsidRDefault="0075380B" w:rsidP="00824651">
            <w:pPr>
              <w:spacing w:after="0" w:line="240" w:lineRule="auto"/>
              <w:rPr>
                <w:rFonts w:ascii="Times New Roman" w:hAnsi="Times New Roman" w:cs="Times New Roman"/>
                <w:sz w:val="20"/>
                <w:szCs w:val="20"/>
              </w:rPr>
            </w:pPr>
          </w:p>
          <w:p w14:paraId="55FD4FD3" w14:textId="77777777" w:rsidR="0075380B" w:rsidRPr="003549B4" w:rsidRDefault="0075380B" w:rsidP="00824651">
            <w:pPr>
              <w:spacing w:after="0" w:line="240" w:lineRule="auto"/>
              <w:rPr>
                <w:rFonts w:ascii="Times New Roman" w:hAnsi="Times New Roman" w:cs="Times New Roman"/>
                <w:sz w:val="20"/>
                <w:szCs w:val="20"/>
              </w:rPr>
            </w:pPr>
          </w:p>
          <w:p w14:paraId="71EC3B26" w14:textId="77777777" w:rsidR="0075380B" w:rsidRPr="003549B4" w:rsidRDefault="0075380B" w:rsidP="00824651">
            <w:pPr>
              <w:spacing w:after="0" w:line="240" w:lineRule="auto"/>
              <w:rPr>
                <w:rFonts w:ascii="Times New Roman" w:hAnsi="Times New Roman" w:cs="Times New Roman"/>
                <w:sz w:val="20"/>
                <w:szCs w:val="20"/>
              </w:rPr>
            </w:pPr>
          </w:p>
          <w:p w14:paraId="0EA6176B" w14:textId="77777777" w:rsidR="0053748B" w:rsidRPr="003549B4" w:rsidRDefault="0053748B" w:rsidP="00824651">
            <w:pPr>
              <w:spacing w:after="0" w:line="240" w:lineRule="auto"/>
              <w:rPr>
                <w:rFonts w:ascii="Times New Roman" w:hAnsi="Times New Roman" w:cs="Times New Roman"/>
                <w:sz w:val="20"/>
                <w:szCs w:val="20"/>
              </w:rPr>
            </w:pPr>
          </w:p>
          <w:p w14:paraId="14DD2C08" w14:textId="77777777" w:rsidR="0053748B" w:rsidRPr="003549B4" w:rsidRDefault="0053748B" w:rsidP="00824651">
            <w:pPr>
              <w:spacing w:after="0" w:line="240" w:lineRule="auto"/>
              <w:rPr>
                <w:rFonts w:ascii="Times New Roman" w:hAnsi="Times New Roman" w:cs="Times New Roman"/>
                <w:sz w:val="20"/>
                <w:szCs w:val="20"/>
              </w:rPr>
            </w:pPr>
          </w:p>
          <w:p w14:paraId="03EEDF50" w14:textId="77777777" w:rsidR="0053748B" w:rsidRPr="003549B4" w:rsidRDefault="0053748B" w:rsidP="00824651">
            <w:pPr>
              <w:spacing w:after="0" w:line="240" w:lineRule="auto"/>
              <w:rPr>
                <w:rFonts w:ascii="Times New Roman" w:hAnsi="Times New Roman" w:cs="Times New Roman"/>
                <w:sz w:val="20"/>
                <w:szCs w:val="20"/>
              </w:rPr>
            </w:pPr>
          </w:p>
          <w:p w14:paraId="7DF9C093" w14:textId="77777777" w:rsidR="0053748B" w:rsidRPr="003549B4" w:rsidRDefault="0053748B" w:rsidP="00824651">
            <w:pPr>
              <w:spacing w:after="0" w:line="240" w:lineRule="auto"/>
              <w:rPr>
                <w:rFonts w:ascii="Times New Roman" w:hAnsi="Times New Roman" w:cs="Times New Roman"/>
                <w:sz w:val="20"/>
                <w:szCs w:val="20"/>
              </w:rPr>
            </w:pPr>
          </w:p>
          <w:p w14:paraId="715DB04D" w14:textId="77777777" w:rsidR="0053748B" w:rsidRPr="003549B4" w:rsidRDefault="0053748B" w:rsidP="00824651">
            <w:pPr>
              <w:spacing w:after="0" w:line="240" w:lineRule="auto"/>
              <w:rPr>
                <w:rFonts w:ascii="Times New Roman" w:hAnsi="Times New Roman" w:cs="Times New Roman"/>
                <w:sz w:val="20"/>
                <w:szCs w:val="20"/>
              </w:rPr>
            </w:pPr>
          </w:p>
          <w:p w14:paraId="32415F34"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p w14:paraId="10EE10A8"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1801AA71"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p w14:paraId="12F46760" w14:textId="77777777" w:rsidR="0075380B" w:rsidRPr="003549B4" w:rsidRDefault="0075380B" w:rsidP="00F17024">
            <w:pPr>
              <w:spacing w:after="0" w:line="240" w:lineRule="auto"/>
              <w:ind w:right="-108"/>
              <w:rPr>
                <w:rFonts w:ascii="Times New Roman" w:hAnsi="Times New Roman" w:cs="Times New Roman"/>
                <w:sz w:val="20"/>
                <w:szCs w:val="20"/>
              </w:rPr>
            </w:pPr>
          </w:p>
          <w:p w14:paraId="452E9BCD" w14:textId="77777777" w:rsidR="0075380B" w:rsidRPr="003549B4" w:rsidRDefault="0075380B" w:rsidP="00F17024">
            <w:pPr>
              <w:spacing w:after="0" w:line="240" w:lineRule="auto"/>
              <w:ind w:right="-108"/>
              <w:rPr>
                <w:rFonts w:ascii="Times New Roman" w:hAnsi="Times New Roman" w:cs="Times New Roman"/>
                <w:sz w:val="20"/>
                <w:szCs w:val="20"/>
              </w:rPr>
            </w:pPr>
          </w:p>
          <w:p w14:paraId="281BDDB8" w14:textId="77777777" w:rsidR="0053748B" w:rsidRPr="003549B4" w:rsidRDefault="0053748B" w:rsidP="00F17024">
            <w:pPr>
              <w:spacing w:after="0" w:line="240" w:lineRule="auto"/>
              <w:ind w:right="-108"/>
              <w:rPr>
                <w:rFonts w:ascii="Times New Roman" w:hAnsi="Times New Roman" w:cs="Times New Roman"/>
                <w:sz w:val="20"/>
                <w:szCs w:val="20"/>
              </w:rPr>
            </w:pPr>
          </w:p>
          <w:p w14:paraId="501591F1" w14:textId="77777777" w:rsidR="0053748B" w:rsidRPr="003549B4" w:rsidRDefault="0053748B" w:rsidP="00F17024">
            <w:pPr>
              <w:spacing w:after="0" w:line="240" w:lineRule="auto"/>
              <w:ind w:right="-108"/>
              <w:rPr>
                <w:rFonts w:ascii="Times New Roman" w:hAnsi="Times New Roman" w:cs="Times New Roman"/>
                <w:sz w:val="20"/>
                <w:szCs w:val="20"/>
              </w:rPr>
            </w:pPr>
          </w:p>
          <w:p w14:paraId="668CA9EF" w14:textId="77777777" w:rsidR="0053748B" w:rsidRPr="003549B4" w:rsidRDefault="0053748B" w:rsidP="00F17024">
            <w:pPr>
              <w:spacing w:after="0" w:line="240" w:lineRule="auto"/>
              <w:ind w:right="-108"/>
              <w:rPr>
                <w:rFonts w:ascii="Times New Roman" w:hAnsi="Times New Roman" w:cs="Times New Roman"/>
                <w:sz w:val="20"/>
                <w:szCs w:val="20"/>
              </w:rPr>
            </w:pPr>
          </w:p>
          <w:p w14:paraId="3D60186E" w14:textId="77777777" w:rsidR="0053748B" w:rsidRPr="003549B4" w:rsidRDefault="0053748B" w:rsidP="00F17024">
            <w:pPr>
              <w:spacing w:after="0" w:line="240" w:lineRule="auto"/>
              <w:ind w:right="-108"/>
              <w:rPr>
                <w:rFonts w:ascii="Times New Roman" w:hAnsi="Times New Roman" w:cs="Times New Roman"/>
                <w:sz w:val="20"/>
                <w:szCs w:val="20"/>
              </w:rPr>
            </w:pPr>
          </w:p>
          <w:p w14:paraId="2A960F4D" w14:textId="77777777" w:rsidR="0053748B" w:rsidRPr="003549B4" w:rsidRDefault="0053748B" w:rsidP="00F17024">
            <w:pPr>
              <w:spacing w:after="0" w:line="240" w:lineRule="auto"/>
              <w:ind w:right="-108"/>
              <w:rPr>
                <w:rFonts w:ascii="Times New Roman" w:hAnsi="Times New Roman" w:cs="Times New Roman"/>
                <w:sz w:val="20"/>
                <w:szCs w:val="20"/>
              </w:rPr>
            </w:pPr>
          </w:p>
          <w:p w14:paraId="59D5C08F" w14:textId="77777777" w:rsidR="0075380B" w:rsidRPr="003549B4" w:rsidRDefault="0075380B" w:rsidP="00F17024">
            <w:pPr>
              <w:spacing w:after="0" w:line="240" w:lineRule="auto"/>
              <w:ind w:right="-108"/>
              <w:rPr>
                <w:rFonts w:ascii="Times New Roman" w:hAnsi="Times New Roman" w:cs="Times New Roman"/>
                <w:sz w:val="20"/>
                <w:szCs w:val="20"/>
              </w:rPr>
            </w:pPr>
          </w:p>
          <w:p w14:paraId="784901A4"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NV3</w:t>
            </w:r>
          </w:p>
          <w:p w14:paraId="23D0ECA9"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2113E171"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§34</w:t>
            </w:r>
          </w:p>
          <w:p w14:paraId="12BC81EC"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p w14:paraId="64D0F45A"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Pc)</w:t>
            </w:r>
          </w:p>
          <w:p w14:paraId="3F3B14AF"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58955E4E" w14:textId="77777777" w:rsidR="0053748B" w:rsidRPr="003549B4" w:rsidRDefault="0053748B" w:rsidP="00F17024">
            <w:pPr>
              <w:spacing w:after="0" w:line="240" w:lineRule="auto"/>
              <w:ind w:left="14" w:right="-9" w:hanging="29"/>
              <w:rPr>
                <w:rFonts w:ascii="Times New Roman" w:hAnsi="Times New Roman" w:cs="Times New Roman"/>
                <w:sz w:val="20"/>
                <w:szCs w:val="20"/>
              </w:rPr>
            </w:pPr>
          </w:p>
          <w:p w14:paraId="754FC347" w14:textId="77777777" w:rsidR="0053748B" w:rsidRPr="003549B4" w:rsidRDefault="0053748B" w:rsidP="00F17024">
            <w:pPr>
              <w:spacing w:after="0" w:line="240" w:lineRule="auto"/>
              <w:ind w:left="14" w:right="-9" w:hanging="29"/>
              <w:rPr>
                <w:rFonts w:ascii="Times New Roman" w:hAnsi="Times New Roman" w:cs="Times New Roman"/>
                <w:sz w:val="20"/>
                <w:szCs w:val="20"/>
              </w:rPr>
            </w:pPr>
          </w:p>
          <w:p w14:paraId="10037F0B" w14:textId="77777777" w:rsidR="0053748B" w:rsidRPr="003549B4" w:rsidRDefault="0053748B" w:rsidP="00F17024">
            <w:pPr>
              <w:spacing w:after="0" w:line="240" w:lineRule="auto"/>
              <w:ind w:left="14" w:right="-9" w:hanging="29"/>
              <w:rPr>
                <w:rFonts w:ascii="Times New Roman" w:hAnsi="Times New Roman" w:cs="Times New Roman"/>
                <w:sz w:val="20"/>
                <w:szCs w:val="20"/>
              </w:rPr>
            </w:pPr>
          </w:p>
          <w:p w14:paraId="712D9366" w14:textId="77777777" w:rsidR="0053748B" w:rsidRPr="003549B4" w:rsidRDefault="0053748B" w:rsidP="00F17024">
            <w:pPr>
              <w:spacing w:after="0" w:line="240" w:lineRule="auto"/>
              <w:ind w:left="14" w:right="-9" w:hanging="29"/>
              <w:rPr>
                <w:rFonts w:ascii="Times New Roman" w:hAnsi="Times New Roman" w:cs="Times New Roman"/>
                <w:sz w:val="20"/>
                <w:szCs w:val="20"/>
              </w:rPr>
            </w:pPr>
          </w:p>
          <w:p w14:paraId="7C7C980D" w14:textId="77777777" w:rsidR="0053748B" w:rsidRPr="003549B4" w:rsidRDefault="0053748B" w:rsidP="00F17024">
            <w:pPr>
              <w:spacing w:after="0" w:line="240" w:lineRule="auto"/>
              <w:ind w:left="14" w:right="-9" w:hanging="29"/>
              <w:rPr>
                <w:rFonts w:ascii="Times New Roman" w:hAnsi="Times New Roman" w:cs="Times New Roman"/>
                <w:sz w:val="20"/>
                <w:szCs w:val="20"/>
              </w:rPr>
            </w:pPr>
          </w:p>
          <w:p w14:paraId="52E22F6B" w14:textId="77777777" w:rsidR="0075380B" w:rsidRPr="003549B4" w:rsidRDefault="00305D7A"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2</w:t>
            </w:r>
          </w:p>
          <w:p w14:paraId="4A421016" w14:textId="77777777" w:rsidR="00305D7A" w:rsidRPr="003549B4" w:rsidRDefault="00305D7A"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 3</w:t>
            </w:r>
          </w:p>
        </w:tc>
        <w:tc>
          <w:tcPr>
            <w:tcW w:w="6006" w:type="dxa"/>
            <w:vAlign w:val="center"/>
          </w:tcPr>
          <w:p w14:paraId="636FEB44" w14:textId="77777777" w:rsidR="0053748B" w:rsidRPr="003549B4" w:rsidRDefault="0053748B" w:rsidP="00EE6D42">
            <w:pPr>
              <w:pStyle w:val="odsek"/>
              <w:numPr>
                <w:ilvl w:val="0"/>
                <w:numId w:val="0"/>
              </w:numPr>
              <w:tabs>
                <w:tab w:val="left" w:pos="0"/>
              </w:tabs>
              <w:spacing w:after="0" w:line="240" w:lineRule="auto"/>
              <w:jc w:val="both"/>
              <w:rPr>
                <w:rFonts w:eastAsia="Calibri"/>
                <w:color w:val="auto"/>
                <w:sz w:val="20"/>
                <w:szCs w:val="20"/>
                <w:lang w:eastAsia="en-US"/>
              </w:rPr>
            </w:pPr>
            <w:r w:rsidRPr="003549B4">
              <w:rPr>
                <w:rFonts w:eastAsia="Calibri"/>
                <w:color w:val="auto"/>
                <w:sz w:val="20"/>
                <w:szCs w:val="20"/>
                <w:lang w:eastAsia="en-US"/>
              </w:rPr>
              <w:t>(2)</w:t>
            </w:r>
            <w:r w:rsidRPr="003549B4">
              <w:rPr>
                <w:rFonts w:eastAsia="Calibri"/>
                <w:color w:val="auto"/>
                <w:sz w:val="20"/>
                <w:szCs w:val="20"/>
                <w:lang w:eastAsia="en-US"/>
              </w:rPr>
              <w:tab/>
              <w:t>Prevádzkovatelia veľkých zdrojov a prevádzkovatelia stredných zdrojov vo veciach vedenia prevádzkovej evidencie, zisťovania množstva emisií, oznamovania údajov o emisiách a zdroji,  predkladania správ, súboru parametrov a opatrení, a programov na zníženie množstva emisií a informovania verejnosti sú povinní</w:t>
            </w:r>
          </w:p>
          <w:p w14:paraId="57A17049" w14:textId="77777777" w:rsidR="0075380B" w:rsidRPr="003549B4" w:rsidRDefault="0075380B" w:rsidP="00EE6D42">
            <w:pPr>
              <w:pStyle w:val="odsek"/>
              <w:numPr>
                <w:ilvl w:val="0"/>
                <w:numId w:val="0"/>
              </w:numPr>
              <w:tabs>
                <w:tab w:val="left" w:pos="0"/>
              </w:tabs>
              <w:spacing w:after="0" w:line="240" w:lineRule="auto"/>
              <w:jc w:val="both"/>
              <w:rPr>
                <w:rFonts w:eastAsia="Calibri"/>
                <w:color w:val="auto"/>
                <w:sz w:val="20"/>
                <w:szCs w:val="20"/>
                <w:lang w:eastAsia="en-US"/>
              </w:rPr>
            </w:pPr>
            <w:r w:rsidRPr="003549B4">
              <w:rPr>
                <w:rFonts w:eastAsia="Calibri"/>
                <w:color w:val="auto"/>
                <w:sz w:val="20"/>
                <w:szCs w:val="20"/>
                <w:lang w:eastAsia="en-US"/>
              </w:rPr>
              <w:t>c) viesť prevádzkovú evidenciu o stacionárnom zdroji spôsobom ustanoveným vykonávacím predpisom podľa § 62 písm. h) a uchovávať sledované údaje a doklady počas ustanovenej doby,</w:t>
            </w:r>
          </w:p>
          <w:p w14:paraId="675D7F87" w14:textId="77777777" w:rsidR="0075380B" w:rsidRPr="003549B4" w:rsidRDefault="0075380B" w:rsidP="00EE6D42">
            <w:pPr>
              <w:spacing w:after="0" w:line="240" w:lineRule="auto"/>
              <w:rPr>
                <w:rFonts w:ascii="Times New Roman" w:hAnsi="Times New Roman" w:cs="Times New Roman"/>
                <w:sz w:val="20"/>
                <w:szCs w:val="20"/>
              </w:rPr>
            </w:pPr>
          </w:p>
          <w:p w14:paraId="08F2442D" w14:textId="77777777" w:rsidR="0075380B" w:rsidRPr="003549B4" w:rsidRDefault="00305D7A" w:rsidP="00305D7A">
            <w:pPr>
              <w:pStyle w:val="Textpsmene"/>
              <w:spacing w:after="0" w:line="240" w:lineRule="auto"/>
            </w:pPr>
            <w:r w:rsidRPr="003549B4">
              <w:t>(3)</w:t>
            </w:r>
            <w:r w:rsidRPr="003549B4">
              <w:rPr>
                <w:rFonts w:eastAsia="Calibri"/>
                <w:lang w:val="sk-SK" w:eastAsia="en-US"/>
              </w:rPr>
              <w:tab/>
              <w:t>Evidencia o veľkom zdroji a o strednom zdroji podľa § 34 ods. 2 písm. c) zákona obsahuje údaje najmenej v rozsahu ustanovenom v prílohe č. 1</w:t>
            </w:r>
          </w:p>
        </w:tc>
        <w:tc>
          <w:tcPr>
            <w:tcW w:w="429" w:type="dxa"/>
            <w:tcBorders>
              <w:top w:val="single" w:sz="4" w:space="0" w:color="auto"/>
              <w:bottom w:val="single" w:sz="4" w:space="0" w:color="auto"/>
            </w:tcBorders>
            <w:vAlign w:val="center"/>
          </w:tcPr>
          <w:p w14:paraId="512E1590" w14:textId="77777777" w:rsidR="0075380B" w:rsidRPr="003549B4" w:rsidRDefault="00B12E56"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FFE1D63"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1ECAD82E"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ED9D4B9"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O5</w:t>
            </w:r>
          </w:p>
        </w:tc>
        <w:tc>
          <w:tcPr>
            <w:tcW w:w="6287" w:type="dxa"/>
          </w:tcPr>
          <w:p w14:paraId="45C285E4"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5. Prevádzkovateľ stredne veľkého spaľovacieho zariadenia si uchováva:</w:t>
            </w:r>
          </w:p>
          <w:tbl>
            <w:tblPr>
              <w:tblW w:w="5000" w:type="pct"/>
              <w:tblCellSpacing w:w="0" w:type="dxa"/>
              <w:tblLayout w:type="fixed"/>
              <w:tblCellMar>
                <w:left w:w="0" w:type="dxa"/>
                <w:right w:w="0" w:type="dxa"/>
              </w:tblCellMar>
              <w:tblLook w:val="00A0" w:firstRow="1" w:lastRow="0" w:firstColumn="1" w:lastColumn="0" w:noHBand="0" w:noVBand="0"/>
            </w:tblPr>
            <w:tblGrid>
              <w:gridCol w:w="143"/>
              <w:gridCol w:w="21"/>
              <w:gridCol w:w="27"/>
              <w:gridCol w:w="5822"/>
            </w:tblGrid>
            <w:tr w:rsidR="0075380B" w:rsidRPr="003549B4" w14:paraId="130CCCD6" w14:textId="77777777" w:rsidTr="00A344BF">
              <w:trPr>
                <w:tblCellSpacing w:w="0" w:type="dxa"/>
              </w:trPr>
              <w:tc>
                <w:tcPr>
                  <w:tcW w:w="144" w:type="dxa"/>
                  <w:gridSpan w:val="2"/>
                </w:tcPr>
                <w:p w14:paraId="52974DA6"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a</w:t>
                  </w:r>
                </w:p>
              </w:tc>
              <w:tc>
                <w:tcPr>
                  <w:tcW w:w="5411" w:type="dxa"/>
                  <w:gridSpan w:val="2"/>
                </w:tcPr>
                <w:p w14:paraId="118AC0A2"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)povolenie alebo dôkaz o registrácii príslušným orgánom a prípadne aj jeho aktualiNZanú verziu a súvisiace informácie;</w:t>
                  </w:r>
                </w:p>
              </w:tc>
            </w:tr>
            <w:tr w:rsidR="0075380B" w:rsidRPr="003549B4" w14:paraId="58DBE153" w14:textId="77777777" w:rsidTr="00A344BF">
              <w:trPr>
                <w:tblCellSpacing w:w="0" w:type="dxa"/>
              </w:trPr>
              <w:tc>
                <w:tcPr>
                  <w:tcW w:w="177" w:type="dxa"/>
                  <w:gridSpan w:val="3"/>
                </w:tcPr>
                <w:p w14:paraId="6D1AFA3E"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b</w:t>
                  </w:r>
                </w:p>
              </w:tc>
              <w:tc>
                <w:tcPr>
                  <w:tcW w:w="5378" w:type="dxa"/>
                </w:tcPr>
                <w:p w14:paraId="3EFF07D2"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)výsledky monitorovania a informácie uvedené v odsekoch 3 a 4;</w:t>
                  </w:r>
                </w:p>
              </w:tc>
            </w:tr>
            <w:tr w:rsidR="0075380B" w:rsidRPr="003549B4" w14:paraId="5E1EE099" w14:textId="77777777" w:rsidTr="00A344BF">
              <w:trPr>
                <w:tblCellSpacing w:w="0" w:type="dxa"/>
              </w:trPr>
              <w:tc>
                <w:tcPr>
                  <w:tcW w:w="133" w:type="dxa"/>
                </w:tcPr>
                <w:p w14:paraId="0660056C"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c</w:t>
                  </w:r>
                </w:p>
              </w:tc>
              <w:tc>
                <w:tcPr>
                  <w:tcW w:w="5422" w:type="dxa"/>
                  <w:gridSpan w:val="3"/>
                </w:tcPr>
                <w:p w14:paraId="2CBCB2AA"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)kde sa uplatňuje, záznam prevádzkových hodín ako je uvedený v článku 6 ods. 3 a v článku 6 ods. 8;</w:t>
                  </w:r>
                </w:p>
              </w:tc>
            </w:tr>
            <w:tr w:rsidR="0075380B" w:rsidRPr="003549B4" w14:paraId="17A5791F" w14:textId="77777777" w:rsidTr="00A344BF">
              <w:trPr>
                <w:tblCellSpacing w:w="0" w:type="dxa"/>
              </w:trPr>
              <w:tc>
                <w:tcPr>
                  <w:tcW w:w="152" w:type="dxa"/>
                  <w:gridSpan w:val="2"/>
                </w:tcPr>
                <w:p w14:paraId="619B3A4D"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d</w:t>
                  </w:r>
                </w:p>
              </w:tc>
              <w:tc>
                <w:tcPr>
                  <w:tcW w:w="5403" w:type="dxa"/>
                  <w:gridSpan w:val="2"/>
                </w:tcPr>
                <w:p w14:paraId="1B188B52"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)záznam o type a množstve palív používaných v zariadení a o akýchkoľvek poruchách alebo výpadkoch sekundárneho zariadenia na znižovanie emisií;</w:t>
                  </w:r>
                </w:p>
              </w:tc>
            </w:tr>
            <w:tr w:rsidR="0075380B" w:rsidRPr="003549B4" w14:paraId="2704A06A" w14:textId="77777777" w:rsidTr="00A344BF">
              <w:trPr>
                <w:tblCellSpacing w:w="0" w:type="dxa"/>
              </w:trPr>
              <w:tc>
                <w:tcPr>
                  <w:tcW w:w="147" w:type="dxa"/>
                  <w:gridSpan w:val="2"/>
                </w:tcPr>
                <w:p w14:paraId="422453CF"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e</w:t>
                  </w:r>
                </w:p>
              </w:tc>
              <w:tc>
                <w:tcPr>
                  <w:tcW w:w="5408" w:type="dxa"/>
                  <w:gridSpan w:val="2"/>
                </w:tcPr>
                <w:p w14:paraId="06AFF2DC"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)záznam o prípadoch nedodržiavania ustanovení a prijatých opatreniach v zmysle odseku 7.</w:t>
                  </w:r>
                </w:p>
              </w:tc>
            </w:tr>
          </w:tbl>
          <w:p w14:paraId="778AC8B6" w14:textId="77777777" w:rsidR="0075380B" w:rsidRPr="003549B4" w:rsidRDefault="0075380B" w:rsidP="00824651">
            <w:pPr>
              <w:spacing w:before="120"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Údaje a informácie uvedené v písmenách b) až e) prvého pododseku sa uchovávajú najmenej po dobu šiestich rokov.</w:t>
            </w:r>
          </w:p>
          <w:p w14:paraId="2242F5E4" w14:textId="77777777" w:rsidR="0075380B" w:rsidRPr="003549B4" w:rsidRDefault="0075380B" w:rsidP="00824651">
            <w:pPr>
              <w:spacing w:before="120" w:after="0" w:line="240" w:lineRule="auto"/>
              <w:rPr>
                <w:rFonts w:ascii="Times New Roman" w:hAnsi="Times New Roman" w:cs="Times New Roman"/>
                <w:sz w:val="20"/>
                <w:szCs w:val="20"/>
              </w:rPr>
            </w:pPr>
          </w:p>
        </w:tc>
        <w:tc>
          <w:tcPr>
            <w:tcW w:w="433" w:type="dxa"/>
          </w:tcPr>
          <w:p w14:paraId="7DDFE465"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1149FC38" w14:textId="77777777" w:rsidR="0075380B" w:rsidRPr="003549B4" w:rsidRDefault="0075380B"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NV3</w:t>
            </w:r>
          </w:p>
          <w:p w14:paraId="5E5D97D4" w14:textId="77777777" w:rsidR="0075380B" w:rsidRPr="003549B4" w:rsidRDefault="0075380B" w:rsidP="00F17024">
            <w:pPr>
              <w:spacing w:before="120" w:after="0" w:line="240" w:lineRule="auto"/>
              <w:ind w:right="-108"/>
              <w:rPr>
                <w:rFonts w:ascii="Times New Roman" w:hAnsi="Times New Roman" w:cs="Times New Roman"/>
                <w:sz w:val="20"/>
                <w:szCs w:val="20"/>
              </w:rPr>
            </w:pPr>
          </w:p>
        </w:tc>
        <w:tc>
          <w:tcPr>
            <w:tcW w:w="569" w:type="dxa"/>
          </w:tcPr>
          <w:p w14:paraId="479695A7" w14:textId="77777777" w:rsidR="0075380B" w:rsidRPr="003549B4" w:rsidRDefault="00305D7A"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 č. 1</w:t>
            </w:r>
          </w:p>
          <w:p w14:paraId="76F8083F"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p>
        </w:tc>
        <w:tc>
          <w:tcPr>
            <w:tcW w:w="6006" w:type="dxa"/>
          </w:tcPr>
          <w:p w14:paraId="24615E43" w14:textId="77777777" w:rsidR="00305D7A" w:rsidRPr="003549B4" w:rsidRDefault="00305D7A" w:rsidP="00305D7A">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A.</w:t>
            </w:r>
            <w:r w:rsidRPr="003549B4">
              <w:rPr>
                <w:rFonts w:ascii="Times New Roman" w:hAnsi="Times New Roman" w:cs="Times New Roman"/>
                <w:sz w:val="20"/>
                <w:szCs w:val="20"/>
              </w:rPr>
              <w:tab/>
              <w:t>Stála evidencia</w:t>
            </w:r>
          </w:p>
          <w:p w14:paraId="4669F01B" w14:textId="77777777" w:rsidR="00305D7A" w:rsidRPr="003549B4" w:rsidRDefault="00305D7A" w:rsidP="00305D7A">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 xml:space="preserve">      Stála evidencia sa vedie v závislosti od charakteru stacionárneho zdroja, jeho časti a zariadení a obsahuje údaje  o </w:t>
            </w:r>
          </w:p>
          <w:p w14:paraId="692D0563" w14:textId="77777777" w:rsidR="00305D7A" w:rsidRPr="003549B4" w:rsidRDefault="00305D7A" w:rsidP="00305D7A">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w:t>
            </w:r>
            <w:r w:rsidRPr="003549B4">
              <w:rPr>
                <w:rFonts w:ascii="Times New Roman" w:hAnsi="Times New Roman" w:cs="Times New Roman"/>
                <w:sz w:val="20"/>
                <w:szCs w:val="20"/>
              </w:rPr>
              <w:tab/>
              <w:t xml:space="preserve">identifikačných údajoch o prevádzkovateľovi stacionárneho zdroja, </w:t>
            </w:r>
          </w:p>
          <w:p w14:paraId="7F348F09" w14:textId="77777777" w:rsidR="00305D7A" w:rsidRPr="003549B4" w:rsidRDefault="00305D7A" w:rsidP="00EE6D4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2.</w:t>
            </w:r>
            <w:r w:rsidRPr="003549B4">
              <w:rPr>
                <w:rFonts w:ascii="Times New Roman" w:hAnsi="Times New Roman" w:cs="Times New Roman"/>
                <w:sz w:val="20"/>
                <w:szCs w:val="20"/>
              </w:rPr>
              <w:tab/>
              <w:t xml:space="preserve">stacionárnom zdroji a jeho prevádzke,  </w:t>
            </w:r>
          </w:p>
          <w:p w14:paraId="1E6057F0" w14:textId="77777777" w:rsidR="00305D7A" w:rsidRPr="003549B4" w:rsidRDefault="00305D7A" w:rsidP="00EE6D4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3.</w:t>
            </w:r>
            <w:r w:rsidRPr="003549B4">
              <w:rPr>
                <w:rFonts w:ascii="Times New Roman" w:hAnsi="Times New Roman" w:cs="Times New Roman"/>
                <w:sz w:val="20"/>
                <w:szCs w:val="20"/>
              </w:rPr>
              <w:tab/>
              <w:t>vydaných súhlasoch, rozhodnutiach a povoleniach stacionárneho zdroja, časti zdroja vrátane identifikácie ich zmien a obnovených povolení,</w:t>
            </w:r>
          </w:p>
          <w:p w14:paraId="711A5BD7" w14:textId="77777777" w:rsidR="00305D7A" w:rsidRPr="003549B4" w:rsidRDefault="00305D7A" w:rsidP="00EE6D4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4.</w:t>
            </w:r>
            <w:r w:rsidRPr="003549B4">
              <w:rPr>
                <w:rFonts w:ascii="Times New Roman" w:hAnsi="Times New Roman" w:cs="Times New Roman"/>
                <w:sz w:val="20"/>
                <w:szCs w:val="20"/>
              </w:rPr>
              <w:tab/>
              <w:t xml:space="preserve">kategorizácii zdroja, začlenení  stacionárneho zdroja,  </w:t>
            </w:r>
          </w:p>
          <w:p w14:paraId="1B423627" w14:textId="77777777" w:rsidR="00305D7A" w:rsidRPr="003549B4" w:rsidRDefault="00305D7A" w:rsidP="00EE6D4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5.</w:t>
            </w:r>
            <w:r w:rsidRPr="003549B4">
              <w:rPr>
                <w:rFonts w:ascii="Times New Roman" w:hAnsi="Times New Roman" w:cs="Times New Roman"/>
                <w:sz w:val="20"/>
                <w:szCs w:val="20"/>
              </w:rPr>
              <w:tab/>
              <w:t>projektovaná kapacita zdroja a jej merná jednotka</w:t>
            </w:r>
          </w:p>
          <w:p w14:paraId="56243123" w14:textId="77777777" w:rsidR="00305D7A" w:rsidRPr="003549B4" w:rsidRDefault="00305D7A" w:rsidP="00EE6D4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6.</w:t>
            </w:r>
            <w:r w:rsidRPr="003549B4">
              <w:rPr>
                <w:rFonts w:ascii="Times New Roman" w:hAnsi="Times New Roman" w:cs="Times New Roman"/>
                <w:sz w:val="20"/>
                <w:szCs w:val="20"/>
              </w:rPr>
              <w:tab/>
              <w:t>skladbe stacionárneho zdroja, častiach zdroja,  zariadeniach stacionárneho zdroja,</w:t>
            </w:r>
          </w:p>
          <w:p w14:paraId="457DE3AE" w14:textId="77777777" w:rsidR="00305D7A" w:rsidRPr="003549B4" w:rsidRDefault="00305D7A" w:rsidP="00EE6D4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7.</w:t>
            </w:r>
            <w:r w:rsidRPr="003549B4">
              <w:rPr>
                <w:rFonts w:ascii="Times New Roman" w:hAnsi="Times New Roman" w:cs="Times New Roman"/>
                <w:sz w:val="20"/>
                <w:szCs w:val="20"/>
              </w:rPr>
              <w:tab/>
              <w:t xml:space="preserve">charakteristikách vybraných stacionárnych zdrojoch ako sú: spaľovacie zariadenia, spaľovne odpadov,  zariadenia na spoluspaľovanie odpadov, zariadenia používajúce organické </w:t>
            </w:r>
            <w:r w:rsidRPr="003549B4">
              <w:rPr>
                <w:rFonts w:ascii="Times New Roman" w:hAnsi="Times New Roman" w:cs="Times New Roman"/>
                <w:sz w:val="20"/>
                <w:szCs w:val="20"/>
              </w:rPr>
              <w:lastRenderedPageBreak/>
              <w:t>rozpúšťadlá, distribučné sklady benzínu a čerpacie stanice pohonných látok, technologické zariadenia,</w:t>
            </w:r>
          </w:p>
          <w:p w14:paraId="09946D7F" w14:textId="77777777" w:rsidR="00305D7A" w:rsidRPr="003549B4" w:rsidRDefault="00305D7A" w:rsidP="00EE6D4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8.</w:t>
            </w:r>
            <w:r w:rsidRPr="003549B4">
              <w:rPr>
                <w:rFonts w:ascii="Times New Roman" w:hAnsi="Times New Roman" w:cs="Times New Roman"/>
                <w:sz w:val="20"/>
                <w:szCs w:val="20"/>
              </w:rPr>
              <w:tab/>
              <w:t xml:space="preserve">palivách, surovinách, výrobkoch,  </w:t>
            </w:r>
          </w:p>
          <w:p w14:paraId="1E39481A" w14:textId="77777777" w:rsidR="00305D7A" w:rsidRPr="003549B4" w:rsidRDefault="00305D7A" w:rsidP="00EE6D4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9.</w:t>
            </w:r>
            <w:r w:rsidRPr="003549B4">
              <w:rPr>
                <w:rFonts w:ascii="Times New Roman" w:hAnsi="Times New Roman" w:cs="Times New Roman"/>
                <w:sz w:val="20"/>
                <w:szCs w:val="20"/>
              </w:rPr>
              <w:tab/>
              <w:t>režime prevádzky,</w:t>
            </w:r>
          </w:p>
          <w:p w14:paraId="168FD24F" w14:textId="77777777" w:rsidR="00305D7A" w:rsidRPr="003549B4" w:rsidRDefault="00305D7A" w:rsidP="00EE6D4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10.</w:t>
            </w:r>
            <w:r w:rsidRPr="003549B4">
              <w:rPr>
                <w:rFonts w:ascii="Times New Roman" w:hAnsi="Times New Roman" w:cs="Times New Roman"/>
                <w:sz w:val="20"/>
                <w:szCs w:val="20"/>
              </w:rPr>
              <w:tab/>
              <w:t>požiadavkách na stacionárny zdroj z hľadiska ochrany ovzdušia,</w:t>
            </w:r>
          </w:p>
          <w:p w14:paraId="2683D168" w14:textId="77777777" w:rsidR="00305D7A" w:rsidRPr="003549B4" w:rsidRDefault="00305D7A" w:rsidP="00EE6D4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11.</w:t>
            </w:r>
            <w:r w:rsidRPr="003549B4">
              <w:rPr>
                <w:rFonts w:ascii="Times New Roman" w:hAnsi="Times New Roman" w:cs="Times New Roman"/>
                <w:sz w:val="20"/>
                <w:szCs w:val="20"/>
              </w:rPr>
              <w:tab/>
              <w:t>zariadeniach na znižovanie emisií,</w:t>
            </w:r>
          </w:p>
          <w:p w14:paraId="2A0538CE"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12.</w:t>
            </w:r>
            <w:r w:rsidRPr="003549B4">
              <w:rPr>
                <w:rFonts w:ascii="Times New Roman" w:hAnsi="Times New Roman" w:cs="Times New Roman"/>
                <w:sz w:val="20"/>
                <w:szCs w:val="20"/>
              </w:rPr>
              <w:tab/>
              <w:t xml:space="preserve">miestach vypúšťania emisií vrátane GPS súradníc, </w:t>
            </w:r>
          </w:p>
          <w:p w14:paraId="25610F41"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13.</w:t>
            </w:r>
            <w:r w:rsidRPr="003549B4">
              <w:rPr>
                <w:rFonts w:ascii="Times New Roman" w:hAnsi="Times New Roman" w:cs="Times New Roman"/>
                <w:sz w:val="20"/>
                <w:szCs w:val="20"/>
              </w:rPr>
              <w:tab/>
              <w:t xml:space="preserve">vypúšťaných znečisťujúcich látkach, </w:t>
            </w:r>
          </w:p>
          <w:p w14:paraId="1792F0FB"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14.</w:t>
            </w:r>
            <w:r w:rsidRPr="003549B4">
              <w:rPr>
                <w:rFonts w:ascii="Times New Roman" w:hAnsi="Times New Roman" w:cs="Times New Roman"/>
                <w:sz w:val="20"/>
                <w:szCs w:val="20"/>
              </w:rPr>
              <w:tab/>
              <w:t xml:space="preserve">zisťovaní, podmienkach zisťovania a preukazovania dodržiavania emisných limitov, technických požiadaviek a všeobecných podmienok prevádzkovania, ak sú ustanovené ako číselná hodnota,  </w:t>
            </w:r>
          </w:p>
          <w:p w14:paraId="7B3381C8"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15.</w:t>
            </w:r>
            <w:r w:rsidRPr="003549B4">
              <w:rPr>
                <w:rFonts w:ascii="Times New Roman" w:hAnsi="Times New Roman" w:cs="Times New Roman"/>
                <w:sz w:val="20"/>
                <w:szCs w:val="20"/>
              </w:rPr>
              <w:tab/>
              <w:t>inštalovanom automatizovanom meracom systéme v súlade s osobitným predpisom. )</w:t>
            </w:r>
          </w:p>
          <w:p w14:paraId="0206C321"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16.</w:t>
            </w:r>
            <w:r w:rsidRPr="003549B4">
              <w:rPr>
                <w:rFonts w:ascii="Times New Roman" w:hAnsi="Times New Roman" w:cs="Times New Roman"/>
                <w:sz w:val="20"/>
                <w:szCs w:val="20"/>
              </w:rPr>
              <w:tab/>
              <w:t>údaje o uplatňovaných výnimkách a špecifických podmienkach</w:t>
            </w:r>
          </w:p>
          <w:p w14:paraId="58788B00" w14:textId="77777777" w:rsidR="00305D7A" w:rsidRPr="003549B4" w:rsidRDefault="00305D7A" w:rsidP="00EE6D4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B.</w:t>
            </w:r>
            <w:r w:rsidRPr="003549B4">
              <w:rPr>
                <w:rFonts w:ascii="Times New Roman" w:hAnsi="Times New Roman" w:cs="Times New Roman"/>
                <w:sz w:val="20"/>
                <w:szCs w:val="20"/>
              </w:rPr>
              <w:tab/>
              <w:t>Ročná evidencia</w:t>
            </w:r>
          </w:p>
          <w:p w14:paraId="237959D1" w14:textId="77777777" w:rsidR="00305D7A" w:rsidRPr="003549B4" w:rsidRDefault="00305D7A" w:rsidP="00305D7A">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 xml:space="preserve">      Ročná evidencia sa vedie v závislosti od charakteru stacionárneho zdroja, jeho častí a zariadení a obsahuje údaje o </w:t>
            </w:r>
          </w:p>
          <w:p w14:paraId="0177771A" w14:textId="77777777" w:rsidR="00305D7A" w:rsidRPr="003549B4" w:rsidRDefault="00305D7A" w:rsidP="00305D7A">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w:t>
            </w:r>
            <w:r w:rsidRPr="003549B4">
              <w:rPr>
                <w:rFonts w:ascii="Times New Roman" w:hAnsi="Times New Roman" w:cs="Times New Roman"/>
                <w:sz w:val="20"/>
                <w:szCs w:val="20"/>
              </w:rPr>
              <w:tab/>
              <w:t>prevádzke stacionárneho zdroja v uplynulom roku,</w:t>
            </w:r>
          </w:p>
          <w:p w14:paraId="5F20E18E"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2.</w:t>
            </w:r>
            <w:r w:rsidRPr="003549B4">
              <w:rPr>
                <w:rFonts w:ascii="Times New Roman" w:hAnsi="Times New Roman" w:cs="Times New Roman"/>
                <w:sz w:val="20"/>
                <w:szCs w:val="20"/>
              </w:rPr>
              <w:tab/>
              <w:t xml:space="preserve">počte prevádzkových hodín za rok, </w:t>
            </w:r>
          </w:p>
          <w:p w14:paraId="0B79FEE0"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3.</w:t>
            </w:r>
            <w:r w:rsidRPr="003549B4">
              <w:rPr>
                <w:rFonts w:ascii="Times New Roman" w:hAnsi="Times New Roman" w:cs="Times New Roman"/>
                <w:sz w:val="20"/>
                <w:szCs w:val="20"/>
              </w:rPr>
              <w:tab/>
              <w:t>spotrebe palív, a ich výhrevnosti a  akostných znakoch,</w:t>
            </w:r>
          </w:p>
          <w:p w14:paraId="623380BC"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4.</w:t>
            </w:r>
            <w:r w:rsidRPr="003549B4">
              <w:rPr>
                <w:rFonts w:ascii="Times New Roman" w:hAnsi="Times New Roman" w:cs="Times New Roman"/>
                <w:sz w:val="20"/>
                <w:szCs w:val="20"/>
              </w:rPr>
              <w:tab/>
              <w:t>tepelný vstup dodaný v každom druhu paliva [TJ/rok],</w:t>
            </w:r>
          </w:p>
          <w:p w14:paraId="6CDE9053"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5.</w:t>
            </w:r>
            <w:r w:rsidRPr="003549B4">
              <w:rPr>
                <w:rFonts w:ascii="Times New Roman" w:hAnsi="Times New Roman" w:cs="Times New Roman"/>
                <w:sz w:val="20"/>
                <w:szCs w:val="20"/>
              </w:rPr>
              <w:tab/>
              <w:t>spálených odpadoch a ich druhoch</w:t>
            </w:r>
          </w:p>
          <w:p w14:paraId="3153ACCD"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6.</w:t>
            </w:r>
            <w:r w:rsidRPr="003549B4">
              <w:rPr>
                <w:rFonts w:ascii="Times New Roman" w:hAnsi="Times New Roman" w:cs="Times New Roman"/>
                <w:sz w:val="20"/>
                <w:szCs w:val="20"/>
              </w:rPr>
              <w:tab/>
              <w:t xml:space="preserve">spotrebe surovín za rok, </w:t>
            </w:r>
          </w:p>
          <w:p w14:paraId="7218F6A2"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7.</w:t>
            </w:r>
            <w:r w:rsidRPr="003549B4">
              <w:rPr>
                <w:rFonts w:ascii="Times New Roman" w:hAnsi="Times New Roman" w:cs="Times New Roman"/>
                <w:sz w:val="20"/>
                <w:szCs w:val="20"/>
              </w:rPr>
              <w:tab/>
              <w:t xml:space="preserve">spotrebe organických  rozpúšťadiel  za rok a ich bilancii, </w:t>
            </w:r>
          </w:p>
          <w:p w14:paraId="42BA8D9A"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8.</w:t>
            </w:r>
            <w:r w:rsidRPr="003549B4">
              <w:rPr>
                <w:rFonts w:ascii="Times New Roman" w:hAnsi="Times New Roman" w:cs="Times New Roman"/>
                <w:sz w:val="20"/>
                <w:szCs w:val="20"/>
              </w:rPr>
              <w:tab/>
              <w:t>ročnej produkcii u vybraných stacionárnych zdrojov,</w:t>
            </w:r>
          </w:p>
          <w:p w14:paraId="09D72464"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9.</w:t>
            </w:r>
            <w:r w:rsidRPr="003549B4">
              <w:rPr>
                <w:rFonts w:ascii="Times New Roman" w:hAnsi="Times New Roman" w:cs="Times New Roman"/>
                <w:sz w:val="20"/>
                <w:szCs w:val="20"/>
              </w:rPr>
              <w:tab/>
              <w:t xml:space="preserve">množstve vyrobenej energie za rok, </w:t>
            </w:r>
          </w:p>
          <w:p w14:paraId="1D9BC2D5"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10.</w:t>
            </w:r>
            <w:r w:rsidRPr="003549B4">
              <w:rPr>
                <w:rFonts w:ascii="Times New Roman" w:hAnsi="Times New Roman" w:cs="Times New Roman"/>
                <w:sz w:val="20"/>
                <w:szCs w:val="20"/>
              </w:rPr>
              <w:tab/>
              <w:t>množstve vypustených znečisťujúcich látok a jeho zisťovaní,</w:t>
            </w:r>
          </w:p>
          <w:p w14:paraId="7B8E2930"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11.</w:t>
            </w:r>
            <w:r w:rsidRPr="003549B4">
              <w:rPr>
                <w:rFonts w:ascii="Times New Roman" w:hAnsi="Times New Roman" w:cs="Times New Roman"/>
                <w:sz w:val="20"/>
                <w:szCs w:val="20"/>
              </w:rPr>
              <w:tab/>
              <w:t>množstve vzťažnej veličiny a hodnote mernej veličiny, ak sa množstvo emisií zisťuje  výpočtom,</w:t>
            </w:r>
          </w:p>
          <w:p w14:paraId="17CEFF0A"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12.</w:t>
            </w:r>
            <w:r w:rsidRPr="003549B4">
              <w:rPr>
                <w:rFonts w:ascii="Times New Roman" w:hAnsi="Times New Roman" w:cs="Times New Roman"/>
                <w:sz w:val="20"/>
                <w:szCs w:val="20"/>
              </w:rPr>
              <w:tab/>
              <w:t>množstve pridelených a odovzdaných kvót znečisťujúcich látok za rok,</w:t>
            </w:r>
          </w:p>
          <w:p w14:paraId="7B1AEBFC"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13.</w:t>
            </w:r>
            <w:r w:rsidRPr="003549B4">
              <w:rPr>
                <w:rFonts w:ascii="Times New Roman" w:hAnsi="Times New Roman" w:cs="Times New Roman"/>
                <w:sz w:val="20"/>
                <w:szCs w:val="20"/>
              </w:rPr>
              <w:tab/>
              <w:t>poplatkoch za emisie,</w:t>
            </w:r>
          </w:p>
          <w:p w14:paraId="52DC1C14"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14.</w:t>
            </w:r>
            <w:r w:rsidRPr="003549B4">
              <w:rPr>
                <w:rFonts w:ascii="Times New Roman" w:hAnsi="Times New Roman" w:cs="Times New Roman"/>
                <w:sz w:val="20"/>
                <w:szCs w:val="20"/>
              </w:rPr>
              <w:tab/>
              <w:t>prevádzke a výpadkoch zariadenia na znižovanie emisií, dosiahnutej účinnosti znižovania,</w:t>
            </w:r>
          </w:p>
          <w:p w14:paraId="612E1D14"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15.</w:t>
            </w:r>
            <w:r w:rsidRPr="003549B4">
              <w:rPr>
                <w:rFonts w:ascii="Times New Roman" w:hAnsi="Times New Roman" w:cs="Times New Roman"/>
                <w:sz w:val="20"/>
                <w:szCs w:val="20"/>
              </w:rPr>
              <w:tab/>
              <w:t xml:space="preserve">dodržaní emisných limitov, emisných kvót, technických požiadaviek a všeobecných podmienok prevádzky a  podmienok prevádzkovania  určených  súhlasom, rozhodnutím alebo integrovaným povolením, </w:t>
            </w:r>
          </w:p>
          <w:p w14:paraId="411E8519"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16.</w:t>
            </w:r>
            <w:r w:rsidRPr="003549B4">
              <w:rPr>
                <w:rFonts w:ascii="Times New Roman" w:hAnsi="Times New Roman" w:cs="Times New Roman"/>
                <w:sz w:val="20"/>
                <w:szCs w:val="20"/>
              </w:rPr>
              <w:tab/>
              <w:t>uplatňovaní výnimiek, ak  boli pre stacionárny zdroj  povolené,</w:t>
            </w:r>
          </w:p>
          <w:p w14:paraId="4AE4DB16"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17.</w:t>
            </w:r>
            <w:r w:rsidRPr="003549B4">
              <w:rPr>
                <w:rFonts w:ascii="Times New Roman" w:hAnsi="Times New Roman" w:cs="Times New Roman"/>
                <w:sz w:val="20"/>
                <w:szCs w:val="20"/>
              </w:rPr>
              <w:tab/>
              <w:t xml:space="preserve">prekročení emisného limitu, </w:t>
            </w:r>
          </w:p>
          <w:p w14:paraId="48B5AE03"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18.</w:t>
            </w:r>
            <w:r w:rsidRPr="003549B4">
              <w:rPr>
                <w:rFonts w:ascii="Times New Roman" w:hAnsi="Times New Roman" w:cs="Times New Roman"/>
                <w:sz w:val="20"/>
                <w:szCs w:val="20"/>
              </w:rPr>
              <w:tab/>
              <w:t>nedodržaní technickej požiadavky a všeobecnej podmienky prevádzkovania,</w:t>
            </w:r>
          </w:p>
          <w:p w14:paraId="7CE18CD1"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19.</w:t>
            </w:r>
            <w:r w:rsidRPr="003549B4">
              <w:rPr>
                <w:rFonts w:ascii="Times New Roman" w:hAnsi="Times New Roman" w:cs="Times New Roman"/>
                <w:sz w:val="20"/>
                <w:szCs w:val="20"/>
              </w:rPr>
              <w:tab/>
              <w:t>plnení opatrení na nápravu, ak boli uložené,</w:t>
            </w:r>
          </w:p>
          <w:p w14:paraId="73E4250F"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lastRenderedPageBreak/>
              <w:t>20.</w:t>
            </w:r>
            <w:r w:rsidRPr="003549B4">
              <w:rPr>
                <w:rFonts w:ascii="Times New Roman" w:hAnsi="Times New Roman" w:cs="Times New Roman"/>
                <w:sz w:val="20"/>
                <w:szCs w:val="20"/>
              </w:rPr>
              <w:tab/>
              <w:t>zisťovaní, podmienkach zisťovania a preukazovania dodržiavania emisných limitov,  technických požiadaviek a všeobecných podmienok prevádzkovania, ak sú ustanovené ako číselná hodnota, termínoch a lehotách vykonávania diskontinuálneho merania, o funkčných skúškach automatizovaného meracieho systému, ak je inštalovaný, vrátane dokumentov  podľa § 22 ods. 3 a 4 zákona,</w:t>
            </w:r>
          </w:p>
          <w:p w14:paraId="126EA976"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21.</w:t>
            </w:r>
            <w:r w:rsidRPr="003549B4">
              <w:rPr>
                <w:rFonts w:ascii="Times New Roman" w:hAnsi="Times New Roman" w:cs="Times New Roman"/>
                <w:sz w:val="20"/>
                <w:szCs w:val="20"/>
              </w:rPr>
              <w:tab/>
              <w:t>špecifických údajoch sledovaných u vybraných druhov zariadení stacionárnych zdrojov ako sú: spaľovacie zariadenia, spaľovne odpadov, zariadenia na spoluspaľovanie odpadov, zariadenia používajúce organické rozpúšťadlá, distribučné sklady benzínu, čerpacie stanice benzínu a technologické zariadenia,</w:t>
            </w:r>
          </w:p>
          <w:p w14:paraId="3A67D4D5" w14:textId="77777777" w:rsidR="00305D7A" w:rsidRPr="003549B4" w:rsidRDefault="00305D7A" w:rsidP="00305D7A">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C.</w:t>
            </w:r>
            <w:r w:rsidRPr="003549B4">
              <w:rPr>
                <w:rFonts w:ascii="Times New Roman" w:hAnsi="Times New Roman" w:cs="Times New Roman"/>
                <w:sz w:val="20"/>
                <w:szCs w:val="20"/>
              </w:rPr>
              <w:tab/>
              <w:t>Priebežná evidencia</w:t>
            </w:r>
          </w:p>
          <w:p w14:paraId="3C5CB55D" w14:textId="77777777" w:rsidR="00305D7A" w:rsidRPr="003549B4" w:rsidRDefault="00305D7A" w:rsidP="00305D7A">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 xml:space="preserve">      Priebežná evidencia sa vedie v závislosti od charakteru stacionárneho zdroja, jeho časti a zariadení a obsahuje údaje o </w:t>
            </w:r>
          </w:p>
          <w:p w14:paraId="4BA67D49" w14:textId="77777777" w:rsidR="00305D7A" w:rsidRPr="003549B4" w:rsidRDefault="00305D7A" w:rsidP="00305D7A">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w:t>
            </w:r>
            <w:r w:rsidRPr="003549B4">
              <w:rPr>
                <w:rFonts w:ascii="Times New Roman" w:hAnsi="Times New Roman" w:cs="Times New Roman"/>
                <w:sz w:val="20"/>
                <w:szCs w:val="20"/>
              </w:rPr>
              <w:tab/>
              <w:t xml:space="preserve">sledovaných aktuálnych parametroch prevádzky, opatrení a ďalších údajoch podľa dokumentácie, súhlasoch, rozhodnutí a povolení, </w:t>
            </w:r>
          </w:p>
          <w:p w14:paraId="4D2144D1"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2.</w:t>
            </w:r>
            <w:r w:rsidRPr="003549B4">
              <w:rPr>
                <w:rFonts w:ascii="Times New Roman" w:hAnsi="Times New Roman" w:cs="Times New Roman"/>
                <w:sz w:val="20"/>
                <w:szCs w:val="20"/>
              </w:rPr>
              <w:tab/>
              <w:t xml:space="preserve">množstve a kvalite palív, surovín, výrobkoch, vyrobenej energii a iných súvisiacich činnostiach podľa zavedenej evidencie – času výroby, výrobných šarží, dodávok alebo iných zavedených kritérií,     </w:t>
            </w:r>
          </w:p>
          <w:p w14:paraId="1059E3F7"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3.</w:t>
            </w:r>
            <w:r w:rsidRPr="003549B4">
              <w:rPr>
                <w:rFonts w:ascii="Times New Roman" w:hAnsi="Times New Roman" w:cs="Times New Roman"/>
                <w:sz w:val="20"/>
                <w:szCs w:val="20"/>
              </w:rPr>
              <w:tab/>
              <w:t>prekročeniach emisných limitov,</w:t>
            </w:r>
          </w:p>
          <w:p w14:paraId="638B2CA2"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4.</w:t>
            </w:r>
            <w:r w:rsidRPr="003549B4">
              <w:rPr>
                <w:rFonts w:ascii="Times New Roman" w:hAnsi="Times New Roman" w:cs="Times New Roman"/>
                <w:sz w:val="20"/>
                <w:szCs w:val="20"/>
              </w:rPr>
              <w:tab/>
              <w:t>ďalších údajoch o stacionárnom zdroji, jeho častiach a zariadeniach, ktoré ustanovujú všeobecne záväzné právne predpisy vydané na vykonanie zákona,</w:t>
            </w:r>
          </w:p>
          <w:p w14:paraId="6D3C1BA4"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5.</w:t>
            </w:r>
            <w:r w:rsidRPr="003549B4">
              <w:rPr>
                <w:rFonts w:ascii="Times New Roman" w:hAnsi="Times New Roman" w:cs="Times New Roman"/>
                <w:sz w:val="20"/>
                <w:szCs w:val="20"/>
              </w:rPr>
              <w:tab/>
              <w:t>ďalších údajoch o stacionárnom zdroji, jeho častiach a zariadeniach, o súhlasoch, rozhodnutiach a povoleniach, o výrobe a spotrebe palív, surovín a energií,</w:t>
            </w:r>
          </w:p>
          <w:p w14:paraId="35FD45C9" w14:textId="77777777" w:rsidR="00305D7A"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6.</w:t>
            </w:r>
            <w:r w:rsidRPr="003549B4">
              <w:rPr>
                <w:rFonts w:ascii="Times New Roman" w:hAnsi="Times New Roman" w:cs="Times New Roman"/>
                <w:sz w:val="20"/>
                <w:szCs w:val="20"/>
              </w:rPr>
              <w:tab/>
              <w:t>plnení  opatrenia na  nápravu, ak  bolo vydané,</w:t>
            </w:r>
          </w:p>
          <w:p w14:paraId="506AF660" w14:textId="77777777" w:rsidR="0075380B" w:rsidRPr="003549B4" w:rsidRDefault="00305D7A" w:rsidP="00305D7A">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7.</w:t>
            </w:r>
            <w:r w:rsidRPr="003549B4">
              <w:rPr>
                <w:rFonts w:ascii="Times New Roman" w:hAnsi="Times New Roman" w:cs="Times New Roman"/>
                <w:sz w:val="20"/>
                <w:szCs w:val="20"/>
              </w:rPr>
              <w:tab/>
              <w:t>nebezpečných  stavoch stacionárneho zdroja – poruchách a haváriách.</w:t>
            </w:r>
          </w:p>
        </w:tc>
        <w:tc>
          <w:tcPr>
            <w:tcW w:w="429" w:type="dxa"/>
            <w:tcBorders>
              <w:top w:val="single" w:sz="4" w:space="0" w:color="auto"/>
              <w:bottom w:val="single" w:sz="4" w:space="0" w:color="auto"/>
            </w:tcBorders>
            <w:vAlign w:val="center"/>
          </w:tcPr>
          <w:p w14:paraId="327AB038" w14:textId="77777777" w:rsidR="0075380B" w:rsidRPr="003549B4" w:rsidRDefault="00EE6D42"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27C72B0A"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03A2678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6D4235E"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O6</w:t>
            </w:r>
          </w:p>
        </w:tc>
        <w:tc>
          <w:tcPr>
            <w:tcW w:w="6287" w:type="dxa"/>
          </w:tcPr>
          <w:p w14:paraId="735DB200"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6. Prevádzkovateľ bez zbytočného odkladu sprístupní príslušnému orgánu na požiadanie údaje a informácie uvedené v odseku 5. Príslušný orgán môže takúto žiadosť predložiť za účelom kontroly súladu s požiadavkami tejto smernice. Príslušný orgán túto žiadosť predloží, ak žiadateľ z radov verejnosti požiada o prístup k údajom alebo informáciám uvedeným v odseku 5.</w:t>
            </w:r>
          </w:p>
        </w:tc>
        <w:tc>
          <w:tcPr>
            <w:tcW w:w="433" w:type="dxa"/>
          </w:tcPr>
          <w:p w14:paraId="6C829692"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p w14:paraId="68D74085" w14:textId="77777777" w:rsidR="0075380B" w:rsidRPr="003549B4" w:rsidRDefault="0075380B" w:rsidP="00824651">
            <w:pPr>
              <w:spacing w:after="0" w:line="240" w:lineRule="auto"/>
              <w:rPr>
                <w:rFonts w:ascii="Times New Roman" w:hAnsi="Times New Roman" w:cs="Times New Roman"/>
                <w:sz w:val="20"/>
                <w:szCs w:val="20"/>
              </w:rPr>
            </w:pPr>
          </w:p>
          <w:p w14:paraId="24D3144C" w14:textId="77777777" w:rsidR="0075380B" w:rsidRPr="003549B4" w:rsidRDefault="0075380B" w:rsidP="00824651">
            <w:pPr>
              <w:spacing w:after="0" w:line="240" w:lineRule="auto"/>
              <w:rPr>
                <w:rFonts w:ascii="Times New Roman" w:hAnsi="Times New Roman" w:cs="Times New Roman"/>
                <w:sz w:val="20"/>
                <w:szCs w:val="20"/>
              </w:rPr>
            </w:pPr>
          </w:p>
          <w:p w14:paraId="50BE6340" w14:textId="77777777" w:rsidR="0075380B" w:rsidRPr="003549B4" w:rsidRDefault="0075380B" w:rsidP="00824651">
            <w:pPr>
              <w:spacing w:after="0" w:line="240" w:lineRule="auto"/>
              <w:rPr>
                <w:rFonts w:ascii="Times New Roman" w:hAnsi="Times New Roman" w:cs="Times New Roman"/>
                <w:sz w:val="20"/>
                <w:szCs w:val="20"/>
              </w:rPr>
            </w:pPr>
          </w:p>
          <w:p w14:paraId="32F27E92"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1BEE653B"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p w14:paraId="23AE5922" w14:textId="77777777" w:rsidR="0075380B" w:rsidRPr="003549B4" w:rsidRDefault="0075380B" w:rsidP="00F17024">
            <w:pPr>
              <w:spacing w:after="0" w:line="240" w:lineRule="auto"/>
              <w:ind w:right="-108"/>
              <w:rPr>
                <w:rFonts w:ascii="Times New Roman" w:hAnsi="Times New Roman" w:cs="Times New Roman"/>
                <w:sz w:val="20"/>
                <w:szCs w:val="20"/>
              </w:rPr>
            </w:pPr>
          </w:p>
          <w:p w14:paraId="729E38E0" w14:textId="77777777" w:rsidR="0075380B" w:rsidRPr="003549B4" w:rsidRDefault="0075380B" w:rsidP="00F17024">
            <w:pPr>
              <w:spacing w:after="0" w:line="240" w:lineRule="auto"/>
              <w:ind w:right="-108"/>
              <w:rPr>
                <w:rFonts w:ascii="Times New Roman" w:hAnsi="Times New Roman" w:cs="Times New Roman"/>
                <w:sz w:val="20"/>
                <w:szCs w:val="20"/>
              </w:rPr>
            </w:pPr>
          </w:p>
          <w:p w14:paraId="3AF8ED2D" w14:textId="77777777" w:rsidR="0075380B" w:rsidRPr="003549B4" w:rsidRDefault="0075380B" w:rsidP="00F17024">
            <w:pPr>
              <w:spacing w:after="0" w:line="240" w:lineRule="auto"/>
              <w:ind w:right="-108"/>
              <w:rPr>
                <w:rFonts w:ascii="Times New Roman" w:hAnsi="Times New Roman" w:cs="Times New Roman"/>
                <w:sz w:val="20"/>
                <w:szCs w:val="20"/>
              </w:rPr>
            </w:pPr>
          </w:p>
          <w:p w14:paraId="7AAF9E4D"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3E58F0B3"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§34</w:t>
            </w:r>
          </w:p>
          <w:p w14:paraId="7516DF43"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O3</w:t>
            </w:r>
          </w:p>
          <w:p w14:paraId="097FFE2F"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Pc)</w:t>
            </w:r>
          </w:p>
          <w:p w14:paraId="0E4719D5"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58B6C22A" w14:textId="77777777" w:rsidR="0053748B" w:rsidRPr="003549B4" w:rsidRDefault="0053748B"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(3)</w:t>
            </w:r>
            <w:r w:rsidRPr="003549B4">
              <w:rPr>
                <w:rFonts w:eastAsia="Calibri"/>
                <w:color w:val="auto"/>
                <w:sz w:val="20"/>
                <w:szCs w:val="20"/>
                <w:lang w:eastAsia="en-US"/>
              </w:rPr>
              <w:tab/>
              <w:t>Prevádzkovatelia veľkých zdrojov a prevádzkovatelia stredných zdrojov vo veciach monitorovania a preukazovania dodržiavania prípustnej miery znečisťovania ovzdušia sú povinní</w:t>
            </w:r>
          </w:p>
          <w:p w14:paraId="7643B187" w14:textId="77777777" w:rsidR="0075380B" w:rsidRPr="003549B4" w:rsidRDefault="0075380B"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c) na účel informovania povoľujúceho orgánu o splnení povinností podľa písmen a) a b) a verejnosti v rozsahu a forme ustanovenej vykonávacím predpisom podľa § 63 písm. g) </w:t>
            </w:r>
          </w:p>
          <w:p w14:paraId="1DFE73F1" w14:textId="77777777" w:rsidR="0075380B" w:rsidRPr="003549B4" w:rsidRDefault="0075380B"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 xml:space="preserve">1. zabezpečovať predloženie správy o platnom výsledku oprávnenej technickej činnosti a informácie o platnom výsledku oprávnenej technickej činnosti do Národného emisného informačného systému v lehote 90 dní od vykonania posledného diskontinuálneho merania, odberu vzorky, skúšky, inšpekcie zhody alebo inej zodpovedajúcej technickej činnosti na danom monitorovacom mieste prostredníctvom </w:t>
            </w:r>
            <w:r w:rsidRPr="003549B4">
              <w:rPr>
                <w:rFonts w:eastAsia="Calibri"/>
                <w:color w:val="auto"/>
                <w:sz w:val="20"/>
                <w:szCs w:val="20"/>
                <w:lang w:eastAsia="en-US"/>
              </w:rPr>
              <w:lastRenderedPageBreak/>
              <w:t>oprávnenej osoby, ktorá danú činnosť vykonala a ktorá zodpovedá za platnosť zistených výsledkov podľa § 58 ods. 8,</w:t>
            </w:r>
          </w:p>
          <w:p w14:paraId="45B2AD9B" w14:textId="77777777" w:rsidR="0075380B" w:rsidRPr="003549B4" w:rsidRDefault="0075380B" w:rsidP="0068391F">
            <w:pPr>
              <w:pStyle w:val="odsek"/>
              <w:numPr>
                <w:ilvl w:val="0"/>
                <w:numId w:val="0"/>
              </w:numPr>
              <w:spacing w:line="240" w:lineRule="auto"/>
              <w:jc w:val="both"/>
              <w:rPr>
                <w:strike/>
                <w:color w:val="auto"/>
                <w:sz w:val="20"/>
                <w:szCs w:val="20"/>
              </w:rPr>
            </w:pPr>
            <w:r w:rsidRPr="003549B4">
              <w:rPr>
                <w:rFonts w:eastAsia="Calibri"/>
                <w:color w:val="auto"/>
                <w:sz w:val="20"/>
                <w:szCs w:val="20"/>
                <w:lang w:eastAsia="en-US"/>
              </w:rPr>
              <w:t>2. zasielať mesačné a ročné protokoly z kontinuálneho merania emisií v lehote podľa osobitného predpisu</w:t>
            </w:r>
            <w:r w:rsidR="00EE6D42" w:rsidRPr="003549B4">
              <w:rPr>
                <w:color w:val="auto"/>
              </w:rPr>
              <w:t xml:space="preserve"> </w:t>
            </w:r>
            <w:r w:rsidR="00EE6D42" w:rsidRPr="003549B4">
              <w:rPr>
                <w:color w:val="auto"/>
                <w:sz w:val="20"/>
                <w:szCs w:val="20"/>
              </w:rPr>
              <w:t>predpisu</w:t>
            </w:r>
            <w:r w:rsidR="00850D24" w:rsidRPr="003549B4">
              <w:rPr>
                <w:color w:val="auto"/>
              </w:rPr>
              <w:fldChar w:fldCharType="begin"/>
            </w:r>
            <w:r w:rsidR="00850D24" w:rsidRPr="003549B4">
              <w:rPr>
                <w:color w:val="auto"/>
              </w:rPr>
              <w:instrText xml:space="preserve"> NOTEREF _Ref88214672 \h  \* MERGEFORMAT </w:instrText>
            </w:r>
            <w:r w:rsidR="00850D24" w:rsidRPr="003549B4">
              <w:rPr>
                <w:color w:val="auto"/>
              </w:rPr>
            </w:r>
            <w:r w:rsidR="00850D24" w:rsidRPr="003549B4">
              <w:rPr>
                <w:color w:val="auto"/>
              </w:rPr>
              <w:fldChar w:fldCharType="separate"/>
            </w:r>
            <w:r w:rsidR="00EE6D42" w:rsidRPr="003549B4">
              <w:rPr>
                <w:color w:val="auto"/>
                <w:sz w:val="20"/>
                <w:szCs w:val="20"/>
                <w:vertAlign w:val="superscript"/>
              </w:rPr>
              <w:t>68</w:t>
            </w:r>
            <w:r w:rsidR="00850D24" w:rsidRPr="003549B4">
              <w:rPr>
                <w:color w:val="auto"/>
              </w:rPr>
              <w:fldChar w:fldCharType="end"/>
            </w:r>
            <w:r w:rsidR="00EE6D42" w:rsidRPr="003549B4">
              <w:rPr>
                <w:color w:val="auto"/>
                <w:sz w:val="20"/>
                <w:szCs w:val="20"/>
              </w:rPr>
              <w:t>)</w:t>
            </w:r>
            <w:r w:rsidRPr="003549B4">
              <w:rPr>
                <w:rFonts w:eastAsia="Calibri"/>
                <w:color w:val="auto"/>
                <w:sz w:val="20"/>
                <w:szCs w:val="20"/>
                <w:lang w:eastAsia="en-US"/>
              </w:rPr>
              <w:t xml:space="preserve"> do Národného emisného informačného systému alebo oznámiť prevádzkovateľovi informačného systému adresu webového sídla, kde sú protokoly a informácie v ustanovenom čase, rozsahu a forme sprístupňované pre uloženie v info</w:t>
            </w:r>
            <w:r w:rsidR="0068391F" w:rsidRPr="003549B4">
              <w:rPr>
                <w:rFonts w:eastAsia="Calibri"/>
                <w:color w:val="auto"/>
                <w:sz w:val="20"/>
                <w:szCs w:val="20"/>
                <w:lang w:eastAsia="en-US"/>
              </w:rPr>
              <w:t>rmačnom systéme a pre verejnosť</w:t>
            </w:r>
            <w:r w:rsidRPr="003549B4">
              <w:rPr>
                <w:rFonts w:eastAsia="Calibri"/>
                <w:color w:val="auto"/>
                <w:sz w:val="20"/>
                <w:szCs w:val="20"/>
                <w:lang w:eastAsia="en-US"/>
              </w:rPr>
              <w:t>,</w:t>
            </w:r>
            <w:r w:rsidRPr="003549B4">
              <w:rPr>
                <w:strike/>
                <w:color w:val="auto"/>
                <w:sz w:val="20"/>
                <w:szCs w:val="20"/>
              </w:rPr>
              <w:t xml:space="preserve"> </w:t>
            </w:r>
          </w:p>
          <w:p w14:paraId="72BAF0F7" w14:textId="77777777" w:rsidR="0068391F" w:rsidRPr="003549B4" w:rsidRDefault="0068391F" w:rsidP="0068391F">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vertAlign w:val="superscript"/>
                <w:lang w:eastAsia="en-US"/>
              </w:rPr>
              <w:t>68</w:t>
            </w:r>
            <w:r w:rsidRPr="003549B4">
              <w:rPr>
                <w:rFonts w:eastAsia="Calibri"/>
                <w:color w:val="auto"/>
                <w:sz w:val="20"/>
                <w:szCs w:val="20"/>
                <w:lang w:eastAsia="en-US"/>
              </w:rPr>
              <w:t>) § 33a zákona č. 17/1992 Zb. o životnom prostredí v znení zákona č. 211/2000 Z. z.</w:t>
            </w:r>
          </w:p>
        </w:tc>
        <w:tc>
          <w:tcPr>
            <w:tcW w:w="429" w:type="dxa"/>
            <w:tcBorders>
              <w:top w:val="single" w:sz="4" w:space="0" w:color="auto"/>
              <w:bottom w:val="single" w:sz="4" w:space="0" w:color="auto"/>
            </w:tcBorders>
            <w:vAlign w:val="center"/>
          </w:tcPr>
          <w:p w14:paraId="08BB35E2" w14:textId="77777777" w:rsidR="0075380B" w:rsidRPr="003549B4" w:rsidRDefault="00DB7976"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110EE636"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303373D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86B866F"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O7</w:t>
            </w:r>
          </w:p>
        </w:tc>
        <w:tc>
          <w:tcPr>
            <w:tcW w:w="6287" w:type="dxa"/>
          </w:tcPr>
          <w:p w14:paraId="20110D9E"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7. V prípade nedodržania emisných limitov uvedených v prílohe II prevádzkovateľ prijme opatrenia potrebné na zabezpečenie súladu v čo najkratšom čase bez toho, aby boli dotknuté opatrenia požadované podľa článku 8. Členské štáty stanovia pravidlá pre spôsob, frekvenciu a formát podávania informácií o prípadoch nedodržania emisných limitov zo strany prevádzkovateľov príslušnému orgánu.</w:t>
            </w:r>
          </w:p>
        </w:tc>
        <w:tc>
          <w:tcPr>
            <w:tcW w:w="433" w:type="dxa"/>
          </w:tcPr>
          <w:p w14:paraId="49443034"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57FA1182"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2F7E812B"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§34</w:t>
            </w:r>
          </w:p>
          <w:p w14:paraId="232E1967"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O7</w:t>
            </w:r>
          </w:p>
          <w:p w14:paraId="3A914289"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Pb)</w:t>
            </w:r>
          </w:p>
        </w:tc>
        <w:tc>
          <w:tcPr>
            <w:tcW w:w="6006" w:type="dxa"/>
            <w:vAlign w:val="center"/>
          </w:tcPr>
          <w:p w14:paraId="71B24B7F" w14:textId="77777777" w:rsidR="0053748B" w:rsidRPr="003549B4" w:rsidRDefault="0053748B"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(7)</w:t>
            </w:r>
            <w:r w:rsidRPr="003549B4">
              <w:rPr>
                <w:rFonts w:eastAsia="Calibri"/>
                <w:color w:val="auto"/>
                <w:sz w:val="20"/>
                <w:szCs w:val="20"/>
                <w:lang w:eastAsia="en-US"/>
              </w:rPr>
              <w:tab/>
              <w:t>Prevádzkovatelia veľkých zdrojov a prevádzkovatelia stredných zdrojov sú pri neštandardných stavoch, poruchách a haváriách okrem povinností podľa odsekov 1 a 4 povinní</w:t>
            </w:r>
          </w:p>
          <w:p w14:paraId="60073D26" w14:textId="77777777" w:rsidR="0075380B" w:rsidRPr="003549B4" w:rsidRDefault="0075380B"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b) prijať bezodkladne opatrenia na zosúladenie s emisným limitom pri jeho prekročení a vykonať ich v čo najkratšom čase,</w:t>
            </w:r>
          </w:p>
          <w:p w14:paraId="10C1B7F2" w14:textId="77777777" w:rsidR="0075380B" w:rsidRPr="003549B4" w:rsidRDefault="0075380B" w:rsidP="00824651">
            <w:pPr>
              <w:spacing w:after="0"/>
              <w:rPr>
                <w:rFonts w:ascii="Times New Roman" w:hAnsi="Times New Roman" w:cs="Times New Roman"/>
                <w:sz w:val="20"/>
                <w:szCs w:val="20"/>
                <w:lang w:eastAsia="sk-SK"/>
              </w:rPr>
            </w:pPr>
          </w:p>
        </w:tc>
        <w:tc>
          <w:tcPr>
            <w:tcW w:w="429" w:type="dxa"/>
            <w:tcBorders>
              <w:top w:val="single" w:sz="4" w:space="0" w:color="auto"/>
              <w:bottom w:val="single" w:sz="4" w:space="0" w:color="auto"/>
            </w:tcBorders>
            <w:vAlign w:val="center"/>
          </w:tcPr>
          <w:p w14:paraId="72BA69EC" w14:textId="77777777" w:rsidR="0075380B" w:rsidRPr="003549B4" w:rsidRDefault="00DB7976"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47E669C"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739C21F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0EF1096"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O8</w:t>
            </w:r>
          </w:p>
        </w:tc>
        <w:tc>
          <w:tcPr>
            <w:tcW w:w="6287" w:type="dxa"/>
          </w:tcPr>
          <w:p w14:paraId="2E5C2768"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8. Prevádzkovateľ poskytne príslušnému orgánu akúkoľvek potrebnú pomoc, aby mu umožnil vykonať inšpekcie a obhliadky na mieste, odber vzoriek a zber akýchkoľvek informácií potrebných na plnenie jeho povinností na účely tejto smernice.</w:t>
            </w:r>
          </w:p>
        </w:tc>
        <w:tc>
          <w:tcPr>
            <w:tcW w:w="433" w:type="dxa"/>
          </w:tcPr>
          <w:p w14:paraId="20607D40"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30B1CA21"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2FA43193"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§34 O6</w:t>
            </w:r>
          </w:p>
          <w:p w14:paraId="490EA939"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Pa)</w:t>
            </w:r>
          </w:p>
          <w:p w14:paraId="527EBADC"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2D36AE1" w14:textId="77777777" w:rsidR="0053748B" w:rsidRPr="003549B4" w:rsidRDefault="0053748B" w:rsidP="0053748B">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(6)</w:t>
            </w:r>
            <w:r w:rsidRPr="003549B4">
              <w:rPr>
                <w:rFonts w:eastAsia="Calibri"/>
                <w:color w:val="auto"/>
                <w:sz w:val="20"/>
                <w:szCs w:val="20"/>
                <w:lang w:eastAsia="en-US"/>
              </w:rPr>
              <w:tab/>
              <w:t>Prevádzkovatelia veľkých zdrojov a prevádzkovatelia stredných zdrojov sú pri výkone odborného štátneho dozoru a štátneho dozoru (ďalej len „dozor“) povinní</w:t>
            </w:r>
          </w:p>
          <w:p w14:paraId="63B81539" w14:textId="77777777" w:rsidR="0075380B" w:rsidRPr="003549B4" w:rsidRDefault="0075380B" w:rsidP="00DB7976">
            <w:pPr>
              <w:pStyle w:val="Odsekzoznamu"/>
              <w:keepNext w:val="0"/>
              <w:numPr>
                <w:ilvl w:val="0"/>
                <w:numId w:val="4"/>
              </w:numPr>
              <w:spacing w:before="0" w:after="120"/>
              <w:ind w:left="284" w:hanging="284"/>
              <w:rPr>
                <w:rFonts w:eastAsia="Calibri"/>
                <w:sz w:val="20"/>
                <w:szCs w:val="20"/>
              </w:rPr>
            </w:pPr>
            <w:r w:rsidRPr="003549B4">
              <w:rPr>
                <w:rFonts w:eastAsia="Calibri"/>
                <w:sz w:val="20"/>
                <w:szCs w:val="20"/>
              </w:rPr>
              <w:t xml:space="preserve">umožniť osobám vykonávajúcim dozor alebo nimi povereným osobám prístup ku stacionárnemu zdroju na účely kontroly </w:t>
            </w:r>
            <w:r w:rsidR="00DB7976" w:rsidRPr="003549B4">
              <w:rPr>
                <w:rFonts w:eastAsia="Calibri"/>
                <w:sz w:val="20"/>
                <w:szCs w:val="20"/>
              </w:rPr>
              <w:t>plnenia povinností prevádzkovateľa, prevádzky stacionárneho zdroja, monitorovacieho systému a predkladať im potrebné podklady a plniť ostatné povinnosti podľa § 49,</w:t>
            </w:r>
          </w:p>
        </w:tc>
        <w:tc>
          <w:tcPr>
            <w:tcW w:w="429" w:type="dxa"/>
            <w:tcBorders>
              <w:top w:val="single" w:sz="4" w:space="0" w:color="auto"/>
              <w:bottom w:val="single" w:sz="4" w:space="0" w:color="auto"/>
            </w:tcBorders>
            <w:vAlign w:val="center"/>
          </w:tcPr>
          <w:p w14:paraId="28132398" w14:textId="77777777" w:rsidR="0075380B" w:rsidRPr="003549B4" w:rsidRDefault="00DB7976"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014949AD"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65064C8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7CF58A5"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O9</w:t>
            </w:r>
          </w:p>
        </w:tc>
        <w:tc>
          <w:tcPr>
            <w:tcW w:w="6287" w:type="dxa"/>
          </w:tcPr>
          <w:p w14:paraId="78889093"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9. Prevádzkovateľ vykonáva nábeh a odstavovanie stredne veľkého spaľovacieho zariadenia v čo najkratšom možnom čase.</w:t>
            </w:r>
          </w:p>
        </w:tc>
        <w:tc>
          <w:tcPr>
            <w:tcW w:w="433" w:type="dxa"/>
          </w:tcPr>
          <w:p w14:paraId="2A1F410E"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0C0F6E10" w14:textId="77777777" w:rsidR="0075380B" w:rsidRPr="003549B4" w:rsidRDefault="0075380B"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46FE033A" w14:textId="77777777" w:rsidR="0075380B" w:rsidRPr="003549B4" w:rsidRDefault="0075380B" w:rsidP="00F17024">
            <w:pPr>
              <w:spacing w:before="120" w:after="0" w:line="240" w:lineRule="auto"/>
              <w:ind w:right="-108"/>
              <w:rPr>
                <w:rFonts w:ascii="Times New Roman" w:hAnsi="Times New Roman" w:cs="Times New Roman"/>
                <w:sz w:val="20"/>
                <w:szCs w:val="20"/>
              </w:rPr>
            </w:pPr>
          </w:p>
        </w:tc>
        <w:tc>
          <w:tcPr>
            <w:tcW w:w="569" w:type="dxa"/>
          </w:tcPr>
          <w:p w14:paraId="19CE9061" w14:textId="77777777" w:rsidR="0075380B" w:rsidRPr="003549B4" w:rsidRDefault="004A6324"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Pr.4</w:t>
            </w:r>
          </w:p>
          <w:p w14:paraId="24859795" w14:textId="77777777" w:rsidR="004A6324" w:rsidRPr="003549B4" w:rsidRDefault="004A6324"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Časť IV</w:t>
            </w:r>
          </w:p>
          <w:p w14:paraId="3414E767"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p>
        </w:tc>
        <w:tc>
          <w:tcPr>
            <w:tcW w:w="6006" w:type="dxa"/>
          </w:tcPr>
          <w:p w14:paraId="20FE1DB5" w14:textId="77777777" w:rsidR="004A6324" w:rsidRPr="003549B4" w:rsidRDefault="004A6324" w:rsidP="004A6324">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 xml:space="preserve">2.1.1. Nábeh a odstavovanie spaľovacieho zariadenia treba vykonať v čo najkratšom čase. </w:t>
            </w:r>
          </w:p>
          <w:p w14:paraId="4FC66093" w14:textId="77777777" w:rsidR="0075380B" w:rsidRPr="003549B4" w:rsidRDefault="0075380B" w:rsidP="00824651">
            <w:pPr>
              <w:spacing w:before="120" w:after="0" w:line="240" w:lineRule="auto"/>
              <w:ind w:left="142" w:hanging="142"/>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0873CD9C" w14:textId="77777777" w:rsidR="0075380B" w:rsidRPr="003549B4" w:rsidRDefault="00DB7976"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5DA383DB"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4E6B3EF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3DB22345"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Č8</w:t>
            </w:r>
          </w:p>
        </w:tc>
        <w:tc>
          <w:tcPr>
            <w:tcW w:w="6287" w:type="dxa"/>
          </w:tcPr>
          <w:p w14:paraId="75FFD432"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Kontrola súladu</w:t>
            </w:r>
          </w:p>
        </w:tc>
        <w:tc>
          <w:tcPr>
            <w:tcW w:w="433" w:type="dxa"/>
          </w:tcPr>
          <w:p w14:paraId="727C82F7"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2DB920DD"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322E7DC0"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3C9B02D2"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21C8047D"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1160ECDB"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1816C65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35A4B91"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3A11AD01"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1. Členské štáty zabezpečia, aby platné hodnoty pre emisie monitorované v súlade s prílohou III neprekročili emisné limity stanovené v prílohe II.</w:t>
            </w:r>
          </w:p>
        </w:tc>
        <w:tc>
          <w:tcPr>
            <w:tcW w:w="433" w:type="dxa"/>
          </w:tcPr>
          <w:p w14:paraId="5326C319"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111777B7"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4C5874F5"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§34 O1 Pb)</w:t>
            </w:r>
          </w:p>
        </w:tc>
        <w:tc>
          <w:tcPr>
            <w:tcW w:w="6006" w:type="dxa"/>
            <w:vAlign w:val="center"/>
          </w:tcPr>
          <w:p w14:paraId="788BADCC" w14:textId="77777777" w:rsidR="00A232B6" w:rsidRPr="003549B4" w:rsidRDefault="00A232B6" w:rsidP="00A232B6">
            <w:pPr>
              <w:pStyle w:val="odsek"/>
              <w:numPr>
                <w:ilvl w:val="0"/>
                <w:numId w:val="0"/>
              </w:numPr>
              <w:spacing w:line="240" w:lineRule="auto"/>
              <w:ind w:left="33"/>
              <w:jc w:val="both"/>
              <w:rPr>
                <w:rFonts w:eastAsia="Calibri"/>
                <w:color w:val="auto"/>
                <w:sz w:val="20"/>
                <w:szCs w:val="20"/>
                <w:lang w:eastAsia="en-US"/>
              </w:rPr>
            </w:pPr>
            <w:r w:rsidRPr="003549B4">
              <w:rPr>
                <w:rFonts w:eastAsia="Calibri"/>
                <w:color w:val="auto"/>
                <w:sz w:val="20"/>
                <w:szCs w:val="20"/>
                <w:lang w:eastAsia="en-US"/>
              </w:rPr>
              <w:t xml:space="preserve">(1) </w:t>
            </w:r>
            <w:r w:rsidR="0053748B" w:rsidRPr="003549B4">
              <w:rPr>
                <w:rFonts w:eastAsia="Calibri"/>
                <w:color w:val="auto"/>
                <w:sz w:val="20"/>
                <w:szCs w:val="20"/>
                <w:lang w:eastAsia="en-US"/>
              </w:rPr>
              <w:t>Prevádzkovatelia veľkých zdrojov a prevádzkovatelia stredných zdrojov sú povinní</w:t>
            </w:r>
          </w:p>
          <w:p w14:paraId="2197604D" w14:textId="77777777" w:rsidR="0075380B" w:rsidRPr="003549B4" w:rsidRDefault="0075380B" w:rsidP="00824651">
            <w:pPr>
              <w:spacing w:after="120"/>
              <w:rPr>
                <w:rFonts w:ascii="Times New Roman" w:hAnsi="Times New Roman" w:cs="Times New Roman"/>
                <w:sz w:val="20"/>
                <w:szCs w:val="20"/>
              </w:rPr>
            </w:pPr>
            <w:r w:rsidRPr="003549B4">
              <w:rPr>
                <w:rFonts w:ascii="Times New Roman" w:hAnsi="Times New Roman" w:cs="Times New Roman"/>
                <w:sz w:val="20"/>
                <w:szCs w:val="20"/>
              </w:rPr>
              <w:t>b) dodržiavať emisné limity určené v povolení; ak emisné limity nie sú určené, dodržiavať emisné limity ustanovené vykonávacím predpisom podľa § 62 písm. f),</w:t>
            </w:r>
          </w:p>
        </w:tc>
        <w:tc>
          <w:tcPr>
            <w:tcW w:w="429" w:type="dxa"/>
            <w:tcBorders>
              <w:top w:val="single" w:sz="4" w:space="0" w:color="auto"/>
              <w:bottom w:val="single" w:sz="4" w:space="0" w:color="auto"/>
            </w:tcBorders>
            <w:vAlign w:val="center"/>
          </w:tcPr>
          <w:p w14:paraId="475620BF" w14:textId="77777777" w:rsidR="0075380B" w:rsidRPr="003549B4" w:rsidRDefault="00DB7976"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E3310C2"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214CDE3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CC46FC5"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O2</w:t>
            </w:r>
          </w:p>
        </w:tc>
        <w:tc>
          <w:tcPr>
            <w:tcW w:w="6287" w:type="dxa"/>
          </w:tcPr>
          <w:p w14:paraId="5700A2D2"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2. Členské štáty vytvoria účinný systém na kontrolu súladu s požiadavkami tejto smernice založený na environmentálnych inšpekciách alebo iných opatreniach.</w:t>
            </w:r>
          </w:p>
        </w:tc>
        <w:tc>
          <w:tcPr>
            <w:tcW w:w="433" w:type="dxa"/>
          </w:tcPr>
          <w:p w14:paraId="4E732C5A"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33795F46"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5248CD75"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§42</w:t>
            </w:r>
          </w:p>
          <w:p w14:paraId="4DFED0DA"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O9</w:t>
            </w:r>
          </w:p>
          <w:p w14:paraId="439F22BF"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Pa)</w:t>
            </w:r>
          </w:p>
        </w:tc>
        <w:tc>
          <w:tcPr>
            <w:tcW w:w="6006" w:type="dxa"/>
            <w:vAlign w:val="center"/>
          </w:tcPr>
          <w:p w14:paraId="4B04D446" w14:textId="77777777" w:rsidR="0075380B" w:rsidRPr="003549B4" w:rsidRDefault="0075380B"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 xml:space="preserve">(9) Inšpekcia vypracováva a vykonáva program monitorovania, na základe ktorého kontroluje dodržiavanie ustanovených požiadaviek pre </w:t>
            </w:r>
          </w:p>
          <w:p w14:paraId="135067EF" w14:textId="77777777" w:rsidR="0075380B" w:rsidRPr="003549B4" w:rsidRDefault="0075380B" w:rsidP="00824651">
            <w:pPr>
              <w:pStyle w:val="odsek"/>
              <w:numPr>
                <w:ilvl w:val="0"/>
                <w:numId w:val="0"/>
              </w:numPr>
              <w:spacing w:line="240" w:lineRule="auto"/>
              <w:jc w:val="both"/>
              <w:rPr>
                <w:rFonts w:eastAsia="Calibri"/>
                <w:color w:val="auto"/>
                <w:sz w:val="20"/>
                <w:szCs w:val="20"/>
                <w:lang w:eastAsia="en-US"/>
              </w:rPr>
            </w:pPr>
            <w:r w:rsidRPr="003549B4">
              <w:rPr>
                <w:rFonts w:eastAsia="Calibri"/>
                <w:color w:val="auto"/>
                <w:sz w:val="20"/>
                <w:szCs w:val="20"/>
                <w:lang w:eastAsia="en-US"/>
              </w:rPr>
              <w:t>a) väčšie stredné spaľovacie zariadenia.</w:t>
            </w:r>
          </w:p>
        </w:tc>
        <w:tc>
          <w:tcPr>
            <w:tcW w:w="429" w:type="dxa"/>
            <w:tcBorders>
              <w:top w:val="single" w:sz="4" w:space="0" w:color="auto"/>
              <w:bottom w:val="single" w:sz="4" w:space="0" w:color="auto"/>
            </w:tcBorders>
            <w:vAlign w:val="center"/>
          </w:tcPr>
          <w:p w14:paraId="0EB001E3" w14:textId="77777777" w:rsidR="0075380B" w:rsidRPr="003549B4" w:rsidRDefault="00DB7976"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11450E93"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6DEA3A2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CF5C265"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O3</w:t>
            </w:r>
          </w:p>
        </w:tc>
        <w:tc>
          <w:tcPr>
            <w:tcW w:w="6287" w:type="dxa"/>
          </w:tcPr>
          <w:p w14:paraId="1B2F4B13" w14:textId="77777777" w:rsidR="0075380B" w:rsidRPr="003549B4" w:rsidRDefault="0075380B" w:rsidP="00824651">
            <w:pPr>
              <w:pStyle w:val="Normlny1"/>
              <w:jc w:val="left"/>
              <w:rPr>
                <w:sz w:val="20"/>
                <w:szCs w:val="20"/>
              </w:rPr>
            </w:pPr>
            <w:r w:rsidRPr="003549B4">
              <w:rPr>
                <w:sz w:val="20"/>
                <w:szCs w:val="20"/>
              </w:rPr>
              <w:t>3. V prípade nesúladu členské štáty zabezpečia, aby okrem opatrení, ktoré prevádzkovateľ prijal podľa článku 7 ods. 7, príslušný orgán vyžadoval od prevádzkovateľa prijatie akýchkoľvek opatrení, ktoré sú potrebné na zabezpečenie súladu bez zbytočného odkladu.</w:t>
            </w:r>
          </w:p>
          <w:p w14:paraId="005FDC17" w14:textId="77777777" w:rsidR="0075380B" w:rsidRPr="003549B4" w:rsidRDefault="0075380B" w:rsidP="00824651">
            <w:pPr>
              <w:pStyle w:val="Normlny1"/>
              <w:jc w:val="left"/>
              <w:rPr>
                <w:sz w:val="20"/>
                <w:szCs w:val="20"/>
              </w:rPr>
            </w:pPr>
            <w:r w:rsidRPr="003549B4">
              <w:rPr>
                <w:sz w:val="20"/>
                <w:szCs w:val="20"/>
              </w:rPr>
              <w:t>Ak nedodržiavanie súladu zapríčiní výrazné zníženie kvality miestneho ovzdušia, prevádzka stredne veľkého spaľovacieho zariadenia sa pozastaví, až kým nenastane obnovenie súladu.</w:t>
            </w:r>
          </w:p>
        </w:tc>
        <w:tc>
          <w:tcPr>
            <w:tcW w:w="433" w:type="dxa"/>
          </w:tcPr>
          <w:p w14:paraId="788B1D11"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0BE716A8"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3B5CE819"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§34</w:t>
            </w:r>
          </w:p>
          <w:p w14:paraId="7640E257"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O6</w:t>
            </w:r>
          </w:p>
          <w:p w14:paraId="32382CF3"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Pb)</w:t>
            </w:r>
          </w:p>
          <w:p w14:paraId="30213E2B"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065AD3F0"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65814945"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2BE4C6EA"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§34 O 7</w:t>
            </w:r>
          </w:p>
          <w:p w14:paraId="02AFD99A"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Pc)</w:t>
            </w:r>
          </w:p>
          <w:p w14:paraId="2F3B8D36"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1AA5272A"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4CDC38DE"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377E88D9"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0C54AB67"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2740353C" w14:textId="6F79FB0A" w:rsidR="0075380B" w:rsidRPr="003549B4" w:rsidRDefault="0075380B" w:rsidP="00F17024">
            <w:pPr>
              <w:spacing w:after="0" w:line="240" w:lineRule="auto"/>
              <w:ind w:left="14" w:right="-9" w:hanging="29"/>
              <w:rPr>
                <w:rFonts w:ascii="Times New Roman" w:hAnsi="Times New Roman" w:cs="Times New Roman"/>
                <w:sz w:val="20"/>
                <w:szCs w:val="20"/>
              </w:rPr>
            </w:pPr>
          </w:p>
          <w:p w14:paraId="35A08F84" w14:textId="77777777" w:rsidR="00747803" w:rsidRPr="003549B4" w:rsidRDefault="00747803" w:rsidP="00F17024">
            <w:pPr>
              <w:spacing w:after="0" w:line="240" w:lineRule="auto"/>
              <w:ind w:left="14" w:right="-9" w:hanging="29"/>
              <w:rPr>
                <w:rFonts w:ascii="Times New Roman" w:hAnsi="Times New Roman" w:cs="Times New Roman"/>
                <w:sz w:val="20"/>
                <w:szCs w:val="20"/>
              </w:rPr>
            </w:pPr>
          </w:p>
          <w:p w14:paraId="6546F5B8"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§53</w:t>
            </w:r>
          </w:p>
          <w:p w14:paraId="6E4D7326"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p w14:paraId="2C477ACF"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Pe)</w:t>
            </w:r>
          </w:p>
          <w:p w14:paraId="4D3F105E"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Až</w:t>
            </w:r>
          </w:p>
          <w:p w14:paraId="0763D6B2"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Pg)</w:t>
            </w:r>
          </w:p>
          <w:p w14:paraId="1C301766"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7BFE6863"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69F790FA"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5981C021"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1B48EBF" w14:textId="77777777" w:rsidR="0075380B" w:rsidRPr="003549B4" w:rsidRDefault="0075380B" w:rsidP="00824651">
            <w:pPr>
              <w:spacing w:after="60" w:line="240" w:lineRule="auto"/>
              <w:rPr>
                <w:rFonts w:ascii="Times New Roman" w:hAnsi="Times New Roman" w:cs="Times New Roman"/>
                <w:sz w:val="20"/>
                <w:szCs w:val="20"/>
              </w:rPr>
            </w:pPr>
            <w:r w:rsidRPr="003549B4">
              <w:rPr>
                <w:rFonts w:ascii="Times New Roman" w:hAnsi="Times New Roman" w:cs="Times New Roman"/>
                <w:sz w:val="20"/>
                <w:szCs w:val="20"/>
              </w:rPr>
              <w:t xml:space="preserve">(6) </w:t>
            </w:r>
            <w:r w:rsidR="0053748B" w:rsidRPr="003549B4">
              <w:rPr>
                <w:rFonts w:ascii="Times New Roman" w:hAnsi="Times New Roman" w:cs="Times New Roman"/>
                <w:sz w:val="20"/>
                <w:szCs w:val="20"/>
              </w:rPr>
              <w:t>Prevádzkovatelia veľkých zdrojov a prevádzkovatelia stredných zdrojov sú pri výkone odborného štátneho dozoru a štátneho dozoru (ďalej len „dozor“) povinní</w:t>
            </w:r>
          </w:p>
          <w:p w14:paraId="66D530A4" w14:textId="77777777" w:rsidR="0075380B" w:rsidRPr="003549B4" w:rsidRDefault="0075380B" w:rsidP="00824651">
            <w:pPr>
              <w:spacing w:after="0"/>
              <w:rPr>
                <w:rFonts w:ascii="Times New Roman" w:hAnsi="Times New Roman" w:cs="Times New Roman"/>
                <w:sz w:val="20"/>
                <w:szCs w:val="20"/>
              </w:rPr>
            </w:pPr>
            <w:r w:rsidRPr="003549B4">
              <w:rPr>
                <w:rFonts w:ascii="Times New Roman" w:hAnsi="Times New Roman" w:cs="Times New Roman"/>
                <w:sz w:val="20"/>
                <w:szCs w:val="20"/>
              </w:rPr>
              <w:t>b)vykonať uložené opatrenia na nápravu.</w:t>
            </w:r>
          </w:p>
          <w:p w14:paraId="1BB7FC11" w14:textId="77777777" w:rsidR="0075380B" w:rsidRPr="003549B4" w:rsidRDefault="0075380B" w:rsidP="00824651">
            <w:pPr>
              <w:spacing w:after="0"/>
              <w:rPr>
                <w:rFonts w:ascii="Times New Roman" w:hAnsi="Times New Roman" w:cs="Times New Roman"/>
                <w:sz w:val="20"/>
                <w:szCs w:val="20"/>
              </w:rPr>
            </w:pPr>
          </w:p>
          <w:p w14:paraId="7C4DCEA5" w14:textId="77777777" w:rsidR="009B5A9C" w:rsidRPr="003549B4" w:rsidRDefault="00EF6B3E"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 </w:t>
            </w:r>
            <w:r w:rsidR="009B5A9C" w:rsidRPr="003549B4">
              <w:rPr>
                <w:rFonts w:ascii="Times New Roman" w:hAnsi="Times New Roman" w:cs="Times New Roman"/>
                <w:sz w:val="20"/>
                <w:szCs w:val="20"/>
              </w:rPr>
              <w:t>(7)</w:t>
            </w:r>
            <w:r w:rsidR="009B5A9C" w:rsidRPr="003549B4">
              <w:rPr>
                <w:rFonts w:ascii="Times New Roman" w:hAnsi="Times New Roman" w:cs="Times New Roman"/>
                <w:sz w:val="20"/>
                <w:szCs w:val="20"/>
              </w:rPr>
              <w:tab/>
            </w:r>
            <w:r w:rsidR="0053748B" w:rsidRPr="003549B4">
              <w:rPr>
                <w:rFonts w:ascii="Times New Roman" w:hAnsi="Times New Roman" w:cs="Times New Roman"/>
                <w:sz w:val="20"/>
                <w:szCs w:val="20"/>
              </w:rPr>
              <w:t>Prevádzkovatelia veľkých zdrojov a prevádzkovatelia stredných zdrojov sú pri neštandardných stavoch, poruchách a haváriách okrem povinností podľa odsekov 1 a 4 povinní</w:t>
            </w:r>
          </w:p>
          <w:p w14:paraId="4FFD922B" w14:textId="77777777" w:rsidR="0075380B" w:rsidRPr="003549B4" w:rsidRDefault="0075380B" w:rsidP="00824651">
            <w:pPr>
              <w:spacing w:after="0" w:line="240" w:lineRule="auto"/>
              <w:jc w:val="both"/>
              <w:rPr>
                <w:rFonts w:ascii="Times New Roman" w:hAnsi="Times New Roman" w:cs="Times New Roman"/>
                <w:sz w:val="20"/>
                <w:szCs w:val="20"/>
              </w:rPr>
            </w:pPr>
            <w:r w:rsidRPr="003549B4">
              <w:rPr>
                <w:rFonts w:ascii="Times New Roman" w:hAnsi="Times New Roman" w:cs="Times New Roman"/>
                <w:sz w:val="20"/>
                <w:szCs w:val="20"/>
              </w:rPr>
              <w:t>c) zastaviť alebo obmedziť prevádzku stacionárneho zdroja alebo jeho časti, ak prevádzka stacionárneho zdroja môže spôsobiť okamžité významné zhoršenie kvality ovzdušia dovtedy, kým nebude zabezpečená prevádzka podľa odseku 1 písm. b), a bezodkladne prijať a vykonať opatrenia na obmedzenie ich následkov a na zabránenie vzniku takýchto situácií,</w:t>
            </w:r>
          </w:p>
          <w:p w14:paraId="4DDD49C5"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 </w:t>
            </w:r>
          </w:p>
          <w:p w14:paraId="3D63F5B7" w14:textId="77777777" w:rsidR="0075380B" w:rsidRPr="003549B4" w:rsidRDefault="0075380B" w:rsidP="00824651">
            <w:pPr>
              <w:spacing w:after="60" w:line="240" w:lineRule="auto"/>
              <w:rPr>
                <w:rFonts w:ascii="Times New Roman" w:hAnsi="Times New Roman" w:cs="Times New Roman"/>
                <w:sz w:val="20"/>
                <w:szCs w:val="20"/>
              </w:rPr>
            </w:pPr>
            <w:r w:rsidRPr="003549B4">
              <w:rPr>
                <w:rFonts w:ascii="Times New Roman" w:hAnsi="Times New Roman" w:cs="Times New Roman"/>
                <w:sz w:val="20"/>
                <w:szCs w:val="20"/>
              </w:rPr>
              <w:t>(2)</w:t>
            </w:r>
            <w:r w:rsidR="009624D2" w:rsidRPr="003549B4">
              <w:rPr>
                <w:rFonts w:ascii="Times New Roman" w:hAnsi="Times New Roman" w:cs="Times New Roman"/>
                <w:sz w:val="20"/>
                <w:szCs w:val="20"/>
              </w:rPr>
              <w:t xml:space="preserve"> </w:t>
            </w:r>
            <w:r w:rsidRPr="003549B4">
              <w:rPr>
                <w:rFonts w:ascii="Times New Roman" w:hAnsi="Times New Roman" w:cs="Times New Roman"/>
                <w:sz w:val="20"/>
                <w:szCs w:val="20"/>
              </w:rPr>
              <w:t xml:space="preserve">Okresný úrad v sídle kraja alebo inšpekcia nariadi obmedzenie prevádzky alebo zastavenie prevádzky veľkého zdroja, stredného zdroja alebo stacionárneho zdroja, o začlenení ktorého sú pochybnosti, ak prevádzkovateľ </w:t>
            </w:r>
          </w:p>
          <w:p w14:paraId="3ED63D94" w14:textId="77777777" w:rsidR="0075380B" w:rsidRPr="003549B4" w:rsidRDefault="0075380B" w:rsidP="00824651">
            <w:pPr>
              <w:spacing w:after="60" w:line="240" w:lineRule="auto"/>
              <w:rPr>
                <w:rFonts w:ascii="Times New Roman" w:hAnsi="Times New Roman" w:cs="Times New Roman"/>
                <w:sz w:val="20"/>
                <w:szCs w:val="20"/>
              </w:rPr>
            </w:pPr>
            <w:r w:rsidRPr="003549B4">
              <w:rPr>
                <w:rFonts w:ascii="Times New Roman" w:hAnsi="Times New Roman" w:cs="Times New Roman"/>
                <w:sz w:val="20"/>
                <w:szCs w:val="20"/>
              </w:rPr>
              <w:t xml:space="preserve">e) porušuje povinnosť zastaviť zdroj podľa § 34 ods. 7 písm. c), </w:t>
            </w:r>
          </w:p>
          <w:p w14:paraId="3C053746" w14:textId="77777777" w:rsidR="0075380B" w:rsidRPr="003549B4" w:rsidRDefault="0075380B" w:rsidP="00824651">
            <w:pPr>
              <w:spacing w:after="60" w:line="240" w:lineRule="auto"/>
              <w:rPr>
                <w:rFonts w:ascii="Times New Roman" w:hAnsi="Times New Roman" w:cs="Times New Roman"/>
                <w:sz w:val="20"/>
                <w:szCs w:val="20"/>
              </w:rPr>
            </w:pPr>
            <w:r w:rsidRPr="003549B4">
              <w:rPr>
                <w:rFonts w:ascii="Times New Roman" w:hAnsi="Times New Roman" w:cs="Times New Roman"/>
                <w:sz w:val="20"/>
                <w:szCs w:val="20"/>
              </w:rPr>
              <w:t xml:space="preserve">f) porušuje povinnosť dodržiavať emisný limit a nesplnil uložené opatrenie na nápravu za porušenie podľa § 34 ods. 1 písm. b), alebo </w:t>
            </w:r>
          </w:p>
          <w:p w14:paraId="2F265079" w14:textId="77777777" w:rsidR="0075380B" w:rsidRPr="003549B4" w:rsidRDefault="0075380B" w:rsidP="00824651">
            <w:pPr>
              <w:spacing w:after="60" w:line="240" w:lineRule="auto"/>
              <w:rPr>
                <w:rFonts w:ascii="Times New Roman" w:hAnsi="Times New Roman" w:cs="Times New Roman"/>
                <w:sz w:val="20"/>
                <w:szCs w:val="20"/>
              </w:rPr>
            </w:pPr>
            <w:r w:rsidRPr="003549B4">
              <w:rPr>
                <w:rFonts w:ascii="Times New Roman" w:hAnsi="Times New Roman" w:cs="Times New Roman"/>
                <w:sz w:val="20"/>
                <w:szCs w:val="20"/>
              </w:rPr>
              <w:t>g) nepreukázal dodržanie emisného limitu a nesplnil uložené opatrenie na nápravu za porušenie § 34 ods. 3 písm. a).</w:t>
            </w:r>
          </w:p>
        </w:tc>
        <w:tc>
          <w:tcPr>
            <w:tcW w:w="429" w:type="dxa"/>
            <w:tcBorders>
              <w:top w:val="single" w:sz="4" w:space="0" w:color="auto"/>
              <w:bottom w:val="single" w:sz="4" w:space="0" w:color="auto"/>
            </w:tcBorders>
            <w:vAlign w:val="center"/>
          </w:tcPr>
          <w:p w14:paraId="6BE9F5D7" w14:textId="77777777" w:rsidR="0075380B" w:rsidRPr="003549B4" w:rsidRDefault="00DB7976"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098928AD"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2C8E665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4DC5EB0B"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Č9</w:t>
            </w:r>
          </w:p>
        </w:tc>
        <w:tc>
          <w:tcPr>
            <w:tcW w:w="6287" w:type="dxa"/>
          </w:tcPr>
          <w:p w14:paraId="3CD6EF05"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Zmeny stredne veľkých spaľovacích zariadení</w:t>
            </w:r>
          </w:p>
        </w:tc>
        <w:tc>
          <w:tcPr>
            <w:tcW w:w="433" w:type="dxa"/>
          </w:tcPr>
          <w:p w14:paraId="1C9C6D7B"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3820D948"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5F3C7193"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2CDE0D1D"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5DA9DCE9"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588CCC81"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2420908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DF95D57"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127EB9DC" w14:textId="77777777" w:rsidR="0075380B" w:rsidRPr="003549B4" w:rsidRDefault="0075380B" w:rsidP="00824651">
            <w:pPr>
              <w:pStyle w:val="Normlny1"/>
              <w:jc w:val="left"/>
              <w:rPr>
                <w:sz w:val="20"/>
                <w:szCs w:val="20"/>
              </w:rPr>
            </w:pPr>
            <w:r w:rsidRPr="003549B4">
              <w:rPr>
                <w:sz w:val="20"/>
                <w:szCs w:val="20"/>
              </w:rPr>
              <w:t>Členské štáty prijmú potrebné opatrenia, aby zabezpečili, že prevádzkovateľ informuje príslušný orgán bez zbytočného odkladu o všetkých plánovaných zmenách stredne veľkých spaľovacích zariadení, ktoré by mali vplyv na uplatnené emisné limity.</w:t>
            </w:r>
          </w:p>
          <w:p w14:paraId="22ACEC17" w14:textId="77777777" w:rsidR="0075380B" w:rsidRPr="003549B4" w:rsidRDefault="0075380B" w:rsidP="00824651">
            <w:pPr>
              <w:pStyle w:val="Normlny1"/>
              <w:jc w:val="left"/>
              <w:rPr>
                <w:sz w:val="20"/>
                <w:szCs w:val="20"/>
              </w:rPr>
            </w:pPr>
            <w:r w:rsidRPr="003549B4">
              <w:rPr>
                <w:sz w:val="20"/>
                <w:szCs w:val="20"/>
              </w:rPr>
              <w:t>Príslušný orgán náležite aktualizuje povolenie alebo registráciu, ak je to potrebné.</w:t>
            </w:r>
          </w:p>
        </w:tc>
        <w:tc>
          <w:tcPr>
            <w:tcW w:w="433" w:type="dxa"/>
          </w:tcPr>
          <w:p w14:paraId="5EE9E68D"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4E3E91E7"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p w14:paraId="51702D39" w14:textId="77777777" w:rsidR="004916ED" w:rsidRPr="003549B4" w:rsidRDefault="004916ED" w:rsidP="00F17024">
            <w:pPr>
              <w:spacing w:after="0" w:line="240" w:lineRule="auto"/>
              <w:ind w:right="-108"/>
              <w:rPr>
                <w:rFonts w:ascii="Times New Roman" w:hAnsi="Times New Roman" w:cs="Times New Roman"/>
                <w:sz w:val="20"/>
                <w:szCs w:val="20"/>
              </w:rPr>
            </w:pPr>
          </w:p>
          <w:p w14:paraId="5783C989" w14:textId="77777777" w:rsidR="004916ED" w:rsidRPr="003549B4" w:rsidRDefault="004916ED" w:rsidP="00F17024">
            <w:pPr>
              <w:spacing w:after="0" w:line="240" w:lineRule="auto"/>
              <w:ind w:right="-108"/>
              <w:rPr>
                <w:rFonts w:ascii="Times New Roman" w:hAnsi="Times New Roman" w:cs="Times New Roman"/>
                <w:sz w:val="20"/>
                <w:szCs w:val="20"/>
              </w:rPr>
            </w:pPr>
          </w:p>
          <w:p w14:paraId="75D760D6" w14:textId="77777777" w:rsidR="004916ED" w:rsidRPr="003549B4" w:rsidRDefault="004916ED" w:rsidP="00F17024">
            <w:pPr>
              <w:spacing w:after="0" w:line="240" w:lineRule="auto"/>
              <w:ind w:right="-108"/>
              <w:rPr>
                <w:rFonts w:ascii="Times New Roman" w:hAnsi="Times New Roman" w:cs="Times New Roman"/>
                <w:sz w:val="20"/>
                <w:szCs w:val="20"/>
              </w:rPr>
            </w:pPr>
          </w:p>
          <w:p w14:paraId="62AAEA4D" w14:textId="77777777" w:rsidR="004916ED" w:rsidRPr="003549B4" w:rsidRDefault="004916ED" w:rsidP="00F17024">
            <w:pPr>
              <w:spacing w:after="0" w:line="240" w:lineRule="auto"/>
              <w:ind w:right="-108"/>
              <w:rPr>
                <w:rFonts w:ascii="Times New Roman" w:hAnsi="Times New Roman" w:cs="Times New Roman"/>
                <w:sz w:val="20"/>
                <w:szCs w:val="20"/>
              </w:rPr>
            </w:pPr>
          </w:p>
          <w:p w14:paraId="51EB6FDA" w14:textId="77777777" w:rsidR="004916ED" w:rsidRPr="003549B4" w:rsidRDefault="004916ED" w:rsidP="00F17024">
            <w:pPr>
              <w:spacing w:after="0" w:line="240" w:lineRule="auto"/>
              <w:ind w:right="-108"/>
              <w:rPr>
                <w:rFonts w:ascii="Times New Roman" w:hAnsi="Times New Roman" w:cs="Times New Roman"/>
                <w:sz w:val="20"/>
                <w:szCs w:val="20"/>
              </w:rPr>
            </w:pPr>
          </w:p>
          <w:p w14:paraId="502EDCE7" w14:textId="77777777" w:rsidR="004916ED" w:rsidRPr="003549B4" w:rsidRDefault="004916ED" w:rsidP="00F17024">
            <w:pPr>
              <w:spacing w:after="0" w:line="240" w:lineRule="auto"/>
              <w:ind w:right="-108"/>
              <w:rPr>
                <w:rFonts w:ascii="Times New Roman" w:hAnsi="Times New Roman" w:cs="Times New Roman"/>
                <w:sz w:val="20"/>
                <w:szCs w:val="20"/>
              </w:rPr>
            </w:pPr>
          </w:p>
          <w:p w14:paraId="30DD7A89" w14:textId="77777777" w:rsidR="004916ED" w:rsidRPr="003549B4" w:rsidRDefault="004916ED" w:rsidP="00F17024">
            <w:pPr>
              <w:spacing w:after="0" w:line="240" w:lineRule="auto"/>
              <w:ind w:right="-108"/>
              <w:rPr>
                <w:rFonts w:ascii="Times New Roman" w:hAnsi="Times New Roman" w:cs="Times New Roman"/>
                <w:sz w:val="20"/>
                <w:szCs w:val="20"/>
              </w:rPr>
            </w:pPr>
          </w:p>
          <w:p w14:paraId="3BB2B3D5" w14:textId="77777777" w:rsidR="004916ED" w:rsidRPr="003549B4" w:rsidRDefault="004916ED" w:rsidP="00F17024">
            <w:pPr>
              <w:spacing w:after="0" w:line="240" w:lineRule="auto"/>
              <w:ind w:right="-108"/>
              <w:rPr>
                <w:rFonts w:ascii="Times New Roman" w:hAnsi="Times New Roman" w:cs="Times New Roman"/>
                <w:sz w:val="20"/>
                <w:szCs w:val="20"/>
              </w:rPr>
            </w:pPr>
          </w:p>
          <w:p w14:paraId="51A9D8F4" w14:textId="77777777" w:rsidR="004916ED" w:rsidRPr="003549B4" w:rsidRDefault="004916ED" w:rsidP="00F17024">
            <w:pPr>
              <w:spacing w:after="0" w:line="240" w:lineRule="auto"/>
              <w:ind w:right="-108"/>
              <w:rPr>
                <w:rFonts w:ascii="Times New Roman" w:hAnsi="Times New Roman" w:cs="Times New Roman"/>
                <w:sz w:val="20"/>
                <w:szCs w:val="20"/>
              </w:rPr>
            </w:pPr>
          </w:p>
          <w:p w14:paraId="7BF4FC07" w14:textId="77777777" w:rsidR="004916ED" w:rsidRPr="003549B4" w:rsidRDefault="004916ED" w:rsidP="00F17024">
            <w:pPr>
              <w:spacing w:after="0" w:line="240" w:lineRule="auto"/>
              <w:ind w:right="-108"/>
              <w:rPr>
                <w:rFonts w:ascii="Times New Roman" w:hAnsi="Times New Roman" w:cs="Times New Roman"/>
                <w:sz w:val="20"/>
                <w:szCs w:val="20"/>
              </w:rPr>
            </w:pPr>
          </w:p>
          <w:p w14:paraId="00758E42" w14:textId="77777777" w:rsidR="00D02130" w:rsidRPr="003549B4" w:rsidRDefault="00D02130" w:rsidP="00F17024">
            <w:pPr>
              <w:spacing w:after="0" w:line="240" w:lineRule="auto"/>
              <w:ind w:right="-108"/>
              <w:rPr>
                <w:rFonts w:ascii="Times New Roman" w:hAnsi="Times New Roman" w:cs="Times New Roman"/>
                <w:sz w:val="20"/>
                <w:szCs w:val="20"/>
              </w:rPr>
            </w:pPr>
          </w:p>
          <w:p w14:paraId="38DF3B3D" w14:textId="77777777" w:rsidR="004916ED" w:rsidRPr="003549B4" w:rsidRDefault="004916ED"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p w14:paraId="66F07504" w14:textId="77777777" w:rsidR="006042C6" w:rsidRPr="003549B4" w:rsidRDefault="006042C6" w:rsidP="00F17024">
            <w:pPr>
              <w:spacing w:after="0" w:line="240" w:lineRule="auto"/>
              <w:ind w:right="-108"/>
              <w:rPr>
                <w:rFonts w:ascii="Times New Roman" w:hAnsi="Times New Roman" w:cs="Times New Roman"/>
                <w:sz w:val="20"/>
                <w:szCs w:val="20"/>
              </w:rPr>
            </w:pPr>
          </w:p>
          <w:p w14:paraId="31C6084D" w14:textId="77777777" w:rsidR="006042C6" w:rsidRPr="003549B4" w:rsidRDefault="006042C6" w:rsidP="00F17024">
            <w:pPr>
              <w:spacing w:after="0" w:line="240" w:lineRule="auto"/>
              <w:ind w:right="-108"/>
              <w:rPr>
                <w:rFonts w:ascii="Times New Roman" w:hAnsi="Times New Roman" w:cs="Times New Roman"/>
                <w:sz w:val="20"/>
                <w:szCs w:val="20"/>
              </w:rPr>
            </w:pPr>
          </w:p>
          <w:p w14:paraId="15393064" w14:textId="77777777" w:rsidR="006042C6" w:rsidRPr="003549B4" w:rsidRDefault="006042C6" w:rsidP="00F17024">
            <w:pPr>
              <w:spacing w:after="0" w:line="240" w:lineRule="auto"/>
              <w:ind w:right="-108"/>
              <w:rPr>
                <w:rFonts w:ascii="Times New Roman" w:hAnsi="Times New Roman" w:cs="Times New Roman"/>
                <w:sz w:val="20"/>
                <w:szCs w:val="20"/>
              </w:rPr>
            </w:pPr>
          </w:p>
          <w:p w14:paraId="4E022B91" w14:textId="77777777" w:rsidR="006042C6" w:rsidRPr="003549B4" w:rsidRDefault="006042C6" w:rsidP="00F17024">
            <w:pPr>
              <w:spacing w:after="0" w:line="240" w:lineRule="auto"/>
              <w:ind w:right="-108"/>
              <w:rPr>
                <w:rFonts w:ascii="Times New Roman" w:hAnsi="Times New Roman" w:cs="Times New Roman"/>
                <w:sz w:val="20"/>
                <w:szCs w:val="20"/>
              </w:rPr>
            </w:pPr>
          </w:p>
          <w:p w14:paraId="444E3F34" w14:textId="77777777" w:rsidR="006042C6" w:rsidRPr="003549B4" w:rsidRDefault="006042C6" w:rsidP="00F17024">
            <w:pPr>
              <w:spacing w:after="0" w:line="240" w:lineRule="auto"/>
              <w:ind w:right="-108"/>
              <w:rPr>
                <w:rFonts w:ascii="Times New Roman" w:hAnsi="Times New Roman" w:cs="Times New Roman"/>
                <w:sz w:val="20"/>
                <w:szCs w:val="20"/>
              </w:rPr>
            </w:pPr>
          </w:p>
          <w:p w14:paraId="08DB8C74" w14:textId="77777777" w:rsidR="006042C6" w:rsidRPr="003549B4" w:rsidRDefault="006042C6" w:rsidP="00F17024">
            <w:pPr>
              <w:spacing w:after="0" w:line="240" w:lineRule="auto"/>
              <w:ind w:right="-108"/>
              <w:rPr>
                <w:rFonts w:ascii="Times New Roman" w:hAnsi="Times New Roman" w:cs="Times New Roman"/>
                <w:sz w:val="20"/>
                <w:szCs w:val="20"/>
              </w:rPr>
            </w:pPr>
          </w:p>
          <w:p w14:paraId="69A7FA75" w14:textId="77777777" w:rsidR="006042C6" w:rsidRPr="003549B4" w:rsidRDefault="006042C6" w:rsidP="00F17024">
            <w:pPr>
              <w:spacing w:after="0" w:line="240" w:lineRule="auto"/>
              <w:ind w:right="-108"/>
              <w:rPr>
                <w:rFonts w:ascii="Times New Roman" w:hAnsi="Times New Roman" w:cs="Times New Roman"/>
                <w:sz w:val="20"/>
                <w:szCs w:val="20"/>
              </w:rPr>
            </w:pPr>
          </w:p>
          <w:p w14:paraId="6C403CCF" w14:textId="77777777" w:rsidR="006042C6" w:rsidRPr="003549B4" w:rsidRDefault="006042C6" w:rsidP="00F17024">
            <w:pPr>
              <w:spacing w:after="0" w:line="240" w:lineRule="auto"/>
              <w:ind w:right="-108"/>
              <w:rPr>
                <w:rFonts w:ascii="Times New Roman" w:hAnsi="Times New Roman" w:cs="Times New Roman"/>
                <w:sz w:val="20"/>
                <w:szCs w:val="20"/>
              </w:rPr>
            </w:pPr>
          </w:p>
          <w:p w14:paraId="7769B706" w14:textId="77777777" w:rsidR="006042C6" w:rsidRPr="003549B4" w:rsidRDefault="006042C6" w:rsidP="00F17024">
            <w:pPr>
              <w:spacing w:after="0" w:line="240" w:lineRule="auto"/>
              <w:ind w:right="-108"/>
              <w:rPr>
                <w:rFonts w:ascii="Times New Roman" w:hAnsi="Times New Roman" w:cs="Times New Roman"/>
                <w:sz w:val="20"/>
                <w:szCs w:val="20"/>
              </w:rPr>
            </w:pPr>
          </w:p>
          <w:p w14:paraId="2D9F5BB0" w14:textId="77777777" w:rsidR="006042C6" w:rsidRPr="003549B4" w:rsidRDefault="006042C6" w:rsidP="00F17024">
            <w:pPr>
              <w:spacing w:after="0" w:line="240" w:lineRule="auto"/>
              <w:ind w:right="-108"/>
              <w:rPr>
                <w:rFonts w:ascii="Times New Roman" w:hAnsi="Times New Roman" w:cs="Times New Roman"/>
                <w:sz w:val="20"/>
                <w:szCs w:val="20"/>
              </w:rPr>
            </w:pPr>
          </w:p>
          <w:p w14:paraId="558D482D" w14:textId="77777777" w:rsidR="006042C6" w:rsidRPr="003549B4" w:rsidRDefault="006042C6" w:rsidP="00F17024">
            <w:pPr>
              <w:spacing w:after="0" w:line="240" w:lineRule="auto"/>
              <w:ind w:right="-108"/>
              <w:rPr>
                <w:rFonts w:ascii="Times New Roman" w:hAnsi="Times New Roman" w:cs="Times New Roman"/>
                <w:sz w:val="20"/>
                <w:szCs w:val="20"/>
              </w:rPr>
            </w:pPr>
          </w:p>
          <w:p w14:paraId="2816CD00" w14:textId="77777777" w:rsidR="006042C6" w:rsidRPr="003549B4" w:rsidRDefault="006042C6" w:rsidP="00F17024">
            <w:pPr>
              <w:spacing w:after="0" w:line="240" w:lineRule="auto"/>
              <w:ind w:right="-108"/>
              <w:rPr>
                <w:rFonts w:ascii="Times New Roman" w:hAnsi="Times New Roman" w:cs="Times New Roman"/>
                <w:sz w:val="20"/>
                <w:szCs w:val="20"/>
              </w:rPr>
            </w:pPr>
          </w:p>
          <w:p w14:paraId="0DC34CFF" w14:textId="77777777" w:rsidR="006042C6" w:rsidRPr="003549B4" w:rsidRDefault="006042C6" w:rsidP="00F17024">
            <w:pPr>
              <w:spacing w:after="0" w:line="240" w:lineRule="auto"/>
              <w:ind w:right="-108"/>
              <w:rPr>
                <w:rFonts w:ascii="Times New Roman" w:hAnsi="Times New Roman" w:cs="Times New Roman"/>
                <w:sz w:val="20"/>
                <w:szCs w:val="20"/>
              </w:rPr>
            </w:pPr>
          </w:p>
          <w:p w14:paraId="186D9DDE" w14:textId="77777777" w:rsidR="006042C6" w:rsidRPr="003549B4" w:rsidRDefault="006042C6" w:rsidP="00F17024">
            <w:pPr>
              <w:spacing w:after="0" w:line="240" w:lineRule="auto"/>
              <w:ind w:right="-108"/>
              <w:rPr>
                <w:rFonts w:ascii="Times New Roman" w:hAnsi="Times New Roman" w:cs="Times New Roman"/>
                <w:sz w:val="20"/>
                <w:szCs w:val="20"/>
              </w:rPr>
            </w:pPr>
          </w:p>
          <w:p w14:paraId="404E0F36" w14:textId="77777777" w:rsidR="006042C6" w:rsidRPr="003549B4" w:rsidRDefault="006042C6" w:rsidP="00F17024">
            <w:pPr>
              <w:spacing w:after="0" w:line="240" w:lineRule="auto"/>
              <w:ind w:right="-108"/>
              <w:rPr>
                <w:rFonts w:ascii="Times New Roman" w:hAnsi="Times New Roman" w:cs="Times New Roman"/>
                <w:sz w:val="20"/>
                <w:szCs w:val="20"/>
              </w:rPr>
            </w:pPr>
          </w:p>
          <w:p w14:paraId="0DAA61FD" w14:textId="77777777" w:rsidR="006042C6" w:rsidRPr="003549B4" w:rsidRDefault="006042C6" w:rsidP="00F17024">
            <w:pPr>
              <w:spacing w:after="0" w:line="240" w:lineRule="auto"/>
              <w:ind w:right="-108"/>
              <w:rPr>
                <w:rFonts w:ascii="Times New Roman" w:hAnsi="Times New Roman" w:cs="Times New Roman"/>
                <w:sz w:val="20"/>
                <w:szCs w:val="20"/>
              </w:rPr>
            </w:pPr>
          </w:p>
          <w:p w14:paraId="5C7DD271" w14:textId="77777777" w:rsidR="006042C6" w:rsidRPr="003549B4" w:rsidRDefault="006042C6"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p w14:paraId="61FF2758" w14:textId="77777777" w:rsidR="006042C6" w:rsidRPr="003549B4" w:rsidRDefault="006042C6" w:rsidP="00F17024">
            <w:pPr>
              <w:spacing w:after="0" w:line="240" w:lineRule="auto"/>
              <w:ind w:right="-108"/>
              <w:rPr>
                <w:rFonts w:ascii="Times New Roman" w:hAnsi="Times New Roman" w:cs="Times New Roman"/>
                <w:sz w:val="20"/>
                <w:szCs w:val="20"/>
              </w:rPr>
            </w:pPr>
          </w:p>
          <w:p w14:paraId="14954332" w14:textId="77777777" w:rsidR="006042C6" w:rsidRPr="003549B4" w:rsidRDefault="006042C6" w:rsidP="00F17024">
            <w:pPr>
              <w:spacing w:after="0" w:line="240" w:lineRule="auto"/>
              <w:ind w:right="-108"/>
              <w:rPr>
                <w:rFonts w:ascii="Times New Roman" w:hAnsi="Times New Roman" w:cs="Times New Roman"/>
                <w:sz w:val="20"/>
                <w:szCs w:val="20"/>
              </w:rPr>
            </w:pPr>
          </w:p>
          <w:p w14:paraId="3D3FA20A" w14:textId="77777777" w:rsidR="006042C6" w:rsidRPr="003549B4" w:rsidRDefault="006042C6" w:rsidP="00F17024">
            <w:pPr>
              <w:spacing w:after="0" w:line="240" w:lineRule="auto"/>
              <w:ind w:right="-108"/>
              <w:rPr>
                <w:rFonts w:ascii="Times New Roman" w:hAnsi="Times New Roman" w:cs="Times New Roman"/>
                <w:sz w:val="20"/>
                <w:szCs w:val="20"/>
              </w:rPr>
            </w:pPr>
          </w:p>
          <w:p w14:paraId="4D384168" w14:textId="77777777" w:rsidR="006042C6" w:rsidRPr="003549B4" w:rsidRDefault="006042C6" w:rsidP="00F17024">
            <w:pPr>
              <w:spacing w:after="0" w:line="240" w:lineRule="auto"/>
              <w:ind w:right="-108"/>
              <w:rPr>
                <w:rFonts w:ascii="Times New Roman" w:hAnsi="Times New Roman" w:cs="Times New Roman"/>
                <w:sz w:val="20"/>
                <w:szCs w:val="20"/>
              </w:rPr>
            </w:pPr>
          </w:p>
          <w:p w14:paraId="02322294" w14:textId="77777777" w:rsidR="006042C6" w:rsidRPr="003549B4" w:rsidRDefault="006042C6" w:rsidP="00F17024">
            <w:pPr>
              <w:spacing w:after="0" w:line="240" w:lineRule="auto"/>
              <w:ind w:right="-108"/>
              <w:rPr>
                <w:rFonts w:ascii="Times New Roman" w:hAnsi="Times New Roman" w:cs="Times New Roman"/>
                <w:sz w:val="20"/>
                <w:szCs w:val="20"/>
              </w:rPr>
            </w:pPr>
          </w:p>
          <w:p w14:paraId="58653B8A" w14:textId="77777777" w:rsidR="006042C6" w:rsidRPr="003549B4" w:rsidRDefault="006042C6" w:rsidP="00F17024">
            <w:pPr>
              <w:spacing w:after="0" w:line="240" w:lineRule="auto"/>
              <w:ind w:right="-108"/>
              <w:rPr>
                <w:rFonts w:ascii="Times New Roman" w:hAnsi="Times New Roman" w:cs="Times New Roman"/>
                <w:sz w:val="20"/>
                <w:szCs w:val="20"/>
              </w:rPr>
            </w:pPr>
          </w:p>
          <w:p w14:paraId="3EAA0AAE" w14:textId="77777777" w:rsidR="006042C6" w:rsidRPr="003549B4" w:rsidRDefault="006042C6" w:rsidP="00F17024">
            <w:pPr>
              <w:spacing w:after="0" w:line="240" w:lineRule="auto"/>
              <w:ind w:right="-108"/>
              <w:rPr>
                <w:rFonts w:ascii="Times New Roman" w:hAnsi="Times New Roman" w:cs="Times New Roman"/>
                <w:sz w:val="20"/>
                <w:szCs w:val="20"/>
              </w:rPr>
            </w:pPr>
          </w:p>
          <w:p w14:paraId="1C68951F" w14:textId="77777777" w:rsidR="006042C6" w:rsidRPr="003549B4" w:rsidRDefault="006042C6" w:rsidP="00F17024">
            <w:pPr>
              <w:spacing w:after="0" w:line="240" w:lineRule="auto"/>
              <w:ind w:right="-108"/>
              <w:rPr>
                <w:rFonts w:ascii="Times New Roman" w:hAnsi="Times New Roman" w:cs="Times New Roman"/>
                <w:sz w:val="20"/>
                <w:szCs w:val="20"/>
              </w:rPr>
            </w:pPr>
          </w:p>
          <w:p w14:paraId="732D8CEB" w14:textId="77777777" w:rsidR="006042C6" w:rsidRPr="003549B4" w:rsidRDefault="006042C6"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3583F83A" w14:textId="77777777" w:rsidR="006042C6" w:rsidRPr="003549B4" w:rsidRDefault="006042C6"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lastRenderedPageBreak/>
              <w:t>§27</w:t>
            </w:r>
          </w:p>
          <w:p w14:paraId="22D68F6E" w14:textId="77777777" w:rsidR="006042C6" w:rsidRPr="003549B4" w:rsidRDefault="006042C6"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1C4937F2" w14:textId="77777777" w:rsidR="006042C6" w:rsidRPr="003549B4" w:rsidRDefault="006042C6"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Pa)</w:t>
            </w:r>
          </w:p>
          <w:p w14:paraId="3FF3EF3E" w14:textId="77777777" w:rsidR="006042C6" w:rsidRPr="003549B4" w:rsidRDefault="006042C6"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Pb)</w:t>
            </w:r>
          </w:p>
          <w:p w14:paraId="0C2DFD6F"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5B6051FB"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1935EF0A"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452018D7"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7B65D182"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0C236D87"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462D8CEA"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5C83C1AD"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45A9ED6D"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§27</w:t>
            </w:r>
          </w:p>
          <w:p w14:paraId="230657CD"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O13</w:t>
            </w:r>
          </w:p>
          <w:p w14:paraId="456307D9"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0330E867"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06505F5C"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5466F8C8"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0D62EF82"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278B1722"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1E034314"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7E3113EE"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3BD67E1C"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2EB0BA56"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4CE937A1"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2A07F2C8"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0DF9AD97"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3E851F8B" w14:textId="77777777" w:rsidR="004916ED" w:rsidRPr="003549B4" w:rsidRDefault="004916ED" w:rsidP="00F17024">
            <w:pPr>
              <w:spacing w:after="0" w:line="240" w:lineRule="auto"/>
              <w:ind w:left="14" w:right="-9" w:hanging="29"/>
              <w:rPr>
                <w:rFonts w:ascii="Times New Roman" w:hAnsi="Times New Roman" w:cs="Times New Roman"/>
                <w:sz w:val="20"/>
                <w:szCs w:val="20"/>
              </w:rPr>
            </w:pPr>
          </w:p>
          <w:p w14:paraId="1417FF5A" w14:textId="77777777" w:rsidR="00D02130" w:rsidRPr="003549B4" w:rsidRDefault="00D02130" w:rsidP="00F17024">
            <w:pPr>
              <w:spacing w:after="0" w:line="240" w:lineRule="auto"/>
              <w:ind w:left="14" w:right="-9" w:hanging="29"/>
              <w:rPr>
                <w:rFonts w:ascii="Times New Roman" w:hAnsi="Times New Roman" w:cs="Times New Roman"/>
                <w:sz w:val="20"/>
                <w:szCs w:val="20"/>
              </w:rPr>
            </w:pPr>
          </w:p>
          <w:p w14:paraId="77ABC9BA" w14:textId="77777777" w:rsidR="006042C6" w:rsidRPr="003549B4" w:rsidRDefault="006042C6"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xml:space="preserve">§34 </w:t>
            </w:r>
          </w:p>
          <w:p w14:paraId="1466E0F4" w14:textId="77777777" w:rsidR="006042C6" w:rsidRPr="003549B4" w:rsidRDefault="006042C6"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49D0B832" w14:textId="77777777" w:rsidR="006042C6" w:rsidRPr="003549B4" w:rsidRDefault="006042C6"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Pa)</w:t>
            </w:r>
          </w:p>
          <w:p w14:paraId="673741E9"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4DE86920"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6815D686"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28D3D415"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617BF7B4"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6BDA9891" w14:textId="77777777" w:rsidR="006042C6" w:rsidRPr="003549B4" w:rsidRDefault="006042C6" w:rsidP="00F17024">
            <w:pPr>
              <w:spacing w:after="0" w:line="240" w:lineRule="auto"/>
              <w:ind w:left="14" w:right="-9" w:hanging="29"/>
              <w:rPr>
                <w:rFonts w:ascii="Times New Roman" w:hAnsi="Times New Roman" w:cs="Times New Roman"/>
                <w:sz w:val="20"/>
                <w:szCs w:val="20"/>
              </w:rPr>
            </w:pPr>
          </w:p>
          <w:p w14:paraId="3C1BED42" w14:textId="77777777" w:rsidR="004916ED" w:rsidRPr="003549B4" w:rsidRDefault="004916ED"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§44</w:t>
            </w:r>
          </w:p>
          <w:p w14:paraId="1669DD1D" w14:textId="77777777" w:rsidR="006042C6" w:rsidRPr="003549B4" w:rsidRDefault="006042C6"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765456BB" w14:textId="77777777" w:rsidR="006042C6" w:rsidRPr="003549B4" w:rsidRDefault="006042C6"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Pa)</w:t>
            </w:r>
          </w:p>
        </w:tc>
        <w:tc>
          <w:tcPr>
            <w:tcW w:w="6006" w:type="dxa"/>
            <w:vAlign w:val="center"/>
          </w:tcPr>
          <w:p w14:paraId="1C9042CA" w14:textId="77777777" w:rsidR="006042C6" w:rsidRPr="003549B4" w:rsidRDefault="006042C6" w:rsidP="006042C6">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(1)</w:t>
            </w:r>
            <w:r w:rsidRPr="003549B4">
              <w:rPr>
                <w:rFonts w:ascii="Times New Roman" w:hAnsi="Times New Roman" w:cs="Times New Roman"/>
                <w:sz w:val="20"/>
                <w:szCs w:val="20"/>
              </w:rPr>
              <w:tab/>
              <w:t xml:space="preserve">Povolenie stacionárneho zdroja (ďalej len „povolenie zdroja“) je rozhodnutie, ktorým sa určujú požiadavky na prevádzku stacionárneho zdroja z hľadiska ochrany ovzdušia. Pri novobudovaných zdrojoch, sa povolenie vydáva </w:t>
            </w:r>
          </w:p>
          <w:p w14:paraId="655F06CA" w14:textId="18F54AEB" w:rsidR="006042C6" w:rsidRPr="003549B4" w:rsidRDefault="006042C6" w:rsidP="006042C6">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a)</w:t>
            </w:r>
            <w:r w:rsidRPr="003549B4">
              <w:rPr>
                <w:rFonts w:ascii="Times New Roman" w:hAnsi="Times New Roman" w:cs="Times New Roman"/>
                <w:sz w:val="20"/>
                <w:szCs w:val="20"/>
              </w:rPr>
              <w:tab/>
              <w:t xml:space="preserve">po vydaní stavebného povolenia, ak stacionárny zdroj podlieha konaniu podľa osobitného prepisu, </w:t>
            </w:r>
            <w:r w:rsidR="00747803" w:rsidRPr="003549B4">
              <w:rPr>
                <w:rFonts w:ascii="Times New Roman" w:hAnsi="Times New Roman" w:cs="Times New Roman"/>
                <w:sz w:val="20"/>
                <w:szCs w:val="20"/>
                <w:vertAlign w:val="superscript"/>
              </w:rPr>
              <w:t>53</w:t>
            </w:r>
            <w:r w:rsidRPr="003549B4">
              <w:rPr>
                <w:rFonts w:ascii="Times New Roman" w:hAnsi="Times New Roman" w:cs="Times New Roman"/>
                <w:sz w:val="20"/>
                <w:szCs w:val="20"/>
              </w:rPr>
              <w:t>)</w:t>
            </w:r>
          </w:p>
          <w:p w14:paraId="09945132" w14:textId="77777777" w:rsidR="006042C6" w:rsidRPr="003549B4" w:rsidRDefault="006042C6" w:rsidP="006042C6">
            <w:pPr>
              <w:pStyle w:val="tl1"/>
              <w:numPr>
                <w:ilvl w:val="0"/>
                <w:numId w:val="0"/>
              </w:numPr>
              <w:shd w:val="clear" w:color="auto" w:fill="auto"/>
              <w:spacing w:after="60" w:line="240" w:lineRule="auto"/>
              <w:contextualSpacing w:val="0"/>
              <w:jc w:val="both"/>
              <w:rPr>
                <w:rFonts w:eastAsia="Calibri"/>
                <w:color w:val="auto"/>
                <w:sz w:val="20"/>
                <w:szCs w:val="20"/>
              </w:rPr>
            </w:pPr>
            <w:r w:rsidRPr="003549B4">
              <w:rPr>
                <w:rFonts w:eastAsia="Calibri"/>
                <w:color w:val="auto"/>
                <w:sz w:val="20"/>
                <w:szCs w:val="20"/>
              </w:rPr>
              <w:t>b)</w:t>
            </w:r>
            <w:r w:rsidRPr="003549B4">
              <w:rPr>
                <w:rFonts w:eastAsia="Calibri"/>
                <w:color w:val="auto"/>
                <w:sz w:val="20"/>
                <w:szCs w:val="20"/>
              </w:rPr>
              <w:tab/>
              <w:t>pred inštaláciou technológie, ak ide o iný stacionárny zdroj ako podľa písmena a).</w:t>
            </w:r>
          </w:p>
          <w:p w14:paraId="19FBAE87" w14:textId="77777777" w:rsidR="006042C6" w:rsidRPr="003549B4" w:rsidRDefault="006042C6" w:rsidP="006042C6">
            <w:pPr>
              <w:pStyle w:val="tl1"/>
              <w:numPr>
                <w:ilvl w:val="0"/>
                <w:numId w:val="0"/>
              </w:numPr>
              <w:shd w:val="clear" w:color="auto" w:fill="auto"/>
              <w:spacing w:after="60" w:line="240" w:lineRule="auto"/>
              <w:contextualSpacing w:val="0"/>
              <w:jc w:val="both"/>
              <w:rPr>
                <w:rFonts w:eastAsia="Calibri"/>
                <w:color w:val="auto"/>
                <w:sz w:val="20"/>
                <w:szCs w:val="20"/>
              </w:rPr>
            </w:pPr>
          </w:p>
          <w:p w14:paraId="67632FD5" w14:textId="7E9E9198" w:rsidR="006042C6" w:rsidRPr="003549B4" w:rsidRDefault="006042C6" w:rsidP="009624D2">
            <w:pPr>
              <w:pStyle w:val="tl1"/>
              <w:numPr>
                <w:ilvl w:val="0"/>
                <w:numId w:val="0"/>
              </w:numPr>
              <w:shd w:val="clear" w:color="auto" w:fill="auto"/>
              <w:spacing w:after="60" w:line="240" w:lineRule="auto"/>
              <w:contextualSpacing w:val="0"/>
              <w:jc w:val="both"/>
              <w:rPr>
                <w:rFonts w:eastAsia="Calibri"/>
                <w:color w:val="auto"/>
                <w:sz w:val="20"/>
                <w:szCs w:val="20"/>
              </w:rPr>
            </w:pPr>
            <w:r w:rsidRPr="003549B4">
              <w:rPr>
                <w:rFonts w:eastAsia="Calibri"/>
                <w:color w:val="auto"/>
                <w:sz w:val="20"/>
                <w:szCs w:val="20"/>
                <w:vertAlign w:val="superscript"/>
              </w:rPr>
              <w:t>5</w:t>
            </w:r>
            <w:r w:rsidR="00747803" w:rsidRPr="003549B4">
              <w:rPr>
                <w:rFonts w:eastAsia="Calibri"/>
                <w:color w:val="auto"/>
                <w:sz w:val="20"/>
                <w:szCs w:val="20"/>
                <w:vertAlign w:val="superscript"/>
              </w:rPr>
              <w:t>3</w:t>
            </w:r>
            <w:r w:rsidRPr="003549B4">
              <w:rPr>
                <w:rFonts w:eastAsia="Calibri"/>
                <w:color w:val="auto"/>
                <w:sz w:val="20"/>
                <w:szCs w:val="20"/>
              </w:rPr>
              <w:t>) Zákon č. 201/2022 Z. z. o výstavbe.</w:t>
            </w:r>
          </w:p>
          <w:p w14:paraId="632EE075" w14:textId="77777777" w:rsidR="006042C6" w:rsidRPr="003549B4" w:rsidRDefault="006042C6" w:rsidP="009624D2">
            <w:pPr>
              <w:pStyle w:val="tl1"/>
              <w:numPr>
                <w:ilvl w:val="0"/>
                <w:numId w:val="0"/>
              </w:numPr>
              <w:shd w:val="clear" w:color="auto" w:fill="auto"/>
              <w:spacing w:after="60" w:line="240" w:lineRule="auto"/>
              <w:contextualSpacing w:val="0"/>
              <w:jc w:val="both"/>
              <w:rPr>
                <w:rFonts w:eastAsia="Calibri"/>
                <w:color w:val="auto"/>
                <w:sz w:val="20"/>
                <w:szCs w:val="20"/>
              </w:rPr>
            </w:pPr>
          </w:p>
          <w:p w14:paraId="1865DFCB" w14:textId="77777777" w:rsidR="009624D2" w:rsidRPr="003549B4" w:rsidRDefault="0075380B" w:rsidP="009624D2">
            <w:pPr>
              <w:pStyle w:val="tl1"/>
              <w:numPr>
                <w:ilvl w:val="0"/>
                <w:numId w:val="0"/>
              </w:numPr>
              <w:shd w:val="clear" w:color="auto" w:fill="auto"/>
              <w:spacing w:after="60" w:line="240" w:lineRule="auto"/>
              <w:contextualSpacing w:val="0"/>
              <w:jc w:val="both"/>
              <w:rPr>
                <w:rFonts w:eastAsia="Calibri"/>
                <w:color w:val="auto"/>
                <w:sz w:val="20"/>
                <w:szCs w:val="20"/>
              </w:rPr>
            </w:pPr>
            <w:r w:rsidRPr="003549B4">
              <w:rPr>
                <w:rFonts w:eastAsia="Calibri"/>
                <w:color w:val="auto"/>
                <w:sz w:val="20"/>
                <w:szCs w:val="20"/>
              </w:rPr>
              <w:lastRenderedPageBreak/>
              <w:t xml:space="preserve">(13) </w:t>
            </w:r>
            <w:r w:rsidR="009624D2" w:rsidRPr="003549B4">
              <w:rPr>
                <w:rFonts w:eastAsia="Calibri"/>
                <w:color w:val="auto"/>
                <w:sz w:val="20"/>
                <w:szCs w:val="20"/>
              </w:rPr>
              <w:t xml:space="preserve">Zmena podmienok povolenia zdroja alebo vydanie nového povolenia sa vykoná, </w:t>
            </w:r>
          </w:p>
          <w:p w14:paraId="174728D1" w14:textId="77777777" w:rsidR="009624D2" w:rsidRPr="003549B4" w:rsidRDefault="009624D2" w:rsidP="009624D2">
            <w:pPr>
              <w:pStyle w:val="Odsekzoznamu"/>
              <w:keepNext w:val="0"/>
              <w:numPr>
                <w:ilvl w:val="1"/>
                <w:numId w:val="29"/>
              </w:numPr>
              <w:spacing w:before="0" w:after="0"/>
              <w:ind w:left="284" w:hanging="284"/>
              <w:rPr>
                <w:sz w:val="20"/>
                <w:szCs w:val="20"/>
              </w:rPr>
            </w:pPr>
            <w:r w:rsidRPr="003549B4">
              <w:rPr>
                <w:sz w:val="20"/>
                <w:szCs w:val="20"/>
              </w:rPr>
              <w:t xml:space="preserve">ak ide o zmenu používaných palív a surovín, o zmenu na existujúcich technologických zariadeniach stacionárneho zdroja alebo doplnenie nových technologických zariadení k existujúcemu stacionárnemu zdroju alebo o zmenu ich využívania, </w:t>
            </w:r>
          </w:p>
          <w:p w14:paraId="1FF5AB00" w14:textId="77777777" w:rsidR="009624D2" w:rsidRPr="003549B4" w:rsidRDefault="009624D2" w:rsidP="009624D2">
            <w:pPr>
              <w:pStyle w:val="Odsekzoznamu"/>
              <w:keepNext w:val="0"/>
              <w:numPr>
                <w:ilvl w:val="1"/>
                <w:numId w:val="29"/>
              </w:numPr>
              <w:spacing w:before="0"/>
              <w:ind w:left="284" w:hanging="284"/>
              <w:rPr>
                <w:sz w:val="20"/>
                <w:szCs w:val="20"/>
              </w:rPr>
            </w:pPr>
            <w:r w:rsidRPr="003549B4">
              <w:rPr>
                <w:sz w:val="20"/>
                <w:szCs w:val="20"/>
              </w:rPr>
              <w:t>na základe záverov preskúmania povolenia podľa odsekov 12 a 15 písm. a) a § 28 ods. 6 písm. b),</w:t>
            </w:r>
          </w:p>
          <w:p w14:paraId="2EADE702" w14:textId="77777777" w:rsidR="0075380B" w:rsidRPr="003549B4" w:rsidRDefault="009624D2" w:rsidP="009624D2">
            <w:pPr>
              <w:pStyle w:val="Odsekzoznamu"/>
              <w:keepNext w:val="0"/>
              <w:numPr>
                <w:ilvl w:val="1"/>
                <w:numId w:val="29"/>
              </w:numPr>
              <w:spacing w:before="0" w:after="0"/>
              <w:ind w:left="284" w:hanging="284"/>
              <w:rPr>
                <w:rFonts w:eastAsia="Calibri"/>
                <w:sz w:val="20"/>
                <w:szCs w:val="20"/>
              </w:rPr>
            </w:pPr>
            <w:r w:rsidRPr="003549B4">
              <w:rPr>
                <w:sz w:val="20"/>
                <w:szCs w:val="20"/>
              </w:rPr>
              <w:t>ak ide o opatrenia týkajúce sa daného stacionárneho zdroja uložené programom na zlepšenie kvality ovzdušia, smogovým regulačným plánom, všeobecne záväzným nariadením obce alebo podľa § 8 ods. 2; v takom prípade povolenie zdroja aktualizuje povoľujúci orgán v konaní z vlastného podnetu do šiestich mesiacov od ich vydania.</w:t>
            </w:r>
          </w:p>
          <w:p w14:paraId="6084008E" w14:textId="77777777" w:rsidR="004916ED" w:rsidRPr="003549B4" w:rsidRDefault="004916ED" w:rsidP="00D02130">
            <w:pPr>
              <w:rPr>
                <w:rFonts w:ascii="Times New Roman" w:hAnsi="Times New Roman" w:cs="Times New Roman"/>
                <w:sz w:val="20"/>
              </w:rPr>
            </w:pPr>
          </w:p>
          <w:p w14:paraId="431636B4" w14:textId="77777777" w:rsidR="006042C6" w:rsidRPr="003549B4" w:rsidRDefault="006042C6" w:rsidP="006042C6">
            <w:pPr>
              <w:spacing w:after="0"/>
              <w:rPr>
                <w:rFonts w:ascii="Times New Roman" w:hAnsi="Times New Roman" w:cs="Times New Roman"/>
                <w:sz w:val="20"/>
              </w:rPr>
            </w:pPr>
            <w:r w:rsidRPr="003549B4">
              <w:rPr>
                <w:rFonts w:ascii="Times New Roman" w:hAnsi="Times New Roman" w:cs="Times New Roman"/>
                <w:sz w:val="20"/>
              </w:rPr>
              <w:t>(1)</w:t>
            </w:r>
            <w:r w:rsidRPr="003549B4">
              <w:rPr>
                <w:rFonts w:ascii="Times New Roman" w:hAnsi="Times New Roman" w:cs="Times New Roman"/>
                <w:sz w:val="20"/>
              </w:rPr>
              <w:tab/>
              <w:t xml:space="preserve">Prevádzkovatelia veľkých zdrojov a prevádzkovatelia stredných zdrojov sú povinní </w:t>
            </w:r>
          </w:p>
          <w:p w14:paraId="463D7F8A" w14:textId="77777777" w:rsidR="006042C6" w:rsidRPr="003549B4" w:rsidRDefault="006042C6" w:rsidP="006042C6">
            <w:pPr>
              <w:rPr>
                <w:rFonts w:ascii="Times New Roman" w:hAnsi="Times New Roman" w:cs="Times New Roman"/>
                <w:sz w:val="20"/>
              </w:rPr>
            </w:pPr>
            <w:r w:rsidRPr="003549B4">
              <w:rPr>
                <w:rFonts w:ascii="Times New Roman" w:hAnsi="Times New Roman" w:cs="Times New Roman"/>
                <w:sz w:val="20"/>
              </w:rPr>
              <w:t>a)</w:t>
            </w:r>
            <w:r w:rsidRPr="003549B4">
              <w:rPr>
                <w:rFonts w:ascii="Times New Roman" w:hAnsi="Times New Roman" w:cs="Times New Roman"/>
                <w:sz w:val="20"/>
              </w:rPr>
              <w:tab/>
              <w:t>prevádzkovať stacionárny zdroj v súlade s povolením, dokumentáciou a pod stálou kontrolou osoby zodpovednej za chod prevádzky,</w:t>
            </w:r>
          </w:p>
          <w:p w14:paraId="4052BD68" w14:textId="77777777" w:rsidR="006042C6" w:rsidRPr="003549B4" w:rsidRDefault="006042C6" w:rsidP="00D02130">
            <w:pPr>
              <w:rPr>
                <w:rFonts w:ascii="Times New Roman" w:hAnsi="Times New Roman" w:cs="Times New Roman"/>
                <w:sz w:val="20"/>
              </w:rPr>
            </w:pPr>
          </w:p>
          <w:p w14:paraId="41390451" w14:textId="77777777" w:rsidR="00D02130" w:rsidRPr="003549B4" w:rsidRDefault="00D02130" w:rsidP="00D02130">
            <w:pPr>
              <w:spacing w:after="0"/>
              <w:rPr>
                <w:rFonts w:ascii="Times New Roman" w:hAnsi="Times New Roman" w:cs="Times New Roman"/>
                <w:sz w:val="20"/>
              </w:rPr>
            </w:pPr>
            <w:r w:rsidRPr="003549B4">
              <w:rPr>
                <w:rFonts w:ascii="Times New Roman" w:hAnsi="Times New Roman" w:cs="Times New Roman"/>
                <w:sz w:val="20"/>
              </w:rPr>
              <w:t>(1)</w:t>
            </w:r>
            <w:r w:rsidRPr="003549B4">
              <w:rPr>
                <w:rFonts w:ascii="Times New Roman" w:hAnsi="Times New Roman" w:cs="Times New Roman"/>
                <w:sz w:val="20"/>
              </w:rPr>
              <w:tab/>
              <w:t xml:space="preserve">Okresný úrad </w:t>
            </w:r>
          </w:p>
          <w:p w14:paraId="4367607B" w14:textId="77777777" w:rsidR="00D02130" w:rsidRPr="003549B4" w:rsidRDefault="00D02130" w:rsidP="00D02130">
            <w:pPr>
              <w:rPr>
                <w:rFonts w:ascii="Times New Roman" w:hAnsi="Times New Roman" w:cs="Times New Roman"/>
                <w:sz w:val="20"/>
              </w:rPr>
            </w:pPr>
            <w:r w:rsidRPr="003549B4">
              <w:rPr>
                <w:rFonts w:ascii="Times New Roman" w:hAnsi="Times New Roman" w:cs="Times New Roman"/>
                <w:sz w:val="20"/>
              </w:rPr>
              <w:t>a)</w:t>
            </w:r>
            <w:r w:rsidRPr="003549B4">
              <w:rPr>
                <w:rFonts w:ascii="Times New Roman" w:hAnsi="Times New Roman" w:cs="Times New Roman"/>
                <w:sz w:val="20"/>
              </w:rPr>
              <w:tab/>
              <w:t>vydáva súhlasy podľa § 26 a povolenia zdroja podľa § 27 pre veľké zdroje a stredné zdroje, preskúmava ich, a ak je to potrebné, zmení ich; na podnet inšpekcie preskúma a podľa potreby zmení predmetný súhlas a povolenie zdroja najneskôr do šiestich mesiacov,</w:t>
            </w:r>
          </w:p>
          <w:p w14:paraId="6FED2C57" w14:textId="77777777" w:rsidR="004916ED" w:rsidRPr="003549B4" w:rsidRDefault="004916ED" w:rsidP="004916ED">
            <w:pPr>
              <w:spacing w:after="0"/>
              <w:rPr>
                <w:sz w:val="20"/>
                <w:szCs w:val="20"/>
              </w:rPr>
            </w:pPr>
          </w:p>
        </w:tc>
        <w:tc>
          <w:tcPr>
            <w:tcW w:w="429" w:type="dxa"/>
            <w:tcBorders>
              <w:top w:val="single" w:sz="4" w:space="0" w:color="auto"/>
              <w:bottom w:val="single" w:sz="4" w:space="0" w:color="auto"/>
            </w:tcBorders>
            <w:vAlign w:val="center"/>
          </w:tcPr>
          <w:p w14:paraId="78CB07C1" w14:textId="25C5681A"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1FF56496"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1361FF14"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10547FAE"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Č10</w:t>
            </w:r>
          </w:p>
        </w:tc>
        <w:tc>
          <w:tcPr>
            <w:tcW w:w="6287" w:type="dxa"/>
          </w:tcPr>
          <w:p w14:paraId="14B2EF62"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Príslušné orgány</w:t>
            </w:r>
          </w:p>
        </w:tc>
        <w:tc>
          <w:tcPr>
            <w:tcW w:w="433" w:type="dxa"/>
          </w:tcPr>
          <w:p w14:paraId="2F964CC8"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340C67C1"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5AF51B72"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082AD76F"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6E9769D4"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41C3E62C"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0101B18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183549E"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16520DA3"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Členské štáty určia príslušné orgány, ktoré sú zodpovedné za plnenie povinností vyplývajúcich z tejto smernice.</w:t>
            </w:r>
          </w:p>
        </w:tc>
        <w:tc>
          <w:tcPr>
            <w:tcW w:w="433" w:type="dxa"/>
          </w:tcPr>
          <w:p w14:paraId="64E1F0B1"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4ADBA545"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67602247"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§44</w:t>
            </w:r>
          </w:p>
          <w:p w14:paraId="6E0FF24E"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74CF857B"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Pa)</w:t>
            </w:r>
          </w:p>
        </w:tc>
        <w:tc>
          <w:tcPr>
            <w:tcW w:w="6006" w:type="dxa"/>
            <w:vAlign w:val="center"/>
          </w:tcPr>
          <w:p w14:paraId="5840B64B" w14:textId="77777777" w:rsidR="0075380B" w:rsidRPr="003549B4" w:rsidRDefault="0075380B" w:rsidP="00824651">
            <w:pPr>
              <w:spacing w:after="0" w:line="264" w:lineRule="auto"/>
              <w:ind w:left="102" w:right="91"/>
              <w:jc w:val="center"/>
              <w:rPr>
                <w:rFonts w:ascii="Times New Roman" w:hAnsi="Times New Roman" w:cs="Times New Roman"/>
                <w:b/>
                <w:sz w:val="20"/>
                <w:szCs w:val="20"/>
              </w:rPr>
            </w:pPr>
            <w:r w:rsidRPr="003549B4">
              <w:rPr>
                <w:rFonts w:ascii="Times New Roman" w:hAnsi="Times New Roman" w:cs="Times New Roman"/>
                <w:b/>
                <w:sz w:val="20"/>
                <w:szCs w:val="20"/>
              </w:rPr>
              <w:t>Okresný úrad</w:t>
            </w:r>
          </w:p>
          <w:p w14:paraId="459E49C4" w14:textId="77777777" w:rsidR="0075380B" w:rsidRPr="003549B4" w:rsidRDefault="0075380B" w:rsidP="00824651">
            <w:pPr>
              <w:spacing w:after="0"/>
              <w:ind w:left="102"/>
              <w:rPr>
                <w:rFonts w:ascii="Times New Roman" w:hAnsi="Times New Roman" w:cs="Times New Roman"/>
                <w:sz w:val="20"/>
                <w:szCs w:val="20"/>
              </w:rPr>
            </w:pPr>
            <w:r w:rsidRPr="003549B4">
              <w:rPr>
                <w:rFonts w:ascii="Times New Roman" w:hAnsi="Times New Roman" w:cs="Times New Roman"/>
                <w:sz w:val="20"/>
                <w:szCs w:val="20"/>
              </w:rPr>
              <w:t xml:space="preserve">(1) Okresný úrad </w:t>
            </w:r>
          </w:p>
          <w:p w14:paraId="6480BAF8" w14:textId="77777777" w:rsidR="0044328A" w:rsidRPr="003549B4" w:rsidRDefault="0075380B" w:rsidP="0044328A">
            <w:pPr>
              <w:spacing w:after="0" w:line="264" w:lineRule="auto"/>
              <w:ind w:left="102" w:right="91"/>
              <w:jc w:val="both"/>
              <w:rPr>
                <w:rFonts w:ascii="Times New Roman" w:hAnsi="Times New Roman" w:cs="Times New Roman"/>
                <w:sz w:val="20"/>
                <w:szCs w:val="20"/>
              </w:rPr>
            </w:pPr>
            <w:r w:rsidRPr="003549B4">
              <w:rPr>
                <w:rFonts w:ascii="Times New Roman" w:hAnsi="Times New Roman" w:cs="Times New Roman"/>
                <w:sz w:val="20"/>
                <w:szCs w:val="20"/>
              </w:rPr>
              <w:t>a) vydáva súhlasy podľa § 26 a povolenia zdroja podľa § 27 pre veľké zdroje a stredné zdroje, preskúmava ich</w:t>
            </w:r>
            <w:r w:rsidR="0044328A" w:rsidRPr="003549B4">
              <w:rPr>
                <w:rFonts w:ascii="Times New Roman" w:hAnsi="Times New Roman" w:cs="Times New Roman"/>
                <w:sz w:val="20"/>
                <w:szCs w:val="20"/>
              </w:rPr>
              <w:t>,</w:t>
            </w:r>
            <w:r w:rsidRPr="003549B4">
              <w:rPr>
                <w:rFonts w:ascii="Times New Roman" w:hAnsi="Times New Roman" w:cs="Times New Roman"/>
                <w:sz w:val="20"/>
                <w:szCs w:val="20"/>
              </w:rPr>
              <w:t xml:space="preserve"> a ak je to potrebné, </w:t>
            </w:r>
            <w:r w:rsidR="0044328A" w:rsidRPr="003549B4">
              <w:rPr>
                <w:rFonts w:ascii="Times New Roman" w:hAnsi="Times New Roman" w:cs="Times New Roman"/>
                <w:sz w:val="20"/>
                <w:szCs w:val="20"/>
              </w:rPr>
              <w:t>zmení</w:t>
            </w:r>
            <w:r w:rsidRPr="003549B4">
              <w:rPr>
                <w:rFonts w:ascii="Times New Roman" w:hAnsi="Times New Roman" w:cs="Times New Roman"/>
                <w:sz w:val="20"/>
                <w:szCs w:val="20"/>
              </w:rPr>
              <w:t xml:space="preserve"> ich; na podnet inšpekcie preskúma a podľa potreby </w:t>
            </w:r>
            <w:r w:rsidR="0044328A" w:rsidRPr="003549B4">
              <w:rPr>
                <w:rFonts w:ascii="Times New Roman" w:hAnsi="Times New Roman" w:cs="Times New Roman"/>
                <w:sz w:val="20"/>
                <w:szCs w:val="20"/>
              </w:rPr>
              <w:t>zmení</w:t>
            </w:r>
            <w:r w:rsidRPr="003549B4">
              <w:rPr>
                <w:rFonts w:ascii="Times New Roman" w:hAnsi="Times New Roman" w:cs="Times New Roman"/>
                <w:sz w:val="20"/>
                <w:szCs w:val="20"/>
              </w:rPr>
              <w:t xml:space="preserve"> predmetný súhlas a povolenie zdroja najneskôr do šiestich mesiacov</w:t>
            </w:r>
          </w:p>
        </w:tc>
        <w:tc>
          <w:tcPr>
            <w:tcW w:w="429" w:type="dxa"/>
            <w:tcBorders>
              <w:top w:val="single" w:sz="4" w:space="0" w:color="auto"/>
              <w:bottom w:val="single" w:sz="4" w:space="0" w:color="auto"/>
            </w:tcBorders>
            <w:vAlign w:val="center"/>
          </w:tcPr>
          <w:p w14:paraId="3991A2F9" w14:textId="77777777" w:rsidR="0075380B" w:rsidRPr="003549B4" w:rsidRDefault="0044328A"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325ECFF"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2E74E8B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3903648D"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Č11</w:t>
            </w:r>
          </w:p>
        </w:tc>
        <w:tc>
          <w:tcPr>
            <w:tcW w:w="6287" w:type="dxa"/>
          </w:tcPr>
          <w:p w14:paraId="52354206"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Podávanie správ</w:t>
            </w:r>
          </w:p>
        </w:tc>
        <w:tc>
          <w:tcPr>
            <w:tcW w:w="433" w:type="dxa"/>
          </w:tcPr>
          <w:p w14:paraId="6032CC73" w14:textId="77777777" w:rsidR="0075380B" w:rsidRPr="003549B4" w:rsidRDefault="0075380B" w:rsidP="00824651">
            <w:pPr>
              <w:spacing w:before="120" w:after="0" w:line="240" w:lineRule="auto"/>
              <w:rPr>
                <w:rFonts w:ascii="Times New Roman" w:hAnsi="Times New Roman" w:cs="Times New Roman"/>
                <w:sz w:val="20"/>
                <w:szCs w:val="20"/>
              </w:rPr>
            </w:pPr>
          </w:p>
        </w:tc>
        <w:tc>
          <w:tcPr>
            <w:tcW w:w="572" w:type="dxa"/>
          </w:tcPr>
          <w:p w14:paraId="17DA43AD" w14:textId="77777777" w:rsidR="0075380B" w:rsidRPr="003549B4" w:rsidRDefault="0075380B" w:rsidP="00F17024">
            <w:pPr>
              <w:spacing w:before="120" w:after="0" w:line="240" w:lineRule="auto"/>
              <w:ind w:right="-108"/>
              <w:rPr>
                <w:rFonts w:ascii="Times New Roman" w:hAnsi="Times New Roman" w:cs="Times New Roman"/>
                <w:sz w:val="20"/>
                <w:szCs w:val="20"/>
              </w:rPr>
            </w:pPr>
          </w:p>
        </w:tc>
        <w:tc>
          <w:tcPr>
            <w:tcW w:w="569" w:type="dxa"/>
          </w:tcPr>
          <w:p w14:paraId="2B630CE8"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p>
        </w:tc>
        <w:tc>
          <w:tcPr>
            <w:tcW w:w="6006" w:type="dxa"/>
          </w:tcPr>
          <w:p w14:paraId="11F2D795" w14:textId="77777777" w:rsidR="0075380B" w:rsidRPr="003549B4" w:rsidRDefault="0075380B" w:rsidP="00824651">
            <w:pPr>
              <w:spacing w:before="120" w:after="0" w:line="240" w:lineRule="auto"/>
              <w:ind w:left="142" w:hanging="142"/>
              <w:rPr>
                <w:rFonts w:ascii="Times New Roman" w:hAnsi="Times New Roman" w:cs="Times New Roman"/>
                <w:sz w:val="20"/>
                <w:szCs w:val="20"/>
              </w:rPr>
            </w:pPr>
          </w:p>
        </w:tc>
        <w:tc>
          <w:tcPr>
            <w:tcW w:w="429" w:type="dxa"/>
            <w:tcBorders>
              <w:bottom w:val="single" w:sz="4" w:space="0" w:color="auto"/>
            </w:tcBorders>
            <w:vAlign w:val="center"/>
          </w:tcPr>
          <w:p w14:paraId="2C45248E"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7398229D"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34530E1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61125F9"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O1</w:t>
            </w:r>
          </w:p>
          <w:p w14:paraId="6AEAABB4" w14:textId="77777777" w:rsidR="0075380B" w:rsidRPr="003549B4" w:rsidRDefault="0075380B" w:rsidP="00824651">
            <w:pPr>
              <w:spacing w:after="0" w:line="240" w:lineRule="auto"/>
              <w:rPr>
                <w:rFonts w:ascii="Times New Roman" w:hAnsi="Times New Roman" w:cs="Times New Roman"/>
                <w:sz w:val="20"/>
                <w:szCs w:val="20"/>
              </w:rPr>
            </w:pPr>
          </w:p>
          <w:p w14:paraId="47CA07F5" w14:textId="77777777" w:rsidR="0075380B" w:rsidRPr="003549B4" w:rsidRDefault="0075380B" w:rsidP="00824651">
            <w:pPr>
              <w:spacing w:after="0" w:line="240" w:lineRule="auto"/>
              <w:rPr>
                <w:rFonts w:ascii="Times New Roman" w:hAnsi="Times New Roman" w:cs="Times New Roman"/>
                <w:sz w:val="20"/>
                <w:szCs w:val="20"/>
              </w:rPr>
            </w:pPr>
          </w:p>
          <w:p w14:paraId="2CA02DAD" w14:textId="77777777" w:rsidR="0075380B" w:rsidRPr="003549B4" w:rsidRDefault="0075380B" w:rsidP="00824651">
            <w:pPr>
              <w:spacing w:after="0" w:line="240" w:lineRule="auto"/>
              <w:rPr>
                <w:rFonts w:ascii="Times New Roman" w:hAnsi="Times New Roman" w:cs="Times New Roman"/>
                <w:sz w:val="20"/>
                <w:szCs w:val="20"/>
              </w:rPr>
            </w:pPr>
          </w:p>
          <w:p w14:paraId="1805205D" w14:textId="77777777" w:rsidR="0075380B" w:rsidRPr="003549B4" w:rsidRDefault="0075380B" w:rsidP="00824651">
            <w:pPr>
              <w:spacing w:after="0" w:line="240" w:lineRule="auto"/>
              <w:rPr>
                <w:rFonts w:ascii="Times New Roman" w:hAnsi="Times New Roman" w:cs="Times New Roman"/>
                <w:sz w:val="20"/>
                <w:szCs w:val="20"/>
              </w:rPr>
            </w:pPr>
          </w:p>
          <w:p w14:paraId="17B75373" w14:textId="77777777" w:rsidR="0075380B" w:rsidRPr="003549B4" w:rsidRDefault="0075380B" w:rsidP="00824651">
            <w:pPr>
              <w:spacing w:after="0" w:line="240" w:lineRule="auto"/>
              <w:rPr>
                <w:rFonts w:ascii="Times New Roman" w:hAnsi="Times New Roman" w:cs="Times New Roman"/>
                <w:sz w:val="20"/>
                <w:szCs w:val="20"/>
              </w:rPr>
            </w:pPr>
          </w:p>
          <w:p w14:paraId="6F091713" w14:textId="77777777" w:rsidR="0075380B" w:rsidRPr="003549B4" w:rsidRDefault="0075380B" w:rsidP="00824651">
            <w:pPr>
              <w:spacing w:after="0" w:line="240" w:lineRule="auto"/>
              <w:rPr>
                <w:rFonts w:ascii="Times New Roman" w:hAnsi="Times New Roman" w:cs="Times New Roman"/>
                <w:sz w:val="20"/>
                <w:szCs w:val="20"/>
              </w:rPr>
            </w:pPr>
          </w:p>
          <w:p w14:paraId="4AC72BDD" w14:textId="77777777" w:rsidR="0075380B" w:rsidRPr="003549B4" w:rsidRDefault="0075380B" w:rsidP="00824651">
            <w:pPr>
              <w:spacing w:after="0" w:line="240" w:lineRule="auto"/>
              <w:rPr>
                <w:rFonts w:ascii="Times New Roman" w:hAnsi="Times New Roman" w:cs="Times New Roman"/>
                <w:sz w:val="20"/>
                <w:szCs w:val="20"/>
              </w:rPr>
            </w:pPr>
          </w:p>
          <w:p w14:paraId="55EA8FC8" w14:textId="77777777" w:rsidR="0075380B" w:rsidRPr="003549B4" w:rsidRDefault="0075380B" w:rsidP="00824651">
            <w:pPr>
              <w:spacing w:after="0" w:line="240" w:lineRule="auto"/>
              <w:rPr>
                <w:rFonts w:ascii="Times New Roman" w:hAnsi="Times New Roman" w:cs="Times New Roman"/>
                <w:sz w:val="20"/>
                <w:szCs w:val="20"/>
              </w:rPr>
            </w:pPr>
          </w:p>
          <w:p w14:paraId="229AC4F9" w14:textId="77777777" w:rsidR="0075380B" w:rsidRPr="003549B4" w:rsidRDefault="0075380B" w:rsidP="00824651">
            <w:pPr>
              <w:spacing w:after="0" w:line="240" w:lineRule="auto"/>
              <w:rPr>
                <w:rFonts w:ascii="Times New Roman" w:hAnsi="Times New Roman" w:cs="Times New Roman"/>
                <w:sz w:val="20"/>
                <w:szCs w:val="20"/>
              </w:rPr>
            </w:pPr>
          </w:p>
          <w:p w14:paraId="26834BB7" w14:textId="77777777" w:rsidR="0075380B" w:rsidRPr="003549B4" w:rsidRDefault="0075380B" w:rsidP="00824651">
            <w:pPr>
              <w:spacing w:after="0" w:line="240" w:lineRule="auto"/>
              <w:rPr>
                <w:rFonts w:ascii="Times New Roman" w:hAnsi="Times New Roman" w:cs="Times New Roman"/>
                <w:sz w:val="20"/>
                <w:szCs w:val="20"/>
              </w:rPr>
            </w:pPr>
          </w:p>
          <w:p w14:paraId="15FC7B5B" w14:textId="77777777" w:rsidR="0075380B" w:rsidRPr="003549B4" w:rsidRDefault="0075380B" w:rsidP="00824651">
            <w:pPr>
              <w:spacing w:after="0" w:line="240" w:lineRule="auto"/>
              <w:rPr>
                <w:rFonts w:ascii="Times New Roman" w:hAnsi="Times New Roman" w:cs="Times New Roman"/>
                <w:sz w:val="20"/>
                <w:szCs w:val="20"/>
              </w:rPr>
            </w:pPr>
          </w:p>
          <w:p w14:paraId="12151DAA" w14:textId="77777777" w:rsidR="0075380B" w:rsidRPr="003549B4" w:rsidRDefault="0075380B" w:rsidP="00824651">
            <w:pPr>
              <w:spacing w:after="0" w:line="240" w:lineRule="auto"/>
              <w:rPr>
                <w:rFonts w:ascii="Times New Roman" w:hAnsi="Times New Roman" w:cs="Times New Roman"/>
                <w:sz w:val="20"/>
                <w:szCs w:val="20"/>
              </w:rPr>
            </w:pPr>
          </w:p>
          <w:p w14:paraId="4F1FC0CC" w14:textId="77777777" w:rsidR="0075380B" w:rsidRPr="003549B4" w:rsidRDefault="0075380B" w:rsidP="00824651">
            <w:pPr>
              <w:spacing w:after="0" w:line="240" w:lineRule="auto"/>
              <w:rPr>
                <w:rFonts w:ascii="Times New Roman" w:hAnsi="Times New Roman" w:cs="Times New Roman"/>
                <w:sz w:val="20"/>
                <w:szCs w:val="20"/>
              </w:rPr>
            </w:pPr>
          </w:p>
          <w:p w14:paraId="10343B3D"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O2</w:t>
            </w:r>
          </w:p>
        </w:tc>
        <w:tc>
          <w:tcPr>
            <w:tcW w:w="6287" w:type="dxa"/>
          </w:tcPr>
          <w:p w14:paraId="3ED14091" w14:textId="77777777" w:rsidR="0075380B" w:rsidRPr="003549B4" w:rsidRDefault="0075380B" w:rsidP="00824651">
            <w:pPr>
              <w:pStyle w:val="Normlny1"/>
              <w:jc w:val="left"/>
              <w:rPr>
                <w:sz w:val="20"/>
                <w:szCs w:val="20"/>
              </w:rPr>
            </w:pPr>
            <w:r w:rsidRPr="003549B4">
              <w:rPr>
                <w:sz w:val="20"/>
                <w:szCs w:val="20"/>
              </w:rPr>
              <w:t>1. Členské štáty do 1. októbra 2026 a do 1. októbra 2031 predložia Komisii správu obsahujúcu kvalitatívne a kvantitatívne informácie o vykonávaní tejto smernice, o všetkých opatreniach prijatých s cieľom overiť súlad prevádzky stredne veľkých spaľovacích zariadení s touto smernicou a o všetkých o</w:t>
            </w:r>
            <w:r w:rsidR="0044328A" w:rsidRPr="003549B4">
              <w:rPr>
                <w:sz w:val="20"/>
                <w:szCs w:val="20"/>
              </w:rPr>
              <w:t>patreniach týkajúcich sa presade</w:t>
            </w:r>
            <w:r w:rsidRPr="003549B4">
              <w:rPr>
                <w:sz w:val="20"/>
                <w:szCs w:val="20"/>
              </w:rPr>
              <w:t>nia tejto smernice vykonaných na tieto účely.</w:t>
            </w:r>
          </w:p>
          <w:p w14:paraId="7CA6D75C" w14:textId="77777777" w:rsidR="0075380B" w:rsidRPr="003549B4" w:rsidRDefault="0075380B" w:rsidP="00824651">
            <w:pPr>
              <w:pStyle w:val="Normlny1"/>
              <w:jc w:val="left"/>
              <w:rPr>
                <w:sz w:val="20"/>
                <w:szCs w:val="20"/>
              </w:rPr>
            </w:pPr>
            <w:r w:rsidRPr="003549B4">
              <w:rPr>
                <w:sz w:val="20"/>
                <w:szCs w:val="20"/>
              </w:rPr>
              <w:t>Prvá správa uvedená v prvom pododseku bude obsahovať odhad celkových ročných emisií, pokiaľ ide o SO</w:t>
            </w:r>
            <w:r w:rsidRPr="003549B4">
              <w:rPr>
                <w:rStyle w:val="sub"/>
                <w:sz w:val="20"/>
                <w:szCs w:val="20"/>
              </w:rPr>
              <w:t>2</w:t>
            </w:r>
            <w:r w:rsidRPr="003549B4">
              <w:rPr>
                <w:sz w:val="20"/>
                <w:szCs w:val="20"/>
              </w:rPr>
              <w:t>, NO</w:t>
            </w:r>
            <w:r w:rsidRPr="003549B4">
              <w:rPr>
                <w:rStyle w:val="sub"/>
                <w:sz w:val="20"/>
                <w:szCs w:val="20"/>
              </w:rPr>
              <w:t>x</w:t>
            </w:r>
            <w:r w:rsidRPr="003549B4">
              <w:rPr>
                <w:sz w:val="20"/>
                <w:szCs w:val="20"/>
              </w:rPr>
              <w:t xml:space="preserve"> a prach zo stredne veľkých spaľovacích zariadení zoradených podľa druhu zariadenia, druhu paliva a kapacitnej triedy.</w:t>
            </w:r>
          </w:p>
          <w:p w14:paraId="27A0D8B6" w14:textId="77777777" w:rsidR="0075380B" w:rsidRPr="003549B4" w:rsidRDefault="0075380B" w:rsidP="00824651">
            <w:pPr>
              <w:pStyle w:val="Normlny1"/>
              <w:jc w:val="left"/>
              <w:rPr>
                <w:sz w:val="20"/>
                <w:szCs w:val="20"/>
              </w:rPr>
            </w:pPr>
          </w:p>
          <w:p w14:paraId="60A6945C"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2. Členské štáty tiež Komisii predložia do 1. januára 2021 správu o odhade celkových ročných emisií CO a všetky dostupné informácie, ktoré sa týkajú koncentrácie emisií CO zo stredne veľkých spaľovacích zariadení zoradených podľa druhu paliva a kapacitnej triedy.</w:t>
            </w:r>
          </w:p>
        </w:tc>
        <w:tc>
          <w:tcPr>
            <w:tcW w:w="433" w:type="dxa"/>
          </w:tcPr>
          <w:p w14:paraId="719669E1"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3268E27D" w14:textId="77777777" w:rsidR="0075380B" w:rsidRPr="003549B4" w:rsidRDefault="0044328A" w:rsidP="0044328A">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NV4</w:t>
            </w:r>
          </w:p>
        </w:tc>
        <w:tc>
          <w:tcPr>
            <w:tcW w:w="569" w:type="dxa"/>
          </w:tcPr>
          <w:p w14:paraId="7CC591B9" w14:textId="77777777" w:rsidR="0075380B" w:rsidRPr="003549B4" w:rsidRDefault="0044328A"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Pr.1 časť 4</w:t>
            </w:r>
          </w:p>
          <w:p w14:paraId="42746EE0" w14:textId="77777777" w:rsidR="0075380B" w:rsidRPr="003549B4" w:rsidRDefault="0075380B" w:rsidP="00F17024">
            <w:pPr>
              <w:spacing w:before="120" w:after="0" w:line="240" w:lineRule="auto"/>
              <w:ind w:left="14" w:right="-9" w:hanging="29"/>
              <w:rPr>
                <w:rFonts w:ascii="Times New Roman" w:hAnsi="Times New Roman" w:cs="Times New Roman"/>
                <w:sz w:val="20"/>
                <w:szCs w:val="20"/>
              </w:rPr>
            </w:pPr>
          </w:p>
        </w:tc>
        <w:tc>
          <w:tcPr>
            <w:tcW w:w="6006" w:type="dxa"/>
          </w:tcPr>
          <w:p w14:paraId="07CE6D35" w14:textId="77777777" w:rsidR="0044328A" w:rsidRPr="003549B4" w:rsidRDefault="0044328A" w:rsidP="00824651">
            <w:pPr>
              <w:spacing w:before="120" w:after="0" w:line="240" w:lineRule="auto"/>
              <w:ind w:left="142" w:hanging="142"/>
              <w:rPr>
                <w:rFonts w:ascii="Times New Roman" w:hAnsi="Times New Roman" w:cs="Times New Roman"/>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436"/>
              <w:gridCol w:w="2986"/>
              <w:gridCol w:w="1297"/>
            </w:tblGrid>
            <w:tr w:rsidR="0044328A" w:rsidRPr="003549B4" w14:paraId="17D568A4" w14:textId="77777777" w:rsidTr="00353E37">
              <w:tc>
                <w:tcPr>
                  <w:tcW w:w="229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54037F7" w14:textId="77777777" w:rsidR="0044328A" w:rsidRPr="003549B4" w:rsidRDefault="0044328A" w:rsidP="00353E37">
                  <w:pPr>
                    <w:rPr>
                      <w:rFonts w:ascii="Times New Roman" w:eastAsia="Trebuchet MS" w:hAnsi="Times New Roman" w:cs="Times New Roman"/>
                      <w:sz w:val="20"/>
                      <w:szCs w:val="20"/>
                    </w:rPr>
                  </w:pPr>
                  <w:r w:rsidRPr="003549B4">
                    <w:rPr>
                      <w:rFonts w:ascii="Times New Roman" w:eastAsia="Trebuchet MS" w:hAnsi="Times New Roman" w:cs="Times New Roman"/>
                      <w:b/>
                      <w:sz w:val="20"/>
                      <w:szCs w:val="20"/>
                      <w:lang w:eastAsia="zh-CN"/>
                    </w:rPr>
                    <w:t>Predmet správy,</w:t>
                  </w:r>
                  <w:r w:rsidRPr="003549B4">
                    <w:rPr>
                      <w:rFonts w:ascii="Times New Roman" w:eastAsia="Trebuchet MS" w:hAnsi="Times New Roman" w:cs="Times New Roman"/>
                      <w:b/>
                      <w:sz w:val="20"/>
                      <w:szCs w:val="20"/>
                      <w:lang w:eastAsia="zh-CN"/>
                    </w:rPr>
                    <w:br/>
                    <w:t>oznámenia</w:t>
                  </w: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BAFAA90" w14:textId="77777777" w:rsidR="0044328A" w:rsidRPr="003549B4" w:rsidRDefault="0044328A" w:rsidP="00353E37">
                  <w:pPr>
                    <w:rPr>
                      <w:rFonts w:ascii="Times New Roman" w:eastAsia="Trebuchet MS" w:hAnsi="Times New Roman" w:cs="Times New Roman"/>
                      <w:sz w:val="20"/>
                      <w:szCs w:val="20"/>
                    </w:rPr>
                  </w:pPr>
                  <w:r w:rsidRPr="003549B4">
                    <w:rPr>
                      <w:rFonts w:ascii="Times New Roman" w:eastAsia="Trebuchet MS" w:hAnsi="Times New Roman" w:cs="Times New Roman"/>
                      <w:b/>
                      <w:sz w:val="20"/>
                      <w:szCs w:val="20"/>
                      <w:lang w:eastAsia="zh-CN"/>
                    </w:rPr>
                    <w:t>Údaje, ktoré treba oznamovať</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D2F3A1D" w14:textId="77777777" w:rsidR="0044328A" w:rsidRPr="003549B4" w:rsidRDefault="0044328A" w:rsidP="00353E37">
                  <w:pPr>
                    <w:rPr>
                      <w:rFonts w:ascii="Times New Roman" w:eastAsia="Trebuchet MS" w:hAnsi="Times New Roman" w:cs="Times New Roman"/>
                      <w:sz w:val="20"/>
                      <w:szCs w:val="20"/>
                    </w:rPr>
                  </w:pPr>
                  <w:r w:rsidRPr="003549B4">
                    <w:rPr>
                      <w:rFonts w:ascii="Times New Roman" w:eastAsia="Trebuchet MS" w:hAnsi="Times New Roman" w:cs="Times New Roman"/>
                      <w:b/>
                      <w:sz w:val="20"/>
                      <w:szCs w:val="20"/>
                      <w:lang w:eastAsia="zh-CN"/>
                    </w:rPr>
                    <w:t>Lehoty/</w:t>
                  </w:r>
                  <w:r w:rsidRPr="003549B4">
                    <w:rPr>
                      <w:rFonts w:ascii="Times New Roman" w:eastAsia="Trebuchet MS" w:hAnsi="Times New Roman" w:cs="Times New Roman"/>
                      <w:b/>
                      <w:sz w:val="20"/>
                      <w:szCs w:val="20"/>
                      <w:lang w:eastAsia="zh-CN"/>
                    </w:rPr>
                    <w:br/>
                    <w:t>termíny</w:t>
                  </w:r>
                </w:p>
              </w:tc>
            </w:tr>
            <w:tr w:rsidR="0044328A" w:rsidRPr="003549B4" w14:paraId="2B5CFF9D" w14:textId="77777777" w:rsidTr="00353E37">
              <w:tc>
                <w:tcPr>
                  <w:tcW w:w="229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11C2A06" w14:textId="77777777" w:rsidR="0044328A" w:rsidRPr="003549B4" w:rsidRDefault="0044328A" w:rsidP="00353E37">
                  <w:pPr>
                    <w:rPr>
                      <w:rFonts w:ascii="Times New Roman" w:eastAsia="Trebuchet MS" w:hAnsi="Times New Roman" w:cs="Times New Roman"/>
                      <w:sz w:val="20"/>
                      <w:szCs w:val="20"/>
                    </w:rPr>
                  </w:pPr>
                  <w:r w:rsidRPr="003549B4">
                    <w:rPr>
                      <w:rFonts w:ascii="Times New Roman" w:eastAsia="Trebuchet MS" w:hAnsi="Times New Roman" w:cs="Times New Roman"/>
                      <w:sz w:val="20"/>
                      <w:szCs w:val="20"/>
                      <w:lang w:eastAsia="zh-CN"/>
                    </w:rPr>
                    <w:t>Správa o väčších stredných spaľovacích zariadeniach</w:t>
                  </w:r>
                </w:p>
              </w:tc>
              <w:tc>
                <w:tcPr>
                  <w:tcW w:w="2611"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0852F33" w14:textId="77777777" w:rsidR="0044328A" w:rsidRPr="003549B4" w:rsidRDefault="0044328A" w:rsidP="00353E37">
                  <w:pPr>
                    <w:rPr>
                      <w:rFonts w:ascii="Times New Roman" w:eastAsia="Trebuchet MS" w:hAnsi="Times New Roman" w:cs="Times New Roman"/>
                      <w:sz w:val="20"/>
                      <w:szCs w:val="20"/>
                    </w:rPr>
                  </w:pPr>
                  <w:r w:rsidRPr="003549B4">
                    <w:rPr>
                      <w:rFonts w:ascii="Times New Roman" w:eastAsia="Trebuchet MS" w:hAnsi="Times New Roman" w:cs="Times New Roman"/>
                      <w:sz w:val="20"/>
                      <w:szCs w:val="20"/>
                      <w:lang w:eastAsia="zh-CN"/>
                    </w:rPr>
                    <w:t>1. Kvalitatívne a kvantitatívne informácie o vykonávaní smernice, o opatreniach prijatých s cieľom overiť súlad prevádzky s ustanovenými požiadavkami a o ostatných</w:t>
                  </w:r>
                  <w:r w:rsidRPr="003549B4">
                    <w:rPr>
                      <w:rFonts w:ascii="Times New Roman" w:eastAsia="Trebuchet MS" w:hAnsi="Times New Roman" w:cs="Times New Roman"/>
                      <w:sz w:val="20"/>
                      <w:szCs w:val="20"/>
                      <w:lang w:eastAsia="zh-CN"/>
                    </w:rPr>
                    <w:br/>
                    <w:t>prijatých opatreniach.</w:t>
                  </w:r>
                  <w:r w:rsidRPr="003549B4">
                    <w:rPr>
                      <w:rFonts w:ascii="Times New Roman" w:eastAsia="Trebuchet MS" w:hAnsi="Times New Roman" w:cs="Times New Roman"/>
                      <w:sz w:val="20"/>
                      <w:szCs w:val="20"/>
                      <w:lang w:eastAsia="zh-CN"/>
                    </w:rPr>
                    <w:br/>
                    <w:t>2. Odhad celkových ročných emisií SO</w:t>
                  </w:r>
                  <w:r w:rsidRPr="003549B4">
                    <w:rPr>
                      <w:rFonts w:ascii="Times New Roman" w:eastAsia="Trebuchet MS" w:hAnsi="Times New Roman" w:cs="Times New Roman"/>
                      <w:sz w:val="20"/>
                      <w:szCs w:val="20"/>
                      <w:vertAlign w:val="subscript"/>
                      <w:lang w:eastAsia="zh-CN"/>
                    </w:rPr>
                    <w:t>2</w:t>
                  </w:r>
                  <w:r w:rsidRPr="003549B4">
                    <w:rPr>
                      <w:rFonts w:ascii="Times New Roman" w:eastAsia="Trebuchet MS" w:hAnsi="Times New Roman" w:cs="Times New Roman"/>
                      <w:sz w:val="20"/>
                      <w:szCs w:val="20"/>
                      <w:lang w:eastAsia="zh-CN"/>
                    </w:rPr>
                    <w:t>, NO</w:t>
                  </w:r>
                  <w:r w:rsidRPr="003549B4">
                    <w:rPr>
                      <w:rFonts w:ascii="Times New Roman" w:eastAsia="Trebuchet MS" w:hAnsi="Times New Roman" w:cs="Times New Roman"/>
                      <w:sz w:val="20"/>
                      <w:szCs w:val="20"/>
                      <w:vertAlign w:val="subscript"/>
                      <w:lang w:eastAsia="zh-CN"/>
                    </w:rPr>
                    <w:t>x</w:t>
                  </w:r>
                  <w:r w:rsidRPr="003549B4">
                    <w:rPr>
                      <w:rFonts w:ascii="Times New Roman" w:eastAsia="Trebuchet MS" w:hAnsi="Times New Roman" w:cs="Times New Roman"/>
                      <w:sz w:val="20"/>
                      <w:szCs w:val="20"/>
                      <w:lang w:eastAsia="zh-CN"/>
                    </w:rPr>
                    <w:t> a TZL, podľa druhu spaľovacieho zariadenia, druhu paliva a kapacitnej triedy.</w:t>
                  </w:r>
                </w:p>
              </w:tc>
              <w:tc>
                <w:tcPr>
                  <w:tcW w:w="1134"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0709DA7" w14:textId="77777777" w:rsidR="0044328A" w:rsidRPr="003549B4" w:rsidRDefault="0044328A" w:rsidP="00353E37">
                  <w:pPr>
                    <w:rPr>
                      <w:rFonts w:ascii="Times New Roman" w:eastAsia="Trebuchet MS" w:hAnsi="Times New Roman" w:cs="Times New Roman"/>
                      <w:sz w:val="20"/>
                      <w:szCs w:val="20"/>
                    </w:rPr>
                  </w:pPr>
                  <w:r w:rsidRPr="003549B4">
                    <w:rPr>
                      <w:rFonts w:ascii="Times New Roman" w:eastAsia="Trebuchet MS" w:hAnsi="Times New Roman" w:cs="Times New Roman"/>
                      <w:sz w:val="20"/>
                      <w:szCs w:val="20"/>
                      <w:lang w:eastAsia="zh-CN"/>
                    </w:rPr>
                    <w:t>Do 1. októbra 2026</w:t>
                  </w:r>
                  <w:r w:rsidRPr="003549B4">
                    <w:rPr>
                      <w:rFonts w:ascii="Times New Roman" w:eastAsia="Trebuchet MS" w:hAnsi="Times New Roman" w:cs="Times New Roman"/>
                      <w:sz w:val="20"/>
                      <w:szCs w:val="20"/>
                      <w:lang w:eastAsia="zh-CN"/>
                    </w:rPr>
                    <w:br/>
                    <w:t>Do 1. októbra 2031</w:t>
                  </w:r>
                </w:p>
              </w:tc>
            </w:tr>
          </w:tbl>
          <w:p w14:paraId="29C6EBE6" w14:textId="77777777" w:rsidR="0044328A" w:rsidRPr="003549B4" w:rsidRDefault="0044328A" w:rsidP="009624D2">
            <w:pPr>
              <w:spacing w:before="120" w:after="0" w:line="240" w:lineRule="auto"/>
              <w:ind w:left="142" w:hanging="142"/>
              <w:rPr>
                <w:rFonts w:ascii="Times New Roman" w:hAnsi="Times New Roman" w:cs="Times New Roman"/>
                <w:b/>
                <w:i/>
                <w:sz w:val="20"/>
                <w:szCs w:val="20"/>
              </w:rPr>
            </w:pPr>
          </w:p>
        </w:tc>
        <w:tc>
          <w:tcPr>
            <w:tcW w:w="429" w:type="dxa"/>
            <w:tcBorders>
              <w:top w:val="single" w:sz="4" w:space="0" w:color="auto"/>
              <w:bottom w:val="single" w:sz="4" w:space="0" w:color="auto"/>
            </w:tcBorders>
            <w:vAlign w:val="center"/>
          </w:tcPr>
          <w:p w14:paraId="4F54A36E" w14:textId="77777777" w:rsidR="0075380B" w:rsidRPr="003549B4" w:rsidRDefault="00B53E45"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D0E9ABC"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49F5CC1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150627E"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O3</w:t>
            </w:r>
          </w:p>
        </w:tc>
        <w:tc>
          <w:tcPr>
            <w:tcW w:w="6287" w:type="dxa"/>
          </w:tcPr>
          <w:p w14:paraId="33DF6952" w14:textId="77777777" w:rsidR="0075380B" w:rsidRPr="003549B4" w:rsidRDefault="0075380B" w:rsidP="00824651">
            <w:pPr>
              <w:pStyle w:val="Normlny1"/>
              <w:jc w:val="left"/>
              <w:rPr>
                <w:sz w:val="20"/>
                <w:szCs w:val="20"/>
              </w:rPr>
            </w:pPr>
            <w:r w:rsidRPr="003549B4">
              <w:rPr>
                <w:sz w:val="20"/>
                <w:szCs w:val="20"/>
              </w:rPr>
              <w:t>3. Na účely podávania správ uvedených v odsekoch 1 a 2 Komisia členským štátom poskytne elektronický nástroj na predkladanie správ.</w:t>
            </w:r>
          </w:p>
          <w:p w14:paraId="1CD837D9" w14:textId="77777777" w:rsidR="0075380B" w:rsidRPr="003549B4" w:rsidRDefault="0075380B" w:rsidP="00824651">
            <w:pPr>
              <w:pStyle w:val="Normlny1"/>
              <w:jc w:val="left"/>
              <w:rPr>
                <w:sz w:val="20"/>
                <w:szCs w:val="20"/>
              </w:rPr>
            </w:pPr>
            <w:r w:rsidRPr="003549B4">
              <w:rPr>
                <w:sz w:val="20"/>
                <w:szCs w:val="20"/>
              </w:rPr>
              <w:t>Komisia prostredníctvom vykonávacích aktov spresní technické formáty na podávanie správ s cieľom zjednodušiť a zefektívniť povinnosti ukladané členským štátom v súvislosti s podávaním správ, pokiaľ ide o informácie uvedené v odsekoch 1 a 2 tohto článku. Uvedené vykonávacie akty sa prijmú v súlade s postupom preskúmania uvedeným v článku 15.</w:t>
            </w:r>
          </w:p>
        </w:tc>
        <w:tc>
          <w:tcPr>
            <w:tcW w:w="433" w:type="dxa"/>
          </w:tcPr>
          <w:p w14:paraId="2DE33721"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00C6C8C8"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65114153"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203EE7C"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BE0EE7A" w14:textId="1478502B"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F299996"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1B5DF9ED"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5A425FC"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O4</w:t>
            </w:r>
          </w:p>
        </w:tc>
        <w:tc>
          <w:tcPr>
            <w:tcW w:w="6287" w:type="dxa"/>
          </w:tcPr>
          <w:p w14:paraId="35523041"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4. Komisia do dvanástich mesiacov od prijatia správ členských štátov v súlade s odsekom 1 tohto článku a s prihliadnutím na informácie sprístupnené v súlade s článkom 6 ods. 11 a článkom 6 ods. 12 predloží Európskemu parlamentu a Rade súhrnnú správu.</w:t>
            </w:r>
          </w:p>
        </w:tc>
        <w:tc>
          <w:tcPr>
            <w:tcW w:w="433" w:type="dxa"/>
          </w:tcPr>
          <w:p w14:paraId="2D120342"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2713C60E"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3CA1E113"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29447583"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25CF3BD" w14:textId="31C7CAEE"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2FF68A3"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6F38F059"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F49C23A"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O5</w:t>
            </w:r>
          </w:p>
        </w:tc>
        <w:tc>
          <w:tcPr>
            <w:tcW w:w="6287" w:type="dxa"/>
          </w:tcPr>
          <w:p w14:paraId="4BAD26B4"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5. Pri plnení povinností vyplývajúcich z odsekov 3 a 4 pomáha Komisii Európska environmentálna agentúra.</w:t>
            </w:r>
          </w:p>
        </w:tc>
        <w:tc>
          <w:tcPr>
            <w:tcW w:w="433" w:type="dxa"/>
          </w:tcPr>
          <w:p w14:paraId="4CB29624"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7A36B93E"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206D7B62"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23231BD2"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tcBorders>
            <w:vAlign w:val="center"/>
          </w:tcPr>
          <w:p w14:paraId="14EF0A21" w14:textId="4A70CD61"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tcBorders>
            <w:vAlign w:val="center"/>
          </w:tcPr>
          <w:p w14:paraId="3164485D"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6ACF28C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76697AFE"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Č12</w:t>
            </w:r>
          </w:p>
        </w:tc>
        <w:tc>
          <w:tcPr>
            <w:tcW w:w="6287" w:type="dxa"/>
          </w:tcPr>
          <w:p w14:paraId="47A05B6F"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Preskúmanie</w:t>
            </w:r>
          </w:p>
        </w:tc>
        <w:tc>
          <w:tcPr>
            <w:tcW w:w="433" w:type="dxa"/>
          </w:tcPr>
          <w:p w14:paraId="6DE08039"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58A3EECF"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240D6ED1"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326105D1"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4F28FE1D"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72A97A8B"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2EAC31D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85CEF28"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104F8B4E"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1. Komisia do 1. januára 2020 preskúma pokrok dosiahnutý v súvislosti s energetickou účinnosťou stredne veľkých spaľovacích zariadení a posúdi prínosy stanovenia minimálnych noriem energetickej účinnosti v súlade s najlepšími dostupnými technikami.</w:t>
            </w:r>
          </w:p>
        </w:tc>
        <w:tc>
          <w:tcPr>
            <w:tcW w:w="433" w:type="dxa"/>
          </w:tcPr>
          <w:p w14:paraId="569FE489"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4F0F3442"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1554B5AD"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DCA5E53"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07918400" w14:textId="301A72BA"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7481B290"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53052BD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F0155A2"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O2</w:t>
            </w:r>
          </w:p>
        </w:tc>
        <w:tc>
          <w:tcPr>
            <w:tcW w:w="6287" w:type="dxa"/>
          </w:tcPr>
          <w:p w14:paraId="113EEEBD" w14:textId="77777777" w:rsidR="0075380B" w:rsidRPr="003549B4" w:rsidRDefault="0075380B" w:rsidP="00824651">
            <w:pPr>
              <w:pStyle w:val="Normlny1"/>
              <w:jc w:val="left"/>
              <w:rPr>
                <w:sz w:val="20"/>
                <w:szCs w:val="20"/>
              </w:rPr>
            </w:pPr>
            <w:r w:rsidRPr="003549B4">
              <w:rPr>
                <w:sz w:val="20"/>
                <w:szCs w:val="20"/>
              </w:rPr>
              <w:t xml:space="preserve">2. Komisia do 1. januára 2023 posúdi, či je potrebné preskúmať ustanovenia týkajúce sa zariadení, ktoré sú súčasťou malej izolovanej </w:t>
            </w:r>
            <w:r w:rsidRPr="003549B4">
              <w:rPr>
                <w:sz w:val="20"/>
                <w:szCs w:val="20"/>
              </w:rPr>
              <w:lastRenderedPageBreak/>
              <w:t>sústavy (SIS) alebo izolovanej mikrosústavy (MIS), ako aj časť 2 prílohy II, na základe najmodernejších technológií.</w:t>
            </w:r>
          </w:p>
          <w:p w14:paraId="365975B1" w14:textId="77777777" w:rsidR="0075380B" w:rsidRPr="003549B4" w:rsidRDefault="0075380B" w:rsidP="00824651">
            <w:pPr>
              <w:pStyle w:val="Normlny1"/>
              <w:jc w:val="left"/>
              <w:rPr>
                <w:sz w:val="20"/>
                <w:szCs w:val="20"/>
              </w:rPr>
            </w:pPr>
            <w:r w:rsidRPr="003549B4">
              <w:rPr>
                <w:sz w:val="20"/>
                <w:szCs w:val="20"/>
              </w:rPr>
              <w:t>V rámci tohto preskúmania posúdi aj to, či je v prípade určitých druhov stredne veľkých spaľovacích zariadení potrebné regulovať emisie CO.</w:t>
            </w:r>
          </w:p>
          <w:p w14:paraId="2104E783" w14:textId="77777777" w:rsidR="0075380B" w:rsidRPr="003549B4" w:rsidRDefault="0075380B" w:rsidP="00824651">
            <w:pPr>
              <w:pStyle w:val="Normlny1"/>
              <w:jc w:val="left"/>
              <w:rPr>
                <w:sz w:val="20"/>
                <w:szCs w:val="20"/>
              </w:rPr>
            </w:pPr>
            <w:r w:rsidRPr="003549B4">
              <w:rPr>
                <w:sz w:val="20"/>
                <w:szCs w:val="20"/>
              </w:rPr>
              <w:t>Preskúmanie sa preto vykonáva každých desať rokov a jeho súčasťou je aj posúdenie toho, či je vhodné stanoviť prísnejšie emisné limity, najmä pre nové stredne veľké spaľovacie zariadenia.</w:t>
            </w:r>
          </w:p>
        </w:tc>
        <w:tc>
          <w:tcPr>
            <w:tcW w:w="433" w:type="dxa"/>
          </w:tcPr>
          <w:p w14:paraId="543248C2"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n.a.</w:t>
            </w:r>
          </w:p>
        </w:tc>
        <w:tc>
          <w:tcPr>
            <w:tcW w:w="572" w:type="dxa"/>
          </w:tcPr>
          <w:p w14:paraId="281E0ED9"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242C628A"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55CD1B74"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38A30A62" w14:textId="7856010D"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61D211E3"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5C66A775"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86F08E2"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O3</w:t>
            </w:r>
          </w:p>
        </w:tc>
        <w:tc>
          <w:tcPr>
            <w:tcW w:w="6287" w:type="dxa"/>
          </w:tcPr>
          <w:p w14:paraId="26B487AA"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3. Komisia predloží správu o výsledkoch preskúmaní uvedených v odsekoch 1 a 2 Európskemu parlamentu a Rade a v prípade potreby k správe priloží aj legislatívny návrh.</w:t>
            </w:r>
          </w:p>
        </w:tc>
        <w:tc>
          <w:tcPr>
            <w:tcW w:w="433" w:type="dxa"/>
          </w:tcPr>
          <w:p w14:paraId="76C55C1F"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0C6C0986"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27B621B0"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113725C5"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0BB0BF53" w14:textId="47D6C6BD"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16A894F1"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4D8A075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69331F66"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Č13</w:t>
            </w:r>
          </w:p>
        </w:tc>
        <w:tc>
          <w:tcPr>
            <w:tcW w:w="6287" w:type="dxa"/>
          </w:tcPr>
          <w:p w14:paraId="69487B79"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Zmena príloh</w:t>
            </w:r>
          </w:p>
        </w:tc>
        <w:tc>
          <w:tcPr>
            <w:tcW w:w="433" w:type="dxa"/>
          </w:tcPr>
          <w:p w14:paraId="1CB5AE9F"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00F8BF31"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61CB5B78"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5180EBED"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59E7C687"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2BB8044F"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22DE5A64"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347863E"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29F5CDDE"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Komisia sa splnomocňuje prijímať delegované akty v súlade s článkom 14 na účel prispôsobenia bodu 2 časti 2 prílohy III technickému a vedeckému pokroku.</w:t>
            </w:r>
          </w:p>
        </w:tc>
        <w:tc>
          <w:tcPr>
            <w:tcW w:w="433" w:type="dxa"/>
          </w:tcPr>
          <w:p w14:paraId="55E79337"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30078F74"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2D173341"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E15FD7B"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tcBorders>
            <w:vAlign w:val="center"/>
          </w:tcPr>
          <w:p w14:paraId="5CAA52B7" w14:textId="383D8E97"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tcBorders>
            <w:vAlign w:val="center"/>
          </w:tcPr>
          <w:p w14:paraId="0D341A37"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37A8972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473E80D3"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Č14</w:t>
            </w:r>
          </w:p>
        </w:tc>
        <w:tc>
          <w:tcPr>
            <w:tcW w:w="6287" w:type="dxa"/>
          </w:tcPr>
          <w:p w14:paraId="43E0F7F8"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Vykonávanie delegovania právomocí</w:t>
            </w:r>
          </w:p>
        </w:tc>
        <w:tc>
          <w:tcPr>
            <w:tcW w:w="433" w:type="dxa"/>
          </w:tcPr>
          <w:p w14:paraId="2895AC5A"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1101C892"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0C7854A5"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7F53FBFA"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53F6B54F"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3A966B8B"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0204E9D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9BB7CF9"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08B63314"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1. Komisii sa udeľuje právomoc prijímať delegované akty za podmienok stanovených v tomto článku.</w:t>
            </w:r>
          </w:p>
        </w:tc>
        <w:tc>
          <w:tcPr>
            <w:tcW w:w="433" w:type="dxa"/>
          </w:tcPr>
          <w:p w14:paraId="50D238D7"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2BDB8140"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1EFA325E"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7F6B09E0"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866CC63" w14:textId="36A43DAE"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2ABBCF1A"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41242804"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18ADACF"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O2</w:t>
            </w:r>
          </w:p>
        </w:tc>
        <w:tc>
          <w:tcPr>
            <w:tcW w:w="6287" w:type="dxa"/>
          </w:tcPr>
          <w:p w14:paraId="16F8EF8D"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2. Právomoc prijímať delegované akty uvedené v článku 13 sa Komisii udeľuje na obdobie piatich rokov od 18. decembra 2015.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tc>
        <w:tc>
          <w:tcPr>
            <w:tcW w:w="433" w:type="dxa"/>
          </w:tcPr>
          <w:p w14:paraId="670AAF1D"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1FECE2E6"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5DC95297"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0F725E2C"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3193865E" w14:textId="0C773045"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3968976"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04F04B2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3200B7B"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O3</w:t>
            </w:r>
          </w:p>
        </w:tc>
        <w:tc>
          <w:tcPr>
            <w:tcW w:w="6287" w:type="dxa"/>
          </w:tcPr>
          <w:p w14:paraId="1F6521FC"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3. Delegovanie právomoci uvedené v článku 13 môže Európsky parlament alebo Rada kedykoľvek odvolať. Rozhodnutím o odvolaní sa ukončuje delegovanie právomoci, ktoré sa v ňom uvádza. Rozhodnutie nadobúda účinnosť dňom nasledujúcim po jeho uverejnení v </w:t>
            </w:r>
            <w:r w:rsidRPr="003549B4">
              <w:rPr>
                <w:rStyle w:val="italic"/>
                <w:rFonts w:ascii="Times New Roman" w:hAnsi="Times New Roman" w:cs="Times New Roman"/>
                <w:sz w:val="20"/>
                <w:szCs w:val="20"/>
              </w:rPr>
              <w:t>Úradnom vestníku Európskej únie</w:t>
            </w:r>
            <w:r w:rsidRPr="003549B4">
              <w:rPr>
                <w:rFonts w:ascii="Times New Roman" w:hAnsi="Times New Roman" w:cs="Times New Roman"/>
                <w:sz w:val="20"/>
                <w:szCs w:val="20"/>
              </w:rPr>
              <w:t xml:space="preserve"> alebo k neskoršiemu dátumu, ktorý je v ňom určený. Nie je ním dotknutá platnosť akýchkoľvek delegovaných aktov, ktoré už nadobudli účinnosť.</w:t>
            </w:r>
          </w:p>
        </w:tc>
        <w:tc>
          <w:tcPr>
            <w:tcW w:w="433" w:type="dxa"/>
          </w:tcPr>
          <w:p w14:paraId="05D59226"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6D5467DC"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5A215BA1"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4CC5214E"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19B83CE" w14:textId="52EDB0E9"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61C40D8"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65E2589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17EEE5C"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O4</w:t>
            </w:r>
          </w:p>
        </w:tc>
        <w:tc>
          <w:tcPr>
            <w:tcW w:w="6287" w:type="dxa"/>
          </w:tcPr>
          <w:p w14:paraId="4D8AE9D5"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4. Komisia oznamuje delegovaný akt hneď po prijatí súčasne Európskemu parlamentu a Rade.</w:t>
            </w:r>
          </w:p>
        </w:tc>
        <w:tc>
          <w:tcPr>
            <w:tcW w:w="433" w:type="dxa"/>
          </w:tcPr>
          <w:p w14:paraId="653962DF"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659304B0"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5427C18F"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14395AD3"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775E1C40" w14:textId="5CC27A6C"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706ECE04"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37B0375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76CF99C"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O5</w:t>
            </w:r>
          </w:p>
        </w:tc>
        <w:tc>
          <w:tcPr>
            <w:tcW w:w="6287" w:type="dxa"/>
          </w:tcPr>
          <w:p w14:paraId="6AB0B953"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5. Delegovaný akt prijatý podľa článku 13 nadobúda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w:t>
            </w:r>
            <w:r w:rsidRPr="003549B4">
              <w:rPr>
                <w:rFonts w:ascii="Times New Roman" w:hAnsi="Times New Roman" w:cs="Times New Roman"/>
                <w:sz w:val="20"/>
                <w:szCs w:val="20"/>
              </w:rPr>
              <w:lastRenderedPageBreak/>
              <w:t>námietku. Na podnet Európskeho parlamentu alebo Rady sa táto lehota predĺži o dva mesiace.</w:t>
            </w:r>
          </w:p>
        </w:tc>
        <w:tc>
          <w:tcPr>
            <w:tcW w:w="433" w:type="dxa"/>
          </w:tcPr>
          <w:p w14:paraId="18C29553"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n.a.</w:t>
            </w:r>
          </w:p>
        </w:tc>
        <w:tc>
          <w:tcPr>
            <w:tcW w:w="572" w:type="dxa"/>
          </w:tcPr>
          <w:p w14:paraId="7BE74167"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71C50BB8"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2F5F8310"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tcBorders>
            <w:vAlign w:val="center"/>
          </w:tcPr>
          <w:p w14:paraId="7E33C1F8" w14:textId="46C8BF96"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tcBorders>
            <w:vAlign w:val="center"/>
          </w:tcPr>
          <w:p w14:paraId="22A53A09"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46867C0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7E472CA3"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Č15</w:t>
            </w:r>
          </w:p>
        </w:tc>
        <w:tc>
          <w:tcPr>
            <w:tcW w:w="6287" w:type="dxa"/>
          </w:tcPr>
          <w:p w14:paraId="0B885FFB"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Postup výboru</w:t>
            </w:r>
          </w:p>
        </w:tc>
        <w:tc>
          <w:tcPr>
            <w:tcW w:w="433" w:type="dxa"/>
          </w:tcPr>
          <w:p w14:paraId="09D6CFEB"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10F31289"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581AD308"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181EBBC4"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6E160A38"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5E92F323"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75BA1DB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3050EB1D"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2B5897D2"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1. Komisii pomáha výbor zriadený na základe článku 75 ods. 1 smernice 2010/75/EÚ. Uvedený výbor je výborom v zmysle nariadenia (EÚ) č. 182/2011.</w:t>
            </w:r>
          </w:p>
        </w:tc>
        <w:tc>
          <w:tcPr>
            <w:tcW w:w="433" w:type="dxa"/>
          </w:tcPr>
          <w:p w14:paraId="00C5166E"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23FA23D9"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4E3E03EA"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3C29034F"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0C70C106" w14:textId="66201B7B"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5CA9B60E"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1CFA7E7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013AFA9"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O2</w:t>
            </w:r>
          </w:p>
        </w:tc>
        <w:tc>
          <w:tcPr>
            <w:tcW w:w="6287" w:type="dxa"/>
          </w:tcPr>
          <w:p w14:paraId="0E468B56"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2. Ak sa odkazuje sa na tento odsek, uplatňuje sa článok 5 nariadenia (EÚ) č. 182/2011.</w:t>
            </w:r>
          </w:p>
        </w:tc>
        <w:tc>
          <w:tcPr>
            <w:tcW w:w="433" w:type="dxa"/>
          </w:tcPr>
          <w:p w14:paraId="435C2AC6"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41E1CED5"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0EC88E09"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3EFD9BC7"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224DF717" w14:textId="307B09B5"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240CE002"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7B8605B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0D2C850"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O3</w:t>
            </w:r>
          </w:p>
        </w:tc>
        <w:tc>
          <w:tcPr>
            <w:tcW w:w="6287" w:type="dxa"/>
          </w:tcPr>
          <w:p w14:paraId="415B9588"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3. Ak výbor nepredloží žiadne stanovisko, Komisia neprijme návrh vykonávacieho aktu a uplatní sa článok 5 ods. 4 tretí pododsek nariadenia (EÚ) č. 182/2011</w:t>
            </w:r>
          </w:p>
        </w:tc>
        <w:tc>
          <w:tcPr>
            <w:tcW w:w="433" w:type="dxa"/>
          </w:tcPr>
          <w:p w14:paraId="71844E88"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7BC5A639"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6886CB6C"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1636CBAC"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F304C5E" w14:textId="564DE91F"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bottom w:val="single" w:sz="4" w:space="0" w:color="auto"/>
            </w:tcBorders>
            <w:vAlign w:val="center"/>
          </w:tcPr>
          <w:p w14:paraId="0AEE858C"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6063A313"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5F95ACEB"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Č16</w:t>
            </w:r>
          </w:p>
        </w:tc>
        <w:tc>
          <w:tcPr>
            <w:tcW w:w="6287" w:type="dxa"/>
          </w:tcPr>
          <w:p w14:paraId="0C17AE2F"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Sankcie</w:t>
            </w:r>
          </w:p>
        </w:tc>
        <w:tc>
          <w:tcPr>
            <w:tcW w:w="433" w:type="dxa"/>
          </w:tcPr>
          <w:p w14:paraId="0381E964"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29E34A2A"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0FA106E0"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§55</w:t>
            </w:r>
          </w:p>
        </w:tc>
        <w:tc>
          <w:tcPr>
            <w:tcW w:w="6006" w:type="dxa"/>
            <w:vAlign w:val="center"/>
          </w:tcPr>
          <w:p w14:paraId="2F917C25" w14:textId="77777777" w:rsidR="0075380B" w:rsidRPr="003549B4" w:rsidRDefault="009B5A9C" w:rsidP="00824651">
            <w:pPr>
              <w:spacing w:line="264" w:lineRule="auto"/>
              <w:ind w:left="100" w:right="90"/>
              <w:jc w:val="center"/>
              <w:rPr>
                <w:rFonts w:ascii="Times New Roman" w:hAnsi="Times New Roman" w:cs="Times New Roman"/>
                <w:strike/>
                <w:sz w:val="20"/>
                <w:szCs w:val="20"/>
                <w:lang w:eastAsia="sk-SK"/>
              </w:rPr>
            </w:pPr>
            <w:r w:rsidRPr="003549B4">
              <w:rPr>
                <w:rFonts w:ascii="Times New Roman" w:hAnsi="Times New Roman" w:cs="Times New Roman"/>
                <w:b/>
                <w:sz w:val="20"/>
                <w:szCs w:val="20"/>
              </w:rPr>
              <w:t>Pokuty</w:t>
            </w:r>
          </w:p>
        </w:tc>
        <w:tc>
          <w:tcPr>
            <w:tcW w:w="429" w:type="dxa"/>
            <w:tcBorders>
              <w:bottom w:val="single" w:sz="4" w:space="0" w:color="auto"/>
            </w:tcBorders>
            <w:vAlign w:val="center"/>
          </w:tcPr>
          <w:p w14:paraId="7B5456D4"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6D93F67A"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2E0FC31B" w14:textId="77777777" w:rsidTr="0063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973FA60"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215912FD"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Členské štáty stanovia pravidlá týkajúce sa sankcií uplatniteľných v prípade porušenia vnútroštátnych ustanovení prijatých podľa tejto smernice a prijmú všetky nevyhnutné opatrenia na zabezpečenie ich uplatňovania. Stanovené sankcie musia byť účinné, primerané a odrádzajúce. Členské štáty oznámia Komisii uvedené ustanovenia najneskôr do 19. decembra 2017 a bezodkladne jej oznámia každú následnú zmenu, ktorá sa ich dotýka.</w:t>
            </w:r>
          </w:p>
        </w:tc>
        <w:tc>
          <w:tcPr>
            <w:tcW w:w="433" w:type="dxa"/>
          </w:tcPr>
          <w:p w14:paraId="713A2CC7"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5FD4C953" w14:textId="77777777" w:rsidR="0075380B" w:rsidRPr="003549B4" w:rsidRDefault="0075380B"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NZ</w:t>
            </w:r>
          </w:p>
        </w:tc>
        <w:tc>
          <w:tcPr>
            <w:tcW w:w="569" w:type="dxa"/>
          </w:tcPr>
          <w:p w14:paraId="013C58E3"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§55</w:t>
            </w:r>
          </w:p>
          <w:p w14:paraId="032AA6E1"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1650B1E0"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až</w:t>
            </w:r>
          </w:p>
          <w:p w14:paraId="30C49CD4" w14:textId="77777777" w:rsidR="0075380B" w:rsidRPr="003549B4" w:rsidRDefault="0075380B"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O3</w:t>
            </w:r>
          </w:p>
          <w:p w14:paraId="01C12FEC"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6B5823B9" w14:textId="77777777" w:rsidR="0075380B" w:rsidRPr="003549B4" w:rsidRDefault="0075380B" w:rsidP="00F17024">
            <w:pPr>
              <w:spacing w:after="0" w:line="240" w:lineRule="auto"/>
              <w:ind w:left="14" w:right="-9" w:hanging="29"/>
              <w:rPr>
                <w:rFonts w:ascii="Times New Roman" w:hAnsi="Times New Roman" w:cs="Times New Roman"/>
                <w:sz w:val="20"/>
                <w:szCs w:val="20"/>
              </w:rPr>
            </w:pPr>
          </w:p>
          <w:p w14:paraId="2F5F4E22"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1ECE2F11" w14:textId="46BE6BE3" w:rsidR="002E6F07" w:rsidRPr="003549B4" w:rsidRDefault="0075380B" w:rsidP="002E6F07">
            <w:pPr>
              <w:tabs>
                <w:tab w:val="left" w:pos="1276"/>
              </w:tabs>
              <w:spacing w:after="0"/>
              <w:rPr>
                <w:rFonts w:ascii="Times New Roman" w:hAnsi="Times New Roman" w:cs="Times New Roman"/>
                <w:sz w:val="20"/>
                <w:szCs w:val="20"/>
              </w:rPr>
            </w:pPr>
            <w:r w:rsidRPr="003549B4">
              <w:rPr>
                <w:rFonts w:ascii="Times New Roman" w:hAnsi="Times New Roman" w:cs="Times New Roman"/>
                <w:sz w:val="20"/>
                <w:szCs w:val="20"/>
              </w:rPr>
              <w:t>(</w:t>
            </w:r>
            <w:r w:rsidR="002E6F07" w:rsidRPr="003549B4">
              <w:rPr>
                <w:rFonts w:ascii="Times New Roman" w:hAnsi="Times New Roman" w:cs="Times New Roman"/>
                <w:sz w:val="20"/>
                <w:szCs w:val="20"/>
              </w:rPr>
              <w:t xml:space="preserve">1) </w:t>
            </w:r>
            <w:r w:rsidR="002E6F07" w:rsidRPr="003549B4">
              <w:rPr>
                <w:rFonts w:ascii="Times New Roman" w:hAnsi="Times New Roman" w:cs="Times New Roman"/>
                <w:sz w:val="20"/>
                <w:szCs w:val="20"/>
              </w:rPr>
              <w:t xml:space="preserve">Okresný úrad alebo inšpekcia uloží pokutu za porušenie zákazu podľa § 32 písm. a), b) a e) a povinností podľa § 34 ods. 1 písm. a) až g), § 34 ods. 2 písm. g), § 34 ods. 3 písm. a) a d) až f), § 34 ods. 4 písm. a) až c), § 34 ods. 5 písm. b), § 34 ods. 6, § 34 ods. 7 písm. a) až c), § 34 ods. 8 písm. a) a e), § 34 ods. 9 písm. a), § 34 ods. 10 písm. a) až c) a povinnosti ustanovenej v § 34 ods. 11, prevádzkovateľovi zdroja, ak ide o porušenie pre </w:t>
            </w:r>
          </w:p>
          <w:p w14:paraId="66F06442" w14:textId="742C0077" w:rsidR="002E6F07" w:rsidRPr="003549B4" w:rsidRDefault="002E6F07" w:rsidP="002E6F07">
            <w:pPr>
              <w:tabs>
                <w:tab w:val="left" w:pos="1276"/>
              </w:tabs>
              <w:spacing w:after="0"/>
              <w:rPr>
                <w:rFonts w:ascii="Times New Roman" w:hAnsi="Times New Roman" w:cs="Times New Roman"/>
                <w:sz w:val="20"/>
                <w:szCs w:val="20"/>
              </w:rPr>
            </w:pPr>
            <w:r w:rsidRPr="003549B4">
              <w:rPr>
                <w:rFonts w:ascii="Times New Roman" w:hAnsi="Times New Roman" w:cs="Times New Roman"/>
                <w:sz w:val="20"/>
                <w:szCs w:val="20"/>
              </w:rPr>
              <w:t xml:space="preserve">a) </w:t>
            </w:r>
            <w:r w:rsidRPr="003549B4">
              <w:rPr>
                <w:rFonts w:ascii="Times New Roman" w:hAnsi="Times New Roman" w:cs="Times New Roman"/>
                <w:sz w:val="20"/>
                <w:szCs w:val="20"/>
              </w:rPr>
              <w:t>veľký zdroj od 10 000 eur do 1 000 000 eur,</w:t>
            </w:r>
          </w:p>
          <w:p w14:paraId="2F4323F3" w14:textId="45191925" w:rsidR="002E6F07" w:rsidRPr="003549B4" w:rsidRDefault="002E6F07" w:rsidP="002E6F07">
            <w:pPr>
              <w:tabs>
                <w:tab w:val="left" w:pos="1276"/>
              </w:tabs>
              <w:spacing w:after="0"/>
              <w:rPr>
                <w:rFonts w:ascii="Times New Roman" w:hAnsi="Times New Roman" w:cs="Times New Roman"/>
                <w:sz w:val="20"/>
                <w:szCs w:val="20"/>
              </w:rPr>
            </w:pPr>
            <w:r w:rsidRPr="003549B4">
              <w:rPr>
                <w:rFonts w:ascii="Times New Roman" w:hAnsi="Times New Roman" w:cs="Times New Roman"/>
                <w:sz w:val="20"/>
                <w:szCs w:val="20"/>
              </w:rPr>
              <w:t xml:space="preserve">b) </w:t>
            </w:r>
            <w:r w:rsidRPr="003549B4">
              <w:rPr>
                <w:rFonts w:ascii="Times New Roman" w:hAnsi="Times New Roman" w:cs="Times New Roman"/>
                <w:sz w:val="20"/>
                <w:szCs w:val="20"/>
              </w:rPr>
              <w:t>stredného zdroja od 2 500 eur do 250 000 eur.</w:t>
            </w:r>
          </w:p>
          <w:p w14:paraId="1BA025D0" w14:textId="77777777" w:rsidR="002E6F07" w:rsidRPr="003549B4" w:rsidRDefault="002E6F07" w:rsidP="002E6F07">
            <w:pPr>
              <w:tabs>
                <w:tab w:val="left" w:pos="1276"/>
              </w:tabs>
              <w:spacing w:after="0"/>
              <w:rPr>
                <w:rFonts w:ascii="Times New Roman" w:hAnsi="Times New Roman" w:cs="Times New Roman"/>
                <w:sz w:val="20"/>
                <w:szCs w:val="20"/>
              </w:rPr>
            </w:pPr>
          </w:p>
          <w:p w14:paraId="3DC6F14D" w14:textId="383C3DDC" w:rsidR="002E6F07" w:rsidRPr="003549B4" w:rsidRDefault="002E6F07" w:rsidP="002E6F07">
            <w:pPr>
              <w:tabs>
                <w:tab w:val="left" w:pos="1276"/>
              </w:tabs>
              <w:spacing w:after="0"/>
              <w:rPr>
                <w:rFonts w:ascii="Times New Roman" w:hAnsi="Times New Roman" w:cs="Times New Roman"/>
                <w:sz w:val="20"/>
                <w:szCs w:val="20"/>
              </w:rPr>
            </w:pPr>
            <w:r w:rsidRPr="003549B4">
              <w:rPr>
                <w:rFonts w:ascii="Times New Roman" w:hAnsi="Times New Roman" w:cs="Times New Roman"/>
                <w:sz w:val="20"/>
                <w:szCs w:val="20"/>
              </w:rPr>
              <w:t xml:space="preserve">(2) </w:t>
            </w:r>
            <w:r w:rsidRPr="003549B4">
              <w:rPr>
                <w:rFonts w:ascii="Times New Roman" w:hAnsi="Times New Roman" w:cs="Times New Roman"/>
                <w:sz w:val="20"/>
                <w:szCs w:val="20"/>
              </w:rPr>
              <w:t xml:space="preserve">Okresný úrad alebo inšpekcia uloží pokutu za porušenie povinností podľa § 34 ods. 1 písm. h) a i), § 34 ods. 2 písm. b), c), e), f), h) až j), § 34 ods. 3 písm. b), c) a g), § 34 ods. 4 písm. d) až f), § 34 ods. 5 písm. a), § 34 ods. 7 písm. d), § 34 ods. 8 písm. b) až d), § 34 ods. 9 písm. b) a c) a povinnosti ustanovenej v § 34 ods. 10 písm. d) a e), prevádzkovateľovi zdroja, ak ide o </w:t>
            </w:r>
          </w:p>
          <w:p w14:paraId="1423F084" w14:textId="4FF5F10E" w:rsidR="002E6F07" w:rsidRPr="003549B4" w:rsidRDefault="002E6F07" w:rsidP="002E6F07">
            <w:pPr>
              <w:tabs>
                <w:tab w:val="left" w:pos="1276"/>
              </w:tabs>
              <w:spacing w:after="0"/>
              <w:rPr>
                <w:rFonts w:ascii="Times New Roman" w:hAnsi="Times New Roman" w:cs="Times New Roman"/>
                <w:sz w:val="20"/>
                <w:szCs w:val="20"/>
              </w:rPr>
            </w:pPr>
            <w:r w:rsidRPr="003549B4">
              <w:rPr>
                <w:rFonts w:ascii="Times New Roman" w:hAnsi="Times New Roman" w:cs="Times New Roman"/>
                <w:sz w:val="20"/>
                <w:szCs w:val="20"/>
              </w:rPr>
              <w:t xml:space="preserve">a) </w:t>
            </w:r>
            <w:r w:rsidRPr="003549B4">
              <w:rPr>
                <w:rFonts w:ascii="Times New Roman" w:hAnsi="Times New Roman" w:cs="Times New Roman"/>
                <w:sz w:val="20"/>
                <w:szCs w:val="20"/>
              </w:rPr>
              <w:t>veľký zdroj od 2 500 eur do 250 000 eur,</w:t>
            </w:r>
          </w:p>
          <w:p w14:paraId="41CEADC0" w14:textId="75E2CAAE" w:rsidR="002E6F07" w:rsidRPr="003549B4" w:rsidRDefault="002E6F07" w:rsidP="002E6F07">
            <w:pPr>
              <w:tabs>
                <w:tab w:val="left" w:pos="1276"/>
              </w:tabs>
              <w:spacing w:after="0"/>
              <w:rPr>
                <w:rFonts w:ascii="Times New Roman" w:hAnsi="Times New Roman" w:cs="Times New Roman"/>
                <w:sz w:val="20"/>
                <w:szCs w:val="20"/>
              </w:rPr>
            </w:pPr>
            <w:r w:rsidRPr="003549B4">
              <w:rPr>
                <w:rFonts w:ascii="Times New Roman" w:hAnsi="Times New Roman" w:cs="Times New Roman"/>
                <w:sz w:val="20"/>
                <w:szCs w:val="20"/>
              </w:rPr>
              <w:t xml:space="preserve">b) </w:t>
            </w:r>
            <w:r w:rsidRPr="003549B4">
              <w:rPr>
                <w:rFonts w:ascii="Times New Roman" w:hAnsi="Times New Roman" w:cs="Times New Roman"/>
                <w:sz w:val="20"/>
                <w:szCs w:val="20"/>
              </w:rPr>
              <w:t>stredného zdroja od 500 eur do 50 000 eur.</w:t>
            </w:r>
          </w:p>
          <w:p w14:paraId="788CDE40" w14:textId="77777777" w:rsidR="002E6F07" w:rsidRPr="003549B4" w:rsidRDefault="002E6F07" w:rsidP="002E6F07">
            <w:pPr>
              <w:tabs>
                <w:tab w:val="left" w:pos="1276"/>
              </w:tabs>
              <w:spacing w:after="0"/>
              <w:rPr>
                <w:rFonts w:ascii="Times New Roman" w:hAnsi="Times New Roman" w:cs="Times New Roman"/>
                <w:sz w:val="20"/>
                <w:szCs w:val="20"/>
              </w:rPr>
            </w:pPr>
          </w:p>
          <w:p w14:paraId="7D422ED9" w14:textId="400A2C09" w:rsidR="002E6F07" w:rsidRPr="003549B4" w:rsidRDefault="002E6F07" w:rsidP="002E6F07">
            <w:pPr>
              <w:tabs>
                <w:tab w:val="left" w:pos="1276"/>
              </w:tabs>
              <w:spacing w:after="0"/>
              <w:rPr>
                <w:rFonts w:ascii="Times New Roman" w:hAnsi="Times New Roman" w:cs="Times New Roman"/>
                <w:sz w:val="20"/>
                <w:szCs w:val="20"/>
              </w:rPr>
            </w:pPr>
            <w:r w:rsidRPr="003549B4">
              <w:rPr>
                <w:rFonts w:ascii="Times New Roman" w:hAnsi="Times New Roman" w:cs="Times New Roman"/>
                <w:sz w:val="20"/>
                <w:szCs w:val="20"/>
              </w:rPr>
              <w:t xml:space="preserve">(3) </w:t>
            </w:r>
            <w:r w:rsidRPr="003549B4">
              <w:rPr>
                <w:rFonts w:ascii="Times New Roman" w:hAnsi="Times New Roman" w:cs="Times New Roman"/>
                <w:sz w:val="20"/>
                <w:szCs w:val="20"/>
              </w:rPr>
              <w:t>Okresný úrad alebo inšpekcia za porušenie povinností v § 34 ods. 1 písm. j) a ods. 2 písm. a), d) a k) a § 61 ods. 8 a 11 uloží pokutu prevádzkovateľovi veľkého zdroja a prevádzkovateľovi stredného</w:t>
            </w:r>
            <w:r w:rsidRPr="003549B4">
              <w:rPr>
                <w:rFonts w:ascii="Times New Roman" w:hAnsi="Times New Roman" w:cs="Times New Roman"/>
                <w:sz w:val="20"/>
                <w:szCs w:val="20"/>
              </w:rPr>
              <w:t xml:space="preserve"> zdroja od 100 eur do 5000 eur.</w:t>
            </w:r>
          </w:p>
          <w:p w14:paraId="31348317" w14:textId="210D85AE" w:rsidR="00B53E45" w:rsidRPr="003549B4" w:rsidRDefault="00B53E45" w:rsidP="002E6F07">
            <w:pPr>
              <w:pStyle w:val="Odsekzoznamu"/>
              <w:keepNext w:val="0"/>
              <w:spacing w:before="120" w:after="0"/>
              <w:ind w:left="0"/>
              <w:rPr>
                <w:rFonts w:eastAsia="Calibri"/>
                <w:sz w:val="20"/>
                <w:szCs w:val="20"/>
              </w:rPr>
            </w:pPr>
          </w:p>
        </w:tc>
        <w:tc>
          <w:tcPr>
            <w:tcW w:w="429" w:type="dxa"/>
            <w:tcBorders>
              <w:top w:val="single" w:sz="4" w:space="0" w:color="auto"/>
              <w:bottom w:val="single" w:sz="4" w:space="0" w:color="auto"/>
            </w:tcBorders>
            <w:vAlign w:val="center"/>
          </w:tcPr>
          <w:p w14:paraId="4695CA8B" w14:textId="312F6C37"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B881161"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00D27E33" w14:textId="77777777" w:rsidTr="0063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2DBCA8DE"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Č17</w:t>
            </w:r>
          </w:p>
        </w:tc>
        <w:tc>
          <w:tcPr>
            <w:tcW w:w="6287" w:type="dxa"/>
          </w:tcPr>
          <w:p w14:paraId="39A7201F"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Transpozícia</w:t>
            </w:r>
          </w:p>
        </w:tc>
        <w:tc>
          <w:tcPr>
            <w:tcW w:w="433" w:type="dxa"/>
          </w:tcPr>
          <w:p w14:paraId="5B880613"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0C5DE551"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093302CF"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04FF8363"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59602BAE"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59788D53"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40459FC6" w14:textId="77777777" w:rsidTr="0063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6402439"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O1</w:t>
            </w:r>
          </w:p>
        </w:tc>
        <w:tc>
          <w:tcPr>
            <w:tcW w:w="6287" w:type="dxa"/>
          </w:tcPr>
          <w:p w14:paraId="05BA734E" w14:textId="77777777" w:rsidR="0075380B" w:rsidRPr="003549B4" w:rsidRDefault="0075380B" w:rsidP="00824651">
            <w:pPr>
              <w:pStyle w:val="Normlny1"/>
              <w:jc w:val="left"/>
              <w:rPr>
                <w:sz w:val="20"/>
                <w:szCs w:val="20"/>
              </w:rPr>
            </w:pPr>
            <w:r w:rsidRPr="003549B4">
              <w:rPr>
                <w:sz w:val="20"/>
                <w:szCs w:val="20"/>
              </w:rPr>
              <w:t>1. Členské štáty uvedú do účinnosti zákony, iné právne predpisy a správne opatrenia potrebné na dosiahnutie súladu s touto smernicou do 19. decembra 2017. Bezodkladne o tom informujú Komisiu.</w:t>
            </w:r>
          </w:p>
          <w:p w14:paraId="5CE63916" w14:textId="77777777" w:rsidR="0075380B" w:rsidRPr="003549B4" w:rsidRDefault="0075380B" w:rsidP="00824651">
            <w:pPr>
              <w:pStyle w:val="Normlny1"/>
              <w:jc w:val="left"/>
              <w:rPr>
                <w:sz w:val="20"/>
                <w:szCs w:val="20"/>
              </w:rPr>
            </w:pPr>
            <w:r w:rsidRPr="003549B4">
              <w:rPr>
                <w:sz w:val="20"/>
                <w:szCs w:val="20"/>
              </w:rPr>
              <w:t>Členské štáty uvedú priamo v prijatých ustanoveniach alebo pri ich úradnom uverejnení odkaz na túto smernicu. Podrobnosti o odkaze upravia členské štáty.</w:t>
            </w:r>
          </w:p>
        </w:tc>
        <w:tc>
          <w:tcPr>
            <w:tcW w:w="433" w:type="dxa"/>
          </w:tcPr>
          <w:p w14:paraId="0728D69A"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44BD8665" w14:textId="77777777" w:rsidR="000F22A7" w:rsidRPr="003549B4" w:rsidRDefault="000F22A7" w:rsidP="000F22A7">
            <w:pPr>
              <w:ind w:right="-108"/>
              <w:rPr>
                <w:rFonts w:ascii="Times New Roman" w:hAnsi="Times New Roman" w:cs="Times New Roman"/>
                <w:sz w:val="20"/>
                <w:szCs w:val="20"/>
              </w:rPr>
            </w:pPr>
            <w:r w:rsidRPr="003549B4">
              <w:rPr>
                <w:rFonts w:ascii="Times New Roman" w:hAnsi="Times New Roman"/>
                <w:sz w:val="20"/>
                <w:szCs w:val="20"/>
              </w:rPr>
              <w:t>NZ</w:t>
            </w:r>
          </w:p>
          <w:p w14:paraId="35D9B03A" w14:textId="2C45AA0A" w:rsidR="000F22A7" w:rsidRPr="003549B4" w:rsidRDefault="000F22A7" w:rsidP="000F22A7">
            <w:pPr>
              <w:ind w:right="-108"/>
              <w:rPr>
                <w:rFonts w:ascii="Times New Roman" w:hAnsi="Times New Roman"/>
                <w:sz w:val="20"/>
                <w:szCs w:val="20"/>
              </w:rPr>
            </w:pPr>
          </w:p>
          <w:p w14:paraId="0798FE1B" w14:textId="77777777" w:rsidR="002E6F07" w:rsidRPr="003549B4" w:rsidRDefault="002E6F07" w:rsidP="000F22A7">
            <w:pPr>
              <w:ind w:right="-108"/>
              <w:rPr>
                <w:rFonts w:ascii="Times New Roman" w:hAnsi="Times New Roman"/>
                <w:sz w:val="20"/>
                <w:szCs w:val="20"/>
              </w:rPr>
            </w:pPr>
          </w:p>
          <w:p w14:paraId="7B4A6B3F" w14:textId="77777777" w:rsidR="000F22A7" w:rsidRPr="003549B4" w:rsidRDefault="000F22A7" w:rsidP="000F22A7">
            <w:pPr>
              <w:ind w:right="-108"/>
              <w:rPr>
                <w:rFonts w:ascii="Times New Roman" w:hAnsi="Times New Roman"/>
                <w:sz w:val="20"/>
                <w:szCs w:val="20"/>
              </w:rPr>
            </w:pPr>
            <w:r w:rsidRPr="003549B4">
              <w:rPr>
                <w:rFonts w:ascii="Times New Roman" w:hAnsi="Times New Roman"/>
                <w:sz w:val="20"/>
                <w:szCs w:val="20"/>
              </w:rPr>
              <w:t>NV1</w:t>
            </w:r>
          </w:p>
          <w:p w14:paraId="71014958" w14:textId="5D817D7A" w:rsidR="000F22A7" w:rsidRPr="003549B4" w:rsidRDefault="000F22A7" w:rsidP="000F22A7">
            <w:pPr>
              <w:ind w:right="-108"/>
              <w:rPr>
                <w:rFonts w:ascii="Times New Roman" w:hAnsi="Times New Roman"/>
                <w:sz w:val="20"/>
                <w:szCs w:val="20"/>
              </w:rPr>
            </w:pPr>
          </w:p>
          <w:p w14:paraId="4BB7A2D6" w14:textId="77777777" w:rsidR="002E6F07" w:rsidRPr="003549B4" w:rsidRDefault="002E6F07" w:rsidP="000F22A7">
            <w:pPr>
              <w:ind w:right="-108"/>
              <w:rPr>
                <w:rFonts w:ascii="Times New Roman" w:hAnsi="Times New Roman"/>
                <w:sz w:val="20"/>
                <w:szCs w:val="20"/>
              </w:rPr>
            </w:pPr>
          </w:p>
          <w:p w14:paraId="59679FBE" w14:textId="77777777" w:rsidR="000F22A7" w:rsidRPr="003549B4" w:rsidRDefault="000F22A7" w:rsidP="000F22A7">
            <w:pPr>
              <w:ind w:right="-108"/>
              <w:rPr>
                <w:rFonts w:ascii="Times New Roman" w:hAnsi="Times New Roman"/>
                <w:sz w:val="20"/>
                <w:szCs w:val="20"/>
              </w:rPr>
            </w:pPr>
            <w:r w:rsidRPr="003549B4">
              <w:rPr>
                <w:rFonts w:ascii="Times New Roman" w:hAnsi="Times New Roman"/>
                <w:sz w:val="20"/>
                <w:szCs w:val="20"/>
              </w:rPr>
              <w:t>NV2</w:t>
            </w:r>
          </w:p>
          <w:p w14:paraId="77680FB7" w14:textId="77777777" w:rsidR="000F22A7" w:rsidRPr="003549B4" w:rsidRDefault="000F22A7" w:rsidP="000F22A7">
            <w:pPr>
              <w:ind w:right="-108"/>
              <w:rPr>
                <w:rFonts w:ascii="Times New Roman" w:hAnsi="Times New Roman"/>
                <w:sz w:val="20"/>
                <w:szCs w:val="20"/>
              </w:rPr>
            </w:pPr>
          </w:p>
          <w:p w14:paraId="6E2FDB8F" w14:textId="77777777" w:rsidR="000F22A7" w:rsidRPr="003549B4" w:rsidRDefault="000F22A7" w:rsidP="000F22A7">
            <w:pPr>
              <w:ind w:right="-108"/>
              <w:rPr>
                <w:rFonts w:ascii="Times New Roman" w:hAnsi="Times New Roman"/>
                <w:sz w:val="20"/>
                <w:szCs w:val="20"/>
              </w:rPr>
            </w:pPr>
            <w:r w:rsidRPr="003549B4">
              <w:rPr>
                <w:rFonts w:ascii="Times New Roman" w:hAnsi="Times New Roman"/>
                <w:sz w:val="20"/>
                <w:szCs w:val="20"/>
              </w:rPr>
              <w:t>NV3</w:t>
            </w:r>
          </w:p>
          <w:p w14:paraId="3D06F55C" w14:textId="77777777" w:rsidR="000F22A7" w:rsidRPr="003549B4" w:rsidRDefault="000F22A7" w:rsidP="000F22A7">
            <w:pPr>
              <w:ind w:right="-108"/>
              <w:rPr>
                <w:rFonts w:ascii="Times New Roman" w:hAnsi="Times New Roman"/>
                <w:sz w:val="20"/>
                <w:szCs w:val="20"/>
              </w:rPr>
            </w:pPr>
          </w:p>
          <w:p w14:paraId="4EFFA05D" w14:textId="77777777" w:rsidR="000F22A7" w:rsidRPr="003549B4" w:rsidRDefault="000F22A7" w:rsidP="000F22A7">
            <w:pPr>
              <w:ind w:right="-108"/>
              <w:rPr>
                <w:rFonts w:ascii="Times New Roman" w:hAnsi="Times New Roman"/>
                <w:sz w:val="20"/>
                <w:szCs w:val="20"/>
              </w:rPr>
            </w:pPr>
            <w:r w:rsidRPr="003549B4">
              <w:rPr>
                <w:rFonts w:ascii="Times New Roman" w:hAnsi="Times New Roman"/>
                <w:sz w:val="20"/>
                <w:szCs w:val="20"/>
              </w:rPr>
              <w:t>NV4</w:t>
            </w:r>
          </w:p>
          <w:p w14:paraId="3FB7F6BD" w14:textId="77777777" w:rsidR="008F3AC2" w:rsidRPr="003549B4" w:rsidRDefault="008F3AC2" w:rsidP="000F22A7">
            <w:pPr>
              <w:spacing w:after="0" w:line="240" w:lineRule="auto"/>
              <w:ind w:right="-108"/>
              <w:rPr>
                <w:rFonts w:ascii="Times New Roman" w:hAnsi="Times New Roman" w:cs="Times New Roman"/>
                <w:sz w:val="20"/>
                <w:szCs w:val="20"/>
              </w:rPr>
            </w:pPr>
          </w:p>
        </w:tc>
        <w:tc>
          <w:tcPr>
            <w:tcW w:w="569" w:type="dxa"/>
          </w:tcPr>
          <w:p w14:paraId="0F817A2B" w14:textId="77777777" w:rsidR="0075380B" w:rsidRPr="003549B4" w:rsidRDefault="00867804"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 11</w:t>
            </w:r>
          </w:p>
          <w:p w14:paraId="75387E5D" w14:textId="77777777" w:rsidR="00867804" w:rsidRPr="003549B4" w:rsidRDefault="00867804"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w:t>
            </w:r>
            <w:r w:rsidR="00635391" w:rsidRPr="003549B4">
              <w:rPr>
                <w:rFonts w:ascii="Times New Roman" w:hAnsi="Times New Roman" w:cs="Times New Roman"/>
                <w:sz w:val="20"/>
                <w:szCs w:val="20"/>
              </w:rPr>
              <w:t>9</w:t>
            </w:r>
          </w:p>
          <w:p w14:paraId="13549F36" w14:textId="3BD19DDD" w:rsidR="00353E37" w:rsidRPr="003549B4" w:rsidRDefault="00353E37" w:rsidP="00F17024">
            <w:pPr>
              <w:spacing w:after="0" w:line="240" w:lineRule="auto"/>
              <w:ind w:left="14" w:right="-9" w:hanging="29"/>
              <w:rPr>
                <w:rFonts w:ascii="Times New Roman" w:hAnsi="Times New Roman" w:cs="Times New Roman"/>
                <w:sz w:val="20"/>
                <w:szCs w:val="20"/>
              </w:rPr>
            </w:pPr>
          </w:p>
          <w:p w14:paraId="73A20A56" w14:textId="2A738A64" w:rsidR="002E6F07" w:rsidRPr="003549B4" w:rsidRDefault="002E6F07" w:rsidP="00F17024">
            <w:pPr>
              <w:spacing w:after="0" w:line="240" w:lineRule="auto"/>
              <w:ind w:left="14" w:right="-9" w:hanging="29"/>
              <w:rPr>
                <w:rFonts w:ascii="Times New Roman" w:hAnsi="Times New Roman" w:cs="Times New Roman"/>
                <w:sz w:val="20"/>
                <w:szCs w:val="20"/>
              </w:rPr>
            </w:pPr>
          </w:p>
          <w:p w14:paraId="2D90EFA0" w14:textId="77777777" w:rsidR="002E6F07" w:rsidRPr="003549B4" w:rsidRDefault="002E6F07" w:rsidP="00F17024">
            <w:pPr>
              <w:spacing w:after="0" w:line="240" w:lineRule="auto"/>
              <w:ind w:left="14" w:right="-9" w:hanging="29"/>
              <w:rPr>
                <w:rFonts w:ascii="Times New Roman" w:hAnsi="Times New Roman" w:cs="Times New Roman"/>
                <w:sz w:val="20"/>
                <w:szCs w:val="20"/>
              </w:rPr>
            </w:pPr>
          </w:p>
          <w:p w14:paraId="306CA3F9" w14:textId="77777777" w:rsidR="00867804" w:rsidRPr="003549B4" w:rsidRDefault="000F22A7"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 7</w:t>
            </w:r>
          </w:p>
          <w:p w14:paraId="52DB5AA0" w14:textId="77777777" w:rsidR="00635391" w:rsidRPr="003549B4" w:rsidRDefault="00635391" w:rsidP="00F17024">
            <w:pPr>
              <w:spacing w:after="0" w:line="240" w:lineRule="auto"/>
              <w:ind w:left="14" w:right="-9" w:hanging="29"/>
              <w:rPr>
                <w:rFonts w:ascii="Times New Roman" w:hAnsi="Times New Roman" w:cs="Times New Roman"/>
                <w:sz w:val="20"/>
                <w:szCs w:val="20"/>
              </w:rPr>
            </w:pPr>
          </w:p>
          <w:p w14:paraId="44309DCB" w14:textId="1358F554" w:rsidR="000F22A7" w:rsidRPr="003549B4" w:rsidRDefault="000F22A7" w:rsidP="00F17024">
            <w:pPr>
              <w:spacing w:after="0" w:line="240" w:lineRule="auto"/>
              <w:ind w:left="14" w:right="-9" w:hanging="29"/>
              <w:rPr>
                <w:rFonts w:ascii="Times New Roman" w:hAnsi="Times New Roman" w:cs="Times New Roman"/>
                <w:sz w:val="20"/>
                <w:szCs w:val="20"/>
              </w:rPr>
            </w:pPr>
          </w:p>
          <w:p w14:paraId="56C84EBD" w14:textId="5EEECCB3" w:rsidR="002E6F07" w:rsidRPr="003549B4" w:rsidRDefault="002E6F07" w:rsidP="00F17024">
            <w:pPr>
              <w:spacing w:after="0" w:line="240" w:lineRule="auto"/>
              <w:ind w:left="14" w:right="-9" w:hanging="29"/>
              <w:rPr>
                <w:rFonts w:ascii="Times New Roman" w:hAnsi="Times New Roman" w:cs="Times New Roman"/>
                <w:sz w:val="20"/>
                <w:szCs w:val="20"/>
              </w:rPr>
            </w:pPr>
          </w:p>
          <w:p w14:paraId="0A2FCA85" w14:textId="77777777" w:rsidR="002E6F07" w:rsidRPr="003549B4" w:rsidRDefault="002E6F07" w:rsidP="00F17024">
            <w:pPr>
              <w:spacing w:after="0" w:line="240" w:lineRule="auto"/>
              <w:ind w:left="14" w:right="-9" w:hanging="29"/>
              <w:rPr>
                <w:rFonts w:ascii="Times New Roman" w:hAnsi="Times New Roman" w:cs="Times New Roman"/>
                <w:sz w:val="20"/>
                <w:szCs w:val="20"/>
              </w:rPr>
            </w:pPr>
          </w:p>
          <w:p w14:paraId="18223D48" w14:textId="77777777" w:rsidR="00867804" w:rsidRPr="003549B4" w:rsidRDefault="00867804"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 13</w:t>
            </w:r>
          </w:p>
          <w:p w14:paraId="7495A009" w14:textId="77777777" w:rsidR="00635391" w:rsidRPr="003549B4" w:rsidRDefault="00635391"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p w14:paraId="2B2971E8" w14:textId="77777777" w:rsidR="00867804" w:rsidRPr="003549B4" w:rsidRDefault="00867804" w:rsidP="00F17024">
            <w:pPr>
              <w:spacing w:after="0" w:line="240" w:lineRule="auto"/>
              <w:ind w:left="14" w:right="-9" w:hanging="29"/>
              <w:rPr>
                <w:rFonts w:ascii="Times New Roman" w:hAnsi="Times New Roman" w:cs="Times New Roman"/>
                <w:sz w:val="20"/>
                <w:szCs w:val="20"/>
              </w:rPr>
            </w:pPr>
          </w:p>
          <w:p w14:paraId="700395D7" w14:textId="77777777" w:rsidR="000F22A7" w:rsidRPr="003549B4" w:rsidRDefault="000F22A7" w:rsidP="000F22A7">
            <w:pPr>
              <w:ind w:left="14" w:right="-9" w:hanging="29"/>
              <w:rPr>
                <w:rFonts w:ascii="Times New Roman" w:hAnsi="Times New Roman" w:cs="Times New Roman"/>
                <w:sz w:val="20"/>
                <w:szCs w:val="20"/>
              </w:rPr>
            </w:pPr>
            <w:r w:rsidRPr="003549B4">
              <w:rPr>
                <w:rFonts w:ascii="Times New Roman" w:hAnsi="Times New Roman"/>
                <w:sz w:val="20"/>
                <w:szCs w:val="20"/>
              </w:rPr>
              <w:t>Pr.7O2</w:t>
            </w:r>
          </w:p>
          <w:p w14:paraId="54983AA9" w14:textId="77777777" w:rsidR="00353E37" w:rsidRPr="003549B4" w:rsidRDefault="000F22A7" w:rsidP="000F22A7">
            <w:pPr>
              <w:ind w:left="14" w:right="-9" w:hanging="29"/>
              <w:rPr>
                <w:rFonts w:ascii="Times New Roman" w:hAnsi="Times New Roman" w:cs="Times New Roman"/>
                <w:sz w:val="20"/>
                <w:szCs w:val="20"/>
              </w:rPr>
            </w:pPr>
            <w:r w:rsidRPr="003549B4">
              <w:rPr>
                <w:rFonts w:ascii="Times New Roman" w:hAnsi="Times New Roman"/>
                <w:sz w:val="20"/>
                <w:szCs w:val="20"/>
              </w:rPr>
              <w:t>Pr.5O6</w:t>
            </w:r>
          </w:p>
        </w:tc>
        <w:tc>
          <w:tcPr>
            <w:tcW w:w="6006" w:type="dxa"/>
          </w:tcPr>
          <w:p w14:paraId="39D9915D" w14:textId="52D12051" w:rsidR="00353E37" w:rsidRPr="003549B4" w:rsidRDefault="002E6F07" w:rsidP="00635391">
            <w:pPr>
              <w:spacing w:after="0" w:line="240" w:lineRule="auto"/>
              <w:rPr>
                <w:rFonts w:ascii="Times New Roman" w:hAnsi="Times New Roman" w:cs="Times New Roman"/>
              </w:rPr>
            </w:pPr>
            <w:r w:rsidRPr="003549B4">
              <w:rPr>
                <w:rFonts w:ascii="Times New Roman" w:eastAsiaTheme="minorEastAsia" w:hAnsi="Times New Roman" w:cs="Times New Roman"/>
              </w:rPr>
              <w:t>9.</w:t>
            </w:r>
            <w:r w:rsidRPr="003549B4">
              <w:rPr>
                <w:rFonts w:ascii="Times New Roman" w:eastAsiaTheme="minorEastAsia" w:hAnsi="Times New Roman" w:cs="Times New Roman"/>
              </w:rPr>
              <w:tab/>
              <w:t>Smernica Európskeho parlamentu a Rady (EÚ) 2015/2193 z 25. novembra 2015 o obmedzení emisií určitých znečisťujúcich látok do ovzdušia zo stredne veľkých spaľovacích zariadení (Ú. v. EÚ L 313, 28.11.2015).</w:t>
            </w:r>
          </w:p>
          <w:p w14:paraId="6AAA6324" w14:textId="77777777" w:rsidR="000F22A7" w:rsidRPr="003549B4" w:rsidRDefault="000F22A7" w:rsidP="00635391">
            <w:pPr>
              <w:tabs>
                <w:tab w:val="left" w:pos="426"/>
              </w:tabs>
              <w:spacing w:after="0" w:line="240" w:lineRule="auto"/>
              <w:jc w:val="both"/>
              <w:rPr>
                <w:rFonts w:ascii="Times New Roman" w:eastAsiaTheme="minorEastAsia" w:hAnsi="Times New Roman" w:cs="Times New Roman"/>
              </w:rPr>
            </w:pPr>
          </w:p>
          <w:p w14:paraId="111C44EE" w14:textId="77777777" w:rsidR="00635391" w:rsidRPr="003549B4" w:rsidRDefault="00635391" w:rsidP="00635391">
            <w:pPr>
              <w:tabs>
                <w:tab w:val="left" w:pos="426"/>
              </w:tabs>
              <w:spacing w:after="0" w:line="240" w:lineRule="auto"/>
              <w:jc w:val="both"/>
              <w:rPr>
                <w:rFonts w:ascii="Times New Roman" w:hAnsi="Times New Roman" w:cs="Times New Roman"/>
              </w:rPr>
            </w:pPr>
            <w:r w:rsidRPr="003549B4">
              <w:rPr>
                <w:rFonts w:ascii="Times New Roman" w:eastAsiaTheme="minorEastAsia" w:hAnsi="Times New Roman" w:cs="Times New Roman"/>
              </w:rPr>
              <w:t>2. Smernica Európskeho parlamentu a Rady (EÚ) 2015/2193/EÚ z 25. novembra 2015 o obmedzení emisií určitých znečisťujúcich látok do ovzdušia zo stredne veľkých spaľovacích zariadení (Ú. v. EÚ L 313, 28.11.2015).</w:t>
            </w:r>
          </w:p>
          <w:p w14:paraId="048D1803" w14:textId="77777777" w:rsidR="0075380B" w:rsidRPr="003549B4" w:rsidRDefault="0075380B" w:rsidP="00A91825">
            <w:pPr>
              <w:spacing w:after="0" w:line="240" w:lineRule="auto"/>
              <w:rPr>
                <w:rFonts w:ascii="Times New Roman" w:hAnsi="Times New Roman" w:cs="Times New Roman"/>
                <w:sz w:val="20"/>
                <w:szCs w:val="20"/>
              </w:rPr>
            </w:pPr>
          </w:p>
          <w:p w14:paraId="052D5375" w14:textId="77777777" w:rsidR="000F22A7" w:rsidRPr="003549B4" w:rsidRDefault="000F22A7" w:rsidP="00A91825">
            <w:pPr>
              <w:spacing w:after="0" w:line="240" w:lineRule="auto"/>
              <w:rPr>
                <w:rFonts w:ascii="Times New Roman" w:hAnsi="Times New Roman" w:cs="Times New Roman"/>
                <w:sz w:val="20"/>
                <w:szCs w:val="20"/>
              </w:rPr>
            </w:pPr>
          </w:p>
          <w:p w14:paraId="36E775B6" w14:textId="77777777" w:rsidR="000F22A7" w:rsidRPr="003549B4" w:rsidRDefault="000F22A7" w:rsidP="000F22A7">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2. Smernica Európskeho parlamentu a Rady (EÚ) 2015/2193/EÚ z 25. novembra 2015 o obmedzení emisií určitých znečisťujúcich látok do ovzdušia zo stredne veľkých spaľovacích zariadení (Ú. v. EÚ L 313, 28.11.2015).</w:t>
            </w:r>
          </w:p>
          <w:p w14:paraId="689BA886" w14:textId="77777777" w:rsidR="000F22A7" w:rsidRPr="003549B4" w:rsidRDefault="000F22A7" w:rsidP="000F22A7">
            <w:pPr>
              <w:spacing w:after="0" w:line="240" w:lineRule="auto"/>
              <w:rPr>
                <w:rFonts w:ascii="Times New Roman" w:hAnsi="Times New Roman" w:cs="Times New Roman"/>
                <w:sz w:val="20"/>
                <w:szCs w:val="20"/>
              </w:rPr>
            </w:pPr>
          </w:p>
          <w:p w14:paraId="369CFB9D" w14:textId="77777777" w:rsidR="000F22A7" w:rsidRPr="003549B4" w:rsidRDefault="000F22A7" w:rsidP="000F22A7">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2. Smernica Európskeho parlamentu a Rady (EÚ) 2015/2193/EÚ z 25. novembra 2015 o obmedzení emisií určitých znečisťujúcich látok do ovzdušia zo stredne veľkých spaľovacích zariadení (Ú. v. EÚ L 313, 28.11.2015).</w:t>
            </w:r>
          </w:p>
          <w:p w14:paraId="3F6D9532" w14:textId="77777777" w:rsidR="000F22A7" w:rsidRPr="003549B4" w:rsidRDefault="000F22A7" w:rsidP="000F22A7">
            <w:pPr>
              <w:spacing w:after="0" w:line="240" w:lineRule="auto"/>
              <w:rPr>
                <w:rFonts w:ascii="Times New Roman" w:hAnsi="Times New Roman" w:cs="Times New Roman"/>
                <w:sz w:val="20"/>
                <w:szCs w:val="20"/>
              </w:rPr>
            </w:pPr>
          </w:p>
          <w:p w14:paraId="6A016CDD" w14:textId="77777777" w:rsidR="000F22A7" w:rsidRPr="003549B4" w:rsidRDefault="000F22A7" w:rsidP="000F22A7">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6. Smernica Európskeho parlamentu a Rady (EÚ) 2015/2193/EÚ z 25. novembra 2015 o obmedzení emisií určitých znečisťujúcich látok do ovzdušia zo stredne veľkých spaľovacích zariadení (Ú. v. EÚ L 313, 28.11.2015).</w:t>
            </w:r>
          </w:p>
        </w:tc>
        <w:tc>
          <w:tcPr>
            <w:tcW w:w="429" w:type="dxa"/>
            <w:tcBorders>
              <w:top w:val="single" w:sz="4" w:space="0" w:color="auto"/>
              <w:bottom w:val="single" w:sz="4" w:space="0" w:color="auto"/>
            </w:tcBorders>
            <w:vAlign w:val="center"/>
          </w:tcPr>
          <w:p w14:paraId="53BA41FC" w14:textId="77777777" w:rsidR="0075380B" w:rsidRPr="003549B4" w:rsidRDefault="00635391"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B824960"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6AD391E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A0F35BD"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O2</w:t>
            </w:r>
          </w:p>
        </w:tc>
        <w:tc>
          <w:tcPr>
            <w:tcW w:w="6287" w:type="dxa"/>
          </w:tcPr>
          <w:p w14:paraId="448D6016"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2. Členské štáty oznámia Komisii znenie hlavných ustanovení vnútroštátnych právnych predpisov, ktoré prijmú v oblasti pôsobnosti tejto smernice.</w:t>
            </w:r>
          </w:p>
        </w:tc>
        <w:tc>
          <w:tcPr>
            <w:tcW w:w="433" w:type="dxa"/>
          </w:tcPr>
          <w:p w14:paraId="7EAC1051"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29FAFBF2" w14:textId="77777777" w:rsidR="00867804" w:rsidRPr="003549B4" w:rsidRDefault="00867804" w:rsidP="0086780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Z575</w:t>
            </w:r>
          </w:p>
          <w:p w14:paraId="1CA04AF5" w14:textId="77777777" w:rsidR="0075380B" w:rsidRPr="003549B4" w:rsidRDefault="0075380B" w:rsidP="00867804">
            <w:pPr>
              <w:spacing w:after="0" w:line="240" w:lineRule="auto"/>
              <w:ind w:right="-108"/>
              <w:rPr>
                <w:rFonts w:ascii="Times New Roman" w:hAnsi="Times New Roman" w:cs="Times New Roman"/>
                <w:sz w:val="20"/>
                <w:szCs w:val="20"/>
              </w:rPr>
            </w:pPr>
          </w:p>
        </w:tc>
        <w:tc>
          <w:tcPr>
            <w:tcW w:w="569" w:type="dxa"/>
          </w:tcPr>
          <w:p w14:paraId="4C685CE3" w14:textId="77777777" w:rsidR="0075380B" w:rsidRPr="003549B4" w:rsidRDefault="00867804" w:rsidP="0086780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§35 O7</w:t>
            </w:r>
          </w:p>
        </w:tc>
        <w:tc>
          <w:tcPr>
            <w:tcW w:w="6006" w:type="dxa"/>
            <w:vAlign w:val="center"/>
          </w:tcPr>
          <w:p w14:paraId="5AC06008" w14:textId="77777777" w:rsidR="00867804" w:rsidRPr="003549B4" w:rsidRDefault="00867804" w:rsidP="00867804">
            <w:pPr>
              <w:spacing w:after="120" w:line="240" w:lineRule="auto"/>
              <w:jc w:val="both"/>
              <w:rPr>
                <w:rFonts w:ascii="Times New Roman" w:hAnsi="Times New Roman" w:cs="Times New Roman"/>
                <w:b/>
                <w:bCs/>
                <w:sz w:val="20"/>
                <w:szCs w:val="20"/>
                <w:lang w:eastAsia="sk-SK"/>
              </w:rPr>
            </w:pPr>
            <w:r w:rsidRPr="003549B4">
              <w:rPr>
                <w:rFonts w:ascii="Times New Roman" w:hAnsi="Times New Roman" w:cs="Times New Roman"/>
                <w:b/>
                <w:bCs/>
                <w:sz w:val="20"/>
                <w:szCs w:val="20"/>
              </w:rPr>
              <w:t>Úlohy ministerstiev a ostatných ústredných orgánov štátnej správy</w:t>
            </w:r>
          </w:p>
          <w:p w14:paraId="2130FE81" w14:textId="77777777" w:rsidR="00867804" w:rsidRPr="003549B4" w:rsidRDefault="00867804" w:rsidP="00867804">
            <w:pPr>
              <w:spacing w:after="120" w:line="240" w:lineRule="auto"/>
              <w:jc w:val="both"/>
              <w:rPr>
                <w:rFonts w:ascii="Times New Roman" w:hAnsi="Times New Roman" w:cs="Times New Roman"/>
                <w:b/>
                <w:bCs/>
                <w:sz w:val="20"/>
                <w:szCs w:val="20"/>
              </w:rPr>
            </w:pPr>
            <w:r w:rsidRPr="003549B4">
              <w:rPr>
                <w:rFonts w:ascii="Times New Roman" w:hAnsi="Times New Roman" w:cs="Times New Roman"/>
                <w:b/>
                <w:bCs/>
                <w:sz w:val="20"/>
                <w:szCs w:val="20"/>
              </w:rPr>
              <w:t>§ 35</w:t>
            </w:r>
          </w:p>
          <w:p w14:paraId="6FA06E68" w14:textId="77777777" w:rsidR="0075380B" w:rsidRPr="003549B4" w:rsidRDefault="00867804" w:rsidP="00635391">
            <w:pPr>
              <w:spacing w:after="120" w:line="240" w:lineRule="auto"/>
              <w:jc w:val="both"/>
              <w:rPr>
                <w:rFonts w:ascii="Times New Roman" w:hAnsi="Times New Roman" w:cs="Times New Roman"/>
                <w:sz w:val="20"/>
                <w:szCs w:val="20"/>
              </w:rPr>
            </w:pPr>
            <w:r w:rsidRPr="003549B4">
              <w:rPr>
                <w:rFonts w:ascii="Times New Roman" w:hAnsi="Times New Roman" w:cs="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429" w:type="dxa"/>
            <w:vAlign w:val="center"/>
          </w:tcPr>
          <w:p w14:paraId="78B879EC" w14:textId="77777777" w:rsidR="0075380B" w:rsidRPr="003549B4" w:rsidRDefault="00635391"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vAlign w:val="center"/>
          </w:tcPr>
          <w:p w14:paraId="582A5389"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74D4CD6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51910A4E"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Č18</w:t>
            </w:r>
          </w:p>
        </w:tc>
        <w:tc>
          <w:tcPr>
            <w:tcW w:w="6287" w:type="dxa"/>
          </w:tcPr>
          <w:p w14:paraId="444545F3"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Nadobudnutie účinnosti</w:t>
            </w:r>
          </w:p>
        </w:tc>
        <w:tc>
          <w:tcPr>
            <w:tcW w:w="433" w:type="dxa"/>
          </w:tcPr>
          <w:p w14:paraId="30995F88" w14:textId="77777777" w:rsidR="0075380B" w:rsidRPr="003549B4" w:rsidRDefault="0075380B" w:rsidP="00824651">
            <w:pPr>
              <w:spacing w:after="0" w:line="240" w:lineRule="auto"/>
              <w:rPr>
                <w:rFonts w:ascii="Times New Roman" w:hAnsi="Times New Roman" w:cs="Times New Roman"/>
                <w:sz w:val="20"/>
                <w:szCs w:val="20"/>
              </w:rPr>
            </w:pPr>
          </w:p>
        </w:tc>
        <w:tc>
          <w:tcPr>
            <w:tcW w:w="572" w:type="dxa"/>
          </w:tcPr>
          <w:p w14:paraId="06F2BF99"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29AD063B"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DD4E15E"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1AD6CE7C"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3DBC1DEC"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3AC9E6A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tcBorders>
          </w:tcPr>
          <w:p w14:paraId="22D822F6"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58C202AB"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Táto smernica nadobúda účinnosť dvadsiatym dňom po jej uverejnení v </w:t>
            </w:r>
            <w:r w:rsidRPr="003549B4">
              <w:rPr>
                <w:rStyle w:val="italic"/>
                <w:rFonts w:ascii="Times New Roman" w:hAnsi="Times New Roman" w:cs="Times New Roman"/>
                <w:sz w:val="20"/>
                <w:szCs w:val="20"/>
              </w:rPr>
              <w:t>Úradnom vestníku Európskej únie</w:t>
            </w:r>
            <w:r w:rsidRPr="003549B4">
              <w:rPr>
                <w:rFonts w:ascii="Times New Roman" w:hAnsi="Times New Roman" w:cs="Times New Roman"/>
                <w:sz w:val="20"/>
                <w:szCs w:val="20"/>
              </w:rPr>
              <w:t>.</w:t>
            </w:r>
          </w:p>
        </w:tc>
        <w:tc>
          <w:tcPr>
            <w:tcW w:w="433" w:type="dxa"/>
          </w:tcPr>
          <w:p w14:paraId="25ED4904"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1B16F1B3"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5A43324C"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5EED7861"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top w:val="single" w:sz="4" w:space="0" w:color="auto"/>
            </w:tcBorders>
            <w:vAlign w:val="center"/>
          </w:tcPr>
          <w:p w14:paraId="57301B38" w14:textId="04A52A50"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top w:val="single" w:sz="4" w:space="0" w:color="auto"/>
            </w:tcBorders>
            <w:vAlign w:val="center"/>
          </w:tcPr>
          <w:p w14:paraId="6B912874"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7B732A4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bottom w:val="single" w:sz="4" w:space="0" w:color="auto"/>
            </w:tcBorders>
          </w:tcPr>
          <w:p w14:paraId="6EA32A20" w14:textId="77777777" w:rsidR="0075380B" w:rsidRPr="003549B4" w:rsidRDefault="0075380B" w:rsidP="008F3A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w:t>
            </w:r>
            <w:r w:rsidR="008F3AC2" w:rsidRPr="003549B4">
              <w:rPr>
                <w:rFonts w:ascii="Times New Roman" w:hAnsi="Times New Roman" w:cs="Times New Roman"/>
                <w:sz w:val="20"/>
                <w:szCs w:val="20"/>
              </w:rPr>
              <w:t>1</w:t>
            </w:r>
            <w:r w:rsidRPr="003549B4">
              <w:rPr>
                <w:rFonts w:ascii="Times New Roman" w:hAnsi="Times New Roman" w:cs="Times New Roman"/>
                <w:sz w:val="20"/>
                <w:szCs w:val="20"/>
              </w:rPr>
              <w:t>9</w:t>
            </w:r>
          </w:p>
        </w:tc>
        <w:tc>
          <w:tcPr>
            <w:tcW w:w="6287" w:type="dxa"/>
          </w:tcPr>
          <w:p w14:paraId="0493FF12"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Adresáti</w:t>
            </w:r>
          </w:p>
        </w:tc>
        <w:tc>
          <w:tcPr>
            <w:tcW w:w="433" w:type="dxa"/>
          </w:tcPr>
          <w:p w14:paraId="3CAD0951"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572" w:type="dxa"/>
          </w:tcPr>
          <w:p w14:paraId="554B2F9B" w14:textId="77777777" w:rsidR="0075380B" w:rsidRPr="003549B4" w:rsidRDefault="0075380B" w:rsidP="00F17024">
            <w:pPr>
              <w:spacing w:after="0" w:line="240" w:lineRule="auto"/>
              <w:ind w:right="-108"/>
              <w:rPr>
                <w:rFonts w:ascii="Times New Roman" w:hAnsi="Times New Roman" w:cs="Times New Roman"/>
                <w:sz w:val="20"/>
                <w:szCs w:val="20"/>
              </w:rPr>
            </w:pPr>
          </w:p>
        </w:tc>
        <w:tc>
          <w:tcPr>
            <w:tcW w:w="569" w:type="dxa"/>
          </w:tcPr>
          <w:p w14:paraId="406E3C94" w14:textId="77777777" w:rsidR="0075380B" w:rsidRPr="003549B4" w:rsidRDefault="0075380B" w:rsidP="00F17024">
            <w:pPr>
              <w:spacing w:after="0" w:line="240" w:lineRule="auto"/>
              <w:ind w:left="14" w:right="-9" w:hanging="29"/>
              <w:rPr>
                <w:rFonts w:ascii="Times New Roman" w:hAnsi="Times New Roman" w:cs="Times New Roman"/>
                <w:sz w:val="20"/>
                <w:szCs w:val="20"/>
              </w:rPr>
            </w:pPr>
          </w:p>
        </w:tc>
        <w:tc>
          <w:tcPr>
            <w:tcW w:w="6006" w:type="dxa"/>
            <w:vAlign w:val="center"/>
          </w:tcPr>
          <w:p w14:paraId="6016C97D" w14:textId="77777777" w:rsidR="0075380B" w:rsidRPr="003549B4" w:rsidRDefault="0075380B" w:rsidP="00824651">
            <w:pPr>
              <w:spacing w:after="0" w:line="240" w:lineRule="auto"/>
              <w:rPr>
                <w:rFonts w:ascii="Times New Roman" w:hAnsi="Times New Roman" w:cs="Times New Roman"/>
                <w:sz w:val="20"/>
                <w:szCs w:val="20"/>
              </w:rPr>
            </w:pPr>
          </w:p>
        </w:tc>
        <w:tc>
          <w:tcPr>
            <w:tcW w:w="429" w:type="dxa"/>
            <w:tcBorders>
              <w:bottom w:val="single" w:sz="4" w:space="0" w:color="auto"/>
            </w:tcBorders>
            <w:vAlign w:val="center"/>
          </w:tcPr>
          <w:p w14:paraId="653CA470" w14:textId="1CD4EA00"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n.a.</w:t>
            </w:r>
          </w:p>
        </w:tc>
        <w:tc>
          <w:tcPr>
            <w:tcW w:w="660" w:type="dxa"/>
            <w:tcBorders>
              <w:bottom w:val="single" w:sz="4" w:space="0" w:color="auto"/>
            </w:tcBorders>
            <w:vAlign w:val="center"/>
          </w:tcPr>
          <w:p w14:paraId="627D4955"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6D4111B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0C28DA6E" w14:textId="77777777" w:rsidR="0075380B" w:rsidRPr="003549B4" w:rsidRDefault="0075380B" w:rsidP="008F3AC2">
            <w:pPr>
              <w:spacing w:after="0" w:line="240" w:lineRule="auto"/>
              <w:ind w:left="-50" w:right="-26"/>
              <w:rPr>
                <w:rFonts w:ascii="Times New Roman" w:hAnsi="Times New Roman" w:cs="Times New Roman"/>
                <w:sz w:val="20"/>
                <w:szCs w:val="20"/>
              </w:rPr>
            </w:pPr>
            <w:r w:rsidRPr="003549B4">
              <w:rPr>
                <w:rFonts w:ascii="Times New Roman" w:hAnsi="Times New Roman" w:cs="Times New Roman"/>
                <w:sz w:val="20"/>
                <w:szCs w:val="20"/>
              </w:rPr>
              <w:t>Prí</w:t>
            </w:r>
            <w:r w:rsidR="008F3AC2" w:rsidRPr="003549B4">
              <w:rPr>
                <w:rFonts w:ascii="Times New Roman" w:hAnsi="Times New Roman" w:cs="Times New Roman"/>
                <w:sz w:val="20"/>
                <w:szCs w:val="20"/>
              </w:rPr>
              <w:t>lo</w:t>
            </w:r>
            <w:r w:rsidRPr="003549B4">
              <w:rPr>
                <w:rFonts w:ascii="Times New Roman" w:hAnsi="Times New Roman" w:cs="Times New Roman"/>
                <w:sz w:val="20"/>
                <w:szCs w:val="20"/>
              </w:rPr>
              <w:t>ha 1</w:t>
            </w:r>
          </w:p>
        </w:tc>
        <w:tc>
          <w:tcPr>
            <w:tcW w:w="6287" w:type="dxa"/>
          </w:tcPr>
          <w:p w14:paraId="16506722" w14:textId="77777777" w:rsidR="0075380B" w:rsidRPr="003549B4" w:rsidRDefault="0075380B" w:rsidP="00824651">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Informácie, ktoré má prevádzkovateľ poskytnúť príslušnému orgánu </w:t>
            </w:r>
          </w:p>
        </w:tc>
        <w:tc>
          <w:tcPr>
            <w:tcW w:w="433" w:type="dxa"/>
          </w:tcPr>
          <w:p w14:paraId="25914D88"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52582D80" w14:textId="77777777" w:rsidR="0075380B" w:rsidRPr="003549B4" w:rsidRDefault="006E381A"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NV3</w:t>
            </w:r>
          </w:p>
        </w:tc>
        <w:tc>
          <w:tcPr>
            <w:tcW w:w="569" w:type="dxa"/>
          </w:tcPr>
          <w:p w14:paraId="1BD67233" w14:textId="77777777" w:rsidR="0075380B" w:rsidRPr="003549B4" w:rsidRDefault="008F3AC2" w:rsidP="008F3AC2">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w:t>
            </w:r>
            <w:r w:rsidR="006E381A" w:rsidRPr="003549B4">
              <w:rPr>
                <w:rFonts w:ascii="Times New Roman" w:hAnsi="Times New Roman" w:cs="Times New Roman"/>
                <w:sz w:val="20"/>
                <w:szCs w:val="20"/>
              </w:rPr>
              <w:t>2</w:t>
            </w:r>
          </w:p>
        </w:tc>
        <w:tc>
          <w:tcPr>
            <w:tcW w:w="6006" w:type="dxa"/>
            <w:vAlign w:val="center"/>
          </w:tcPr>
          <w:p w14:paraId="0CE7DB2F" w14:textId="77777777" w:rsidR="0075380B" w:rsidRPr="003549B4" w:rsidRDefault="00905DC2" w:rsidP="00824651">
            <w:pPr>
              <w:spacing w:before="100" w:beforeAutospacing="1" w:after="100" w:afterAutospacing="1"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B. </w:t>
            </w:r>
            <w:r w:rsidR="0075380B" w:rsidRPr="003549B4">
              <w:rPr>
                <w:rFonts w:ascii="Times New Roman" w:hAnsi="Times New Roman" w:cs="Times New Roman"/>
                <w:sz w:val="20"/>
                <w:szCs w:val="20"/>
                <w:lang w:eastAsia="sk-SK"/>
              </w:rPr>
              <w:t>REGISTER  ÚDAJOV O STREDNE VEĽKÝCH SPAĽOVACÍCH ZARIADENIACH</w:t>
            </w:r>
          </w:p>
        </w:tc>
        <w:tc>
          <w:tcPr>
            <w:tcW w:w="429" w:type="dxa"/>
            <w:tcBorders>
              <w:bottom w:val="single" w:sz="4" w:space="0" w:color="auto"/>
            </w:tcBorders>
            <w:vAlign w:val="center"/>
          </w:tcPr>
          <w:p w14:paraId="35D04695" w14:textId="77777777" w:rsidR="0075380B" w:rsidRPr="003549B4" w:rsidRDefault="0075380B" w:rsidP="00824651">
            <w:pPr>
              <w:spacing w:after="0" w:line="240" w:lineRule="auto"/>
              <w:rPr>
                <w:rFonts w:ascii="Times New Roman" w:hAnsi="Times New Roman" w:cs="Times New Roman"/>
                <w:sz w:val="20"/>
                <w:szCs w:val="20"/>
              </w:rPr>
            </w:pPr>
          </w:p>
        </w:tc>
        <w:tc>
          <w:tcPr>
            <w:tcW w:w="660" w:type="dxa"/>
            <w:tcBorders>
              <w:bottom w:val="single" w:sz="4" w:space="0" w:color="auto"/>
            </w:tcBorders>
            <w:vAlign w:val="center"/>
          </w:tcPr>
          <w:p w14:paraId="123097ED"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417531C8"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452C47E" w14:textId="77777777" w:rsidR="0075380B" w:rsidRPr="003549B4" w:rsidRDefault="0075380B"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Pr>
          <w:p w14:paraId="26491C92" w14:textId="77777777" w:rsidR="0075380B" w:rsidRPr="003549B4" w:rsidRDefault="0075380B" w:rsidP="00824651">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Menovitý tepelný príkon (MW) stredne veľkého spaľovacieho zariadenia; </w:t>
            </w:r>
          </w:p>
        </w:tc>
        <w:tc>
          <w:tcPr>
            <w:tcW w:w="433" w:type="dxa"/>
          </w:tcPr>
          <w:p w14:paraId="5DD9DE2F" w14:textId="77777777" w:rsidR="0075380B" w:rsidRPr="003549B4" w:rsidRDefault="0075380B" w:rsidP="00824651">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0A2DA66A" w14:textId="77777777" w:rsidR="0075380B" w:rsidRPr="003549B4" w:rsidRDefault="0075380B"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NV3</w:t>
            </w:r>
          </w:p>
        </w:tc>
        <w:tc>
          <w:tcPr>
            <w:tcW w:w="569" w:type="dxa"/>
          </w:tcPr>
          <w:p w14:paraId="1455F538" w14:textId="77777777" w:rsidR="0075380B" w:rsidRPr="003549B4" w:rsidRDefault="00905DC2" w:rsidP="008F3AC2">
            <w:pPr>
              <w:spacing w:before="120" w:after="0" w:line="240" w:lineRule="auto"/>
              <w:ind w:right="-104" w:hanging="15"/>
              <w:rPr>
                <w:rFonts w:ascii="Times New Roman" w:hAnsi="Times New Roman" w:cs="Times New Roman"/>
                <w:sz w:val="20"/>
                <w:szCs w:val="20"/>
              </w:rPr>
            </w:pPr>
            <w:r w:rsidRPr="003549B4">
              <w:rPr>
                <w:rFonts w:ascii="Times New Roman" w:hAnsi="Times New Roman" w:cs="Times New Roman"/>
                <w:sz w:val="20"/>
                <w:szCs w:val="20"/>
              </w:rPr>
              <w:t>Pr. 2</w:t>
            </w:r>
          </w:p>
          <w:p w14:paraId="40AD2E79" w14:textId="77777777" w:rsidR="00905DC2" w:rsidRPr="003549B4" w:rsidRDefault="00905DC2" w:rsidP="008F3AC2">
            <w:pPr>
              <w:spacing w:before="120" w:after="0" w:line="240" w:lineRule="auto"/>
              <w:ind w:right="-9" w:hanging="15"/>
              <w:rPr>
                <w:rFonts w:ascii="Times New Roman" w:hAnsi="Times New Roman" w:cs="Times New Roman"/>
                <w:sz w:val="20"/>
                <w:szCs w:val="20"/>
              </w:rPr>
            </w:pPr>
            <w:r w:rsidRPr="003549B4">
              <w:rPr>
                <w:rFonts w:ascii="Times New Roman" w:hAnsi="Times New Roman" w:cs="Times New Roman"/>
                <w:sz w:val="20"/>
                <w:szCs w:val="20"/>
              </w:rPr>
              <w:t>B</w:t>
            </w:r>
          </w:p>
        </w:tc>
        <w:tc>
          <w:tcPr>
            <w:tcW w:w="6006" w:type="dxa"/>
          </w:tcPr>
          <w:p w14:paraId="4EDCBC96" w14:textId="77777777" w:rsidR="0075380B" w:rsidRPr="003549B4" w:rsidRDefault="00905DC2" w:rsidP="00824651">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menovitý tepelný príkon (MW)</w:t>
            </w:r>
          </w:p>
        </w:tc>
        <w:tc>
          <w:tcPr>
            <w:tcW w:w="429" w:type="dxa"/>
            <w:tcBorders>
              <w:top w:val="single" w:sz="4" w:space="0" w:color="auto"/>
              <w:bottom w:val="single" w:sz="4" w:space="0" w:color="auto"/>
            </w:tcBorders>
            <w:vAlign w:val="center"/>
          </w:tcPr>
          <w:p w14:paraId="053B9E2A" w14:textId="4D3F7671" w:rsidR="0075380B" w:rsidRPr="003549B4" w:rsidRDefault="00717ED3" w:rsidP="00824651">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5B2F524D" w14:textId="77777777" w:rsidR="0075380B" w:rsidRPr="003549B4" w:rsidRDefault="0075380B" w:rsidP="00824651">
            <w:pPr>
              <w:spacing w:after="0" w:line="240" w:lineRule="auto"/>
              <w:rPr>
                <w:rFonts w:ascii="Times New Roman" w:hAnsi="Times New Roman" w:cs="Times New Roman"/>
                <w:sz w:val="20"/>
                <w:szCs w:val="20"/>
              </w:rPr>
            </w:pPr>
          </w:p>
        </w:tc>
      </w:tr>
      <w:tr w:rsidR="00557F90" w:rsidRPr="003549B4" w14:paraId="56B4A6F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803AF61"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O2</w:t>
            </w:r>
          </w:p>
        </w:tc>
        <w:tc>
          <w:tcPr>
            <w:tcW w:w="6287" w:type="dxa"/>
          </w:tcPr>
          <w:p w14:paraId="506C0164"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typ stredne veľkého spaľovacieho zariadenia (naftový motor, plynová turbína, dvojpalivový motor, iný motor alebo iné stredne veľké spaľovacie zariadenie); </w:t>
            </w:r>
          </w:p>
        </w:tc>
        <w:tc>
          <w:tcPr>
            <w:tcW w:w="433" w:type="dxa"/>
          </w:tcPr>
          <w:p w14:paraId="5A7E3B68"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37B9FC11"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NV3</w:t>
            </w:r>
          </w:p>
          <w:p w14:paraId="7507F89B"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4DD949BE" w14:textId="77777777" w:rsidR="00457A7D" w:rsidRPr="003549B4" w:rsidRDefault="00457A7D" w:rsidP="00457A7D">
            <w:pPr>
              <w:spacing w:before="120" w:after="0" w:line="240" w:lineRule="auto"/>
              <w:ind w:right="-104" w:hanging="15"/>
              <w:rPr>
                <w:rFonts w:ascii="Times New Roman" w:hAnsi="Times New Roman" w:cs="Times New Roman"/>
                <w:sz w:val="20"/>
                <w:szCs w:val="20"/>
              </w:rPr>
            </w:pPr>
            <w:r w:rsidRPr="003549B4">
              <w:rPr>
                <w:rFonts w:ascii="Times New Roman" w:hAnsi="Times New Roman" w:cs="Times New Roman"/>
                <w:sz w:val="20"/>
                <w:szCs w:val="20"/>
              </w:rPr>
              <w:t>Pr. 2</w:t>
            </w:r>
          </w:p>
          <w:p w14:paraId="23EEEC8B" w14:textId="77777777" w:rsidR="00905DC2" w:rsidRPr="003549B4" w:rsidRDefault="00457A7D" w:rsidP="00457A7D">
            <w:pPr>
              <w:spacing w:before="120" w:after="0" w:line="240" w:lineRule="auto"/>
              <w:ind w:right="-9" w:hanging="15"/>
              <w:rPr>
                <w:rFonts w:ascii="Times New Roman" w:hAnsi="Times New Roman" w:cs="Times New Roman"/>
                <w:sz w:val="20"/>
                <w:szCs w:val="20"/>
              </w:rPr>
            </w:pPr>
            <w:r w:rsidRPr="003549B4">
              <w:rPr>
                <w:rFonts w:ascii="Times New Roman" w:hAnsi="Times New Roman" w:cs="Times New Roman"/>
                <w:sz w:val="20"/>
                <w:szCs w:val="20"/>
              </w:rPr>
              <w:t>B</w:t>
            </w:r>
          </w:p>
        </w:tc>
        <w:tc>
          <w:tcPr>
            <w:tcW w:w="6006" w:type="dxa"/>
          </w:tcPr>
          <w:p w14:paraId="1FF56744"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typ (naftový motor, plynová turbína, dvojpalivový motor, iný motor alebo iné zariadenie),</w:t>
            </w:r>
          </w:p>
        </w:tc>
        <w:tc>
          <w:tcPr>
            <w:tcW w:w="429" w:type="dxa"/>
            <w:tcBorders>
              <w:top w:val="single" w:sz="4" w:space="0" w:color="auto"/>
              <w:bottom w:val="single" w:sz="4" w:space="0" w:color="auto"/>
            </w:tcBorders>
            <w:vAlign w:val="center"/>
          </w:tcPr>
          <w:p w14:paraId="24875C38" w14:textId="6C1885A6"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77E992E1"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08BC95C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B763ADA"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O3</w:t>
            </w:r>
          </w:p>
        </w:tc>
        <w:tc>
          <w:tcPr>
            <w:tcW w:w="6287" w:type="dxa"/>
          </w:tcPr>
          <w:p w14:paraId="31BCB754"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typ a podiel použitých palív podľa kategórií palív stanovených v prílohe II; </w:t>
            </w:r>
          </w:p>
        </w:tc>
        <w:tc>
          <w:tcPr>
            <w:tcW w:w="433" w:type="dxa"/>
          </w:tcPr>
          <w:p w14:paraId="2FD1EE5A"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23B1CE8F"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NV3</w:t>
            </w:r>
          </w:p>
        </w:tc>
        <w:tc>
          <w:tcPr>
            <w:tcW w:w="569" w:type="dxa"/>
          </w:tcPr>
          <w:p w14:paraId="774E11F2" w14:textId="77777777" w:rsidR="00457A7D" w:rsidRPr="003549B4" w:rsidRDefault="00457A7D" w:rsidP="00457A7D">
            <w:pPr>
              <w:spacing w:before="120" w:after="0" w:line="240" w:lineRule="auto"/>
              <w:ind w:right="-104" w:hanging="15"/>
              <w:rPr>
                <w:rFonts w:ascii="Times New Roman" w:hAnsi="Times New Roman" w:cs="Times New Roman"/>
                <w:sz w:val="20"/>
                <w:szCs w:val="20"/>
              </w:rPr>
            </w:pPr>
            <w:r w:rsidRPr="003549B4">
              <w:rPr>
                <w:rFonts w:ascii="Times New Roman" w:hAnsi="Times New Roman" w:cs="Times New Roman"/>
                <w:sz w:val="20"/>
                <w:szCs w:val="20"/>
              </w:rPr>
              <w:t>Pr. 2</w:t>
            </w:r>
          </w:p>
          <w:p w14:paraId="0913747E" w14:textId="77777777" w:rsidR="00905DC2" w:rsidRPr="003549B4" w:rsidRDefault="00457A7D" w:rsidP="00457A7D">
            <w:pPr>
              <w:spacing w:before="120" w:after="0" w:line="240" w:lineRule="auto"/>
              <w:ind w:right="-9" w:hanging="15"/>
              <w:rPr>
                <w:rFonts w:ascii="Times New Roman" w:hAnsi="Times New Roman" w:cs="Times New Roman"/>
                <w:sz w:val="20"/>
                <w:szCs w:val="20"/>
              </w:rPr>
            </w:pPr>
            <w:r w:rsidRPr="003549B4">
              <w:rPr>
                <w:rFonts w:ascii="Times New Roman" w:hAnsi="Times New Roman" w:cs="Times New Roman"/>
                <w:sz w:val="20"/>
                <w:szCs w:val="20"/>
              </w:rPr>
              <w:t>B</w:t>
            </w:r>
          </w:p>
        </w:tc>
        <w:tc>
          <w:tcPr>
            <w:tcW w:w="6006" w:type="dxa"/>
          </w:tcPr>
          <w:p w14:paraId="4A68B7C0"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typ a podiel použitých palív podľa druhu palív,</w:t>
            </w:r>
          </w:p>
        </w:tc>
        <w:tc>
          <w:tcPr>
            <w:tcW w:w="429" w:type="dxa"/>
            <w:tcBorders>
              <w:top w:val="single" w:sz="4" w:space="0" w:color="auto"/>
              <w:bottom w:val="single" w:sz="4" w:space="0" w:color="auto"/>
            </w:tcBorders>
            <w:vAlign w:val="center"/>
          </w:tcPr>
          <w:p w14:paraId="2E5E2082" w14:textId="27D9B032"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C11FA4F"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72A431D5"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5CB7891"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O4</w:t>
            </w:r>
          </w:p>
        </w:tc>
        <w:tc>
          <w:tcPr>
            <w:tcW w:w="6287" w:type="dxa"/>
          </w:tcPr>
          <w:p w14:paraId="29DD3B21"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dátum spustenia prevádzky stredne veľkého spaľovacieho zariadenia, alebo ak presný dátum začatia prevádzky nie je známy, dôkaz o skutočnosti, že prevádzka bola spustená skôr ako 20. decembra 2018; </w:t>
            </w:r>
          </w:p>
        </w:tc>
        <w:tc>
          <w:tcPr>
            <w:tcW w:w="433" w:type="dxa"/>
          </w:tcPr>
          <w:p w14:paraId="27321C69"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48789D32"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NV3</w:t>
            </w:r>
          </w:p>
          <w:p w14:paraId="563351B7"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09D2CF6C" w14:textId="77777777" w:rsidR="00457A7D" w:rsidRPr="003549B4" w:rsidRDefault="00457A7D" w:rsidP="00457A7D">
            <w:pPr>
              <w:spacing w:before="120" w:after="0" w:line="240" w:lineRule="auto"/>
              <w:ind w:right="-104" w:hanging="15"/>
              <w:rPr>
                <w:rFonts w:ascii="Times New Roman" w:hAnsi="Times New Roman" w:cs="Times New Roman"/>
                <w:sz w:val="20"/>
                <w:szCs w:val="20"/>
              </w:rPr>
            </w:pPr>
            <w:r w:rsidRPr="003549B4">
              <w:rPr>
                <w:rFonts w:ascii="Times New Roman" w:hAnsi="Times New Roman" w:cs="Times New Roman"/>
                <w:sz w:val="20"/>
                <w:szCs w:val="20"/>
              </w:rPr>
              <w:t>Pr. 2</w:t>
            </w:r>
          </w:p>
          <w:p w14:paraId="776C11F6" w14:textId="77777777" w:rsidR="00905DC2" w:rsidRPr="003549B4" w:rsidRDefault="00457A7D" w:rsidP="00457A7D">
            <w:pPr>
              <w:spacing w:before="120" w:after="0" w:line="240" w:lineRule="auto"/>
              <w:ind w:right="-9" w:hanging="15"/>
              <w:rPr>
                <w:rFonts w:ascii="Times New Roman" w:hAnsi="Times New Roman" w:cs="Times New Roman"/>
                <w:sz w:val="20"/>
                <w:szCs w:val="20"/>
              </w:rPr>
            </w:pPr>
            <w:r w:rsidRPr="003549B4">
              <w:rPr>
                <w:rFonts w:ascii="Times New Roman" w:hAnsi="Times New Roman" w:cs="Times New Roman"/>
                <w:sz w:val="20"/>
                <w:szCs w:val="20"/>
              </w:rPr>
              <w:t>B</w:t>
            </w:r>
          </w:p>
        </w:tc>
        <w:tc>
          <w:tcPr>
            <w:tcW w:w="6006" w:type="dxa"/>
          </w:tcPr>
          <w:p w14:paraId="07F9FF42"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dátum uvedenia do prevádzky, alebo ak presný dátum začatia prevádzky nie je známy, dôkaz  o skutočnosti, že prevádzka bola uvedená do prevádzky skôr ako 20. decembra 2018,</w:t>
            </w:r>
          </w:p>
        </w:tc>
        <w:tc>
          <w:tcPr>
            <w:tcW w:w="429" w:type="dxa"/>
            <w:tcBorders>
              <w:top w:val="single" w:sz="4" w:space="0" w:color="auto"/>
              <w:bottom w:val="single" w:sz="4" w:space="0" w:color="auto"/>
            </w:tcBorders>
            <w:vAlign w:val="center"/>
          </w:tcPr>
          <w:p w14:paraId="1CC2483E" w14:textId="393A1305"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645A2E04"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06A0BC3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018A52D"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O5</w:t>
            </w:r>
          </w:p>
        </w:tc>
        <w:tc>
          <w:tcPr>
            <w:tcW w:w="6287" w:type="dxa"/>
          </w:tcPr>
          <w:p w14:paraId="6C857F4B"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sektor činnosti stredne veľkého spaľovacieho zariadenia alebo prevádzky, v ktorej sa používa (kód NACE); </w:t>
            </w:r>
          </w:p>
        </w:tc>
        <w:tc>
          <w:tcPr>
            <w:tcW w:w="433" w:type="dxa"/>
          </w:tcPr>
          <w:p w14:paraId="5871592E"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0F771A26"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NV3</w:t>
            </w:r>
          </w:p>
          <w:p w14:paraId="6732CE83"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232965F6" w14:textId="77777777" w:rsidR="00457A7D" w:rsidRPr="003549B4" w:rsidRDefault="00457A7D" w:rsidP="00457A7D">
            <w:pPr>
              <w:spacing w:before="120" w:after="0" w:line="240" w:lineRule="auto"/>
              <w:ind w:right="-104" w:hanging="15"/>
              <w:rPr>
                <w:rFonts w:ascii="Times New Roman" w:hAnsi="Times New Roman" w:cs="Times New Roman"/>
                <w:sz w:val="20"/>
                <w:szCs w:val="20"/>
              </w:rPr>
            </w:pPr>
            <w:r w:rsidRPr="003549B4">
              <w:rPr>
                <w:rFonts w:ascii="Times New Roman" w:hAnsi="Times New Roman" w:cs="Times New Roman"/>
                <w:sz w:val="20"/>
                <w:szCs w:val="20"/>
              </w:rPr>
              <w:t>Pr. 2</w:t>
            </w:r>
          </w:p>
          <w:p w14:paraId="06395734" w14:textId="77777777" w:rsidR="00905DC2" w:rsidRPr="003549B4" w:rsidRDefault="00457A7D" w:rsidP="00457A7D">
            <w:pPr>
              <w:spacing w:before="120" w:after="0" w:line="240" w:lineRule="auto"/>
              <w:ind w:right="-9" w:hanging="15"/>
              <w:rPr>
                <w:rFonts w:ascii="Times New Roman" w:hAnsi="Times New Roman" w:cs="Times New Roman"/>
                <w:sz w:val="20"/>
                <w:szCs w:val="20"/>
              </w:rPr>
            </w:pPr>
            <w:r w:rsidRPr="003549B4">
              <w:rPr>
                <w:rFonts w:ascii="Times New Roman" w:hAnsi="Times New Roman" w:cs="Times New Roman"/>
                <w:sz w:val="20"/>
                <w:szCs w:val="20"/>
              </w:rPr>
              <w:t>B</w:t>
            </w:r>
          </w:p>
        </w:tc>
        <w:tc>
          <w:tcPr>
            <w:tcW w:w="6006" w:type="dxa"/>
          </w:tcPr>
          <w:p w14:paraId="60D30848" w14:textId="77777777" w:rsidR="00905DC2" w:rsidRPr="003549B4" w:rsidRDefault="00905DC2" w:rsidP="00905DC2">
            <w:pPr>
              <w:rPr>
                <w:rFonts w:ascii="Times New Roman" w:hAnsi="Times New Roman" w:cs="Times New Roman"/>
                <w:sz w:val="20"/>
                <w:szCs w:val="20"/>
              </w:rPr>
            </w:pPr>
            <w:r w:rsidRPr="003549B4">
              <w:rPr>
                <w:rFonts w:ascii="Times New Roman" w:hAnsi="Times New Roman" w:cs="Times New Roman"/>
                <w:sz w:val="20"/>
                <w:szCs w:val="20"/>
              </w:rPr>
              <w:t>sektor činnosti, v ktorej sa zariadenie používa (kód NACE)</w:t>
            </w:r>
          </w:p>
        </w:tc>
        <w:tc>
          <w:tcPr>
            <w:tcW w:w="429" w:type="dxa"/>
            <w:tcBorders>
              <w:top w:val="single" w:sz="4" w:space="0" w:color="auto"/>
              <w:bottom w:val="single" w:sz="4" w:space="0" w:color="auto"/>
            </w:tcBorders>
            <w:vAlign w:val="center"/>
          </w:tcPr>
          <w:p w14:paraId="1AF19A4F" w14:textId="16DA697D"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1B98E9C"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42F5590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F61064F"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O6</w:t>
            </w:r>
          </w:p>
        </w:tc>
        <w:tc>
          <w:tcPr>
            <w:tcW w:w="6287" w:type="dxa"/>
          </w:tcPr>
          <w:p w14:paraId="283BE25D"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Očakávaný počet prevádzkových hodín stredne veľkého spaľovacieho zariadenia za rok a priemerné zaťaženie v prevádzke; </w:t>
            </w:r>
          </w:p>
        </w:tc>
        <w:tc>
          <w:tcPr>
            <w:tcW w:w="433" w:type="dxa"/>
          </w:tcPr>
          <w:p w14:paraId="1C67BF36"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531F41A6"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NV3</w:t>
            </w:r>
          </w:p>
          <w:p w14:paraId="71265EA2"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68096B2E" w14:textId="77777777" w:rsidR="00457A7D" w:rsidRPr="003549B4" w:rsidRDefault="00457A7D" w:rsidP="00457A7D">
            <w:pPr>
              <w:spacing w:before="120" w:after="0" w:line="240" w:lineRule="auto"/>
              <w:ind w:right="-104" w:hanging="15"/>
              <w:rPr>
                <w:rFonts w:ascii="Times New Roman" w:hAnsi="Times New Roman" w:cs="Times New Roman"/>
                <w:sz w:val="20"/>
                <w:szCs w:val="20"/>
              </w:rPr>
            </w:pPr>
            <w:r w:rsidRPr="003549B4">
              <w:rPr>
                <w:rFonts w:ascii="Times New Roman" w:hAnsi="Times New Roman" w:cs="Times New Roman"/>
                <w:sz w:val="20"/>
                <w:szCs w:val="20"/>
              </w:rPr>
              <w:t>Pr. 2</w:t>
            </w:r>
          </w:p>
          <w:p w14:paraId="4C61A724" w14:textId="77777777" w:rsidR="00905DC2" w:rsidRPr="003549B4" w:rsidRDefault="00457A7D" w:rsidP="00457A7D">
            <w:pPr>
              <w:spacing w:before="120" w:after="0" w:line="240" w:lineRule="auto"/>
              <w:ind w:right="-9" w:hanging="15"/>
              <w:rPr>
                <w:rFonts w:ascii="Times New Roman" w:hAnsi="Times New Roman" w:cs="Times New Roman"/>
                <w:sz w:val="20"/>
                <w:szCs w:val="20"/>
              </w:rPr>
            </w:pPr>
            <w:r w:rsidRPr="003549B4">
              <w:rPr>
                <w:rFonts w:ascii="Times New Roman" w:hAnsi="Times New Roman" w:cs="Times New Roman"/>
                <w:sz w:val="20"/>
                <w:szCs w:val="20"/>
              </w:rPr>
              <w:t>B</w:t>
            </w:r>
          </w:p>
        </w:tc>
        <w:tc>
          <w:tcPr>
            <w:tcW w:w="6006" w:type="dxa"/>
          </w:tcPr>
          <w:p w14:paraId="5955EB57"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očakávaný počet prevádzkových hodín za rok a priemerné zaťaženie v prevádzke</w:t>
            </w:r>
          </w:p>
        </w:tc>
        <w:tc>
          <w:tcPr>
            <w:tcW w:w="429" w:type="dxa"/>
            <w:tcBorders>
              <w:top w:val="single" w:sz="4" w:space="0" w:color="auto"/>
              <w:bottom w:val="single" w:sz="4" w:space="0" w:color="auto"/>
            </w:tcBorders>
            <w:vAlign w:val="center"/>
          </w:tcPr>
          <w:p w14:paraId="50324B96" w14:textId="4660DAA6"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48A914F"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4F0FE742"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965D090"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O7</w:t>
            </w:r>
          </w:p>
        </w:tc>
        <w:tc>
          <w:tcPr>
            <w:tcW w:w="6287" w:type="dxa"/>
          </w:tcPr>
          <w:p w14:paraId="31FF0EC9"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kde sa uplatňuje možnosť oslobodenia podľa článku 6 ods. 3 alebo článku 6 ods. 8, vyhlásenie podpísané prevádzkovateľom o tom, že stredne veľké spaľovacie zariadenie nebude v prevádzke dlhšie, ako je počet hodín uvedený v týchto odsekoch; </w:t>
            </w:r>
          </w:p>
        </w:tc>
        <w:tc>
          <w:tcPr>
            <w:tcW w:w="433" w:type="dxa"/>
          </w:tcPr>
          <w:p w14:paraId="20E71322"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5BD5B839"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NV3</w:t>
            </w:r>
          </w:p>
          <w:p w14:paraId="31093761"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499E4174" w14:textId="77777777" w:rsidR="00457A7D" w:rsidRPr="003549B4" w:rsidRDefault="00457A7D" w:rsidP="00457A7D">
            <w:pPr>
              <w:spacing w:before="120" w:after="0" w:line="240" w:lineRule="auto"/>
              <w:ind w:right="-104" w:hanging="15"/>
              <w:rPr>
                <w:rFonts w:ascii="Times New Roman" w:hAnsi="Times New Roman" w:cs="Times New Roman"/>
                <w:sz w:val="20"/>
                <w:szCs w:val="20"/>
              </w:rPr>
            </w:pPr>
            <w:r w:rsidRPr="003549B4">
              <w:rPr>
                <w:rFonts w:ascii="Times New Roman" w:hAnsi="Times New Roman" w:cs="Times New Roman"/>
                <w:sz w:val="20"/>
                <w:szCs w:val="20"/>
              </w:rPr>
              <w:t>Pr. 2</w:t>
            </w:r>
          </w:p>
          <w:p w14:paraId="5741E857" w14:textId="77777777" w:rsidR="00905DC2" w:rsidRPr="003549B4" w:rsidRDefault="00457A7D" w:rsidP="00457A7D">
            <w:pPr>
              <w:spacing w:before="120" w:after="0" w:line="240" w:lineRule="auto"/>
              <w:ind w:right="-9" w:hanging="15"/>
              <w:rPr>
                <w:rFonts w:ascii="Times New Roman" w:hAnsi="Times New Roman" w:cs="Times New Roman"/>
                <w:sz w:val="20"/>
                <w:szCs w:val="20"/>
              </w:rPr>
            </w:pPr>
            <w:r w:rsidRPr="003549B4">
              <w:rPr>
                <w:rFonts w:ascii="Times New Roman" w:hAnsi="Times New Roman" w:cs="Times New Roman"/>
                <w:sz w:val="20"/>
                <w:szCs w:val="20"/>
              </w:rPr>
              <w:t>B</w:t>
            </w:r>
          </w:p>
        </w:tc>
        <w:tc>
          <w:tcPr>
            <w:tcW w:w="6006" w:type="dxa"/>
          </w:tcPr>
          <w:p w14:paraId="167B2C59"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v prípade zariadenia, ktoré plánuje využívať  obmedzený  prevádzkový  režim, vyhlásenie podpísané prevádzkovateľom o tom, že toto zariadenie nebude v prevádzke dlhšie ako uvedený počet hodín</w:t>
            </w:r>
          </w:p>
        </w:tc>
        <w:tc>
          <w:tcPr>
            <w:tcW w:w="429" w:type="dxa"/>
            <w:tcBorders>
              <w:top w:val="single" w:sz="4" w:space="0" w:color="auto"/>
              <w:bottom w:val="single" w:sz="4" w:space="0" w:color="auto"/>
            </w:tcBorders>
            <w:vAlign w:val="center"/>
          </w:tcPr>
          <w:p w14:paraId="0E61048A" w14:textId="37A68C87"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AF7CA12"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5749F8A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tcBorders>
          </w:tcPr>
          <w:p w14:paraId="3027BD33"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O8</w:t>
            </w:r>
          </w:p>
        </w:tc>
        <w:tc>
          <w:tcPr>
            <w:tcW w:w="6287" w:type="dxa"/>
          </w:tcPr>
          <w:p w14:paraId="7F92086B"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názov prevádzkovateľa a jeho sídlo a v prípade stacionárnych stredne veľkých spaľovacích zariadení adresa, </w:t>
            </w:r>
          </w:p>
          <w:p w14:paraId="2059E83C"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na ktorej sa zariadenie nachádza. </w:t>
            </w:r>
          </w:p>
        </w:tc>
        <w:tc>
          <w:tcPr>
            <w:tcW w:w="433" w:type="dxa"/>
          </w:tcPr>
          <w:p w14:paraId="342F06E9"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0B28EC91"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NV3</w:t>
            </w:r>
          </w:p>
          <w:p w14:paraId="3C083AF0"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22C9CEDF" w14:textId="77777777" w:rsidR="00457A7D" w:rsidRPr="003549B4" w:rsidRDefault="00457A7D" w:rsidP="00457A7D">
            <w:pPr>
              <w:spacing w:before="120" w:after="0" w:line="240" w:lineRule="auto"/>
              <w:ind w:right="-104" w:hanging="15"/>
              <w:rPr>
                <w:rFonts w:ascii="Times New Roman" w:hAnsi="Times New Roman" w:cs="Times New Roman"/>
                <w:sz w:val="20"/>
                <w:szCs w:val="20"/>
              </w:rPr>
            </w:pPr>
            <w:r w:rsidRPr="003549B4">
              <w:rPr>
                <w:rFonts w:ascii="Times New Roman" w:hAnsi="Times New Roman" w:cs="Times New Roman"/>
                <w:sz w:val="20"/>
                <w:szCs w:val="20"/>
              </w:rPr>
              <w:t>Pr. 2</w:t>
            </w:r>
          </w:p>
          <w:p w14:paraId="33121801" w14:textId="77777777" w:rsidR="00905DC2" w:rsidRPr="003549B4" w:rsidRDefault="00457A7D" w:rsidP="00457A7D">
            <w:pPr>
              <w:spacing w:before="120" w:after="0" w:line="240" w:lineRule="auto"/>
              <w:ind w:right="-9" w:hanging="15"/>
              <w:rPr>
                <w:rFonts w:ascii="Times New Roman" w:hAnsi="Times New Roman" w:cs="Times New Roman"/>
                <w:sz w:val="20"/>
                <w:szCs w:val="20"/>
              </w:rPr>
            </w:pPr>
            <w:r w:rsidRPr="003549B4">
              <w:rPr>
                <w:rFonts w:ascii="Times New Roman" w:hAnsi="Times New Roman" w:cs="Times New Roman"/>
                <w:sz w:val="20"/>
                <w:szCs w:val="20"/>
              </w:rPr>
              <w:t>B</w:t>
            </w:r>
          </w:p>
        </w:tc>
        <w:tc>
          <w:tcPr>
            <w:tcW w:w="6006" w:type="dxa"/>
          </w:tcPr>
          <w:p w14:paraId="582FB3C8" w14:textId="77777777" w:rsidR="00905DC2" w:rsidRPr="003549B4" w:rsidRDefault="006E381A" w:rsidP="006E381A">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názov prevádzkovateľa a jeho sídlo a adresu, na ktorej sa toto zariadenie nachádza</w:t>
            </w:r>
          </w:p>
        </w:tc>
        <w:tc>
          <w:tcPr>
            <w:tcW w:w="429" w:type="dxa"/>
            <w:tcBorders>
              <w:top w:val="single" w:sz="4" w:space="0" w:color="auto"/>
            </w:tcBorders>
            <w:vAlign w:val="center"/>
          </w:tcPr>
          <w:p w14:paraId="3910DC32" w14:textId="0CE9B997"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tcBorders>
            <w:vAlign w:val="center"/>
          </w:tcPr>
          <w:p w14:paraId="56DC2A27"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1528B81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nil"/>
              <w:bottom w:val="single" w:sz="4" w:space="0" w:color="auto"/>
            </w:tcBorders>
          </w:tcPr>
          <w:p w14:paraId="4BD4FA61"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Prílo-ha 2</w:t>
            </w:r>
          </w:p>
          <w:p w14:paraId="449641AA"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p w14:paraId="5361FC36" w14:textId="77777777" w:rsidR="00905DC2" w:rsidRPr="003549B4" w:rsidRDefault="00905DC2" w:rsidP="00905DC2">
            <w:pPr>
              <w:spacing w:after="0" w:line="240" w:lineRule="auto"/>
              <w:rPr>
                <w:rFonts w:ascii="Times New Roman" w:hAnsi="Times New Roman" w:cs="Times New Roman"/>
                <w:sz w:val="20"/>
                <w:szCs w:val="20"/>
              </w:rPr>
            </w:pPr>
          </w:p>
          <w:p w14:paraId="71157B35" w14:textId="77777777" w:rsidR="00905DC2" w:rsidRPr="003549B4" w:rsidRDefault="00905DC2" w:rsidP="00905DC2">
            <w:pPr>
              <w:spacing w:after="0" w:line="240" w:lineRule="auto"/>
              <w:rPr>
                <w:rFonts w:ascii="Times New Roman" w:hAnsi="Times New Roman" w:cs="Times New Roman"/>
                <w:sz w:val="20"/>
                <w:szCs w:val="20"/>
              </w:rPr>
            </w:pPr>
          </w:p>
          <w:p w14:paraId="6024870E" w14:textId="77777777" w:rsidR="00905DC2" w:rsidRPr="003549B4" w:rsidRDefault="00905DC2" w:rsidP="00905DC2">
            <w:pPr>
              <w:spacing w:after="0" w:line="240" w:lineRule="auto"/>
              <w:rPr>
                <w:rFonts w:ascii="Times New Roman" w:hAnsi="Times New Roman" w:cs="Times New Roman"/>
                <w:sz w:val="20"/>
                <w:szCs w:val="20"/>
              </w:rPr>
            </w:pPr>
          </w:p>
          <w:p w14:paraId="745E0604" w14:textId="77777777" w:rsidR="00905DC2" w:rsidRPr="003549B4" w:rsidRDefault="00905DC2" w:rsidP="00905DC2">
            <w:pPr>
              <w:spacing w:after="0" w:line="240" w:lineRule="auto"/>
              <w:rPr>
                <w:rFonts w:ascii="Times New Roman" w:hAnsi="Times New Roman" w:cs="Times New Roman"/>
                <w:sz w:val="20"/>
                <w:szCs w:val="20"/>
              </w:rPr>
            </w:pPr>
          </w:p>
          <w:p w14:paraId="5619B0CD" w14:textId="77777777" w:rsidR="00905DC2" w:rsidRPr="003549B4" w:rsidRDefault="00905DC2" w:rsidP="00905DC2">
            <w:pPr>
              <w:spacing w:after="0" w:line="240" w:lineRule="auto"/>
              <w:rPr>
                <w:rFonts w:ascii="Times New Roman" w:hAnsi="Times New Roman" w:cs="Times New Roman"/>
                <w:sz w:val="20"/>
                <w:szCs w:val="20"/>
              </w:rPr>
            </w:pPr>
          </w:p>
          <w:p w14:paraId="32A0914C" w14:textId="77777777" w:rsidR="00905DC2" w:rsidRPr="003549B4" w:rsidRDefault="00905DC2" w:rsidP="00905DC2">
            <w:pPr>
              <w:spacing w:after="0" w:line="240" w:lineRule="auto"/>
              <w:rPr>
                <w:rFonts w:ascii="Times New Roman" w:hAnsi="Times New Roman" w:cs="Times New Roman"/>
                <w:sz w:val="20"/>
                <w:szCs w:val="20"/>
              </w:rPr>
            </w:pPr>
          </w:p>
        </w:tc>
        <w:tc>
          <w:tcPr>
            <w:tcW w:w="6287" w:type="dxa"/>
          </w:tcPr>
          <w:p w14:paraId="54F2EEDE"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Emisné limity podľa článku 6 </w:t>
            </w:r>
          </w:p>
          <w:p w14:paraId="06C2A7D3"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Všetky emisné limity stanovené v tejto prílohe sú vymedzené pri teplote 273,15 K, tlaku 101,3 kPa a po korekcii obsahu vodných pár v odpadových plynoch a pri štandardnom obsahu O2, ktorý predstavuje 6 % pre stredne </w:t>
            </w:r>
          </w:p>
          <w:p w14:paraId="74ACEFB7"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veľké spaľovacie zariadenia používajúce tuhé palivá, 3 % pre stredne veľké spaľovacie zariadenia iné ako motory a plynové turbíny používajúce kvapalné a plynné palivá a 15 % pre motory a plynové turbíny. </w:t>
            </w:r>
          </w:p>
        </w:tc>
        <w:tc>
          <w:tcPr>
            <w:tcW w:w="433" w:type="dxa"/>
          </w:tcPr>
          <w:p w14:paraId="297523D0"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0DEB9E6F"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2329C0D2"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13D7107C" w14:textId="77777777" w:rsidR="00905DC2" w:rsidRPr="003549B4" w:rsidRDefault="00905DC2" w:rsidP="008F3AC2">
            <w:pPr>
              <w:spacing w:before="120" w:after="0" w:line="240" w:lineRule="auto"/>
              <w:ind w:right="-9" w:hanging="15"/>
              <w:rPr>
                <w:rFonts w:ascii="Times New Roman" w:hAnsi="Times New Roman" w:cs="Times New Roman"/>
                <w:sz w:val="20"/>
                <w:szCs w:val="20"/>
              </w:rPr>
            </w:pPr>
            <w:r w:rsidRPr="003549B4">
              <w:rPr>
                <w:rFonts w:ascii="Times New Roman" w:hAnsi="Times New Roman" w:cs="Times New Roman"/>
                <w:sz w:val="20"/>
                <w:szCs w:val="20"/>
              </w:rPr>
              <w:t>Pr.4</w:t>
            </w:r>
          </w:p>
          <w:p w14:paraId="3CA01081" w14:textId="77777777" w:rsidR="00905DC2" w:rsidRPr="003549B4" w:rsidRDefault="00457A7D" w:rsidP="00457A7D">
            <w:pPr>
              <w:spacing w:before="120" w:after="0" w:line="240" w:lineRule="auto"/>
              <w:ind w:right="-9" w:hanging="15"/>
              <w:rPr>
                <w:rFonts w:ascii="Times New Roman" w:hAnsi="Times New Roman" w:cs="Times New Roman"/>
                <w:sz w:val="20"/>
                <w:szCs w:val="20"/>
              </w:rPr>
            </w:pPr>
            <w:r w:rsidRPr="003549B4">
              <w:rPr>
                <w:rFonts w:ascii="Times New Roman" w:hAnsi="Times New Roman" w:cs="Times New Roman"/>
                <w:sz w:val="20"/>
                <w:szCs w:val="20"/>
              </w:rPr>
              <w:t xml:space="preserve">časť </w:t>
            </w:r>
            <w:r w:rsidR="00905DC2" w:rsidRPr="003549B4">
              <w:rPr>
                <w:rFonts w:ascii="Times New Roman" w:hAnsi="Times New Roman" w:cs="Times New Roman"/>
                <w:sz w:val="20"/>
                <w:szCs w:val="20"/>
              </w:rPr>
              <w:t>IV</w:t>
            </w:r>
          </w:p>
          <w:p w14:paraId="63A60C30" w14:textId="77777777" w:rsidR="00905DC2" w:rsidRPr="003549B4" w:rsidRDefault="00905DC2" w:rsidP="008F3AC2">
            <w:pPr>
              <w:spacing w:before="120" w:after="0" w:line="240" w:lineRule="auto"/>
              <w:ind w:right="-9" w:hanging="15"/>
              <w:rPr>
                <w:rFonts w:ascii="Times New Roman" w:hAnsi="Times New Roman" w:cs="Times New Roman"/>
                <w:sz w:val="20"/>
                <w:szCs w:val="20"/>
              </w:rPr>
            </w:pPr>
          </w:p>
        </w:tc>
        <w:tc>
          <w:tcPr>
            <w:tcW w:w="6006" w:type="dxa"/>
          </w:tcPr>
          <w:p w14:paraId="742E79C8"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2. Spaľovanie tuhých palív, kvapalných palív a plynných palív okrem spaľovania v plynových turbínach a stacionárnych piestových spaľovacích motoroch</w:t>
            </w:r>
          </w:p>
          <w:p w14:paraId="3602E086" w14:textId="77777777" w:rsidR="00905DC2" w:rsidRPr="003549B4" w:rsidRDefault="00905DC2" w:rsidP="00905DC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 xml:space="preserve">Štandardné stavové podmienky, suchý plyn, </w:t>
            </w:r>
          </w:p>
          <w:p w14:paraId="276C39B1" w14:textId="77777777" w:rsidR="00905DC2" w:rsidRPr="003549B4" w:rsidRDefault="00905DC2" w:rsidP="00905DC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 xml:space="preserve">Tuhé palivá vrátane biomasy: O2 ref: 6 % objemu </w:t>
            </w:r>
          </w:p>
          <w:p w14:paraId="7DEDF9F0" w14:textId="77777777" w:rsidR="00905DC2" w:rsidRPr="003549B4" w:rsidRDefault="00905DC2" w:rsidP="00905DC2">
            <w:pPr>
              <w:spacing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Kvapalné a plynné palivá: O2 ref: 3 % objemu</w:t>
            </w:r>
          </w:p>
          <w:p w14:paraId="2D9A66B2" w14:textId="77777777" w:rsidR="00905DC2" w:rsidRPr="003549B4" w:rsidRDefault="00905DC2" w:rsidP="00905DC2">
            <w:pPr>
              <w:spacing w:before="6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 xml:space="preserve">3. Spaľovacie zariadenie zložené z plynových turbín </w:t>
            </w:r>
          </w:p>
          <w:p w14:paraId="176293E8" w14:textId="77777777" w:rsidR="00905DC2" w:rsidRPr="003549B4" w:rsidRDefault="00905DC2" w:rsidP="00905DC2">
            <w:pPr>
              <w:spacing w:before="6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 xml:space="preserve">4. Spaľovacie zariadenie zložené zo stacionárnych piestových spaľovacích motorov  </w:t>
            </w:r>
          </w:p>
          <w:p w14:paraId="3BD0EB92" w14:textId="77777777" w:rsidR="00905DC2" w:rsidRPr="003549B4" w:rsidRDefault="00905DC2" w:rsidP="00905DC2">
            <w:pPr>
              <w:spacing w:before="6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Štandardné stavové podmienky, suchý plyn, O2 ref: 15 % objemu</w:t>
            </w:r>
          </w:p>
        </w:tc>
        <w:tc>
          <w:tcPr>
            <w:tcW w:w="429" w:type="dxa"/>
            <w:tcBorders>
              <w:top w:val="single" w:sz="4" w:space="0" w:color="auto"/>
              <w:bottom w:val="single" w:sz="4" w:space="0" w:color="auto"/>
            </w:tcBorders>
            <w:vAlign w:val="center"/>
          </w:tcPr>
          <w:p w14:paraId="58EA1408" w14:textId="19273E13"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270F6880"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5A313A6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62A152E"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Časť 1</w:t>
            </w:r>
          </w:p>
        </w:tc>
        <w:tc>
          <w:tcPr>
            <w:tcW w:w="6287" w:type="dxa"/>
          </w:tcPr>
          <w:p w14:paraId="277B579C"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lang w:eastAsia="sk-SK"/>
              </w:rPr>
              <w:t xml:space="preserve">Emisné limity pre existujúce stredne veľké spaľovacie zariadenia </w:t>
            </w:r>
          </w:p>
        </w:tc>
        <w:tc>
          <w:tcPr>
            <w:tcW w:w="433" w:type="dxa"/>
          </w:tcPr>
          <w:p w14:paraId="41DCC39A"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4D48D32C"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7DDA0BDB" w14:textId="77777777" w:rsidR="00905DC2" w:rsidRPr="003549B4" w:rsidRDefault="00905DC2" w:rsidP="00F17024">
            <w:pPr>
              <w:spacing w:before="120" w:after="0" w:line="240" w:lineRule="auto"/>
              <w:ind w:right="-108"/>
              <w:rPr>
                <w:rFonts w:ascii="Times New Roman" w:hAnsi="Times New Roman" w:cs="Times New Roman"/>
                <w:sz w:val="20"/>
                <w:szCs w:val="20"/>
              </w:rPr>
            </w:pPr>
          </w:p>
          <w:p w14:paraId="3105DEB3"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493D4288"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Pr.4</w:t>
            </w:r>
          </w:p>
          <w:p w14:paraId="4E2E3C83" w14:textId="77777777" w:rsidR="00905DC2" w:rsidRPr="003549B4" w:rsidRDefault="00457A7D"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č</w:t>
            </w:r>
            <w:r w:rsidR="00905DC2" w:rsidRPr="003549B4">
              <w:rPr>
                <w:rFonts w:ascii="Times New Roman" w:hAnsi="Times New Roman" w:cs="Times New Roman"/>
                <w:sz w:val="20"/>
                <w:szCs w:val="20"/>
              </w:rPr>
              <w:t>asť IV</w:t>
            </w:r>
          </w:p>
        </w:tc>
        <w:tc>
          <w:tcPr>
            <w:tcW w:w="6006" w:type="dxa"/>
          </w:tcPr>
          <w:p w14:paraId="5ED45703"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 xml:space="preserve">Platí pre väčšie stredné spaľovacie zariadenia </w:t>
            </w:r>
          </w:p>
          <w:p w14:paraId="131AFDBC"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MTP &gt; 5 MW platné od 1. januára 2025,</w:t>
            </w:r>
          </w:p>
          <w:p w14:paraId="0D84E181"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MTP ≥ 1 a  ≤ 5 MW platné od 1. januára 2030.</w:t>
            </w:r>
          </w:p>
        </w:tc>
        <w:tc>
          <w:tcPr>
            <w:tcW w:w="429" w:type="dxa"/>
            <w:tcBorders>
              <w:top w:val="single" w:sz="4" w:space="0" w:color="auto"/>
              <w:bottom w:val="single" w:sz="4" w:space="0" w:color="auto"/>
            </w:tcBorders>
            <w:vAlign w:val="center"/>
          </w:tcPr>
          <w:p w14:paraId="3DCBBAED" w14:textId="0C05E988"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4BCEDE41"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1DEE35C5"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D99821E"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Tab.1</w:t>
            </w:r>
          </w:p>
          <w:p w14:paraId="75217B6F" w14:textId="77777777" w:rsidR="00905DC2" w:rsidRPr="003549B4" w:rsidRDefault="00905DC2" w:rsidP="00905DC2">
            <w:pPr>
              <w:spacing w:after="0" w:line="240" w:lineRule="auto"/>
              <w:rPr>
                <w:rFonts w:ascii="Times New Roman" w:hAnsi="Times New Roman" w:cs="Times New Roman"/>
                <w:sz w:val="20"/>
                <w:szCs w:val="20"/>
              </w:rPr>
            </w:pPr>
          </w:p>
          <w:p w14:paraId="2089368E" w14:textId="77777777" w:rsidR="00905DC2" w:rsidRPr="003549B4" w:rsidRDefault="00905DC2" w:rsidP="00905DC2">
            <w:pPr>
              <w:spacing w:after="0" w:line="240" w:lineRule="auto"/>
              <w:rPr>
                <w:rFonts w:ascii="Times New Roman" w:hAnsi="Times New Roman" w:cs="Times New Roman"/>
                <w:sz w:val="20"/>
                <w:szCs w:val="20"/>
              </w:rPr>
            </w:pPr>
          </w:p>
          <w:p w14:paraId="4AFEA859" w14:textId="77777777" w:rsidR="00905DC2" w:rsidRPr="003549B4" w:rsidRDefault="00905DC2" w:rsidP="00905DC2">
            <w:pPr>
              <w:spacing w:after="0" w:line="240" w:lineRule="auto"/>
              <w:rPr>
                <w:rFonts w:ascii="Times New Roman" w:hAnsi="Times New Roman" w:cs="Times New Roman"/>
                <w:sz w:val="20"/>
                <w:szCs w:val="20"/>
              </w:rPr>
            </w:pPr>
          </w:p>
          <w:p w14:paraId="268D321B" w14:textId="77777777" w:rsidR="00905DC2" w:rsidRPr="003549B4" w:rsidRDefault="00905DC2" w:rsidP="00905DC2">
            <w:pPr>
              <w:spacing w:after="0" w:line="240" w:lineRule="auto"/>
              <w:rPr>
                <w:rFonts w:ascii="Times New Roman" w:hAnsi="Times New Roman" w:cs="Times New Roman"/>
                <w:sz w:val="20"/>
                <w:szCs w:val="20"/>
              </w:rPr>
            </w:pPr>
          </w:p>
          <w:p w14:paraId="11C7EC22" w14:textId="77777777" w:rsidR="00905DC2" w:rsidRPr="003549B4" w:rsidRDefault="00905DC2" w:rsidP="00905DC2">
            <w:pPr>
              <w:spacing w:after="0" w:line="240" w:lineRule="auto"/>
              <w:rPr>
                <w:rFonts w:ascii="Times New Roman" w:hAnsi="Times New Roman" w:cs="Times New Roman"/>
                <w:sz w:val="20"/>
                <w:szCs w:val="20"/>
              </w:rPr>
            </w:pPr>
          </w:p>
          <w:p w14:paraId="3DBAA247" w14:textId="77777777" w:rsidR="00905DC2" w:rsidRPr="003549B4" w:rsidRDefault="00905DC2" w:rsidP="00905DC2">
            <w:pPr>
              <w:spacing w:after="0" w:line="240" w:lineRule="auto"/>
              <w:rPr>
                <w:rFonts w:ascii="Times New Roman" w:hAnsi="Times New Roman" w:cs="Times New Roman"/>
                <w:sz w:val="20"/>
                <w:szCs w:val="20"/>
              </w:rPr>
            </w:pPr>
          </w:p>
          <w:p w14:paraId="3BF05409" w14:textId="77777777" w:rsidR="00905DC2" w:rsidRPr="003549B4" w:rsidRDefault="00905DC2" w:rsidP="00905DC2">
            <w:pPr>
              <w:spacing w:after="0" w:line="240" w:lineRule="auto"/>
              <w:rPr>
                <w:rFonts w:ascii="Times New Roman" w:hAnsi="Times New Roman" w:cs="Times New Roman"/>
                <w:sz w:val="20"/>
                <w:szCs w:val="20"/>
              </w:rPr>
            </w:pPr>
          </w:p>
          <w:p w14:paraId="0DD4B9BC" w14:textId="77777777" w:rsidR="00905DC2" w:rsidRPr="003549B4" w:rsidRDefault="00905DC2" w:rsidP="00905DC2">
            <w:pPr>
              <w:spacing w:after="0" w:line="240" w:lineRule="auto"/>
              <w:rPr>
                <w:rFonts w:ascii="Times New Roman" w:hAnsi="Times New Roman" w:cs="Times New Roman"/>
                <w:sz w:val="20"/>
                <w:szCs w:val="20"/>
              </w:rPr>
            </w:pPr>
          </w:p>
          <w:p w14:paraId="34E61A51" w14:textId="77777777" w:rsidR="00905DC2" w:rsidRPr="003549B4" w:rsidRDefault="00905DC2" w:rsidP="00905DC2">
            <w:pPr>
              <w:spacing w:after="0" w:line="240" w:lineRule="auto"/>
              <w:rPr>
                <w:rFonts w:ascii="Times New Roman" w:hAnsi="Times New Roman" w:cs="Times New Roman"/>
                <w:sz w:val="20"/>
                <w:szCs w:val="20"/>
              </w:rPr>
            </w:pPr>
          </w:p>
          <w:p w14:paraId="7A8C7807" w14:textId="77777777" w:rsidR="00905DC2" w:rsidRPr="003549B4" w:rsidRDefault="00905DC2" w:rsidP="00905DC2">
            <w:pPr>
              <w:spacing w:after="0" w:line="240" w:lineRule="auto"/>
              <w:rPr>
                <w:rFonts w:ascii="Times New Roman" w:hAnsi="Times New Roman" w:cs="Times New Roman"/>
                <w:sz w:val="20"/>
                <w:szCs w:val="20"/>
              </w:rPr>
            </w:pPr>
          </w:p>
          <w:p w14:paraId="79E5A63E" w14:textId="77777777" w:rsidR="00905DC2" w:rsidRPr="003549B4" w:rsidRDefault="00905DC2" w:rsidP="00905DC2">
            <w:pPr>
              <w:spacing w:after="0" w:line="240" w:lineRule="auto"/>
              <w:rPr>
                <w:rFonts w:ascii="Times New Roman" w:hAnsi="Times New Roman" w:cs="Times New Roman"/>
                <w:sz w:val="20"/>
                <w:szCs w:val="20"/>
              </w:rPr>
            </w:pPr>
          </w:p>
          <w:p w14:paraId="7A27828B" w14:textId="77777777" w:rsidR="00905DC2" w:rsidRPr="003549B4" w:rsidRDefault="00905DC2" w:rsidP="00905DC2">
            <w:pPr>
              <w:spacing w:after="0" w:line="240" w:lineRule="auto"/>
              <w:rPr>
                <w:rFonts w:ascii="Times New Roman" w:hAnsi="Times New Roman" w:cs="Times New Roman"/>
                <w:sz w:val="20"/>
                <w:szCs w:val="20"/>
              </w:rPr>
            </w:pPr>
          </w:p>
          <w:p w14:paraId="58C80F99" w14:textId="77777777" w:rsidR="00905DC2" w:rsidRPr="003549B4" w:rsidRDefault="00905DC2" w:rsidP="00905DC2">
            <w:pPr>
              <w:spacing w:after="0" w:line="240" w:lineRule="auto"/>
              <w:rPr>
                <w:rFonts w:ascii="Times New Roman" w:hAnsi="Times New Roman" w:cs="Times New Roman"/>
                <w:sz w:val="20"/>
                <w:szCs w:val="20"/>
              </w:rPr>
            </w:pPr>
          </w:p>
          <w:p w14:paraId="0E0B393A" w14:textId="77777777" w:rsidR="00905DC2" w:rsidRPr="003549B4" w:rsidRDefault="00905DC2" w:rsidP="00905DC2">
            <w:pPr>
              <w:spacing w:after="0" w:line="240" w:lineRule="auto"/>
              <w:rPr>
                <w:rFonts w:ascii="Times New Roman" w:hAnsi="Times New Roman" w:cs="Times New Roman"/>
                <w:sz w:val="20"/>
                <w:szCs w:val="20"/>
              </w:rPr>
            </w:pPr>
          </w:p>
          <w:p w14:paraId="5F9F14F9" w14:textId="77777777" w:rsidR="00905DC2" w:rsidRPr="003549B4" w:rsidRDefault="00905DC2" w:rsidP="00905DC2">
            <w:pPr>
              <w:spacing w:after="0" w:line="240" w:lineRule="auto"/>
              <w:rPr>
                <w:rFonts w:ascii="Times New Roman" w:hAnsi="Times New Roman" w:cs="Times New Roman"/>
                <w:sz w:val="20"/>
                <w:szCs w:val="20"/>
              </w:rPr>
            </w:pPr>
          </w:p>
          <w:p w14:paraId="74F4896B" w14:textId="77777777" w:rsidR="00905DC2" w:rsidRPr="003549B4" w:rsidRDefault="00905DC2" w:rsidP="00905DC2">
            <w:pPr>
              <w:spacing w:after="0" w:line="240" w:lineRule="auto"/>
              <w:rPr>
                <w:rFonts w:ascii="Times New Roman" w:hAnsi="Times New Roman" w:cs="Times New Roman"/>
                <w:sz w:val="20"/>
                <w:szCs w:val="20"/>
              </w:rPr>
            </w:pPr>
          </w:p>
          <w:p w14:paraId="6448BC77" w14:textId="77777777" w:rsidR="00905DC2" w:rsidRPr="003549B4" w:rsidRDefault="00905DC2" w:rsidP="00905DC2">
            <w:pPr>
              <w:spacing w:after="0" w:line="240" w:lineRule="auto"/>
              <w:rPr>
                <w:rFonts w:ascii="Times New Roman" w:hAnsi="Times New Roman" w:cs="Times New Roman"/>
                <w:sz w:val="20"/>
                <w:szCs w:val="20"/>
              </w:rPr>
            </w:pPr>
          </w:p>
          <w:p w14:paraId="5572FEF7" w14:textId="77777777" w:rsidR="00905DC2" w:rsidRPr="003549B4" w:rsidRDefault="00905DC2" w:rsidP="00905DC2">
            <w:pPr>
              <w:spacing w:after="0" w:line="240" w:lineRule="auto"/>
              <w:rPr>
                <w:rFonts w:ascii="Times New Roman" w:hAnsi="Times New Roman" w:cs="Times New Roman"/>
                <w:sz w:val="20"/>
                <w:szCs w:val="20"/>
              </w:rPr>
            </w:pPr>
          </w:p>
          <w:p w14:paraId="37AC2C7D" w14:textId="77777777" w:rsidR="00905DC2" w:rsidRPr="003549B4" w:rsidRDefault="00905DC2" w:rsidP="00905DC2">
            <w:pPr>
              <w:spacing w:after="0" w:line="240" w:lineRule="auto"/>
              <w:rPr>
                <w:rFonts w:ascii="Times New Roman" w:hAnsi="Times New Roman" w:cs="Times New Roman"/>
                <w:sz w:val="20"/>
                <w:szCs w:val="20"/>
              </w:rPr>
            </w:pPr>
          </w:p>
          <w:p w14:paraId="63337A52" w14:textId="77777777" w:rsidR="00905DC2" w:rsidRPr="003549B4" w:rsidRDefault="00905DC2" w:rsidP="00905DC2">
            <w:pPr>
              <w:spacing w:after="0" w:line="240" w:lineRule="auto"/>
              <w:rPr>
                <w:rFonts w:ascii="Times New Roman" w:hAnsi="Times New Roman" w:cs="Times New Roman"/>
                <w:sz w:val="20"/>
                <w:szCs w:val="20"/>
              </w:rPr>
            </w:pPr>
          </w:p>
          <w:p w14:paraId="48E87D7F" w14:textId="77777777" w:rsidR="00905DC2" w:rsidRPr="003549B4" w:rsidRDefault="00905DC2" w:rsidP="00905DC2">
            <w:pPr>
              <w:spacing w:after="0" w:line="240" w:lineRule="auto"/>
              <w:rPr>
                <w:rFonts w:ascii="Times New Roman" w:hAnsi="Times New Roman" w:cs="Times New Roman"/>
                <w:sz w:val="20"/>
                <w:szCs w:val="20"/>
              </w:rPr>
            </w:pPr>
          </w:p>
          <w:p w14:paraId="1A234595" w14:textId="77777777" w:rsidR="00905DC2" w:rsidRPr="003549B4" w:rsidRDefault="00905DC2" w:rsidP="00905DC2">
            <w:pPr>
              <w:spacing w:after="0" w:line="240" w:lineRule="auto"/>
              <w:rPr>
                <w:rFonts w:ascii="Times New Roman" w:hAnsi="Times New Roman" w:cs="Times New Roman"/>
                <w:sz w:val="20"/>
                <w:szCs w:val="20"/>
              </w:rPr>
            </w:pPr>
          </w:p>
          <w:p w14:paraId="563133CD"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Tab.2</w:t>
            </w:r>
          </w:p>
        </w:tc>
        <w:tc>
          <w:tcPr>
            <w:tcW w:w="6287" w:type="dxa"/>
          </w:tcPr>
          <w:p w14:paraId="389D3509"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lastRenderedPageBreak/>
              <w:t xml:space="preserve">Emisné limity (mg/Nm3) pre existujúce stredne veľké spaľovacie zariadenia s menovitým tepelným príkonom rovnajúcim sa alebo väčším ako 1 MW a menším alebo rovnajúcim sa 5 MW iné ako motory a plynové turbíny </w:t>
            </w:r>
          </w:p>
          <w:p w14:paraId="020873E3"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noProof/>
                <w:sz w:val="20"/>
                <w:szCs w:val="20"/>
                <w:lang w:eastAsia="sk-SK"/>
              </w:rPr>
              <w:lastRenderedPageBreak/>
              <w:drawing>
                <wp:inline distT="0" distB="0" distL="0" distR="0" wp14:anchorId="382FE2F2" wp14:editId="20223B0D">
                  <wp:extent cx="4305300" cy="29146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2914650"/>
                          </a:xfrm>
                          <a:prstGeom prst="rect">
                            <a:avLst/>
                          </a:prstGeom>
                          <a:noFill/>
                          <a:ln>
                            <a:noFill/>
                          </a:ln>
                        </pic:spPr>
                      </pic:pic>
                    </a:graphicData>
                  </a:graphic>
                </wp:inline>
              </w:drawing>
            </w:r>
          </w:p>
          <w:p w14:paraId="1952883C" w14:textId="77777777" w:rsidR="00905DC2" w:rsidRPr="003549B4" w:rsidRDefault="00905DC2" w:rsidP="00905DC2">
            <w:pPr>
              <w:spacing w:before="120" w:after="0" w:line="240" w:lineRule="auto"/>
              <w:rPr>
                <w:rFonts w:ascii="Times New Roman" w:hAnsi="Times New Roman" w:cs="Times New Roman"/>
                <w:sz w:val="20"/>
                <w:szCs w:val="20"/>
              </w:rPr>
            </w:pPr>
          </w:p>
          <w:p w14:paraId="0E412531" w14:textId="77777777" w:rsidR="00905DC2" w:rsidRPr="003549B4" w:rsidRDefault="00905DC2" w:rsidP="00905DC2">
            <w:pPr>
              <w:spacing w:before="120" w:after="0" w:line="240" w:lineRule="auto"/>
              <w:rPr>
                <w:rFonts w:ascii="Times New Roman" w:hAnsi="Times New Roman" w:cs="Times New Roman"/>
                <w:sz w:val="20"/>
                <w:szCs w:val="20"/>
              </w:rPr>
            </w:pPr>
          </w:p>
          <w:p w14:paraId="743C868A"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sz w:val="20"/>
                <w:szCs w:val="20"/>
                <w:lang w:eastAsia="sk-SK"/>
              </w:rPr>
              <w:t xml:space="preserve">Emisné limity (mg/Nm3) pre existujúce stredne veľké spaľovacie zariadenia s menovitým tepelným príkonom väčším ako 5 MW iné ako motory a plynové turbíny </w:t>
            </w:r>
          </w:p>
          <w:p w14:paraId="51024FBF" w14:textId="77777777" w:rsidR="00905DC2" w:rsidRPr="003549B4" w:rsidRDefault="00905DC2" w:rsidP="00905DC2">
            <w:pPr>
              <w:spacing w:after="0" w:line="240" w:lineRule="auto"/>
              <w:rPr>
                <w:rFonts w:ascii="Times New Roman" w:hAnsi="Times New Roman" w:cs="Times New Roman"/>
                <w:sz w:val="20"/>
                <w:szCs w:val="20"/>
                <w:lang w:eastAsia="sk-SK"/>
              </w:rPr>
            </w:pPr>
            <w:r w:rsidRPr="003549B4">
              <w:rPr>
                <w:rFonts w:ascii="Times New Roman" w:hAnsi="Times New Roman" w:cs="Times New Roman"/>
                <w:noProof/>
                <w:sz w:val="20"/>
                <w:szCs w:val="20"/>
                <w:lang w:eastAsia="sk-SK"/>
              </w:rPr>
              <w:drawing>
                <wp:inline distT="0" distB="0" distL="0" distR="0" wp14:anchorId="5C403318" wp14:editId="25F5039A">
                  <wp:extent cx="4248150" cy="2038350"/>
                  <wp:effectExtent l="0" t="0" r="0" b="0"/>
                  <wp:docPr id="2"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150" cy="2038350"/>
                          </a:xfrm>
                          <a:prstGeom prst="rect">
                            <a:avLst/>
                          </a:prstGeom>
                          <a:noFill/>
                          <a:ln>
                            <a:noFill/>
                          </a:ln>
                        </pic:spPr>
                      </pic:pic>
                    </a:graphicData>
                  </a:graphic>
                </wp:inline>
              </w:drawing>
            </w:r>
          </w:p>
          <w:p w14:paraId="60BA36B7"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(1) Táto hodnota sa neuplatňuje v prípade zariadení spaľujúcich výlučne drevnú tuhú biomasu. </w:t>
            </w:r>
          </w:p>
          <w:p w14:paraId="62D1ECA2"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(2) 300 mg/Nm3 v prípade zariadení spaľujúcich slamu. </w:t>
            </w:r>
          </w:p>
          <w:p w14:paraId="2A70011B"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 xml:space="preserve">(3) 1 100 mg/Nm3 v prípade zariadení s menovitým tepelným príkonom väčším ako 5 MW a menším alebo rovnajúcim sa 20 MW. </w:t>
            </w:r>
          </w:p>
          <w:p w14:paraId="25E7451F"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(4) Do 1. januára 2030, 850 mg/Nm3 v prípade zariadení spaľujúcich ťažký vykurovací olej s menovitým tepelným príkonom väčším ako 5 MW a menším alebo rovnajúcim sa 20 MW. </w:t>
            </w:r>
          </w:p>
          <w:p w14:paraId="345387B6"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(5)400 mg/Nm3 v prípade nízkovýhrevných plynov z koksárenských pecí a 200 mg/Nm3 v prípade nízkovýhrevných plynov z vysokých pecí v železiarskom a oceliarskom priemysle. </w:t>
            </w:r>
          </w:p>
          <w:p w14:paraId="038A159B"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(6) 170 mg/Nm3 v prípade bioplynu. </w:t>
            </w:r>
          </w:p>
          <w:p w14:paraId="636B8F88"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(7) 50 mg/Nm3 v prípade zariadení s menovitým tepelným príkonom väčším ako 5 MW a menším alebo rovnajúcim sa 20 MW.</w:t>
            </w:r>
          </w:p>
        </w:tc>
        <w:tc>
          <w:tcPr>
            <w:tcW w:w="433" w:type="dxa"/>
          </w:tcPr>
          <w:p w14:paraId="306E4566"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w:t>
            </w:r>
          </w:p>
        </w:tc>
        <w:tc>
          <w:tcPr>
            <w:tcW w:w="572" w:type="dxa"/>
          </w:tcPr>
          <w:p w14:paraId="1169309A" w14:textId="77777777" w:rsidR="00905DC2" w:rsidRPr="003549B4" w:rsidRDefault="00905DC2" w:rsidP="00F17024">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tc>
        <w:tc>
          <w:tcPr>
            <w:tcW w:w="569" w:type="dxa"/>
          </w:tcPr>
          <w:p w14:paraId="0B7A2F8F" w14:textId="77777777" w:rsidR="00905DC2" w:rsidRPr="003549B4" w:rsidRDefault="00905DC2" w:rsidP="00457A7D">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Pr.4</w:t>
            </w:r>
          </w:p>
          <w:p w14:paraId="697F297C" w14:textId="77777777" w:rsidR="00905DC2" w:rsidRPr="003549B4" w:rsidRDefault="00457A7D" w:rsidP="00457A7D">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č</w:t>
            </w:r>
            <w:r w:rsidR="00905DC2" w:rsidRPr="003549B4">
              <w:rPr>
                <w:rFonts w:ascii="Times New Roman" w:hAnsi="Times New Roman" w:cs="Times New Roman"/>
                <w:sz w:val="20"/>
                <w:szCs w:val="20"/>
              </w:rPr>
              <w:t>asť IV</w:t>
            </w:r>
          </w:p>
          <w:p w14:paraId="4E675E27"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6E93CB6B"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36EFAC20"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23AB22F7"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77692150"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172FF420"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25B51F0E"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3075351A"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1B82F832"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0A78502A"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44A7FF00"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7BEE6F20"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052A0D73"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39529AC4"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31082E91"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21EF3097"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7027E85E"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460A6458"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17B86A19"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18CB0AAA"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4064DD78"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789129E5"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74012635"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6B23AE5F"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52E55ABC"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43D6D19D"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23343C6B"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25FE9A2F"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336DB13A"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1234C1BC"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0CF8FD9A"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4725A82E"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0AB1BF23" w14:textId="77777777" w:rsidR="00905DC2" w:rsidRPr="003549B4" w:rsidRDefault="00905DC2" w:rsidP="00F17024">
            <w:pPr>
              <w:spacing w:after="0" w:line="240" w:lineRule="auto"/>
              <w:ind w:left="14" w:right="-9" w:hanging="29"/>
              <w:rPr>
                <w:rFonts w:ascii="Times New Roman" w:hAnsi="Times New Roman" w:cs="Times New Roman"/>
                <w:sz w:val="20"/>
                <w:szCs w:val="20"/>
              </w:rPr>
            </w:pPr>
          </w:p>
          <w:p w14:paraId="5FFE4DB2" w14:textId="77777777" w:rsidR="00905DC2" w:rsidRPr="003549B4" w:rsidRDefault="00905DC2" w:rsidP="00F17024">
            <w:pPr>
              <w:spacing w:after="0" w:line="240" w:lineRule="auto"/>
              <w:ind w:left="14" w:right="-9" w:hanging="29"/>
              <w:rPr>
                <w:rFonts w:ascii="Times New Roman" w:hAnsi="Times New Roman" w:cs="Times New Roman"/>
                <w:sz w:val="20"/>
                <w:szCs w:val="20"/>
              </w:rPr>
            </w:pPr>
          </w:p>
        </w:tc>
        <w:tc>
          <w:tcPr>
            <w:tcW w:w="6006" w:type="dxa"/>
          </w:tcPr>
          <w:p w14:paraId="39F79768" w14:textId="77777777" w:rsidR="00905DC2" w:rsidRPr="003549B4" w:rsidRDefault="00905DC2" w:rsidP="00457A7D">
            <w:pPr>
              <w:spacing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lastRenderedPageBreak/>
              <w:t>2. Spaľovanie tuhých palív, kvapalných palív a plynných palív okrem spaľovania v plynových turbínach a stacionárnych piestových spaľovacích motoroch</w:t>
            </w:r>
          </w:p>
          <w:p w14:paraId="6A784047" w14:textId="77777777" w:rsidR="00905DC2" w:rsidRPr="003549B4" w:rsidRDefault="00905DC2" w:rsidP="00905DC2">
            <w:pPr>
              <w:spacing w:before="120" w:after="120" w:line="240" w:lineRule="auto"/>
              <w:ind w:left="284" w:hanging="284"/>
              <w:rPr>
                <w:rFonts w:ascii="Times New Roman" w:hAnsi="Times New Roman" w:cs="Times New Roman"/>
                <w:sz w:val="20"/>
                <w:szCs w:val="20"/>
              </w:rPr>
            </w:pPr>
            <w:r w:rsidRPr="003549B4">
              <w:rPr>
                <w:rFonts w:ascii="Times New Roman" w:hAnsi="Times New Roman" w:cs="Times New Roman"/>
                <w:sz w:val="20"/>
                <w:szCs w:val="20"/>
              </w:rPr>
              <w:t>A. Emisné limity pre väčšie stredné spaľovacie  zariadenia spaľujúce tuhé palivá, kvapalné palivá a plynné palivá - jestvujúce zariadenia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703"/>
              <w:gridCol w:w="1123"/>
              <w:gridCol w:w="893"/>
              <w:gridCol w:w="89"/>
              <w:gridCol w:w="566"/>
              <w:gridCol w:w="277"/>
              <w:gridCol w:w="771"/>
            </w:tblGrid>
            <w:tr w:rsidR="00457A7D" w:rsidRPr="003549B4" w14:paraId="5577BD1D" w14:textId="77777777" w:rsidTr="00457A7D">
              <w:trPr>
                <w:jc w:val="center"/>
              </w:trPr>
              <w:tc>
                <w:tcPr>
                  <w:tcW w:w="1316" w:type="dxa"/>
                  <w:vMerge w:val="restart"/>
                  <w:vAlign w:val="center"/>
                </w:tcPr>
                <w:p w14:paraId="2246D948" w14:textId="77777777" w:rsidR="00457A7D" w:rsidRPr="003549B4" w:rsidRDefault="00457A7D" w:rsidP="00457A7D">
                  <w:pPr>
                    <w:spacing w:after="0" w:line="240" w:lineRule="auto"/>
                    <w:rPr>
                      <w:rFonts w:ascii="Times New Roman" w:hAnsi="Times New Roman" w:cs="Times New Roman"/>
                      <w:b/>
                      <w:sz w:val="18"/>
                      <w:szCs w:val="18"/>
                    </w:rPr>
                  </w:pPr>
                  <w:r w:rsidRPr="003549B4">
                    <w:rPr>
                      <w:rFonts w:ascii="Times New Roman" w:hAnsi="Times New Roman" w:cs="Times New Roman"/>
                      <w:b/>
                      <w:sz w:val="18"/>
                      <w:szCs w:val="18"/>
                    </w:rPr>
                    <w:lastRenderedPageBreak/>
                    <w:t>Podmienky platnosti  EL</w:t>
                  </w:r>
                </w:p>
              </w:tc>
              <w:tc>
                <w:tcPr>
                  <w:tcW w:w="4464" w:type="dxa"/>
                  <w:gridSpan w:val="7"/>
                </w:tcPr>
                <w:p w14:paraId="130A71CE"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Štandardné stavové podmienky, suchý plyn, </w:t>
                  </w:r>
                </w:p>
                <w:p w14:paraId="12BCACBA"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Tuhé palivá vrátane biomasy: O</w:t>
                  </w:r>
                  <w:r w:rsidRPr="003549B4">
                    <w:rPr>
                      <w:rFonts w:ascii="Times New Roman" w:hAnsi="Times New Roman" w:cs="Times New Roman"/>
                      <w:sz w:val="18"/>
                      <w:szCs w:val="18"/>
                      <w:vertAlign w:val="subscript"/>
                    </w:rPr>
                    <w:t>2 ref</w:t>
                  </w:r>
                  <w:r w:rsidRPr="003549B4">
                    <w:rPr>
                      <w:rFonts w:ascii="Times New Roman" w:hAnsi="Times New Roman" w:cs="Times New Roman"/>
                      <w:sz w:val="18"/>
                      <w:szCs w:val="18"/>
                    </w:rPr>
                    <w:t xml:space="preserve">: 6 % objemu </w:t>
                  </w:r>
                </w:p>
                <w:p w14:paraId="6B3B1A95"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Kvapalné a plynné palivá: O</w:t>
                  </w:r>
                  <w:r w:rsidRPr="003549B4">
                    <w:rPr>
                      <w:rFonts w:ascii="Times New Roman" w:hAnsi="Times New Roman" w:cs="Times New Roman"/>
                      <w:sz w:val="18"/>
                      <w:szCs w:val="18"/>
                      <w:vertAlign w:val="subscript"/>
                    </w:rPr>
                    <w:t>2 ref</w:t>
                  </w:r>
                  <w:r w:rsidRPr="003549B4">
                    <w:rPr>
                      <w:rFonts w:ascii="Times New Roman" w:hAnsi="Times New Roman" w:cs="Times New Roman"/>
                      <w:sz w:val="18"/>
                      <w:szCs w:val="18"/>
                    </w:rPr>
                    <w:t>: 3 % objemu</w:t>
                  </w:r>
                </w:p>
              </w:tc>
            </w:tr>
            <w:tr w:rsidR="00457A7D" w:rsidRPr="003549B4" w14:paraId="72DAFA78" w14:textId="77777777" w:rsidTr="00457A7D">
              <w:trPr>
                <w:trHeight w:val="427"/>
                <w:jc w:val="center"/>
              </w:trPr>
              <w:tc>
                <w:tcPr>
                  <w:tcW w:w="1316" w:type="dxa"/>
                  <w:vMerge/>
                  <w:vAlign w:val="center"/>
                </w:tcPr>
                <w:p w14:paraId="6D9EEC75" w14:textId="77777777" w:rsidR="00457A7D" w:rsidRPr="003549B4" w:rsidRDefault="00457A7D" w:rsidP="00457A7D">
                  <w:pPr>
                    <w:spacing w:after="0" w:line="240" w:lineRule="auto"/>
                    <w:rPr>
                      <w:rFonts w:ascii="Times New Roman" w:hAnsi="Times New Roman" w:cs="Times New Roman"/>
                      <w:b/>
                      <w:sz w:val="18"/>
                      <w:szCs w:val="18"/>
                    </w:rPr>
                  </w:pPr>
                </w:p>
              </w:tc>
              <w:tc>
                <w:tcPr>
                  <w:tcW w:w="4464" w:type="dxa"/>
                  <w:gridSpan w:val="7"/>
                </w:tcPr>
                <w:p w14:paraId="04E22611" w14:textId="77777777" w:rsidR="00457A7D" w:rsidRPr="003549B4" w:rsidRDefault="00457A7D" w:rsidP="00457A7D">
                  <w:pPr>
                    <w:spacing w:after="0" w:line="240" w:lineRule="auto"/>
                    <w:ind w:left="34" w:hanging="34"/>
                    <w:rPr>
                      <w:rFonts w:ascii="Times New Roman" w:hAnsi="Times New Roman" w:cs="Times New Roman"/>
                      <w:sz w:val="18"/>
                      <w:szCs w:val="18"/>
                    </w:rPr>
                  </w:pPr>
                  <w:r w:rsidRPr="003549B4">
                    <w:rPr>
                      <w:rFonts w:ascii="Times New Roman" w:hAnsi="Times New Roman" w:cs="Times New Roman"/>
                      <w:sz w:val="18"/>
                      <w:szCs w:val="18"/>
                    </w:rPr>
                    <w:t>Na zariadenia zaradené v OPR podľa § 17 ods. 1 a 2 sa emisné limity neuplatňujú  okrem EL pre TZL: 200 mg/m</w:t>
                  </w:r>
                  <w:r w:rsidRPr="003549B4">
                    <w:rPr>
                      <w:rFonts w:ascii="Times New Roman" w:hAnsi="Times New Roman" w:cs="Times New Roman"/>
                      <w:sz w:val="18"/>
                      <w:szCs w:val="18"/>
                      <w:vertAlign w:val="superscript"/>
                    </w:rPr>
                    <w:t xml:space="preserve">3 </w:t>
                  </w:r>
                  <w:r w:rsidRPr="003549B4">
                    <w:rPr>
                      <w:rFonts w:ascii="Times New Roman" w:hAnsi="Times New Roman" w:cs="Times New Roman"/>
                      <w:sz w:val="18"/>
                      <w:szCs w:val="18"/>
                    </w:rPr>
                    <w:t>pre spaľovanie tuhých palív, vrátane biomasy.</w:t>
                  </w:r>
                </w:p>
              </w:tc>
            </w:tr>
            <w:tr w:rsidR="00457A7D" w:rsidRPr="003549B4" w14:paraId="7F7983B1" w14:textId="77777777" w:rsidTr="00457A7D">
              <w:trPr>
                <w:trHeight w:val="639"/>
                <w:jc w:val="center"/>
              </w:trPr>
              <w:tc>
                <w:tcPr>
                  <w:tcW w:w="1316" w:type="dxa"/>
                  <w:vMerge/>
                  <w:vAlign w:val="center"/>
                </w:tcPr>
                <w:p w14:paraId="55C7B272" w14:textId="77777777" w:rsidR="00457A7D" w:rsidRPr="003549B4" w:rsidRDefault="00457A7D" w:rsidP="00457A7D">
                  <w:pPr>
                    <w:spacing w:after="0" w:line="240" w:lineRule="auto"/>
                    <w:rPr>
                      <w:rFonts w:ascii="Times New Roman" w:hAnsi="Times New Roman" w:cs="Times New Roman"/>
                      <w:b/>
                      <w:sz w:val="18"/>
                      <w:szCs w:val="18"/>
                    </w:rPr>
                  </w:pPr>
                </w:p>
              </w:tc>
              <w:tc>
                <w:tcPr>
                  <w:tcW w:w="4464" w:type="dxa"/>
                  <w:gridSpan w:val="7"/>
                </w:tcPr>
                <w:p w14:paraId="6915AC22" w14:textId="77777777" w:rsidR="00457A7D" w:rsidRPr="003549B4" w:rsidRDefault="00457A7D" w:rsidP="00457A7D">
                  <w:pPr>
                    <w:spacing w:after="0" w:line="240" w:lineRule="auto"/>
                    <w:ind w:left="34" w:hanging="34"/>
                    <w:rPr>
                      <w:rFonts w:ascii="Times New Roman" w:hAnsi="Times New Roman" w:cs="Times New Roman"/>
                      <w:sz w:val="18"/>
                      <w:szCs w:val="18"/>
                    </w:rPr>
                  </w:pPr>
                  <w:r w:rsidRPr="003549B4">
                    <w:rPr>
                      <w:rFonts w:ascii="Times New Roman" w:hAnsi="Times New Roman" w:cs="Times New Roman"/>
                      <w:sz w:val="18"/>
                      <w:szCs w:val="18"/>
                    </w:rPr>
                    <w:t>Pre spaľovanie biomasy možno do roku 2030 povoliť výnimku z EL pre TZL, pričom určený EL nesmie byť vyšší ako  150 mg/m</w:t>
                  </w:r>
                  <w:r w:rsidRPr="003549B4">
                    <w:rPr>
                      <w:rFonts w:ascii="Times New Roman" w:hAnsi="Times New Roman" w:cs="Times New Roman"/>
                      <w:sz w:val="18"/>
                      <w:szCs w:val="18"/>
                      <w:vertAlign w:val="superscript"/>
                    </w:rPr>
                    <w:t>3</w:t>
                  </w:r>
                  <w:r w:rsidRPr="003549B4">
                    <w:rPr>
                      <w:rFonts w:ascii="Times New Roman" w:hAnsi="Times New Roman" w:cs="Times New Roman"/>
                      <w:sz w:val="18"/>
                      <w:szCs w:val="18"/>
                    </w:rPr>
                    <w:t>.</w:t>
                  </w:r>
                </w:p>
              </w:tc>
            </w:tr>
            <w:tr w:rsidR="00457A7D" w:rsidRPr="003549B4" w14:paraId="029674B3" w14:textId="77777777" w:rsidTr="00457A7D">
              <w:trPr>
                <w:jc w:val="center"/>
              </w:trPr>
              <w:tc>
                <w:tcPr>
                  <w:tcW w:w="1316" w:type="dxa"/>
                  <w:vMerge/>
                </w:tcPr>
                <w:p w14:paraId="73BE1A5A" w14:textId="77777777" w:rsidR="00457A7D" w:rsidRPr="003549B4" w:rsidRDefault="00457A7D" w:rsidP="00457A7D">
                  <w:pPr>
                    <w:spacing w:after="0" w:line="240" w:lineRule="auto"/>
                    <w:rPr>
                      <w:rFonts w:ascii="Times New Roman" w:hAnsi="Times New Roman" w:cs="Times New Roman"/>
                      <w:sz w:val="18"/>
                      <w:szCs w:val="18"/>
                    </w:rPr>
                  </w:pPr>
                </w:p>
              </w:tc>
              <w:tc>
                <w:tcPr>
                  <w:tcW w:w="4464" w:type="dxa"/>
                  <w:gridSpan w:val="7"/>
                </w:tcPr>
                <w:p w14:paraId="5F05F50A" w14:textId="77777777" w:rsidR="00457A7D" w:rsidRPr="003549B4" w:rsidRDefault="00457A7D" w:rsidP="00457A7D">
                  <w:pPr>
                    <w:spacing w:after="0" w:line="240" w:lineRule="auto"/>
                    <w:jc w:val="center"/>
                    <w:rPr>
                      <w:rFonts w:ascii="Times New Roman" w:hAnsi="Times New Roman" w:cs="Times New Roman"/>
                      <w:b/>
                      <w:sz w:val="18"/>
                      <w:szCs w:val="18"/>
                    </w:rPr>
                  </w:pPr>
                  <w:r w:rsidRPr="003549B4">
                    <w:rPr>
                      <w:rFonts w:ascii="Times New Roman" w:hAnsi="Times New Roman" w:cs="Times New Roman"/>
                      <w:b/>
                      <w:sz w:val="18"/>
                      <w:szCs w:val="18"/>
                    </w:rPr>
                    <w:t xml:space="preserve">Emisný limit </w:t>
                  </w:r>
                  <w:r w:rsidRPr="003549B4">
                    <w:rPr>
                      <w:rFonts w:ascii="Times New Roman" w:hAnsi="Times New Roman" w:cs="Times New Roman"/>
                      <w:b/>
                      <w:sz w:val="18"/>
                      <w:szCs w:val="18"/>
                    </w:rPr>
                    <w:sym w:font="Symbol" w:char="F05B"/>
                  </w:r>
                  <w:r w:rsidRPr="003549B4">
                    <w:rPr>
                      <w:rFonts w:ascii="Times New Roman" w:hAnsi="Times New Roman" w:cs="Times New Roman"/>
                      <w:b/>
                      <w:sz w:val="18"/>
                      <w:szCs w:val="18"/>
                    </w:rPr>
                    <w:t>mg/m</w:t>
                  </w:r>
                  <w:r w:rsidRPr="003549B4">
                    <w:rPr>
                      <w:rFonts w:ascii="Times New Roman" w:hAnsi="Times New Roman" w:cs="Times New Roman"/>
                      <w:b/>
                      <w:sz w:val="18"/>
                      <w:szCs w:val="18"/>
                      <w:vertAlign w:val="superscript"/>
                    </w:rPr>
                    <w:t>3</w:t>
                  </w:r>
                  <w:r w:rsidRPr="003549B4">
                    <w:rPr>
                      <w:rFonts w:ascii="Times New Roman" w:hAnsi="Times New Roman" w:cs="Times New Roman"/>
                      <w:b/>
                      <w:sz w:val="18"/>
                      <w:szCs w:val="18"/>
                    </w:rPr>
                    <w:sym w:font="Symbol" w:char="F05D"/>
                  </w:r>
                </w:p>
              </w:tc>
            </w:tr>
            <w:tr w:rsidR="00457A7D" w:rsidRPr="003549B4" w14:paraId="3F402A34" w14:textId="77777777" w:rsidTr="00DF6853">
              <w:trPr>
                <w:trHeight w:val="283"/>
                <w:jc w:val="center"/>
              </w:trPr>
              <w:tc>
                <w:tcPr>
                  <w:tcW w:w="1316" w:type="dxa"/>
                  <w:vMerge/>
                </w:tcPr>
                <w:p w14:paraId="6107B85D" w14:textId="77777777" w:rsidR="00457A7D" w:rsidRPr="003549B4" w:rsidRDefault="00457A7D" w:rsidP="00457A7D">
                  <w:pPr>
                    <w:spacing w:after="0" w:line="240" w:lineRule="auto"/>
                    <w:rPr>
                      <w:rFonts w:ascii="Times New Roman" w:hAnsi="Times New Roman" w:cs="Times New Roman"/>
                      <w:sz w:val="18"/>
                      <w:szCs w:val="18"/>
                    </w:rPr>
                  </w:pPr>
                </w:p>
              </w:tc>
              <w:tc>
                <w:tcPr>
                  <w:tcW w:w="709" w:type="dxa"/>
                </w:tcPr>
                <w:p w14:paraId="0038B09E" w14:textId="77777777" w:rsidR="00457A7D" w:rsidRPr="003549B4" w:rsidRDefault="00457A7D" w:rsidP="00457A7D">
                  <w:pPr>
                    <w:spacing w:after="0" w:line="240" w:lineRule="auto"/>
                    <w:jc w:val="center"/>
                    <w:rPr>
                      <w:rFonts w:ascii="Times New Roman" w:hAnsi="Times New Roman" w:cs="Times New Roman"/>
                      <w:b/>
                      <w:sz w:val="18"/>
                      <w:szCs w:val="18"/>
                    </w:rPr>
                  </w:pPr>
                  <w:r w:rsidRPr="003549B4">
                    <w:rPr>
                      <w:rFonts w:ascii="Times New Roman" w:hAnsi="Times New Roman" w:cs="Times New Roman"/>
                      <w:b/>
                      <w:sz w:val="18"/>
                      <w:szCs w:val="18"/>
                    </w:rPr>
                    <w:t>TZL</w:t>
                  </w:r>
                </w:p>
              </w:tc>
              <w:tc>
                <w:tcPr>
                  <w:tcW w:w="1134" w:type="dxa"/>
                </w:tcPr>
                <w:p w14:paraId="19DC45F0" w14:textId="77777777" w:rsidR="00457A7D" w:rsidRPr="003549B4" w:rsidRDefault="00457A7D" w:rsidP="00457A7D">
                  <w:pPr>
                    <w:spacing w:after="0" w:line="240" w:lineRule="auto"/>
                    <w:jc w:val="center"/>
                    <w:rPr>
                      <w:rFonts w:ascii="Times New Roman" w:hAnsi="Times New Roman" w:cs="Times New Roman"/>
                      <w:b/>
                      <w:sz w:val="18"/>
                      <w:szCs w:val="18"/>
                      <w:vertAlign w:val="subscript"/>
                    </w:rPr>
                  </w:pPr>
                  <w:r w:rsidRPr="003549B4">
                    <w:rPr>
                      <w:rFonts w:ascii="Times New Roman" w:hAnsi="Times New Roman" w:cs="Times New Roman"/>
                      <w:b/>
                      <w:sz w:val="18"/>
                      <w:szCs w:val="18"/>
                    </w:rPr>
                    <w:t>SO</w:t>
                  </w:r>
                  <w:r w:rsidRPr="003549B4">
                    <w:rPr>
                      <w:rFonts w:ascii="Times New Roman" w:hAnsi="Times New Roman" w:cs="Times New Roman"/>
                      <w:b/>
                      <w:sz w:val="18"/>
                      <w:szCs w:val="18"/>
                      <w:vertAlign w:val="subscript"/>
                    </w:rPr>
                    <w:t>2</w:t>
                  </w:r>
                </w:p>
              </w:tc>
              <w:tc>
                <w:tcPr>
                  <w:tcW w:w="992" w:type="dxa"/>
                  <w:gridSpan w:val="2"/>
                </w:tcPr>
                <w:p w14:paraId="3273C5EE" w14:textId="77777777" w:rsidR="00457A7D" w:rsidRPr="003549B4" w:rsidRDefault="00457A7D" w:rsidP="00457A7D">
                  <w:pPr>
                    <w:spacing w:after="0" w:line="240" w:lineRule="auto"/>
                    <w:jc w:val="center"/>
                    <w:rPr>
                      <w:rFonts w:ascii="Times New Roman" w:hAnsi="Times New Roman" w:cs="Times New Roman"/>
                      <w:b/>
                      <w:sz w:val="18"/>
                      <w:szCs w:val="18"/>
                      <w:vertAlign w:val="subscript"/>
                    </w:rPr>
                  </w:pPr>
                  <w:r w:rsidRPr="003549B4">
                    <w:rPr>
                      <w:rFonts w:ascii="Times New Roman" w:hAnsi="Times New Roman" w:cs="Times New Roman"/>
                      <w:b/>
                      <w:sz w:val="18"/>
                      <w:szCs w:val="18"/>
                    </w:rPr>
                    <w:t>NO</w:t>
                  </w:r>
                  <w:r w:rsidRPr="003549B4">
                    <w:rPr>
                      <w:rFonts w:ascii="Times New Roman" w:hAnsi="Times New Roman" w:cs="Times New Roman"/>
                      <w:b/>
                      <w:sz w:val="18"/>
                      <w:szCs w:val="18"/>
                      <w:vertAlign w:val="subscript"/>
                    </w:rPr>
                    <w:t>X</w:t>
                  </w:r>
                </w:p>
              </w:tc>
              <w:tc>
                <w:tcPr>
                  <w:tcW w:w="851" w:type="dxa"/>
                  <w:gridSpan w:val="2"/>
                </w:tcPr>
                <w:p w14:paraId="1E7D1715" w14:textId="77777777" w:rsidR="00457A7D" w:rsidRPr="003549B4" w:rsidRDefault="00457A7D" w:rsidP="00457A7D">
                  <w:pPr>
                    <w:spacing w:after="0" w:line="240" w:lineRule="auto"/>
                    <w:jc w:val="center"/>
                    <w:rPr>
                      <w:rFonts w:ascii="Times New Roman" w:hAnsi="Times New Roman" w:cs="Times New Roman"/>
                      <w:b/>
                      <w:sz w:val="18"/>
                      <w:szCs w:val="18"/>
                    </w:rPr>
                  </w:pPr>
                  <w:r w:rsidRPr="003549B4">
                    <w:rPr>
                      <w:rFonts w:ascii="Times New Roman" w:hAnsi="Times New Roman" w:cs="Times New Roman"/>
                      <w:b/>
                      <w:sz w:val="18"/>
                      <w:szCs w:val="18"/>
                    </w:rPr>
                    <w:t>CO</w:t>
                  </w:r>
                </w:p>
              </w:tc>
              <w:tc>
                <w:tcPr>
                  <w:tcW w:w="778" w:type="dxa"/>
                </w:tcPr>
                <w:p w14:paraId="3FEB4198" w14:textId="77777777" w:rsidR="00457A7D" w:rsidRPr="003549B4" w:rsidRDefault="00457A7D" w:rsidP="00457A7D">
                  <w:pPr>
                    <w:spacing w:after="0" w:line="240" w:lineRule="auto"/>
                    <w:jc w:val="center"/>
                    <w:rPr>
                      <w:rFonts w:ascii="Times New Roman" w:hAnsi="Times New Roman" w:cs="Times New Roman"/>
                      <w:b/>
                      <w:sz w:val="18"/>
                      <w:szCs w:val="18"/>
                    </w:rPr>
                  </w:pPr>
                  <w:r w:rsidRPr="003549B4">
                    <w:rPr>
                      <w:rFonts w:ascii="Times New Roman" w:hAnsi="Times New Roman" w:cs="Times New Roman"/>
                      <w:b/>
                      <w:sz w:val="18"/>
                      <w:szCs w:val="18"/>
                    </w:rPr>
                    <w:t>TOC</w:t>
                  </w:r>
                </w:p>
              </w:tc>
            </w:tr>
            <w:tr w:rsidR="00457A7D" w:rsidRPr="003549B4" w14:paraId="5E63BCA0" w14:textId="77777777" w:rsidTr="00457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5780" w:type="dxa"/>
                  <w:gridSpan w:val="8"/>
                  <w:tcBorders>
                    <w:left w:val="single" w:sz="4" w:space="0" w:color="000000"/>
                    <w:bottom w:val="single" w:sz="4" w:space="0" w:color="000000"/>
                    <w:right w:val="single" w:sz="4" w:space="0" w:color="000000"/>
                  </w:tcBorders>
                </w:tcPr>
                <w:p w14:paraId="1B9FD965"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b/>
                      <w:sz w:val="18"/>
                      <w:szCs w:val="18"/>
                    </w:rPr>
                    <w:t xml:space="preserve">Jestvujúce  zariadenia  MTP ≥ 1 – 5 MW </w:t>
                  </w:r>
                </w:p>
              </w:tc>
            </w:tr>
            <w:tr w:rsidR="00457A7D" w:rsidRPr="003549B4" w14:paraId="27003039"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316" w:type="dxa"/>
                  <w:tcBorders>
                    <w:top w:val="single" w:sz="4" w:space="0" w:color="000000"/>
                    <w:left w:val="single" w:sz="3" w:space="0" w:color="000000"/>
                    <w:bottom w:val="single" w:sz="3" w:space="0" w:color="000000"/>
                    <w:right w:val="single" w:sz="3" w:space="0" w:color="000000"/>
                  </w:tcBorders>
                  <w:vAlign w:val="center"/>
                </w:tcPr>
                <w:p w14:paraId="33482429"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Tuhé palivá okrem biomasy </w:t>
                  </w:r>
                </w:p>
              </w:tc>
              <w:tc>
                <w:tcPr>
                  <w:tcW w:w="709" w:type="dxa"/>
                  <w:tcBorders>
                    <w:top w:val="single" w:sz="4" w:space="0" w:color="000000"/>
                    <w:left w:val="single" w:sz="3" w:space="0" w:color="000000"/>
                    <w:bottom w:val="single" w:sz="3" w:space="0" w:color="000000"/>
                    <w:right w:val="single" w:sz="3" w:space="0" w:color="000000"/>
                  </w:tcBorders>
                  <w:vAlign w:val="center"/>
                </w:tcPr>
                <w:p w14:paraId="71A01128" w14:textId="77777777" w:rsidR="00457A7D" w:rsidRPr="003549B4" w:rsidRDefault="00457A7D" w:rsidP="00457A7D">
                  <w:pPr>
                    <w:spacing w:after="0" w:line="240" w:lineRule="auto"/>
                    <w:ind w:left="44"/>
                    <w:jc w:val="center"/>
                    <w:rPr>
                      <w:rFonts w:ascii="Times New Roman" w:hAnsi="Times New Roman" w:cs="Times New Roman"/>
                      <w:sz w:val="18"/>
                      <w:szCs w:val="18"/>
                    </w:rPr>
                  </w:pPr>
                  <w:r w:rsidRPr="003549B4">
                    <w:rPr>
                      <w:rFonts w:ascii="Times New Roman" w:hAnsi="Times New Roman" w:cs="Times New Roman"/>
                      <w:sz w:val="18"/>
                      <w:szCs w:val="18"/>
                    </w:rPr>
                    <w:t>50</w:t>
                  </w:r>
                </w:p>
              </w:tc>
              <w:tc>
                <w:tcPr>
                  <w:tcW w:w="1134" w:type="dxa"/>
                  <w:tcBorders>
                    <w:top w:val="single" w:sz="4" w:space="0" w:color="000000"/>
                    <w:left w:val="single" w:sz="3" w:space="0" w:color="000000"/>
                    <w:bottom w:val="single" w:sz="3" w:space="0" w:color="000000"/>
                    <w:right w:val="single" w:sz="3" w:space="0" w:color="000000"/>
                  </w:tcBorders>
                  <w:vAlign w:val="center"/>
                </w:tcPr>
                <w:p w14:paraId="24BF2AB0" w14:textId="77777777" w:rsidR="00457A7D" w:rsidRPr="003549B4" w:rsidRDefault="00457A7D" w:rsidP="00457A7D">
                  <w:pPr>
                    <w:spacing w:after="0" w:line="240" w:lineRule="auto"/>
                    <w:ind w:left="45"/>
                    <w:jc w:val="center"/>
                    <w:rPr>
                      <w:rFonts w:ascii="Times New Roman" w:hAnsi="Times New Roman" w:cs="Times New Roman"/>
                      <w:sz w:val="18"/>
                      <w:szCs w:val="18"/>
                    </w:rPr>
                  </w:pPr>
                  <w:r w:rsidRPr="003549B4">
                    <w:rPr>
                      <w:rFonts w:ascii="Times New Roman" w:hAnsi="Times New Roman" w:cs="Times New Roman"/>
                      <w:sz w:val="18"/>
                      <w:szCs w:val="18"/>
                    </w:rPr>
                    <w:t>1100</w:t>
                  </w:r>
                </w:p>
              </w:tc>
              <w:tc>
                <w:tcPr>
                  <w:tcW w:w="992" w:type="dxa"/>
                  <w:gridSpan w:val="2"/>
                  <w:tcBorders>
                    <w:top w:val="single" w:sz="4" w:space="0" w:color="000000"/>
                    <w:left w:val="single" w:sz="3" w:space="0" w:color="000000"/>
                    <w:bottom w:val="single" w:sz="3" w:space="0" w:color="000000"/>
                    <w:right w:val="single" w:sz="3" w:space="0" w:color="000000"/>
                  </w:tcBorders>
                  <w:vAlign w:val="center"/>
                </w:tcPr>
                <w:p w14:paraId="54D55EDA" w14:textId="77777777" w:rsidR="00457A7D" w:rsidRPr="003549B4" w:rsidRDefault="00457A7D" w:rsidP="00457A7D">
                  <w:pPr>
                    <w:spacing w:after="0" w:line="240" w:lineRule="auto"/>
                    <w:ind w:left="47"/>
                    <w:jc w:val="center"/>
                    <w:rPr>
                      <w:rFonts w:ascii="Times New Roman" w:hAnsi="Times New Roman" w:cs="Times New Roman"/>
                      <w:sz w:val="18"/>
                      <w:szCs w:val="18"/>
                    </w:rPr>
                  </w:pPr>
                  <w:r w:rsidRPr="003549B4">
                    <w:rPr>
                      <w:rFonts w:ascii="Times New Roman" w:hAnsi="Times New Roman" w:cs="Times New Roman"/>
                      <w:sz w:val="18"/>
                      <w:szCs w:val="18"/>
                    </w:rPr>
                    <w:t>650</w:t>
                  </w:r>
                </w:p>
              </w:tc>
              <w:tc>
                <w:tcPr>
                  <w:tcW w:w="851" w:type="dxa"/>
                  <w:gridSpan w:val="2"/>
                  <w:tcBorders>
                    <w:top w:val="single" w:sz="4" w:space="0" w:color="000000"/>
                    <w:left w:val="single" w:sz="3" w:space="0" w:color="000000"/>
                    <w:bottom w:val="single" w:sz="3" w:space="0" w:color="000000"/>
                    <w:right w:val="single" w:sz="3" w:space="0" w:color="000000"/>
                  </w:tcBorders>
                  <w:vAlign w:val="center"/>
                </w:tcPr>
                <w:p w14:paraId="18A4C4E3" w14:textId="77777777" w:rsidR="00457A7D" w:rsidRPr="003549B4" w:rsidRDefault="00457A7D" w:rsidP="00457A7D">
                  <w:pPr>
                    <w:spacing w:after="0" w:line="240" w:lineRule="auto"/>
                    <w:ind w:left="247"/>
                    <w:jc w:val="center"/>
                    <w:rPr>
                      <w:rFonts w:ascii="Times New Roman" w:hAnsi="Times New Roman" w:cs="Times New Roman"/>
                      <w:sz w:val="18"/>
                      <w:szCs w:val="18"/>
                    </w:rPr>
                  </w:pPr>
                  <w:r w:rsidRPr="003549B4">
                    <w:rPr>
                      <w:rFonts w:ascii="Times New Roman" w:hAnsi="Times New Roman" w:cs="Times New Roman"/>
                      <w:sz w:val="18"/>
                      <w:szCs w:val="18"/>
                    </w:rPr>
                    <w:t>250</w:t>
                  </w:r>
                </w:p>
              </w:tc>
              <w:tc>
                <w:tcPr>
                  <w:tcW w:w="778" w:type="dxa"/>
                  <w:tcBorders>
                    <w:top w:val="single" w:sz="4" w:space="0" w:color="000000"/>
                    <w:left w:val="single" w:sz="3" w:space="0" w:color="000000"/>
                    <w:bottom w:val="single" w:sz="3" w:space="0" w:color="000000"/>
                    <w:right w:val="single" w:sz="3" w:space="0" w:color="000000"/>
                  </w:tcBorders>
                  <w:vAlign w:val="center"/>
                </w:tcPr>
                <w:p w14:paraId="0421FD54" w14:textId="77777777" w:rsidR="00457A7D" w:rsidRPr="003549B4" w:rsidRDefault="00457A7D" w:rsidP="00457A7D">
                  <w:pPr>
                    <w:spacing w:after="0" w:line="240" w:lineRule="auto"/>
                    <w:ind w:left="42"/>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457A7D" w:rsidRPr="003549B4" w14:paraId="706CC016"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4D46B0BB"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Biomasa </w:t>
                  </w:r>
                </w:p>
              </w:tc>
              <w:tc>
                <w:tcPr>
                  <w:tcW w:w="709" w:type="dxa"/>
                  <w:tcBorders>
                    <w:top w:val="single" w:sz="3" w:space="0" w:color="000000"/>
                    <w:left w:val="single" w:sz="3" w:space="0" w:color="000000"/>
                    <w:bottom w:val="single" w:sz="3" w:space="0" w:color="000000"/>
                    <w:right w:val="single" w:sz="3" w:space="0" w:color="000000"/>
                  </w:tcBorders>
                  <w:vAlign w:val="center"/>
                </w:tcPr>
                <w:p w14:paraId="2BF6CE5A" w14:textId="77777777" w:rsidR="00457A7D" w:rsidRPr="003549B4" w:rsidRDefault="00457A7D" w:rsidP="00457A7D">
                  <w:pPr>
                    <w:spacing w:after="0" w:line="240" w:lineRule="auto"/>
                    <w:ind w:left="44"/>
                    <w:jc w:val="center"/>
                    <w:rPr>
                      <w:rFonts w:ascii="Times New Roman" w:hAnsi="Times New Roman" w:cs="Times New Roman"/>
                      <w:sz w:val="18"/>
                      <w:szCs w:val="18"/>
                    </w:rPr>
                  </w:pPr>
                  <w:r w:rsidRPr="003549B4">
                    <w:rPr>
                      <w:rFonts w:ascii="Times New Roman" w:hAnsi="Times New Roman" w:cs="Times New Roman"/>
                      <w:sz w:val="18"/>
                      <w:szCs w:val="18"/>
                    </w:rPr>
                    <w:t>50</w:t>
                  </w:r>
                </w:p>
              </w:tc>
              <w:tc>
                <w:tcPr>
                  <w:tcW w:w="1134" w:type="dxa"/>
                  <w:tcBorders>
                    <w:top w:val="single" w:sz="3" w:space="0" w:color="000000"/>
                    <w:left w:val="single" w:sz="3" w:space="0" w:color="000000"/>
                    <w:bottom w:val="single" w:sz="3" w:space="0" w:color="000000"/>
                    <w:right w:val="single" w:sz="3" w:space="0" w:color="000000"/>
                  </w:tcBorders>
                  <w:vAlign w:val="center"/>
                </w:tcPr>
                <w:p w14:paraId="3657130F" w14:textId="77777777" w:rsidR="00457A7D" w:rsidRPr="003549B4" w:rsidRDefault="00457A7D" w:rsidP="00457A7D">
                  <w:pPr>
                    <w:spacing w:after="0" w:line="240" w:lineRule="auto"/>
                    <w:ind w:left="46"/>
                    <w:jc w:val="center"/>
                    <w:rPr>
                      <w:rFonts w:ascii="Times New Roman" w:hAnsi="Times New Roman" w:cs="Times New Roman"/>
                      <w:sz w:val="18"/>
                      <w:szCs w:val="18"/>
                    </w:rPr>
                  </w:pPr>
                  <w:r w:rsidRPr="003549B4">
                    <w:rPr>
                      <w:rFonts w:ascii="Times New Roman" w:hAnsi="Times New Roman" w:cs="Times New Roman"/>
                      <w:sz w:val="18"/>
                      <w:szCs w:val="18"/>
                    </w:rPr>
                    <w:t>200</w:t>
                  </w:r>
                  <w:r w:rsidRPr="003549B4">
                    <w:rPr>
                      <w:rFonts w:ascii="Times New Roman" w:hAnsi="Times New Roman" w:cs="Times New Roman"/>
                      <w:sz w:val="18"/>
                      <w:szCs w:val="18"/>
                      <w:vertAlign w:val="superscript"/>
                    </w:rPr>
                    <w:t>1</w:t>
                  </w:r>
                  <w:r w:rsidRPr="003549B4">
                    <w:rPr>
                      <w:rFonts w:ascii="Times New Roman" w:hAnsi="Times New Roman" w:cs="Times New Roman"/>
                      <w:sz w:val="18"/>
                      <w:szCs w:val="18"/>
                    </w:rPr>
                    <w:t>), 300</w:t>
                  </w:r>
                  <w:r w:rsidRPr="003549B4">
                    <w:rPr>
                      <w:rFonts w:ascii="Times New Roman" w:hAnsi="Times New Roman" w:cs="Times New Roman"/>
                      <w:sz w:val="18"/>
                      <w:szCs w:val="18"/>
                      <w:vertAlign w:val="superscript"/>
                    </w:rPr>
                    <w:t>2</w:t>
                  </w:r>
                  <w:r w:rsidRPr="003549B4">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4583016A" w14:textId="77777777" w:rsidR="00457A7D" w:rsidRPr="003549B4" w:rsidRDefault="00457A7D" w:rsidP="00457A7D">
                  <w:pPr>
                    <w:spacing w:after="0" w:line="240" w:lineRule="auto"/>
                    <w:ind w:left="47"/>
                    <w:jc w:val="center"/>
                    <w:rPr>
                      <w:rFonts w:ascii="Times New Roman" w:hAnsi="Times New Roman" w:cs="Times New Roman"/>
                      <w:sz w:val="18"/>
                      <w:szCs w:val="18"/>
                    </w:rPr>
                  </w:pPr>
                  <w:r w:rsidRPr="003549B4">
                    <w:rPr>
                      <w:rFonts w:ascii="Times New Roman" w:hAnsi="Times New Roman" w:cs="Times New Roman"/>
                      <w:sz w:val="18"/>
                      <w:szCs w:val="18"/>
                    </w:rPr>
                    <w:t>650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4DDA069D" w14:textId="77777777" w:rsidR="00457A7D" w:rsidRPr="003549B4" w:rsidRDefault="00457A7D" w:rsidP="00457A7D">
                  <w:pPr>
                    <w:spacing w:after="0" w:line="240" w:lineRule="auto"/>
                    <w:ind w:left="247"/>
                    <w:jc w:val="center"/>
                    <w:rPr>
                      <w:rFonts w:ascii="Times New Roman" w:hAnsi="Times New Roman" w:cs="Times New Roman"/>
                      <w:sz w:val="18"/>
                      <w:szCs w:val="18"/>
                    </w:rPr>
                  </w:pPr>
                  <w:r w:rsidRPr="003549B4">
                    <w:rPr>
                      <w:rFonts w:ascii="Times New Roman" w:hAnsi="Times New Roman" w:cs="Times New Roman"/>
                      <w:sz w:val="18"/>
                      <w:szCs w:val="18"/>
                    </w:rPr>
                    <w:t>250</w:t>
                  </w:r>
                </w:p>
              </w:tc>
              <w:tc>
                <w:tcPr>
                  <w:tcW w:w="778" w:type="dxa"/>
                  <w:tcBorders>
                    <w:top w:val="single" w:sz="3" w:space="0" w:color="000000"/>
                    <w:left w:val="single" w:sz="3" w:space="0" w:color="000000"/>
                    <w:bottom w:val="single" w:sz="3" w:space="0" w:color="000000"/>
                    <w:right w:val="single" w:sz="3" w:space="0" w:color="000000"/>
                  </w:tcBorders>
                  <w:vAlign w:val="center"/>
                </w:tcPr>
                <w:p w14:paraId="403C9D56" w14:textId="77777777" w:rsidR="00457A7D" w:rsidRPr="003549B4" w:rsidRDefault="00457A7D" w:rsidP="00457A7D">
                  <w:pPr>
                    <w:spacing w:after="0" w:line="240" w:lineRule="auto"/>
                    <w:ind w:left="45"/>
                    <w:jc w:val="center"/>
                    <w:rPr>
                      <w:rFonts w:ascii="Times New Roman" w:hAnsi="Times New Roman" w:cs="Times New Roman"/>
                      <w:sz w:val="18"/>
                      <w:szCs w:val="18"/>
                    </w:rPr>
                  </w:pPr>
                  <w:r w:rsidRPr="003549B4">
                    <w:rPr>
                      <w:rFonts w:ascii="Times New Roman" w:hAnsi="Times New Roman" w:cs="Times New Roman"/>
                      <w:sz w:val="18"/>
                      <w:szCs w:val="18"/>
                    </w:rPr>
                    <w:t>20</w:t>
                  </w:r>
                </w:p>
              </w:tc>
            </w:tr>
            <w:tr w:rsidR="00457A7D" w:rsidRPr="003549B4" w14:paraId="27636418"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1711EFA6"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Plynový olej  </w:t>
                  </w:r>
                </w:p>
              </w:tc>
              <w:tc>
                <w:tcPr>
                  <w:tcW w:w="709" w:type="dxa"/>
                  <w:tcBorders>
                    <w:top w:val="single" w:sz="3" w:space="0" w:color="000000"/>
                    <w:left w:val="single" w:sz="3" w:space="0" w:color="000000"/>
                    <w:bottom w:val="single" w:sz="3" w:space="0" w:color="000000"/>
                    <w:right w:val="single" w:sz="3" w:space="0" w:color="000000"/>
                  </w:tcBorders>
                  <w:vAlign w:val="center"/>
                </w:tcPr>
                <w:p w14:paraId="26237D43" w14:textId="77777777" w:rsidR="00457A7D" w:rsidRPr="003549B4" w:rsidRDefault="00457A7D" w:rsidP="00457A7D">
                  <w:pPr>
                    <w:spacing w:after="0" w:line="240" w:lineRule="auto"/>
                    <w:ind w:left="45"/>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3A893188" w14:textId="77777777" w:rsidR="00457A7D" w:rsidRPr="003549B4" w:rsidRDefault="00457A7D" w:rsidP="00457A7D">
                  <w:pPr>
                    <w:spacing w:after="0" w:line="240" w:lineRule="auto"/>
                    <w:ind w:left="44"/>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3C3DFF1B" w14:textId="77777777" w:rsidR="00457A7D" w:rsidRPr="003549B4" w:rsidRDefault="00457A7D" w:rsidP="00457A7D">
                  <w:pPr>
                    <w:spacing w:after="0" w:line="240" w:lineRule="auto"/>
                    <w:ind w:left="47"/>
                    <w:jc w:val="center"/>
                    <w:rPr>
                      <w:rFonts w:ascii="Times New Roman" w:hAnsi="Times New Roman" w:cs="Times New Roman"/>
                      <w:sz w:val="18"/>
                      <w:szCs w:val="18"/>
                    </w:rPr>
                  </w:pPr>
                  <w:r w:rsidRPr="003549B4">
                    <w:rPr>
                      <w:rFonts w:ascii="Times New Roman" w:hAnsi="Times New Roman" w:cs="Times New Roman"/>
                      <w:sz w:val="18"/>
                      <w:szCs w:val="18"/>
                    </w:rPr>
                    <w:t>200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31707A56" w14:textId="77777777" w:rsidR="00457A7D" w:rsidRPr="003549B4" w:rsidRDefault="00457A7D" w:rsidP="00457A7D">
                  <w:pPr>
                    <w:spacing w:after="0" w:line="240" w:lineRule="auto"/>
                    <w:ind w:left="247"/>
                    <w:jc w:val="center"/>
                    <w:rPr>
                      <w:rFonts w:ascii="Times New Roman" w:hAnsi="Times New Roman" w:cs="Times New Roman"/>
                      <w:sz w:val="18"/>
                      <w:szCs w:val="18"/>
                    </w:rPr>
                  </w:pPr>
                  <w:r w:rsidRPr="003549B4">
                    <w:rPr>
                      <w:rFonts w:ascii="Times New Roman" w:hAnsi="Times New Roman" w:cs="Times New Roman"/>
                      <w:sz w:val="18"/>
                      <w:szCs w:val="18"/>
                    </w:rPr>
                    <w:t>110</w:t>
                  </w:r>
                </w:p>
              </w:tc>
              <w:tc>
                <w:tcPr>
                  <w:tcW w:w="778" w:type="dxa"/>
                  <w:tcBorders>
                    <w:top w:val="single" w:sz="3" w:space="0" w:color="000000"/>
                    <w:left w:val="single" w:sz="3" w:space="0" w:color="000000"/>
                    <w:bottom w:val="single" w:sz="3" w:space="0" w:color="000000"/>
                    <w:right w:val="single" w:sz="3" w:space="0" w:color="000000"/>
                  </w:tcBorders>
                  <w:vAlign w:val="center"/>
                </w:tcPr>
                <w:p w14:paraId="431212AE" w14:textId="77777777" w:rsidR="00457A7D" w:rsidRPr="003549B4" w:rsidRDefault="00457A7D" w:rsidP="00457A7D">
                  <w:pPr>
                    <w:spacing w:after="0" w:line="240" w:lineRule="auto"/>
                    <w:ind w:left="42"/>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457A7D" w:rsidRPr="003549B4" w14:paraId="33D80EEE"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2B03C01E"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Iné kvapalné palivo </w:t>
                  </w:r>
                </w:p>
              </w:tc>
              <w:tc>
                <w:tcPr>
                  <w:tcW w:w="709" w:type="dxa"/>
                  <w:tcBorders>
                    <w:top w:val="single" w:sz="3" w:space="0" w:color="000000"/>
                    <w:left w:val="single" w:sz="3" w:space="0" w:color="000000"/>
                    <w:bottom w:val="single" w:sz="3" w:space="0" w:color="000000"/>
                    <w:right w:val="single" w:sz="3" w:space="0" w:color="000000"/>
                  </w:tcBorders>
                  <w:vAlign w:val="center"/>
                </w:tcPr>
                <w:p w14:paraId="49EDF8BE" w14:textId="77777777" w:rsidR="00457A7D" w:rsidRPr="003549B4" w:rsidRDefault="00457A7D" w:rsidP="00457A7D">
                  <w:pPr>
                    <w:spacing w:after="0" w:line="240" w:lineRule="auto"/>
                    <w:ind w:left="44"/>
                    <w:jc w:val="center"/>
                    <w:rPr>
                      <w:rFonts w:ascii="Times New Roman" w:hAnsi="Times New Roman" w:cs="Times New Roman"/>
                      <w:sz w:val="18"/>
                      <w:szCs w:val="18"/>
                    </w:rPr>
                  </w:pPr>
                  <w:r w:rsidRPr="003549B4">
                    <w:rPr>
                      <w:rFonts w:ascii="Times New Roman" w:hAnsi="Times New Roman" w:cs="Times New Roman"/>
                      <w:sz w:val="18"/>
                      <w:szCs w:val="18"/>
                    </w:rPr>
                    <w:t>50</w:t>
                  </w:r>
                </w:p>
              </w:tc>
              <w:tc>
                <w:tcPr>
                  <w:tcW w:w="1134" w:type="dxa"/>
                  <w:tcBorders>
                    <w:top w:val="single" w:sz="3" w:space="0" w:color="000000"/>
                    <w:left w:val="single" w:sz="3" w:space="0" w:color="000000"/>
                    <w:bottom w:val="single" w:sz="3" w:space="0" w:color="000000"/>
                    <w:right w:val="single" w:sz="3" w:space="0" w:color="000000"/>
                  </w:tcBorders>
                  <w:vAlign w:val="center"/>
                </w:tcPr>
                <w:p w14:paraId="496C738E" w14:textId="77777777" w:rsidR="00457A7D" w:rsidRPr="003549B4" w:rsidRDefault="00457A7D" w:rsidP="00457A7D">
                  <w:pPr>
                    <w:spacing w:after="0" w:line="240" w:lineRule="auto"/>
                    <w:ind w:left="42"/>
                    <w:jc w:val="center"/>
                    <w:rPr>
                      <w:rFonts w:ascii="Times New Roman" w:hAnsi="Times New Roman" w:cs="Times New Roman"/>
                      <w:sz w:val="18"/>
                      <w:szCs w:val="18"/>
                    </w:rPr>
                  </w:pPr>
                  <w:r w:rsidRPr="003549B4">
                    <w:rPr>
                      <w:rFonts w:ascii="Times New Roman" w:hAnsi="Times New Roman" w:cs="Times New Roman"/>
                      <w:sz w:val="18"/>
                      <w:szCs w:val="18"/>
                    </w:rPr>
                    <w:t>350</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6099E2F4" w14:textId="77777777" w:rsidR="00457A7D" w:rsidRPr="003549B4" w:rsidRDefault="00457A7D" w:rsidP="00457A7D">
                  <w:pPr>
                    <w:spacing w:after="0" w:line="240" w:lineRule="auto"/>
                    <w:ind w:left="47"/>
                    <w:jc w:val="center"/>
                    <w:rPr>
                      <w:rFonts w:ascii="Times New Roman" w:hAnsi="Times New Roman" w:cs="Times New Roman"/>
                      <w:sz w:val="18"/>
                      <w:szCs w:val="18"/>
                    </w:rPr>
                  </w:pPr>
                  <w:r w:rsidRPr="003549B4">
                    <w:rPr>
                      <w:rFonts w:ascii="Times New Roman" w:hAnsi="Times New Roman" w:cs="Times New Roman"/>
                      <w:sz w:val="18"/>
                      <w:szCs w:val="18"/>
                    </w:rPr>
                    <w:t>300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0AA498B7" w14:textId="77777777" w:rsidR="00457A7D" w:rsidRPr="003549B4" w:rsidRDefault="00457A7D" w:rsidP="00457A7D">
                  <w:pPr>
                    <w:spacing w:after="0" w:line="240" w:lineRule="auto"/>
                    <w:ind w:left="247"/>
                    <w:jc w:val="center"/>
                    <w:rPr>
                      <w:rFonts w:ascii="Times New Roman" w:hAnsi="Times New Roman" w:cs="Times New Roman"/>
                      <w:sz w:val="18"/>
                      <w:szCs w:val="18"/>
                    </w:rPr>
                  </w:pPr>
                  <w:r w:rsidRPr="003549B4">
                    <w:rPr>
                      <w:rFonts w:ascii="Times New Roman" w:hAnsi="Times New Roman" w:cs="Times New Roman"/>
                      <w:sz w:val="18"/>
                      <w:szCs w:val="18"/>
                    </w:rPr>
                    <w:t>110</w:t>
                  </w:r>
                </w:p>
              </w:tc>
              <w:tc>
                <w:tcPr>
                  <w:tcW w:w="778" w:type="dxa"/>
                  <w:tcBorders>
                    <w:top w:val="single" w:sz="3" w:space="0" w:color="000000"/>
                    <w:left w:val="single" w:sz="3" w:space="0" w:color="000000"/>
                    <w:bottom w:val="single" w:sz="3" w:space="0" w:color="000000"/>
                    <w:right w:val="single" w:sz="3" w:space="0" w:color="000000"/>
                  </w:tcBorders>
                  <w:vAlign w:val="center"/>
                </w:tcPr>
                <w:p w14:paraId="6783516F" w14:textId="77777777" w:rsidR="00457A7D" w:rsidRPr="003549B4" w:rsidRDefault="00457A7D" w:rsidP="00457A7D">
                  <w:pPr>
                    <w:spacing w:after="0" w:line="240" w:lineRule="auto"/>
                    <w:ind w:left="42"/>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457A7D" w:rsidRPr="003549B4" w14:paraId="45FAE358"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02C180C1"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ZPN </w:t>
                  </w:r>
                </w:p>
              </w:tc>
              <w:tc>
                <w:tcPr>
                  <w:tcW w:w="709" w:type="dxa"/>
                  <w:tcBorders>
                    <w:top w:val="single" w:sz="3" w:space="0" w:color="000000"/>
                    <w:left w:val="single" w:sz="3" w:space="0" w:color="000000"/>
                    <w:bottom w:val="single" w:sz="3" w:space="0" w:color="000000"/>
                    <w:right w:val="single" w:sz="3" w:space="0" w:color="000000"/>
                  </w:tcBorders>
                  <w:vAlign w:val="center"/>
                </w:tcPr>
                <w:p w14:paraId="547519BE" w14:textId="77777777" w:rsidR="00457A7D" w:rsidRPr="003549B4" w:rsidRDefault="00457A7D" w:rsidP="00457A7D">
                  <w:pPr>
                    <w:spacing w:after="0" w:line="240" w:lineRule="auto"/>
                    <w:ind w:left="45"/>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2B697F9E" w14:textId="77777777" w:rsidR="00457A7D" w:rsidRPr="003549B4" w:rsidRDefault="00457A7D" w:rsidP="00457A7D">
                  <w:pPr>
                    <w:spacing w:after="0" w:line="240" w:lineRule="auto"/>
                    <w:ind w:left="44"/>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0951A8F8" w14:textId="77777777" w:rsidR="00457A7D" w:rsidRPr="003549B4" w:rsidRDefault="00457A7D" w:rsidP="00457A7D">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120</w:t>
                  </w:r>
                  <w:r w:rsidRPr="003549B4">
                    <w:rPr>
                      <w:rFonts w:ascii="Times New Roman" w:hAnsi="Times New Roman" w:cs="Times New Roman"/>
                      <w:sz w:val="18"/>
                      <w:szCs w:val="18"/>
                      <w:vertAlign w:val="superscript"/>
                    </w:rPr>
                    <w:t>3</w:t>
                  </w:r>
                  <w:r w:rsidRPr="003549B4">
                    <w:rPr>
                      <w:rFonts w:ascii="Times New Roman" w:hAnsi="Times New Roman" w:cs="Times New Roman"/>
                      <w:sz w:val="18"/>
                      <w:szCs w:val="18"/>
                    </w:rPr>
                    <w:t>), 150</w:t>
                  </w:r>
                  <w:r w:rsidRPr="003549B4">
                    <w:rPr>
                      <w:rFonts w:ascii="Times New Roman" w:hAnsi="Times New Roman" w:cs="Times New Roman"/>
                      <w:sz w:val="18"/>
                      <w:szCs w:val="18"/>
                      <w:vertAlign w:val="superscript"/>
                    </w:rPr>
                    <w:t>4</w:t>
                  </w:r>
                  <w:r w:rsidRPr="003549B4">
                    <w:rPr>
                      <w:rFonts w:ascii="Times New Roman" w:hAnsi="Times New Roman" w:cs="Times New Roman"/>
                      <w:sz w:val="18"/>
                      <w:szCs w:val="18"/>
                    </w:rPr>
                    <w:t>), 200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1CCBDA08" w14:textId="77777777" w:rsidR="00457A7D" w:rsidRPr="003549B4" w:rsidRDefault="00457A7D" w:rsidP="00457A7D">
                  <w:pPr>
                    <w:spacing w:after="0" w:line="240" w:lineRule="auto"/>
                    <w:ind w:left="47"/>
                    <w:jc w:val="center"/>
                    <w:rPr>
                      <w:rFonts w:ascii="Times New Roman" w:hAnsi="Times New Roman" w:cs="Times New Roman"/>
                      <w:sz w:val="18"/>
                      <w:szCs w:val="18"/>
                    </w:rPr>
                  </w:pPr>
                  <w:r w:rsidRPr="003549B4">
                    <w:rPr>
                      <w:rFonts w:ascii="Times New Roman" w:hAnsi="Times New Roman" w:cs="Times New Roman"/>
                      <w:sz w:val="18"/>
                      <w:szCs w:val="18"/>
                    </w:rPr>
                    <w:t>50, 100</w:t>
                  </w:r>
                  <w:r w:rsidRPr="003549B4">
                    <w:rPr>
                      <w:rFonts w:ascii="Times New Roman" w:hAnsi="Times New Roman" w:cs="Times New Roman"/>
                      <w:sz w:val="18"/>
                      <w:szCs w:val="18"/>
                      <w:vertAlign w:val="superscript"/>
                    </w:rPr>
                    <w:t>5</w:t>
                  </w:r>
                  <w:r w:rsidRPr="003549B4">
                    <w:rPr>
                      <w:rFonts w:ascii="Times New Roman" w:hAnsi="Times New Roman" w:cs="Times New Roman"/>
                      <w:sz w:val="18"/>
                      <w:szCs w:val="18"/>
                    </w:rPr>
                    <w:t>)</w:t>
                  </w:r>
                </w:p>
              </w:tc>
              <w:tc>
                <w:tcPr>
                  <w:tcW w:w="778" w:type="dxa"/>
                  <w:tcBorders>
                    <w:top w:val="single" w:sz="3" w:space="0" w:color="000000"/>
                    <w:left w:val="single" w:sz="3" w:space="0" w:color="000000"/>
                    <w:bottom w:val="single" w:sz="3" w:space="0" w:color="000000"/>
                    <w:right w:val="single" w:sz="3" w:space="0" w:color="000000"/>
                  </w:tcBorders>
                  <w:vAlign w:val="center"/>
                </w:tcPr>
                <w:p w14:paraId="537837A0" w14:textId="77777777" w:rsidR="00457A7D" w:rsidRPr="003549B4" w:rsidRDefault="00457A7D" w:rsidP="00457A7D">
                  <w:pPr>
                    <w:spacing w:after="0" w:line="240" w:lineRule="auto"/>
                    <w:ind w:left="42"/>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457A7D" w:rsidRPr="003549B4" w14:paraId="48891BC0"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44F0883A"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Iné plynné palivo </w:t>
                  </w:r>
                </w:p>
              </w:tc>
              <w:tc>
                <w:tcPr>
                  <w:tcW w:w="709" w:type="dxa"/>
                  <w:tcBorders>
                    <w:top w:val="single" w:sz="3" w:space="0" w:color="000000"/>
                    <w:left w:val="single" w:sz="3" w:space="0" w:color="000000"/>
                    <w:bottom w:val="single" w:sz="3" w:space="0" w:color="000000"/>
                    <w:right w:val="single" w:sz="3" w:space="0" w:color="000000"/>
                  </w:tcBorders>
                  <w:vAlign w:val="center"/>
                </w:tcPr>
                <w:p w14:paraId="5AA6EA11" w14:textId="77777777" w:rsidR="00457A7D" w:rsidRPr="003549B4" w:rsidRDefault="00457A7D" w:rsidP="00457A7D">
                  <w:pPr>
                    <w:spacing w:after="0" w:line="240" w:lineRule="auto"/>
                    <w:ind w:left="45"/>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506E7593" w14:textId="77777777" w:rsidR="00457A7D" w:rsidRPr="003549B4" w:rsidRDefault="00457A7D" w:rsidP="00457A7D">
                  <w:pPr>
                    <w:spacing w:after="0" w:line="240" w:lineRule="auto"/>
                    <w:ind w:left="46"/>
                    <w:jc w:val="center"/>
                    <w:rPr>
                      <w:rFonts w:ascii="Times New Roman" w:hAnsi="Times New Roman" w:cs="Times New Roman"/>
                      <w:sz w:val="18"/>
                      <w:szCs w:val="18"/>
                    </w:rPr>
                  </w:pPr>
                  <w:r w:rsidRPr="003549B4">
                    <w:rPr>
                      <w:rFonts w:ascii="Times New Roman" w:hAnsi="Times New Roman" w:cs="Times New Roman"/>
                      <w:sz w:val="18"/>
                      <w:szCs w:val="18"/>
                    </w:rPr>
                    <w:t>200, 400</w:t>
                  </w:r>
                  <w:r w:rsidRPr="003549B4">
                    <w:rPr>
                      <w:rFonts w:ascii="Times New Roman" w:hAnsi="Times New Roman" w:cs="Times New Roman"/>
                      <w:sz w:val="18"/>
                      <w:szCs w:val="18"/>
                      <w:vertAlign w:val="superscript"/>
                    </w:rPr>
                    <w:t>6</w:t>
                  </w:r>
                  <w:r w:rsidRPr="003549B4">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38A17BB8" w14:textId="77777777" w:rsidR="00457A7D" w:rsidRPr="003549B4" w:rsidRDefault="00457A7D" w:rsidP="00457A7D">
                  <w:pPr>
                    <w:spacing w:after="0" w:line="240" w:lineRule="auto"/>
                    <w:ind w:left="47"/>
                    <w:jc w:val="center"/>
                    <w:rPr>
                      <w:rFonts w:ascii="Times New Roman" w:hAnsi="Times New Roman" w:cs="Times New Roman"/>
                      <w:sz w:val="18"/>
                      <w:szCs w:val="18"/>
                    </w:rPr>
                  </w:pPr>
                  <w:r w:rsidRPr="003549B4">
                    <w:rPr>
                      <w:rFonts w:ascii="Times New Roman" w:hAnsi="Times New Roman" w:cs="Times New Roman"/>
                      <w:sz w:val="18"/>
                      <w:szCs w:val="18"/>
                    </w:rPr>
                    <w:t>250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26140A3A" w14:textId="77777777" w:rsidR="00457A7D" w:rsidRPr="003549B4" w:rsidRDefault="00457A7D" w:rsidP="00457A7D">
                  <w:pPr>
                    <w:spacing w:after="0" w:line="240" w:lineRule="auto"/>
                    <w:ind w:left="247"/>
                    <w:jc w:val="center"/>
                    <w:rPr>
                      <w:rFonts w:ascii="Times New Roman" w:hAnsi="Times New Roman" w:cs="Times New Roman"/>
                      <w:sz w:val="18"/>
                      <w:szCs w:val="18"/>
                    </w:rPr>
                  </w:pPr>
                  <w:r w:rsidRPr="003549B4">
                    <w:rPr>
                      <w:rFonts w:ascii="Times New Roman" w:hAnsi="Times New Roman" w:cs="Times New Roman"/>
                      <w:sz w:val="18"/>
                      <w:szCs w:val="18"/>
                    </w:rPr>
                    <w:t>100</w:t>
                  </w:r>
                </w:p>
              </w:tc>
              <w:tc>
                <w:tcPr>
                  <w:tcW w:w="778" w:type="dxa"/>
                  <w:tcBorders>
                    <w:top w:val="single" w:sz="3" w:space="0" w:color="000000"/>
                    <w:left w:val="single" w:sz="3" w:space="0" w:color="000000"/>
                    <w:bottom w:val="single" w:sz="3" w:space="0" w:color="000000"/>
                    <w:right w:val="single" w:sz="3" w:space="0" w:color="000000"/>
                  </w:tcBorders>
                  <w:vAlign w:val="center"/>
                </w:tcPr>
                <w:p w14:paraId="69D91860" w14:textId="77777777" w:rsidR="00457A7D" w:rsidRPr="003549B4" w:rsidRDefault="00457A7D" w:rsidP="00457A7D">
                  <w:pPr>
                    <w:spacing w:after="0" w:line="240" w:lineRule="auto"/>
                    <w:ind w:left="42"/>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457A7D" w:rsidRPr="003549B4" w14:paraId="0A50086D" w14:textId="77777777" w:rsidTr="00457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4061" w:type="dxa"/>
                  <w:gridSpan w:val="4"/>
                  <w:tcBorders>
                    <w:top w:val="single" w:sz="3" w:space="0" w:color="000000"/>
                    <w:left w:val="single" w:sz="3" w:space="0" w:color="000000"/>
                    <w:bottom w:val="single" w:sz="3" w:space="0" w:color="000000"/>
                    <w:right w:val="nil"/>
                  </w:tcBorders>
                </w:tcPr>
                <w:p w14:paraId="4EFA7EC6" w14:textId="77777777" w:rsidR="00457A7D" w:rsidRPr="003549B4" w:rsidRDefault="00457A7D" w:rsidP="00457A7D">
                  <w:pPr>
                    <w:spacing w:after="0" w:line="240" w:lineRule="auto"/>
                    <w:ind w:left="91"/>
                    <w:rPr>
                      <w:rFonts w:ascii="Times New Roman" w:hAnsi="Times New Roman" w:cs="Times New Roman"/>
                      <w:sz w:val="18"/>
                      <w:szCs w:val="18"/>
                    </w:rPr>
                  </w:pPr>
                  <w:r w:rsidRPr="003549B4">
                    <w:rPr>
                      <w:rFonts w:ascii="Times New Roman" w:hAnsi="Times New Roman" w:cs="Times New Roman"/>
                      <w:b/>
                      <w:sz w:val="18"/>
                      <w:szCs w:val="18"/>
                    </w:rPr>
                    <w:t xml:space="preserve">Jestvujúce zariadenia  s  MTP  &gt; 5 MW </w:t>
                  </w:r>
                </w:p>
              </w:tc>
              <w:tc>
                <w:tcPr>
                  <w:tcW w:w="661" w:type="dxa"/>
                  <w:gridSpan w:val="2"/>
                  <w:tcBorders>
                    <w:top w:val="single" w:sz="3" w:space="0" w:color="000000"/>
                    <w:left w:val="nil"/>
                    <w:bottom w:val="single" w:sz="3" w:space="0" w:color="000000"/>
                    <w:right w:val="nil"/>
                  </w:tcBorders>
                </w:tcPr>
                <w:p w14:paraId="7ADE4C97" w14:textId="77777777" w:rsidR="00457A7D" w:rsidRPr="003549B4" w:rsidRDefault="00457A7D" w:rsidP="00457A7D">
                  <w:pPr>
                    <w:spacing w:after="0" w:line="240" w:lineRule="auto"/>
                    <w:rPr>
                      <w:rFonts w:ascii="Times New Roman" w:hAnsi="Times New Roman" w:cs="Times New Roman"/>
                      <w:sz w:val="18"/>
                      <w:szCs w:val="18"/>
                    </w:rPr>
                  </w:pPr>
                </w:p>
              </w:tc>
              <w:tc>
                <w:tcPr>
                  <w:tcW w:w="1058" w:type="dxa"/>
                  <w:gridSpan w:val="2"/>
                  <w:tcBorders>
                    <w:top w:val="single" w:sz="3" w:space="0" w:color="000000"/>
                    <w:left w:val="nil"/>
                    <w:bottom w:val="single" w:sz="3" w:space="0" w:color="000000"/>
                    <w:right w:val="single" w:sz="3" w:space="0" w:color="000000"/>
                  </w:tcBorders>
                </w:tcPr>
                <w:p w14:paraId="3D2D34D1" w14:textId="77777777" w:rsidR="00457A7D" w:rsidRPr="003549B4" w:rsidRDefault="00457A7D" w:rsidP="00457A7D">
                  <w:pPr>
                    <w:spacing w:after="0" w:line="240" w:lineRule="auto"/>
                    <w:rPr>
                      <w:rFonts w:ascii="Times New Roman" w:hAnsi="Times New Roman" w:cs="Times New Roman"/>
                      <w:sz w:val="18"/>
                      <w:szCs w:val="18"/>
                    </w:rPr>
                  </w:pPr>
                </w:p>
              </w:tc>
            </w:tr>
            <w:tr w:rsidR="00457A7D" w:rsidRPr="003549B4" w14:paraId="73196E2D"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3B5FF08D"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Tuhé palivá okrem biomasy </w:t>
                  </w:r>
                </w:p>
              </w:tc>
              <w:tc>
                <w:tcPr>
                  <w:tcW w:w="709" w:type="dxa"/>
                  <w:tcBorders>
                    <w:top w:val="single" w:sz="3" w:space="0" w:color="000000"/>
                    <w:left w:val="single" w:sz="3" w:space="0" w:color="000000"/>
                    <w:bottom w:val="single" w:sz="3" w:space="0" w:color="000000"/>
                    <w:right w:val="single" w:sz="3" w:space="0" w:color="000000"/>
                  </w:tcBorders>
                  <w:vAlign w:val="center"/>
                </w:tcPr>
                <w:p w14:paraId="6A9C187A" w14:textId="77777777" w:rsidR="00457A7D" w:rsidRPr="003549B4" w:rsidRDefault="00457A7D" w:rsidP="00DF6853">
                  <w:pPr>
                    <w:spacing w:after="0" w:line="240" w:lineRule="auto"/>
                    <w:ind w:hanging="15"/>
                    <w:jc w:val="center"/>
                    <w:rPr>
                      <w:rFonts w:ascii="Times New Roman" w:hAnsi="Times New Roman" w:cs="Times New Roman"/>
                      <w:sz w:val="18"/>
                      <w:szCs w:val="18"/>
                    </w:rPr>
                  </w:pPr>
                  <w:r w:rsidRPr="003549B4">
                    <w:rPr>
                      <w:rFonts w:ascii="Times New Roman" w:hAnsi="Times New Roman" w:cs="Times New Roman"/>
                      <w:sz w:val="18"/>
                      <w:szCs w:val="18"/>
                    </w:rPr>
                    <w:t>30, 50</w:t>
                  </w:r>
                  <w:r w:rsidRPr="003549B4">
                    <w:rPr>
                      <w:rFonts w:ascii="Times New Roman" w:hAnsi="Times New Roman" w:cs="Times New Roman"/>
                      <w:sz w:val="18"/>
                      <w:szCs w:val="18"/>
                      <w:vertAlign w:val="superscript"/>
                    </w:rPr>
                    <w:t>7</w:t>
                  </w:r>
                  <w:r w:rsidRPr="003549B4">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0163F690" w14:textId="77777777" w:rsidR="00457A7D" w:rsidRPr="003549B4" w:rsidRDefault="00457A7D" w:rsidP="00457A7D">
                  <w:pPr>
                    <w:spacing w:after="0" w:line="240" w:lineRule="auto"/>
                    <w:ind w:left="44"/>
                    <w:jc w:val="center"/>
                    <w:rPr>
                      <w:rFonts w:ascii="Times New Roman" w:hAnsi="Times New Roman" w:cs="Times New Roman"/>
                      <w:sz w:val="18"/>
                      <w:szCs w:val="18"/>
                    </w:rPr>
                  </w:pPr>
                  <w:r w:rsidRPr="003549B4">
                    <w:rPr>
                      <w:rFonts w:ascii="Times New Roman" w:hAnsi="Times New Roman" w:cs="Times New Roman"/>
                      <w:sz w:val="18"/>
                      <w:szCs w:val="18"/>
                    </w:rPr>
                    <w:t>400, 1100</w:t>
                  </w:r>
                  <w:r w:rsidRPr="003549B4">
                    <w:rPr>
                      <w:rFonts w:ascii="Times New Roman" w:hAnsi="Times New Roman" w:cs="Times New Roman"/>
                      <w:sz w:val="18"/>
                      <w:szCs w:val="18"/>
                      <w:vertAlign w:val="superscript"/>
                    </w:rPr>
                    <w:t>7</w:t>
                  </w:r>
                  <w:r w:rsidRPr="003549B4">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72F6978D" w14:textId="77777777" w:rsidR="00457A7D" w:rsidRPr="003549B4" w:rsidRDefault="00457A7D" w:rsidP="00457A7D">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650</w:t>
                  </w:r>
                </w:p>
              </w:tc>
              <w:tc>
                <w:tcPr>
                  <w:tcW w:w="851" w:type="dxa"/>
                  <w:gridSpan w:val="2"/>
                  <w:tcBorders>
                    <w:top w:val="single" w:sz="3" w:space="0" w:color="000000"/>
                    <w:left w:val="nil"/>
                    <w:bottom w:val="single" w:sz="3" w:space="0" w:color="000000"/>
                    <w:right w:val="single" w:sz="3" w:space="0" w:color="000000"/>
                  </w:tcBorders>
                  <w:vAlign w:val="center"/>
                </w:tcPr>
                <w:p w14:paraId="7920E0A0" w14:textId="77777777" w:rsidR="00457A7D" w:rsidRPr="003549B4" w:rsidRDefault="00457A7D" w:rsidP="00457A7D">
                  <w:pPr>
                    <w:spacing w:after="0" w:line="240" w:lineRule="auto"/>
                    <w:ind w:left="247"/>
                    <w:jc w:val="center"/>
                    <w:rPr>
                      <w:rFonts w:ascii="Times New Roman" w:hAnsi="Times New Roman" w:cs="Times New Roman"/>
                      <w:sz w:val="18"/>
                      <w:szCs w:val="18"/>
                    </w:rPr>
                  </w:pPr>
                  <w:r w:rsidRPr="003549B4">
                    <w:rPr>
                      <w:rFonts w:ascii="Times New Roman" w:hAnsi="Times New Roman" w:cs="Times New Roman"/>
                      <w:sz w:val="18"/>
                      <w:szCs w:val="18"/>
                    </w:rPr>
                    <w:t>150</w:t>
                  </w:r>
                </w:p>
              </w:tc>
              <w:tc>
                <w:tcPr>
                  <w:tcW w:w="778" w:type="dxa"/>
                  <w:tcBorders>
                    <w:top w:val="single" w:sz="3" w:space="0" w:color="000000"/>
                    <w:left w:val="single" w:sz="3" w:space="0" w:color="000000"/>
                    <w:bottom w:val="single" w:sz="3" w:space="0" w:color="000000"/>
                    <w:right w:val="single" w:sz="3" w:space="0" w:color="000000"/>
                  </w:tcBorders>
                  <w:vAlign w:val="center"/>
                </w:tcPr>
                <w:p w14:paraId="7D564EC9" w14:textId="77777777" w:rsidR="00457A7D" w:rsidRPr="003549B4" w:rsidRDefault="00457A7D" w:rsidP="00457A7D">
                  <w:pPr>
                    <w:spacing w:after="0" w:line="240" w:lineRule="auto"/>
                    <w:ind w:left="42"/>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457A7D" w:rsidRPr="003549B4" w14:paraId="05B63023"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31A4A99D"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Biomasa </w:t>
                  </w:r>
                </w:p>
              </w:tc>
              <w:tc>
                <w:tcPr>
                  <w:tcW w:w="709" w:type="dxa"/>
                  <w:tcBorders>
                    <w:top w:val="single" w:sz="3" w:space="0" w:color="000000"/>
                    <w:left w:val="single" w:sz="3" w:space="0" w:color="000000"/>
                    <w:bottom w:val="single" w:sz="3" w:space="0" w:color="000000"/>
                    <w:right w:val="single" w:sz="3" w:space="0" w:color="000000"/>
                  </w:tcBorders>
                  <w:vAlign w:val="center"/>
                </w:tcPr>
                <w:p w14:paraId="150BA9DB" w14:textId="77777777" w:rsidR="00457A7D" w:rsidRPr="003549B4" w:rsidRDefault="00457A7D" w:rsidP="00457A7D">
                  <w:pPr>
                    <w:spacing w:after="0" w:line="240" w:lineRule="auto"/>
                    <w:ind w:left="44"/>
                    <w:jc w:val="center"/>
                    <w:rPr>
                      <w:rFonts w:ascii="Times New Roman" w:hAnsi="Times New Roman" w:cs="Times New Roman"/>
                      <w:sz w:val="18"/>
                      <w:szCs w:val="18"/>
                    </w:rPr>
                  </w:pPr>
                  <w:r w:rsidRPr="003549B4">
                    <w:rPr>
                      <w:rFonts w:ascii="Times New Roman" w:hAnsi="Times New Roman" w:cs="Times New Roman"/>
                      <w:sz w:val="18"/>
                      <w:szCs w:val="18"/>
                    </w:rPr>
                    <w:t>50</w:t>
                  </w:r>
                </w:p>
              </w:tc>
              <w:tc>
                <w:tcPr>
                  <w:tcW w:w="1134" w:type="dxa"/>
                  <w:tcBorders>
                    <w:top w:val="single" w:sz="3" w:space="0" w:color="000000"/>
                    <w:left w:val="single" w:sz="3" w:space="0" w:color="000000"/>
                    <w:bottom w:val="single" w:sz="3" w:space="0" w:color="000000"/>
                    <w:right w:val="single" w:sz="3" w:space="0" w:color="000000"/>
                  </w:tcBorders>
                  <w:vAlign w:val="center"/>
                </w:tcPr>
                <w:p w14:paraId="7B7FE469" w14:textId="77777777" w:rsidR="00457A7D" w:rsidRPr="003549B4" w:rsidRDefault="00457A7D" w:rsidP="00457A7D">
                  <w:pPr>
                    <w:spacing w:after="0" w:line="240" w:lineRule="auto"/>
                    <w:ind w:left="46"/>
                    <w:jc w:val="center"/>
                    <w:rPr>
                      <w:rFonts w:ascii="Times New Roman" w:hAnsi="Times New Roman" w:cs="Times New Roman"/>
                      <w:sz w:val="18"/>
                      <w:szCs w:val="18"/>
                    </w:rPr>
                  </w:pPr>
                  <w:r w:rsidRPr="003549B4">
                    <w:rPr>
                      <w:rFonts w:ascii="Times New Roman" w:hAnsi="Times New Roman" w:cs="Times New Roman"/>
                      <w:sz w:val="18"/>
                      <w:szCs w:val="18"/>
                    </w:rPr>
                    <w:t>200</w:t>
                  </w:r>
                  <w:r w:rsidRPr="003549B4">
                    <w:rPr>
                      <w:rFonts w:ascii="Times New Roman" w:hAnsi="Times New Roman" w:cs="Times New Roman"/>
                      <w:sz w:val="18"/>
                      <w:szCs w:val="18"/>
                      <w:vertAlign w:val="superscript"/>
                    </w:rPr>
                    <w:t>1</w:t>
                  </w:r>
                  <w:r w:rsidRPr="003549B4">
                    <w:rPr>
                      <w:rFonts w:ascii="Times New Roman" w:hAnsi="Times New Roman" w:cs="Times New Roman"/>
                      <w:sz w:val="18"/>
                      <w:szCs w:val="18"/>
                    </w:rPr>
                    <w:t>) 300</w:t>
                  </w:r>
                  <w:r w:rsidRPr="003549B4">
                    <w:rPr>
                      <w:rFonts w:ascii="Times New Roman" w:hAnsi="Times New Roman" w:cs="Times New Roman"/>
                      <w:sz w:val="18"/>
                      <w:szCs w:val="18"/>
                      <w:vertAlign w:val="superscript"/>
                    </w:rPr>
                    <w:t>2</w:t>
                  </w:r>
                  <w:r w:rsidRPr="003549B4">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746A96A3" w14:textId="77777777" w:rsidR="00457A7D" w:rsidRPr="003549B4" w:rsidRDefault="00457A7D" w:rsidP="00457A7D">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650</w:t>
                  </w:r>
                </w:p>
              </w:tc>
              <w:tc>
                <w:tcPr>
                  <w:tcW w:w="851" w:type="dxa"/>
                  <w:gridSpan w:val="2"/>
                  <w:tcBorders>
                    <w:top w:val="single" w:sz="3" w:space="0" w:color="000000"/>
                    <w:left w:val="nil"/>
                    <w:bottom w:val="single" w:sz="3" w:space="0" w:color="000000"/>
                    <w:right w:val="single" w:sz="3" w:space="0" w:color="000000"/>
                  </w:tcBorders>
                  <w:vAlign w:val="center"/>
                </w:tcPr>
                <w:p w14:paraId="3821ED37" w14:textId="77777777" w:rsidR="00457A7D" w:rsidRPr="003549B4" w:rsidRDefault="00457A7D" w:rsidP="00DF6853">
                  <w:pPr>
                    <w:spacing w:after="0" w:line="240" w:lineRule="auto"/>
                    <w:ind w:left="-104"/>
                    <w:jc w:val="center"/>
                    <w:rPr>
                      <w:rFonts w:ascii="Times New Roman" w:hAnsi="Times New Roman" w:cs="Times New Roman"/>
                      <w:sz w:val="18"/>
                      <w:szCs w:val="18"/>
                    </w:rPr>
                  </w:pPr>
                  <w:r w:rsidRPr="003549B4">
                    <w:rPr>
                      <w:rFonts w:ascii="Times New Roman" w:hAnsi="Times New Roman" w:cs="Times New Roman"/>
                      <w:sz w:val="18"/>
                      <w:szCs w:val="18"/>
                    </w:rPr>
                    <w:t>150, 250</w:t>
                  </w:r>
                  <w:r w:rsidRPr="003549B4">
                    <w:rPr>
                      <w:rFonts w:ascii="Times New Roman" w:hAnsi="Times New Roman" w:cs="Times New Roman"/>
                      <w:sz w:val="18"/>
                      <w:szCs w:val="18"/>
                      <w:vertAlign w:val="superscript"/>
                    </w:rPr>
                    <w:t>2</w:t>
                  </w:r>
                  <w:r w:rsidRPr="003549B4">
                    <w:rPr>
                      <w:rFonts w:ascii="Times New Roman" w:hAnsi="Times New Roman" w:cs="Times New Roman"/>
                      <w:sz w:val="18"/>
                      <w:szCs w:val="18"/>
                    </w:rPr>
                    <w:t>)</w:t>
                  </w:r>
                </w:p>
              </w:tc>
              <w:tc>
                <w:tcPr>
                  <w:tcW w:w="778" w:type="dxa"/>
                  <w:tcBorders>
                    <w:top w:val="single" w:sz="3" w:space="0" w:color="000000"/>
                    <w:left w:val="single" w:sz="3" w:space="0" w:color="000000"/>
                    <w:bottom w:val="single" w:sz="3" w:space="0" w:color="000000"/>
                    <w:right w:val="single" w:sz="3" w:space="0" w:color="000000"/>
                  </w:tcBorders>
                  <w:vAlign w:val="center"/>
                </w:tcPr>
                <w:p w14:paraId="08963685" w14:textId="77777777" w:rsidR="00457A7D" w:rsidRPr="003549B4" w:rsidRDefault="00457A7D" w:rsidP="00457A7D">
                  <w:pPr>
                    <w:spacing w:after="0" w:line="240" w:lineRule="auto"/>
                    <w:ind w:left="45"/>
                    <w:jc w:val="center"/>
                    <w:rPr>
                      <w:rFonts w:ascii="Times New Roman" w:hAnsi="Times New Roman" w:cs="Times New Roman"/>
                      <w:sz w:val="18"/>
                      <w:szCs w:val="18"/>
                    </w:rPr>
                  </w:pPr>
                  <w:r w:rsidRPr="003549B4">
                    <w:rPr>
                      <w:rFonts w:ascii="Times New Roman" w:hAnsi="Times New Roman" w:cs="Times New Roman"/>
                      <w:sz w:val="18"/>
                      <w:szCs w:val="18"/>
                    </w:rPr>
                    <w:t>20</w:t>
                  </w:r>
                </w:p>
              </w:tc>
            </w:tr>
            <w:tr w:rsidR="00457A7D" w:rsidRPr="003549B4" w14:paraId="3046E122"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39615B73"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Plynový olej  </w:t>
                  </w:r>
                </w:p>
              </w:tc>
              <w:tc>
                <w:tcPr>
                  <w:tcW w:w="709" w:type="dxa"/>
                  <w:tcBorders>
                    <w:top w:val="single" w:sz="3" w:space="0" w:color="000000"/>
                    <w:left w:val="single" w:sz="3" w:space="0" w:color="000000"/>
                    <w:bottom w:val="single" w:sz="3" w:space="0" w:color="000000"/>
                    <w:right w:val="single" w:sz="3" w:space="0" w:color="000000"/>
                  </w:tcBorders>
                  <w:vAlign w:val="center"/>
                </w:tcPr>
                <w:p w14:paraId="66FE0F1C" w14:textId="77777777" w:rsidR="00457A7D" w:rsidRPr="003549B4" w:rsidRDefault="00457A7D" w:rsidP="00457A7D">
                  <w:pPr>
                    <w:spacing w:after="0" w:line="240" w:lineRule="auto"/>
                    <w:ind w:left="45"/>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3B969830" w14:textId="77777777" w:rsidR="00457A7D" w:rsidRPr="003549B4" w:rsidRDefault="00457A7D" w:rsidP="00457A7D">
                  <w:pPr>
                    <w:spacing w:after="0" w:line="240" w:lineRule="auto"/>
                    <w:ind w:left="44"/>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1B593C50" w14:textId="77777777" w:rsidR="00457A7D" w:rsidRPr="003549B4" w:rsidRDefault="00457A7D" w:rsidP="00457A7D">
                  <w:pPr>
                    <w:spacing w:after="0" w:line="240" w:lineRule="auto"/>
                    <w:ind w:left="47"/>
                    <w:jc w:val="center"/>
                    <w:rPr>
                      <w:rFonts w:ascii="Times New Roman" w:hAnsi="Times New Roman" w:cs="Times New Roman"/>
                      <w:sz w:val="18"/>
                      <w:szCs w:val="18"/>
                    </w:rPr>
                  </w:pPr>
                  <w:r w:rsidRPr="003549B4">
                    <w:rPr>
                      <w:rFonts w:ascii="Times New Roman" w:hAnsi="Times New Roman" w:cs="Times New Roman"/>
                      <w:sz w:val="18"/>
                      <w:szCs w:val="18"/>
                    </w:rPr>
                    <w:t>200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496B787E" w14:textId="77777777" w:rsidR="00457A7D" w:rsidRPr="003549B4" w:rsidRDefault="00457A7D" w:rsidP="00457A7D">
                  <w:pPr>
                    <w:spacing w:after="0" w:line="240" w:lineRule="auto"/>
                    <w:ind w:left="247"/>
                    <w:jc w:val="center"/>
                    <w:rPr>
                      <w:rFonts w:ascii="Times New Roman" w:hAnsi="Times New Roman" w:cs="Times New Roman"/>
                      <w:sz w:val="18"/>
                      <w:szCs w:val="18"/>
                    </w:rPr>
                  </w:pPr>
                  <w:r w:rsidRPr="003549B4">
                    <w:rPr>
                      <w:rFonts w:ascii="Times New Roman" w:hAnsi="Times New Roman" w:cs="Times New Roman"/>
                      <w:sz w:val="18"/>
                      <w:szCs w:val="18"/>
                    </w:rPr>
                    <w:t>110</w:t>
                  </w:r>
                </w:p>
              </w:tc>
              <w:tc>
                <w:tcPr>
                  <w:tcW w:w="778" w:type="dxa"/>
                  <w:tcBorders>
                    <w:top w:val="single" w:sz="3" w:space="0" w:color="000000"/>
                    <w:left w:val="single" w:sz="3" w:space="0" w:color="000000"/>
                    <w:bottom w:val="single" w:sz="3" w:space="0" w:color="000000"/>
                    <w:right w:val="single" w:sz="3" w:space="0" w:color="000000"/>
                  </w:tcBorders>
                  <w:vAlign w:val="center"/>
                </w:tcPr>
                <w:p w14:paraId="3AFA52CA" w14:textId="77777777" w:rsidR="00457A7D" w:rsidRPr="003549B4" w:rsidRDefault="00457A7D" w:rsidP="00457A7D">
                  <w:pPr>
                    <w:spacing w:after="0" w:line="240" w:lineRule="auto"/>
                    <w:ind w:left="42"/>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457A7D" w:rsidRPr="003549B4" w14:paraId="449CF263"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2A378F59"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Iné kvapalné palivo </w:t>
                  </w:r>
                </w:p>
              </w:tc>
              <w:tc>
                <w:tcPr>
                  <w:tcW w:w="709" w:type="dxa"/>
                  <w:tcBorders>
                    <w:top w:val="single" w:sz="3" w:space="0" w:color="000000"/>
                    <w:left w:val="single" w:sz="3" w:space="0" w:color="000000"/>
                    <w:bottom w:val="single" w:sz="3" w:space="0" w:color="000000"/>
                    <w:right w:val="single" w:sz="3" w:space="0" w:color="000000"/>
                  </w:tcBorders>
                  <w:vAlign w:val="center"/>
                </w:tcPr>
                <w:p w14:paraId="30831370" w14:textId="77777777" w:rsidR="00457A7D" w:rsidRPr="003549B4" w:rsidRDefault="00457A7D" w:rsidP="00457A7D">
                  <w:pPr>
                    <w:spacing w:after="0" w:line="240" w:lineRule="auto"/>
                    <w:ind w:left="44"/>
                    <w:jc w:val="center"/>
                    <w:rPr>
                      <w:rFonts w:ascii="Times New Roman" w:hAnsi="Times New Roman" w:cs="Times New Roman"/>
                      <w:sz w:val="18"/>
                      <w:szCs w:val="18"/>
                    </w:rPr>
                  </w:pPr>
                  <w:r w:rsidRPr="003549B4">
                    <w:rPr>
                      <w:rFonts w:ascii="Times New Roman" w:hAnsi="Times New Roman" w:cs="Times New Roman"/>
                      <w:sz w:val="18"/>
                      <w:szCs w:val="18"/>
                    </w:rPr>
                    <w:t>30</w:t>
                  </w:r>
                </w:p>
              </w:tc>
              <w:tc>
                <w:tcPr>
                  <w:tcW w:w="1134" w:type="dxa"/>
                  <w:tcBorders>
                    <w:top w:val="single" w:sz="3" w:space="0" w:color="000000"/>
                    <w:left w:val="single" w:sz="3" w:space="0" w:color="000000"/>
                    <w:bottom w:val="single" w:sz="3" w:space="0" w:color="000000"/>
                    <w:right w:val="single" w:sz="3" w:space="0" w:color="000000"/>
                  </w:tcBorders>
                  <w:vAlign w:val="center"/>
                </w:tcPr>
                <w:p w14:paraId="2F8D7BD1" w14:textId="77777777" w:rsidR="00457A7D" w:rsidRPr="003549B4" w:rsidRDefault="00457A7D" w:rsidP="00457A7D">
                  <w:pPr>
                    <w:spacing w:after="0" w:line="240" w:lineRule="auto"/>
                    <w:ind w:left="46"/>
                    <w:jc w:val="center"/>
                    <w:rPr>
                      <w:rFonts w:ascii="Times New Roman" w:hAnsi="Times New Roman" w:cs="Times New Roman"/>
                      <w:sz w:val="18"/>
                      <w:szCs w:val="18"/>
                    </w:rPr>
                  </w:pPr>
                  <w:r w:rsidRPr="003549B4">
                    <w:rPr>
                      <w:rFonts w:ascii="Times New Roman" w:hAnsi="Times New Roman" w:cs="Times New Roman"/>
                      <w:sz w:val="18"/>
                      <w:szCs w:val="18"/>
                    </w:rPr>
                    <w:t>350, 850</w:t>
                  </w:r>
                  <w:r w:rsidRPr="003549B4">
                    <w:rPr>
                      <w:rFonts w:ascii="Times New Roman" w:hAnsi="Times New Roman" w:cs="Times New Roman"/>
                      <w:sz w:val="18"/>
                      <w:szCs w:val="18"/>
                      <w:vertAlign w:val="superscript"/>
                    </w:rPr>
                    <w:t>8</w:t>
                  </w:r>
                  <w:r w:rsidRPr="003549B4">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61D3C961" w14:textId="77777777" w:rsidR="00457A7D" w:rsidRPr="003549B4" w:rsidRDefault="00457A7D" w:rsidP="00457A7D">
                  <w:pPr>
                    <w:spacing w:after="0" w:line="240" w:lineRule="auto"/>
                    <w:ind w:left="47"/>
                    <w:jc w:val="center"/>
                    <w:rPr>
                      <w:rFonts w:ascii="Times New Roman" w:hAnsi="Times New Roman" w:cs="Times New Roman"/>
                      <w:sz w:val="18"/>
                      <w:szCs w:val="18"/>
                    </w:rPr>
                  </w:pPr>
                  <w:r w:rsidRPr="003549B4">
                    <w:rPr>
                      <w:rFonts w:ascii="Times New Roman" w:hAnsi="Times New Roman" w:cs="Times New Roman"/>
                      <w:sz w:val="18"/>
                      <w:szCs w:val="18"/>
                    </w:rPr>
                    <w:t>650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14E180E2" w14:textId="77777777" w:rsidR="00457A7D" w:rsidRPr="003549B4" w:rsidRDefault="00457A7D" w:rsidP="00457A7D">
                  <w:pPr>
                    <w:spacing w:after="0" w:line="240" w:lineRule="auto"/>
                    <w:ind w:left="247"/>
                    <w:jc w:val="center"/>
                    <w:rPr>
                      <w:rFonts w:ascii="Times New Roman" w:hAnsi="Times New Roman" w:cs="Times New Roman"/>
                      <w:sz w:val="18"/>
                      <w:szCs w:val="18"/>
                    </w:rPr>
                  </w:pPr>
                  <w:r w:rsidRPr="003549B4">
                    <w:rPr>
                      <w:rFonts w:ascii="Times New Roman" w:hAnsi="Times New Roman" w:cs="Times New Roman"/>
                      <w:sz w:val="18"/>
                      <w:szCs w:val="18"/>
                    </w:rPr>
                    <w:t>110</w:t>
                  </w:r>
                </w:p>
              </w:tc>
              <w:tc>
                <w:tcPr>
                  <w:tcW w:w="778" w:type="dxa"/>
                  <w:tcBorders>
                    <w:top w:val="single" w:sz="3" w:space="0" w:color="000000"/>
                    <w:left w:val="single" w:sz="3" w:space="0" w:color="000000"/>
                    <w:bottom w:val="single" w:sz="3" w:space="0" w:color="000000"/>
                    <w:right w:val="single" w:sz="3" w:space="0" w:color="000000"/>
                  </w:tcBorders>
                  <w:vAlign w:val="center"/>
                </w:tcPr>
                <w:p w14:paraId="2A1A0E22" w14:textId="77777777" w:rsidR="00457A7D" w:rsidRPr="003549B4" w:rsidRDefault="00457A7D" w:rsidP="00457A7D">
                  <w:pPr>
                    <w:spacing w:after="0" w:line="240" w:lineRule="auto"/>
                    <w:ind w:left="42"/>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457A7D" w:rsidRPr="003549B4" w14:paraId="0F077358"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24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540B971B"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ZPN </w:t>
                  </w:r>
                </w:p>
              </w:tc>
              <w:tc>
                <w:tcPr>
                  <w:tcW w:w="709" w:type="dxa"/>
                  <w:tcBorders>
                    <w:top w:val="single" w:sz="3" w:space="0" w:color="000000"/>
                    <w:left w:val="single" w:sz="3" w:space="0" w:color="000000"/>
                    <w:bottom w:val="single" w:sz="3" w:space="0" w:color="000000"/>
                    <w:right w:val="single" w:sz="3" w:space="0" w:color="000000"/>
                  </w:tcBorders>
                  <w:vAlign w:val="center"/>
                </w:tcPr>
                <w:p w14:paraId="5BB0CA2A" w14:textId="77777777" w:rsidR="00457A7D" w:rsidRPr="003549B4" w:rsidRDefault="00457A7D" w:rsidP="00457A7D">
                  <w:pPr>
                    <w:spacing w:after="0" w:line="240" w:lineRule="auto"/>
                    <w:ind w:left="45"/>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2848818E" w14:textId="77777777" w:rsidR="00457A7D" w:rsidRPr="003549B4" w:rsidRDefault="00457A7D" w:rsidP="00457A7D">
                  <w:pPr>
                    <w:spacing w:after="0" w:line="240" w:lineRule="auto"/>
                    <w:ind w:left="44"/>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009EE554" w14:textId="77777777" w:rsidR="00457A7D" w:rsidRPr="003549B4" w:rsidRDefault="00457A7D" w:rsidP="00DF6853">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1203), 1504), 200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6AD07897" w14:textId="77777777" w:rsidR="00457A7D" w:rsidRPr="003549B4" w:rsidRDefault="00457A7D" w:rsidP="00457A7D">
                  <w:pPr>
                    <w:spacing w:after="0" w:line="240" w:lineRule="auto"/>
                    <w:ind w:left="47"/>
                    <w:jc w:val="center"/>
                    <w:rPr>
                      <w:rFonts w:ascii="Times New Roman" w:hAnsi="Times New Roman" w:cs="Times New Roman"/>
                      <w:sz w:val="18"/>
                      <w:szCs w:val="18"/>
                    </w:rPr>
                  </w:pPr>
                  <w:r w:rsidRPr="003549B4">
                    <w:rPr>
                      <w:rFonts w:ascii="Times New Roman" w:hAnsi="Times New Roman" w:cs="Times New Roman"/>
                      <w:sz w:val="18"/>
                      <w:szCs w:val="18"/>
                    </w:rPr>
                    <w:t>50, 100</w:t>
                  </w:r>
                  <w:r w:rsidRPr="003549B4">
                    <w:rPr>
                      <w:rFonts w:ascii="Times New Roman" w:hAnsi="Times New Roman" w:cs="Times New Roman"/>
                      <w:sz w:val="18"/>
                      <w:szCs w:val="18"/>
                      <w:vertAlign w:val="superscript"/>
                    </w:rPr>
                    <w:t>5</w:t>
                  </w:r>
                  <w:r w:rsidRPr="003549B4">
                    <w:rPr>
                      <w:rFonts w:ascii="Times New Roman" w:hAnsi="Times New Roman" w:cs="Times New Roman"/>
                      <w:sz w:val="18"/>
                      <w:szCs w:val="18"/>
                    </w:rPr>
                    <w:t>)</w:t>
                  </w:r>
                </w:p>
              </w:tc>
              <w:tc>
                <w:tcPr>
                  <w:tcW w:w="778" w:type="dxa"/>
                  <w:tcBorders>
                    <w:top w:val="single" w:sz="3" w:space="0" w:color="000000"/>
                    <w:left w:val="single" w:sz="3" w:space="0" w:color="000000"/>
                    <w:bottom w:val="single" w:sz="3" w:space="0" w:color="000000"/>
                    <w:right w:val="single" w:sz="3" w:space="0" w:color="000000"/>
                  </w:tcBorders>
                  <w:vAlign w:val="center"/>
                </w:tcPr>
                <w:p w14:paraId="5AAF3815" w14:textId="77777777" w:rsidR="00457A7D" w:rsidRPr="003549B4" w:rsidRDefault="00457A7D" w:rsidP="00457A7D">
                  <w:pPr>
                    <w:spacing w:after="0" w:line="240" w:lineRule="auto"/>
                    <w:ind w:left="42"/>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457A7D" w:rsidRPr="003549B4" w14:paraId="6B2BF3AF"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5"/>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2BE0B828"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Iné plynné palivo </w:t>
                  </w:r>
                </w:p>
              </w:tc>
              <w:tc>
                <w:tcPr>
                  <w:tcW w:w="709" w:type="dxa"/>
                  <w:tcBorders>
                    <w:top w:val="single" w:sz="3" w:space="0" w:color="000000"/>
                    <w:left w:val="single" w:sz="3" w:space="0" w:color="000000"/>
                    <w:bottom w:val="single" w:sz="3" w:space="0" w:color="000000"/>
                    <w:right w:val="single" w:sz="3" w:space="0" w:color="000000"/>
                  </w:tcBorders>
                  <w:vAlign w:val="center"/>
                </w:tcPr>
                <w:p w14:paraId="6705B16B" w14:textId="77777777" w:rsidR="00457A7D" w:rsidRPr="003549B4" w:rsidRDefault="00457A7D" w:rsidP="00457A7D">
                  <w:pPr>
                    <w:spacing w:after="0" w:line="240" w:lineRule="auto"/>
                    <w:ind w:left="45"/>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60743C5F" w14:textId="77777777" w:rsidR="00457A7D" w:rsidRPr="003549B4" w:rsidRDefault="00457A7D" w:rsidP="00457A7D">
                  <w:pPr>
                    <w:spacing w:after="0" w:line="240" w:lineRule="auto"/>
                    <w:ind w:left="46"/>
                    <w:jc w:val="center"/>
                    <w:rPr>
                      <w:rFonts w:ascii="Times New Roman" w:hAnsi="Times New Roman" w:cs="Times New Roman"/>
                      <w:sz w:val="18"/>
                      <w:szCs w:val="18"/>
                    </w:rPr>
                  </w:pPr>
                  <w:r w:rsidRPr="003549B4">
                    <w:rPr>
                      <w:rFonts w:ascii="Times New Roman" w:hAnsi="Times New Roman" w:cs="Times New Roman"/>
                      <w:sz w:val="18"/>
                      <w:szCs w:val="18"/>
                    </w:rPr>
                    <w:t>35, 170</w:t>
                  </w:r>
                  <w:r w:rsidRPr="003549B4">
                    <w:rPr>
                      <w:rFonts w:ascii="Times New Roman" w:hAnsi="Times New Roman" w:cs="Times New Roman"/>
                      <w:sz w:val="18"/>
                      <w:szCs w:val="18"/>
                      <w:vertAlign w:val="superscript"/>
                    </w:rPr>
                    <w:t>9</w:t>
                  </w:r>
                  <w:r w:rsidRPr="003549B4">
                    <w:rPr>
                      <w:rFonts w:ascii="Times New Roman" w:hAnsi="Times New Roman" w:cs="Times New Roman"/>
                      <w:sz w:val="18"/>
                      <w:szCs w:val="18"/>
                    </w:rPr>
                    <w:t>)</w:t>
                  </w:r>
                </w:p>
                <w:p w14:paraId="663CF4EE" w14:textId="77777777" w:rsidR="00457A7D" w:rsidRPr="003549B4" w:rsidRDefault="00457A7D" w:rsidP="00457A7D">
                  <w:pPr>
                    <w:spacing w:after="0" w:line="240" w:lineRule="auto"/>
                    <w:ind w:left="46"/>
                    <w:jc w:val="center"/>
                    <w:rPr>
                      <w:rFonts w:ascii="Times New Roman" w:hAnsi="Times New Roman" w:cs="Times New Roman"/>
                      <w:sz w:val="18"/>
                      <w:szCs w:val="18"/>
                    </w:rPr>
                  </w:pPr>
                  <w:r w:rsidRPr="003549B4">
                    <w:rPr>
                      <w:rFonts w:ascii="Times New Roman" w:hAnsi="Times New Roman" w:cs="Times New Roman"/>
                      <w:sz w:val="18"/>
                      <w:szCs w:val="18"/>
                    </w:rPr>
                    <w:t>200</w:t>
                  </w:r>
                  <w:r w:rsidRPr="003549B4">
                    <w:rPr>
                      <w:rFonts w:ascii="Times New Roman" w:hAnsi="Times New Roman" w:cs="Times New Roman"/>
                      <w:sz w:val="18"/>
                      <w:szCs w:val="18"/>
                      <w:vertAlign w:val="superscript"/>
                    </w:rPr>
                    <w:t>10</w:t>
                  </w:r>
                  <w:r w:rsidRPr="003549B4">
                    <w:rPr>
                      <w:rFonts w:ascii="Times New Roman" w:hAnsi="Times New Roman" w:cs="Times New Roman"/>
                      <w:sz w:val="18"/>
                      <w:szCs w:val="18"/>
                    </w:rPr>
                    <w:t>), 400</w:t>
                  </w:r>
                  <w:r w:rsidRPr="003549B4">
                    <w:rPr>
                      <w:rFonts w:ascii="Times New Roman" w:hAnsi="Times New Roman" w:cs="Times New Roman"/>
                      <w:sz w:val="18"/>
                      <w:szCs w:val="18"/>
                      <w:vertAlign w:val="superscript"/>
                    </w:rPr>
                    <w:t>6</w:t>
                  </w:r>
                  <w:r w:rsidRPr="003549B4">
                    <w:rPr>
                      <w:rFonts w:ascii="Times New Roman" w:hAnsi="Times New Roman" w:cs="Times New Roman"/>
                      <w:sz w:val="18"/>
                      <w:szCs w:val="18"/>
                    </w:rPr>
                    <w:t>)</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4B8D484B" w14:textId="77777777" w:rsidR="00457A7D" w:rsidRPr="003549B4" w:rsidRDefault="00457A7D" w:rsidP="00457A7D">
                  <w:pPr>
                    <w:spacing w:after="0" w:line="240" w:lineRule="auto"/>
                    <w:ind w:left="47"/>
                    <w:jc w:val="center"/>
                    <w:rPr>
                      <w:rFonts w:ascii="Times New Roman" w:hAnsi="Times New Roman" w:cs="Times New Roman"/>
                      <w:sz w:val="18"/>
                      <w:szCs w:val="18"/>
                    </w:rPr>
                  </w:pPr>
                  <w:r w:rsidRPr="003549B4">
                    <w:rPr>
                      <w:rFonts w:ascii="Times New Roman" w:hAnsi="Times New Roman" w:cs="Times New Roman"/>
                      <w:sz w:val="18"/>
                      <w:szCs w:val="18"/>
                    </w:rPr>
                    <w:t>250</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061B4C6D" w14:textId="77777777" w:rsidR="00457A7D" w:rsidRPr="003549B4" w:rsidRDefault="00457A7D" w:rsidP="00457A7D">
                  <w:pPr>
                    <w:spacing w:after="0" w:line="240" w:lineRule="auto"/>
                    <w:ind w:left="247"/>
                    <w:jc w:val="center"/>
                    <w:rPr>
                      <w:rFonts w:ascii="Times New Roman" w:hAnsi="Times New Roman" w:cs="Times New Roman"/>
                      <w:sz w:val="18"/>
                      <w:szCs w:val="18"/>
                    </w:rPr>
                  </w:pPr>
                  <w:r w:rsidRPr="003549B4">
                    <w:rPr>
                      <w:rFonts w:ascii="Times New Roman" w:hAnsi="Times New Roman" w:cs="Times New Roman"/>
                      <w:sz w:val="18"/>
                      <w:szCs w:val="18"/>
                    </w:rPr>
                    <w:t>100</w:t>
                  </w:r>
                </w:p>
              </w:tc>
              <w:tc>
                <w:tcPr>
                  <w:tcW w:w="778" w:type="dxa"/>
                  <w:tcBorders>
                    <w:top w:val="single" w:sz="3" w:space="0" w:color="000000"/>
                    <w:left w:val="single" w:sz="3" w:space="0" w:color="000000"/>
                    <w:bottom w:val="single" w:sz="3" w:space="0" w:color="000000"/>
                    <w:right w:val="single" w:sz="3" w:space="0" w:color="000000"/>
                  </w:tcBorders>
                  <w:vAlign w:val="center"/>
                </w:tcPr>
                <w:p w14:paraId="604FA9A4" w14:textId="77777777" w:rsidR="00457A7D" w:rsidRPr="003549B4" w:rsidRDefault="00457A7D" w:rsidP="00457A7D">
                  <w:pPr>
                    <w:spacing w:after="0" w:line="240" w:lineRule="auto"/>
                    <w:ind w:left="42"/>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457A7D" w:rsidRPr="003549B4" w14:paraId="42F3E4DB" w14:textId="77777777" w:rsidTr="00DF6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 w:type="dxa"/>
                  <w:right w:w="42" w:type="dxa"/>
                </w:tblCellMar>
              </w:tblPrEx>
              <w:trPr>
                <w:trHeight w:val="437"/>
                <w:jc w:val="center"/>
              </w:trPr>
              <w:tc>
                <w:tcPr>
                  <w:tcW w:w="1316" w:type="dxa"/>
                  <w:tcBorders>
                    <w:top w:val="single" w:sz="3" w:space="0" w:color="000000"/>
                    <w:left w:val="single" w:sz="3" w:space="0" w:color="000000"/>
                    <w:bottom w:val="single" w:sz="3" w:space="0" w:color="000000"/>
                    <w:right w:val="single" w:sz="3" w:space="0" w:color="000000"/>
                  </w:tcBorders>
                  <w:vAlign w:val="center"/>
                </w:tcPr>
                <w:p w14:paraId="10306B20" w14:textId="77777777" w:rsidR="00457A7D" w:rsidRPr="003549B4" w:rsidRDefault="00457A7D" w:rsidP="00457A7D">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 xml:space="preserve">Osobitný režim  pre CZT  </w:t>
                  </w:r>
                </w:p>
              </w:tc>
              <w:tc>
                <w:tcPr>
                  <w:tcW w:w="709" w:type="dxa"/>
                  <w:tcBorders>
                    <w:top w:val="single" w:sz="3" w:space="0" w:color="000000"/>
                    <w:left w:val="single" w:sz="3" w:space="0" w:color="000000"/>
                    <w:bottom w:val="single" w:sz="3" w:space="0" w:color="000000"/>
                    <w:right w:val="single" w:sz="3" w:space="0" w:color="000000"/>
                  </w:tcBorders>
                  <w:vAlign w:val="center"/>
                </w:tcPr>
                <w:p w14:paraId="2C8A697E" w14:textId="77777777" w:rsidR="00457A7D" w:rsidRPr="003549B4" w:rsidRDefault="00457A7D" w:rsidP="00457A7D">
                  <w:pPr>
                    <w:spacing w:after="0" w:line="240" w:lineRule="auto"/>
                    <w:ind w:left="44"/>
                    <w:jc w:val="center"/>
                    <w:rPr>
                      <w:rFonts w:ascii="Times New Roman" w:hAnsi="Times New Roman" w:cs="Times New Roman"/>
                      <w:sz w:val="18"/>
                      <w:szCs w:val="18"/>
                    </w:rPr>
                  </w:pPr>
                  <w:r w:rsidRPr="003549B4">
                    <w:rPr>
                      <w:rFonts w:ascii="Times New Roman" w:hAnsi="Times New Roman" w:cs="Times New Roman"/>
                      <w:sz w:val="18"/>
                      <w:szCs w:val="18"/>
                    </w:rPr>
                    <w:t>150</w:t>
                  </w:r>
                </w:p>
              </w:tc>
              <w:tc>
                <w:tcPr>
                  <w:tcW w:w="1134" w:type="dxa"/>
                  <w:tcBorders>
                    <w:top w:val="single" w:sz="3" w:space="0" w:color="000000"/>
                    <w:left w:val="single" w:sz="3" w:space="0" w:color="000000"/>
                    <w:bottom w:val="single" w:sz="3" w:space="0" w:color="000000"/>
                    <w:right w:val="single" w:sz="3" w:space="0" w:color="000000"/>
                  </w:tcBorders>
                  <w:vAlign w:val="center"/>
                </w:tcPr>
                <w:p w14:paraId="54FDC975" w14:textId="77777777" w:rsidR="00457A7D" w:rsidRPr="003549B4" w:rsidRDefault="00457A7D" w:rsidP="00457A7D">
                  <w:pPr>
                    <w:spacing w:after="0" w:line="240" w:lineRule="auto"/>
                    <w:ind w:left="45"/>
                    <w:jc w:val="center"/>
                    <w:rPr>
                      <w:rFonts w:ascii="Times New Roman" w:hAnsi="Times New Roman" w:cs="Times New Roman"/>
                      <w:sz w:val="18"/>
                      <w:szCs w:val="18"/>
                    </w:rPr>
                  </w:pPr>
                  <w:r w:rsidRPr="003549B4">
                    <w:rPr>
                      <w:rFonts w:ascii="Times New Roman" w:hAnsi="Times New Roman" w:cs="Times New Roman"/>
                      <w:sz w:val="18"/>
                      <w:szCs w:val="18"/>
                    </w:rPr>
                    <w:t>1 100</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272680AC" w14:textId="77777777" w:rsidR="00457A7D" w:rsidRPr="003549B4" w:rsidRDefault="00457A7D" w:rsidP="00457A7D">
                  <w:pPr>
                    <w:spacing w:after="0" w:line="240" w:lineRule="auto"/>
                    <w:ind w:right="18"/>
                    <w:jc w:val="center"/>
                    <w:rPr>
                      <w:rFonts w:ascii="Times New Roman" w:hAnsi="Times New Roman" w:cs="Times New Roman"/>
                      <w:sz w:val="18"/>
                      <w:szCs w:val="18"/>
                    </w:rPr>
                  </w:pPr>
                  <w:r w:rsidRPr="003549B4">
                    <w:rPr>
                      <w:rFonts w:ascii="Times New Roman" w:hAnsi="Times New Roman" w:cs="Times New Roman"/>
                      <w:sz w:val="18"/>
                      <w:szCs w:val="18"/>
                      <w:vertAlign w:val="superscript"/>
                    </w:rPr>
                    <w:t>11</w:t>
                  </w:r>
                  <w:r w:rsidRPr="003549B4">
                    <w:rPr>
                      <w:rFonts w:ascii="Times New Roman" w:hAnsi="Times New Roman" w:cs="Times New Roman"/>
                      <w:sz w:val="18"/>
                      <w:szCs w:val="18"/>
                    </w:rPr>
                    <w:t>)</w:t>
                  </w:r>
                </w:p>
              </w:tc>
              <w:tc>
                <w:tcPr>
                  <w:tcW w:w="851" w:type="dxa"/>
                  <w:gridSpan w:val="2"/>
                  <w:tcBorders>
                    <w:top w:val="single" w:sz="3" w:space="0" w:color="000000"/>
                    <w:left w:val="single" w:sz="3" w:space="0" w:color="000000"/>
                    <w:bottom w:val="single" w:sz="3" w:space="0" w:color="000000"/>
                    <w:right w:val="single" w:sz="3" w:space="0" w:color="000000"/>
                  </w:tcBorders>
                  <w:vAlign w:val="center"/>
                </w:tcPr>
                <w:p w14:paraId="0B2300EF" w14:textId="77777777" w:rsidR="00457A7D" w:rsidRPr="003549B4" w:rsidRDefault="00457A7D" w:rsidP="00457A7D">
                  <w:pPr>
                    <w:spacing w:after="0" w:line="240" w:lineRule="auto"/>
                    <w:ind w:left="295"/>
                    <w:jc w:val="center"/>
                    <w:rPr>
                      <w:rFonts w:ascii="Times New Roman" w:hAnsi="Times New Roman" w:cs="Times New Roman"/>
                      <w:sz w:val="18"/>
                      <w:szCs w:val="18"/>
                    </w:rPr>
                  </w:pPr>
                  <w:r w:rsidRPr="003549B4">
                    <w:rPr>
                      <w:rFonts w:ascii="Times New Roman" w:hAnsi="Times New Roman" w:cs="Times New Roman"/>
                      <w:sz w:val="18"/>
                      <w:szCs w:val="18"/>
                      <w:vertAlign w:val="superscript"/>
                    </w:rPr>
                    <w:t>11</w:t>
                  </w:r>
                  <w:r w:rsidRPr="003549B4">
                    <w:rPr>
                      <w:rFonts w:ascii="Times New Roman" w:hAnsi="Times New Roman" w:cs="Times New Roman"/>
                      <w:sz w:val="18"/>
                      <w:szCs w:val="18"/>
                    </w:rPr>
                    <w:t>)</w:t>
                  </w:r>
                </w:p>
              </w:tc>
              <w:tc>
                <w:tcPr>
                  <w:tcW w:w="778" w:type="dxa"/>
                  <w:tcBorders>
                    <w:top w:val="single" w:sz="3" w:space="0" w:color="000000"/>
                    <w:left w:val="single" w:sz="3" w:space="0" w:color="000000"/>
                    <w:bottom w:val="single" w:sz="3" w:space="0" w:color="000000"/>
                    <w:right w:val="single" w:sz="3" w:space="0" w:color="000000"/>
                  </w:tcBorders>
                  <w:vAlign w:val="center"/>
                </w:tcPr>
                <w:p w14:paraId="58E77803" w14:textId="77777777" w:rsidR="00457A7D" w:rsidRPr="003549B4" w:rsidRDefault="00457A7D" w:rsidP="00457A7D">
                  <w:pPr>
                    <w:spacing w:after="0" w:line="240" w:lineRule="auto"/>
                    <w:ind w:right="20"/>
                    <w:jc w:val="center"/>
                    <w:rPr>
                      <w:rFonts w:ascii="Times New Roman" w:hAnsi="Times New Roman" w:cs="Times New Roman"/>
                      <w:sz w:val="18"/>
                      <w:szCs w:val="18"/>
                    </w:rPr>
                  </w:pPr>
                  <w:r w:rsidRPr="003549B4">
                    <w:rPr>
                      <w:rFonts w:ascii="Times New Roman" w:hAnsi="Times New Roman" w:cs="Times New Roman"/>
                      <w:sz w:val="18"/>
                      <w:szCs w:val="18"/>
                      <w:vertAlign w:val="superscript"/>
                    </w:rPr>
                    <w:t>11</w:t>
                  </w:r>
                  <w:r w:rsidRPr="003549B4">
                    <w:rPr>
                      <w:rFonts w:ascii="Times New Roman" w:hAnsi="Times New Roman" w:cs="Times New Roman"/>
                      <w:sz w:val="18"/>
                      <w:szCs w:val="18"/>
                    </w:rPr>
                    <w:t>)</w:t>
                  </w:r>
                </w:p>
              </w:tc>
            </w:tr>
          </w:tbl>
          <w:p w14:paraId="219F7044" w14:textId="77777777" w:rsidR="00905DC2" w:rsidRPr="003549B4" w:rsidRDefault="00905DC2" w:rsidP="00905DC2">
            <w:pPr>
              <w:spacing w:before="120" w:after="0" w:line="240" w:lineRule="auto"/>
              <w:ind w:right="8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1</w:t>
            </w:r>
            <w:r w:rsidRPr="003549B4">
              <w:rPr>
                <w:rFonts w:ascii="Times New Roman" w:eastAsia="Times New Roman" w:hAnsi="Times New Roman" w:cs="Times New Roman"/>
                <w:sz w:val="20"/>
                <w:szCs w:val="20"/>
              </w:rPr>
              <w:t xml:space="preserve">) Neuplatňuje sa pre zariadenia  spaľujúce výlučne drevnú biomasu. </w:t>
            </w:r>
          </w:p>
          <w:p w14:paraId="7CA297D9" w14:textId="77777777" w:rsidR="00905DC2" w:rsidRPr="003549B4" w:rsidRDefault="00905DC2" w:rsidP="00905DC2">
            <w:pPr>
              <w:tabs>
                <w:tab w:val="left" w:pos="5675"/>
              </w:tabs>
              <w:spacing w:after="5" w:line="247" w:lineRule="auto"/>
              <w:ind w:right="770"/>
              <w:jc w:val="both"/>
              <w:rPr>
                <w:rFonts w:ascii="Times New Roman" w:eastAsia="Times New Roman" w:hAnsi="Times New Roman" w:cs="Times New Roman"/>
                <w:sz w:val="20"/>
                <w:szCs w:val="20"/>
              </w:rPr>
            </w:pPr>
            <w:r w:rsidRPr="003549B4">
              <w:rPr>
                <w:rFonts w:ascii="Times New Roman" w:eastAsia="Times New Roman" w:hAnsi="Times New Roman" w:cs="Times New Roman"/>
                <w:sz w:val="20"/>
                <w:szCs w:val="20"/>
                <w:vertAlign w:val="superscript"/>
              </w:rPr>
              <w:t>2</w:t>
            </w:r>
            <w:r w:rsidRPr="003549B4">
              <w:rPr>
                <w:rFonts w:ascii="Times New Roman" w:eastAsia="Times New Roman" w:hAnsi="Times New Roman" w:cs="Times New Roman"/>
                <w:sz w:val="20"/>
                <w:szCs w:val="20"/>
              </w:rPr>
              <w:t xml:space="preserve">) Platí pre spaľovanie slamy. </w:t>
            </w:r>
          </w:p>
          <w:p w14:paraId="04A8540D" w14:textId="77777777" w:rsidR="00905DC2" w:rsidRPr="003549B4" w:rsidRDefault="00905DC2" w:rsidP="00905DC2">
            <w:pPr>
              <w:spacing w:after="5" w:line="247" w:lineRule="auto"/>
              <w:ind w:right="8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3</w:t>
            </w:r>
            <w:r w:rsidRPr="003549B4">
              <w:rPr>
                <w:rFonts w:ascii="Times New Roman" w:eastAsia="Times New Roman" w:hAnsi="Times New Roman" w:cs="Times New Roman"/>
                <w:sz w:val="20"/>
                <w:szCs w:val="20"/>
              </w:rPr>
              <w:t xml:space="preserve">) Platí pre kotly s vydaným </w:t>
            </w:r>
            <w:r w:rsidRPr="003549B4">
              <w:rPr>
                <w:rFonts w:ascii="Times New Roman" w:hAnsi="Times New Roman" w:cs="Times New Roman"/>
                <w:sz w:val="20"/>
                <w:szCs w:val="20"/>
              </w:rPr>
              <w:t>povolením od</w:t>
            </w:r>
            <w:r w:rsidRPr="003549B4">
              <w:rPr>
                <w:rFonts w:ascii="Times New Roman" w:eastAsia="Times New Roman" w:hAnsi="Times New Roman" w:cs="Times New Roman"/>
                <w:sz w:val="20"/>
                <w:szCs w:val="20"/>
              </w:rPr>
              <w:t xml:space="preserve"> 1. januára 2014 s pretlakovými horákmi s teplotou teplonosného média &lt; 200 °C (teplovodné, horúcovodné alebo parné kotly). </w:t>
            </w:r>
          </w:p>
          <w:p w14:paraId="48AD1FB5" w14:textId="77777777" w:rsidR="00905DC2" w:rsidRPr="003549B4" w:rsidRDefault="00905DC2" w:rsidP="00905DC2">
            <w:pPr>
              <w:spacing w:after="5" w:line="247" w:lineRule="auto"/>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lastRenderedPageBreak/>
              <w:t>4</w:t>
            </w:r>
            <w:r w:rsidRPr="003549B4">
              <w:rPr>
                <w:rFonts w:ascii="Times New Roman" w:eastAsia="Times New Roman" w:hAnsi="Times New Roman" w:cs="Times New Roman"/>
                <w:sz w:val="20"/>
                <w:szCs w:val="20"/>
              </w:rPr>
              <w:t xml:space="preserve">) Platí pre kotly s vydaným </w:t>
            </w:r>
            <w:r w:rsidRPr="003549B4">
              <w:rPr>
                <w:rFonts w:ascii="Times New Roman" w:hAnsi="Times New Roman" w:cs="Times New Roman"/>
                <w:sz w:val="20"/>
                <w:szCs w:val="20"/>
              </w:rPr>
              <w:t>povolením od</w:t>
            </w:r>
            <w:r w:rsidRPr="003549B4">
              <w:rPr>
                <w:rFonts w:ascii="Times New Roman" w:eastAsia="Times New Roman" w:hAnsi="Times New Roman" w:cs="Times New Roman"/>
                <w:sz w:val="20"/>
                <w:szCs w:val="20"/>
              </w:rPr>
              <w:t xml:space="preserve"> 1. januára 2014 s pretlakovými horákmi s teplotou teplonosného média &gt; 200 °C (termoolejové alebo  parné kotly). </w:t>
            </w:r>
          </w:p>
          <w:p w14:paraId="34A64A4E" w14:textId="77777777" w:rsidR="00905DC2" w:rsidRPr="003549B4" w:rsidRDefault="00905DC2" w:rsidP="00905DC2">
            <w:pPr>
              <w:spacing w:after="5" w:line="247" w:lineRule="auto"/>
              <w:ind w:right="8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5</w:t>
            </w:r>
            <w:r w:rsidRPr="003549B4">
              <w:rPr>
                <w:rFonts w:ascii="Times New Roman" w:eastAsia="Times New Roman" w:hAnsi="Times New Roman" w:cs="Times New Roman"/>
                <w:sz w:val="20"/>
                <w:szCs w:val="20"/>
              </w:rPr>
              <w:t xml:space="preserve">) Platí pre zariadenia s </w:t>
            </w:r>
            <w:r w:rsidRPr="003549B4">
              <w:rPr>
                <w:rFonts w:ascii="Times New Roman" w:hAnsi="Times New Roman" w:cs="Times New Roman"/>
                <w:sz w:val="20"/>
                <w:szCs w:val="20"/>
              </w:rPr>
              <w:t>povolením</w:t>
            </w:r>
            <w:r w:rsidRPr="003549B4">
              <w:rPr>
                <w:rFonts w:ascii="Times New Roman" w:eastAsia="Times New Roman" w:hAnsi="Times New Roman" w:cs="Times New Roman"/>
                <w:sz w:val="20"/>
                <w:szCs w:val="20"/>
              </w:rPr>
              <w:t xml:space="preserve"> vydaným do 31. decembra 2013. </w:t>
            </w:r>
          </w:p>
          <w:p w14:paraId="6A7D6D39" w14:textId="77777777" w:rsidR="00905DC2" w:rsidRPr="003549B4" w:rsidRDefault="00905DC2" w:rsidP="00905DC2">
            <w:pPr>
              <w:tabs>
                <w:tab w:val="left" w:pos="5675"/>
              </w:tabs>
              <w:spacing w:after="5" w:line="247" w:lineRule="auto"/>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6</w:t>
            </w:r>
            <w:r w:rsidRPr="003549B4">
              <w:rPr>
                <w:rFonts w:ascii="Times New Roman" w:eastAsia="Times New Roman" w:hAnsi="Times New Roman" w:cs="Times New Roman"/>
                <w:sz w:val="20"/>
                <w:szCs w:val="20"/>
              </w:rPr>
              <w:t xml:space="preserve">) Platí pre nízkovýhrevné plyny z koksárenských pecí v železiarskom a oceliarskom priemysle. </w:t>
            </w:r>
          </w:p>
          <w:p w14:paraId="68D40A35" w14:textId="77777777" w:rsidR="00905DC2" w:rsidRPr="003549B4" w:rsidRDefault="00905DC2" w:rsidP="00905DC2">
            <w:pPr>
              <w:spacing w:after="5" w:line="247" w:lineRule="auto"/>
              <w:ind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7</w:t>
            </w:r>
            <w:r w:rsidRPr="003549B4">
              <w:rPr>
                <w:rFonts w:ascii="Times New Roman" w:eastAsia="Times New Roman" w:hAnsi="Times New Roman" w:cs="Times New Roman"/>
                <w:sz w:val="20"/>
                <w:szCs w:val="20"/>
              </w:rPr>
              <w:t xml:space="preserve">) Platí  pre zariadenia s MTP ≤ 20 MW.  </w:t>
            </w:r>
          </w:p>
          <w:p w14:paraId="29987FAD" w14:textId="77777777" w:rsidR="00905DC2" w:rsidRPr="003549B4" w:rsidRDefault="00905DC2" w:rsidP="00905DC2">
            <w:pPr>
              <w:spacing w:after="5" w:line="247" w:lineRule="auto"/>
              <w:ind w:right="221"/>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8</w:t>
            </w:r>
            <w:r w:rsidRPr="003549B4">
              <w:rPr>
                <w:rFonts w:ascii="Times New Roman" w:eastAsia="Times New Roman" w:hAnsi="Times New Roman" w:cs="Times New Roman"/>
                <w:sz w:val="20"/>
                <w:szCs w:val="20"/>
              </w:rPr>
              <w:t xml:space="preserve">) Platí Platí pre zariadenia  spaľujúce ŤVO  s celkovým MTP ≤ 20 MW do 1. januára 2030. </w:t>
            </w:r>
          </w:p>
          <w:p w14:paraId="5A66E351" w14:textId="77777777" w:rsidR="00905DC2" w:rsidRPr="003549B4" w:rsidRDefault="00905DC2" w:rsidP="00905DC2">
            <w:pPr>
              <w:spacing w:after="5" w:line="247" w:lineRule="auto"/>
              <w:ind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9</w:t>
            </w:r>
            <w:r w:rsidRPr="003549B4">
              <w:rPr>
                <w:rFonts w:ascii="Times New Roman" w:eastAsia="Times New Roman" w:hAnsi="Times New Roman" w:cs="Times New Roman"/>
                <w:sz w:val="20"/>
                <w:szCs w:val="20"/>
              </w:rPr>
              <w:t xml:space="preserve">) Platí Platí pre bioplyn.  </w:t>
            </w:r>
          </w:p>
          <w:p w14:paraId="382B819A" w14:textId="77777777" w:rsidR="00905DC2" w:rsidRPr="003549B4" w:rsidRDefault="00905DC2" w:rsidP="00905DC2">
            <w:pPr>
              <w:spacing w:after="5" w:line="247" w:lineRule="auto"/>
              <w:ind w:right="8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10</w:t>
            </w:r>
            <w:r w:rsidRPr="003549B4">
              <w:rPr>
                <w:rFonts w:ascii="Times New Roman" w:eastAsia="Times New Roman" w:hAnsi="Times New Roman" w:cs="Times New Roman"/>
                <w:sz w:val="20"/>
                <w:szCs w:val="20"/>
              </w:rPr>
              <w:t xml:space="preserve">) Platí Platí pre nízkovýhrevné plyny z vysokých pecí v železiarskom a oceliarskom priemysle. </w:t>
            </w:r>
          </w:p>
          <w:p w14:paraId="7817CF5A" w14:textId="77777777" w:rsidR="00905DC2" w:rsidRPr="003549B4" w:rsidRDefault="00905DC2" w:rsidP="00DF6853">
            <w:pPr>
              <w:spacing w:after="90" w:line="247" w:lineRule="auto"/>
              <w:ind w:left="10" w:right="-62" w:hanging="1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11</w:t>
            </w:r>
            <w:r w:rsidRPr="003549B4">
              <w:rPr>
                <w:rFonts w:ascii="Times New Roman" w:eastAsia="Times New Roman" w:hAnsi="Times New Roman" w:cs="Times New Roman"/>
                <w:sz w:val="20"/>
                <w:szCs w:val="20"/>
              </w:rPr>
              <w:t xml:space="preserve">) Platí EL určený podľa piatej časti podľa používaného paliva do roku 2030. </w:t>
            </w:r>
          </w:p>
        </w:tc>
        <w:tc>
          <w:tcPr>
            <w:tcW w:w="429" w:type="dxa"/>
            <w:tcBorders>
              <w:top w:val="single" w:sz="4" w:space="0" w:color="auto"/>
              <w:bottom w:val="single" w:sz="4" w:space="0" w:color="auto"/>
            </w:tcBorders>
            <w:vAlign w:val="center"/>
          </w:tcPr>
          <w:p w14:paraId="447AAACD" w14:textId="4EAFD9AD"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30F76519"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0D299EA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56917732"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Tab.3</w:t>
            </w:r>
          </w:p>
        </w:tc>
        <w:tc>
          <w:tcPr>
            <w:tcW w:w="6287" w:type="dxa"/>
          </w:tcPr>
          <w:p w14:paraId="25968E96"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Emisné limity (mg/Nm3) pre existujúce motory a plynové turbíny</w:t>
            </w:r>
          </w:p>
          <w:p w14:paraId="1BE8C6AB"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noProof/>
                <w:sz w:val="20"/>
                <w:szCs w:val="20"/>
                <w:lang w:eastAsia="sk-SK"/>
              </w:rPr>
              <w:drawing>
                <wp:inline distT="0" distB="0" distL="0" distR="0" wp14:anchorId="4397E34B" wp14:editId="34F77E80">
                  <wp:extent cx="4238625" cy="2362200"/>
                  <wp:effectExtent l="0" t="0" r="952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8625" cy="2362200"/>
                          </a:xfrm>
                          <a:prstGeom prst="rect">
                            <a:avLst/>
                          </a:prstGeom>
                          <a:noFill/>
                          <a:ln>
                            <a:noFill/>
                          </a:ln>
                        </pic:spPr>
                      </pic:pic>
                    </a:graphicData>
                  </a:graphic>
                </wp:inline>
              </w:drawing>
            </w:r>
          </w:p>
          <w:p w14:paraId="4C1A4E1C"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(1) 60 mg/Nm3 v prípade bioplynu. </w:t>
            </w:r>
          </w:p>
          <w:p w14:paraId="283366A9"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(2) 130 mg/Nm3 v prípade nízkovýhrevných plynov z koksárenských pecí a 65 mg/Nm3 v prípade nízkovýhrevných plynov z vysokých pecí v železiarskom a oceliarskom priemysle. </w:t>
            </w:r>
          </w:p>
          <w:p w14:paraId="56F616BE"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(3) 1 850 mg/Nm3 v týchto prípadoch: i) v prípade naftových motorov, ktorých konštrukcia sa začala pred 18. májom 2006; ii) v prípade dvojpalivových motorov v kvapalnom režime. </w:t>
            </w:r>
          </w:p>
          <w:p w14:paraId="39D35D73"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(4)250 mg/Nm3 v prípade motorov s menovitým tepelným príkonom rovnajúcim sa alebo väčším ako 1 MW a menším alebo rovnajúcim sa 5 MW. </w:t>
            </w:r>
          </w:p>
          <w:p w14:paraId="7CB4EA3A"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 xml:space="preserve">(5)250 mg/Nm3 v prípade motorov s menovitým tepelným príkonom rovnajúcim sa alebo väčším ako 1 MW a menším alebo rovnajúcim sa 5 MW. 225 mg/Nm3 v prípade motorov s menovitým tepelným príkonom väčším ako 5 MW a menším alebo rovnajúcim sa 20 MW. </w:t>
            </w:r>
          </w:p>
          <w:p w14:paraId="438AB106"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(6) 380 mg/Nm3 v prípade dvojpalivových motorov v kvapalnom režime. </w:t>
            </w:r>
          </w:p>
          <w:p w14:paraId="3AB61A0F"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(7) Emisné limity sa uplatňujú iba pri zaťažení nad 70 %.</w:t>
            </w:r>
          </w:p>
          <w:p w14:paraId="771273FC"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(8)20 mg/Nm3 v prípade zariadení s menovitým tepelným príkonom rovnajúcim sa alebo väčším ako 1 MW a menším alebo rovnajúcim sa 20 MW.</w:t>
            </w:r>
          </w:p>
        </w:tc>
        <w:tc>
          <w:tcPr>
            <w:tcW w:w="433" w:type="dxa"/>
          </w:tcPr>
          <w:p w14:paraId="19F86FC7"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w:t>
            </w:r>
          </w:p>
        </w:tc>
        <w:tc>
          <w:tcPr>
            <w:tcW w:w="572" w:type="dxa"/>
          </w:tcPr>
          <w:p w14:paraId="6AE4E80D"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6AA734DA"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2BA39265"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Pr.4</w:t>
            </w:r>
          </w:p>
          <w:p w14:paraId="3D34088E" w14:textId="77777777" w:rsidR="00905DC2" w:rsidRPr="003549B4" w:rsidRDefault="00905DC2" w:rsidP="00F17024">
            <w:pPr>
              <w:spacing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Časť IV</w:t>
            </w:r>
          </w:p>
        </w:tc>
        <w:tc>
          <w:tcPr>
            <w:tcW w:w="6006" w:type="dxa"/>
          </w:tcPr>
          <w:p w14:paraId="1038FD97" w14:textId="77777777" w:rsidR="00905DC2" w:rsidRPr="003549B4" w:rsidRDefault="00905DC2" w:rsidP="00905DC2">
            <w:pPr>
              <w:spacing w:before="120" w:after="0" w:line="240" w:lineRule="auto"/>
              <w:ind w:left="284" w:hanging="284"/>
              <w:rPr>
                <w:rFonts w:ascii="Times New Roman" w:hAnsi="Times New Roman" w:cs="Times New Roman"/>
                <w:sz w:val="20"/>
                <w:szCs w:val="20"/>
              </w:rPr>
            </w:pPr>
            <w:r w:rsidRPr="003549B4">
              <w:rPr>
                <w:rFonts w:ascii="Times New Roman" w:hAnsi="Times New Roman" w:cs="Times New Roman"/>
                <w:sz w:val="20"/>
                <w:szCs w:val="20"/>
              </w:rPr>
              <w:t>3.  Spaľovacie zariadenie zložené z plynových turbín</w:t>
            </w:r>
          </w:p>
          <w:p w14:paraId="756540B3" w14:textId="77777777" w:rsidR="00905DC2" w:rsidRPr="003549B4" w:rsidRDefault="00905DC2" w:rsidP="00905DC2">
            <w:pPr>
              <w:spacing w:before="120" w:after="0" w:line="240" w:lineRule="auto"/>
              <w:ind w:left="284" w:hanging="284"/>
              <w:rPr>
                <w:rFonts w:ascii="Times New Roman" w:hAnsi="Times New Roman" w:cs="Times New Roman"/>
                <w:sz w:val="20"/>
                <w:szCs w:val="20"/>
              </w:rPr>
            </w:pPr>
            <w:r w:rsidRPr="003549B4">
              <w:rPr>
                <w:rFonts w:ascii="Times New Roman" w:hAnsi="Times New Roman" w:cs="Times New Roman"/>
                <w:sz w:val="20"/>
                <w:szCs w:val="20"/>
              </w:rPr>
              <w:t>A. Emisné limity pre plynové turbíny – jestvujúce zariadenia</w:t>
            </w:r>
          </w:p>
          <w:p w14:paraId="487011BB" w14:textId="77777777" w:rsidR="00905DC2" w:rsidRPr="003549B4" w:rsidRDefault="00905DC2" w:rsidP="00905DC2">
            <w:pPr>
              <w:pStyle w:val="Normln"/>
              <w:keepNext/>
              <w:ind w:left="426" w:hanging="426"/>
              <w:rPr>
                <w:b/>
                <w:sz w:val="20"/>
                <w:lang w:val="sk-SK"/>
              </w:rPr>
            </w:pPr>
          </w:p>
          <w:tbl>
            <w:tblPr>
              <w:tblW w:w="5000" w:type="pct"/>
              <w:jc w:val="center"/>
              <w:tblLayout w:type="fixed"/>
              <w:tblCellMar>
                <w:top w:w="10" w:type="dxa"/>
                <w:left w:w="91" w:type="dxa"/>
                <w:right w:w="8" w:type="dxa"/>
              </w:tblCellMar>
              <w:tblLook w:val="04A0" w:firstRow="1" w:lastRow="0" w:firstColumn="1" w:lastColumn="0" w:noHBand="0" w:noVBand="1"/>
            </w:tblPr>
            <w:tblGrid>
              <w:gridCol w:w="1444"/>
              <w:gridCol w:w="976"/>
              <w:gridCol w:w="1128"/>
              <w:gridCol w:w="1127"/>
              <w:gridCol w:w="1050"/>
            </w:tblGrid>
            <w:tr w:rsidR="00905DC2" w:rsidRPr="003549B4" w14:paraId="1954D997" w14:textId="77777777" w:rsidTr="00E609C1">
              <w:trPr>
                <w:trHeight w:val="221"/>
                <w:jc w:val="center"/>
              </w:trPr>
              <w:tc>
                <w:tcPr>
                  <w:tcW w:w="1559" w:type="dxa"/>
                  <w:vMerge w:val="restart"/>
                  <w:tcBorders>
                    <w:top w:val="single" w:sz="4" w:space="0" w:color="000000"/>
                    <w:left w:val="single" w:sz="4" w:space="0" w:color="000000"/>
                    <w:bottom w:val="single" w:sz="3" w:space="0" w:color="000000"/>
                    <w:right w:val="single" w:sz="4" w:space="0" w:color="000000"/>
                  </w:tcBorders>
                  <w:vAlign w:val="center"/>
                </w:tcPr>
                <w:p w14:paraId="0E6512C5"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b/>
                      <w:sz w:val="20"/>
                      <w:szCs w:val="20"/>
                    </w:rPr>
                    <w:t xml:space="preserve">Podmienky platnosti EL </w:t>
                  </w:r>
                </w:p>
              </w:tc>
              <w:tc>
                <w:tcPr>
                  <w:tcW w:w="4611" w:type="dxa"/>
                  <w:gridSpan w:val="4"/>
                  <w:tcBorders>
                    <w:top w:val="single" w:sz="4" w:space="0" w:color="000000"/>
                    <w:left w:val="single" w:sz="4" w:space="0" w:color="000000"/>
                    <w:bottom w:val="single" w:sz="3" w:space="0" w:color="000000"/>
                    <w:right w:val="single" w:sz="4" w:space="0" w:color="000000"/>
                  </w:tcBorders>
                </w:tcPr>
                <w:p w14:paraId="568DCF41"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Štandardné stavové podmienky, suchý plyn, O</w:t>
                  </w:r>
                  <w:r w:rsidRPr="003549B4">
                    <w:rPr>
                      <w:rFonts w:ascii="Times New Roman" w:hAnsi="Times New Roman" w:cs="Times New Roman"/>
                      <w:sz w:val="20"/>
                      <w:szCs w:val="20"/>
                      <w:vertAlign w:val="subscript"/>
                    </w:rPr>
                    <w:t>2 ref</w:t>
                  </w:r>
                  <w:r w:rsidRPr="003549B4">
                    <w:rPr>
                      <w:rFonts w:ascii="Times New Roman" w:hAnsi="Times New Roman" w:cs="Times New Roman"/>
                      <w:sz w:val="20"/>
                      <w:szCs w:val="20"/>
                    </w:rPr>
                    <w:t xml:space="preserve">: 15 % objemu  </w:t>
                  </w:r>
                </w:p>
              </w:tc>
            </w:tr>
            <w:tr w:rsidR="00905DC2" w:rsidRPr="003549B4" w14:paraId="7AD318D2" w14:textId="77777777" w:rsidTr="00E609C1">
              <w:trPr>
                <w:trHeight w:val="223"/>
                <w:jc w:val="center"/>
              </w:trPr>
              <w:tc>
                <w:tcPr>
                  <w:tcW w:w="1559" w:type="dxa"/>
                  <w:vMerge/>
                  <w:tcBorders>
                    <w:top w:val="nil"/>
                    <w:left w:val="single" w:sz="4" w:space="0" w:color="000000"/>
                    <w:bottom w:val="nil"/>
                    <w:right w:val="single" w:sz="4" w:space="0" w:color="000000"/>
                  </w:tcBorders>
                </w:tcPr>
                <w:p w14:paraId="672C3BB0" w14:textId="77777777" w:rsidR="00905DC2" w:rsidRPr="003549B4" w:rsidRDefault="00905DC2" w:rsidP="00905DC2">
                  <w:pPr>
                    <w:spacing w:after="0" w:line="240" w:lineRule="auto"/>
                    <w:rPr>
                      <w:rFonts w:ascii="Times New Roman" w:hAnsi="Times New Roman" w:cs="Times New Roman"/>
                      <w:sz w:val="20"/>
                      <w:szCs w:val="20"/>
                    </w:rPr>
                  </w:pPr>
                </w:p>
              </w:tc>
              <w:tc>
                <w:tcPr>
                  <w:tcW w:w="4611" w:type="dxa"/>
                  <w:gridSpan w:val="4"/>
                  <w:tcBorders>
                    <w:top w:val="single" w:sz="3" w:space="0" w:color="000000"/>
                    <w:left w:val="single" w:sz="4" w:space="0" w:color="000000"/>
                    <w:bottom w:val="single" w:sz="3" w:space="0" w:color="000000"/>
                    <w:right w:val="single" w:sz="4" w:space="0" w:color="000000"/>
                  </w:tcBorders>
                </w:tcPr>
                <w:p w14:paraId="26FAB3DE"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Pre plynové turbíny  platia EL pri zaťažení  &gt; 70 % </w:t>
                  </w:r>
                </w:p>
              </w:tc>
            </w:tr>
            <w:tr w:rsidR="00905DC2" w:rsidRPr="003549B4" w14:paraId="463F8CA5" w14:textId="77777777" w:rsidTr="00E609C1">
              <w:trPr>
                <w:trHeight w:val="862"/>
                <w:jc w:val="center"/>
              </w:trPr>
              <w:tc>
                <w:tcPr>
                  <w:tcW w:w="1559" w:type="dxa"/>
                  <w:vMerge/>
                  <w:tcBorders>
                    <w:top w:val="nil"/>
                    <w:left w:val="single" w:sz="4" w:space="0" w:color="000000"/>
                    <w:bottom w:val="nil"/>
                    <w:right w:val="single" w:sz="4" w:space="0" w:color="000000"/>
                  </w:tcBorders>
                </w:tcPr>
                <w:p w14:paraId="0F6C33F1" w14:textId="77777777" w:rsidR="00905DC2" w:rsidRPr="003549B4" w:rsidRDefault="00905DC2" w:rsidP="00905DC2">
                  <w:pPr>
                    <w:spacing w:after="0" w:line="240" w:lineRule="auto"/>
                    <w:rPr>
                      <w:rFonts w:ascii="Times New Roman" w:hAnsi="Times New Roman" w:cs="Times New Roman"/>
                      <w:sz w:val="20"/>
                      <w:szCs w:val="20"/>
                    </w:rPr>
                  </w:pPr>
                </w:p>
              </w:tc>
              <w:tc>
                <w:tcPr>
                  <w:tcW w:w="4611" w:type="dxa"/>
                  <w:gridSpan w:val="4"/>
                  <w:tcBorders>
                    <w:top w:val="single" w:sz="3" w:space="0" w:color="000000"/>
                    <w:left w:val="single" w:sz="4" w:space="0" w:color="000000"/>
                    <w:bottom w:val="single" w:sz="3" w:space="0" w:color="000000"/>
                    <w:right w:val="single" w:sz="4" w:space="0" w:color="000000"/>
                  </w:tcBorders>
                </w:tcPr>
                <w:p w14:paraId="45115D92" w14:textId="77777777" w:rsidR="00905DC2" w:rsidRPr="003549B4" w:rsidRDefault="00905DC2" w:rsidP="00905DC2">
                  <w:pPr>
                    <w:spacing w:after="0" w:line="240" w:lineRule="auto"/>
                    <w:ind w:left="28" w:right="85" w:hanging="28"/>
                    <w:jc w:val="both"/>
                    <w:rPr>
                      <w:rFonts w:ascii="Times New Roman" w:hAnsi="Times New Roman" w:cs="Times New Roman"/>
                      <w:sz w:val="20"/>
                      <w:szCs w:val="20"/>
                    </w:rPr>
                  </w:pPr>
                  <w:r w:rsidRPr="003549B4">
                    <w:rPr>
                      <w:rFonts w:ascii="Times New Roman" w:hAnsi="Times New Roman" w:cs="Times New Roman"/>
                      <w:sz w:val="20"/>
                      <w:szCs w:val="20"/>
                    </w:rPr>
                    <w:t xml:space="preserve">Pre zariadenia využívané na pohon plynových kompresorových staníc potrebných na zaistenie bezpečnosti vnútroštátnych plynárenských prepravných sústav plynu podľa § 18 možno do roku 2030 povoliť výnimku z EL pre NOx, pričom určený EL nesmie prekročiť EL ustanovený v časti V    </w:t>
                  </w:r>
                </w:p>
              </w:tc>
            </w:tr>
            <w:tr w:rsidR="00905DC2" w:rsidRPr="003549B4" w14:paraId="14C63EB9" w14:textId="77777777" w:rsidTr="00E609C1">
              <w:trPr>
                <w:trHeight w:val="647"/>
                <w:jc w:val="center"/>
              </w:trPr>
              <w:tc>
                <w:tcPr>
                  <w:tcW w:w="1559" w:type="dxa"/>
                  <w:vMerge/>
                  <w:tcBorders>
                    <w:top w:val="nil"/>
                    <w:left w:val="single" w:sz="4" w:space="0" w:color="000000"/>
                    <w:bottom w:val="single" w:sz="4" w:space="0" w:color="auto"/>
                    <w:right w:val="single" w:sz="4" w:space="0" w:color="000000"/>
                  </w:tcBorders>
                </w:tcPr>
                <w:p w14:paraId="0F037148" w14:textId="77777777" w:rsidR="00905DC2" w:rsidRPr="003549B4" w:rsidRDefault="00905DC2" w:rsidP="00905DC2">
                  <w:pPr>
                    <w:spacing w:after="0" w:line="240" w:lineRule="auto"/>
                    <w:rPr>
                      <w:rFonts w:ascii="Times New Roman" w:hAnsi="Times New Roman" w:cs="Times New Roman"/>
                      <w:sz w:val="20"/>
                      <w:szCs w:val="20"/>
                    </w:rPr>
                  </w:pPr>
                </w:p>
              </w:tc>
              <w:tc>
                <w:tcPr>
                  <w:tcW w:w="4611" w:type="dxa"/>
                  <w:gridSpan w:val="4"/>
                  <w:tcBorders>
                    <w:top w:val="single" w:sz="3" w:space="0" w:color="000000"/>
                    <w:left w:val="single" w:sz="4" w:space="0" w:color="000000"/>
                    <w:bottom w:val="single" w:sz="4" w:space="0" w:color="auto"/>
                    <w:right w:val="single" w:sz="4" w:space="0" w:color="000000"/>
                  </w:tcBorders>
                </w:tcPr>
                <w:p w14:paraId="121D9ABF" w14:textId="77777777" w:rsidR="00905DC2" w:rsidRPr="003549B4" w:rsidRDefault="00905DC2" w:rsidP="00905DC2">
                  <w:pPr>
                    <w:spacing w:after="0" w:line="240" w:lineRule="auto"/>
                    <w:ind w:left="28" w:right="83" w:hanging="28"/>
                    <w:jc w:val="both"/>
                    <w:rPr>
                      <w:rFonts w:ascii="Times New Roman" w:hAnsi="Times New Roman" w:cs="Times New Roman"/>
                      <w:sz w:val="20"/>
                      <w:szCs w:val="20"/>
                    </w:rPr>
                  </w:pPr>
                  <w:r w:rsidRPr="003549B4">
                    <w:rPr>
                      <w:rFonts w:ascii="Times New Roman" w:hAnsi="Times New Roman" w:cs="Times New Roman"/>
                      <w:sz w:val="20"/>
                      <w:szCs w:val="20"/>
                    </w:rPr>
                    <w:t>Pre zariadenia v osobitnom režimu pre CZT platia EL podľa tabuľky  uvedenej časti V, pričom EL pre TZL nesmie byť vyšší ako 150 mg/m</w:t>
                  </w:r>
                  <w:r w:rsidRPr="003549B4">
                    <w:rPr>
                      <w:rFonts w:ascii="Times New Roman" w:hAnsi="Times New Roman" w:cs="Times New Roman"/>
                      <w:sz w:val="20"/>
                      <w:szCs w:val="20"/>
                      <w:vertAlign w:val="superscript"/>
                    </w:rPr>
                    <w:t xml:space="preserve">3 </w:t>
                  </w:r>
                  <w:r w:rsidRPr="003549B4">
                    <w:rPr>
                      <w:rFonts w:ascii="Times New Roman" w:hAnsi="Times New Roman" w:cs="Times New Roman"/>
                      <w:sz w:val="20"/>
                      <w:szCs w:val="20"/>
                    </w:rPr>
                    <w:t xml:space="preserve"> a EL pre SO</w:t>
                  </w:r>
                  <w:r w:rsidRPr="003549B4">
                    <w:rPr>
                      <w:rFonts w:ascii="Times New Roman" w:hAnsi="Times New Roman" w:cs="Times New Roman"/>
                      <w:sz w:val="20"/>
                      <w:szCs w:val="20"/>
                      <w:vertAlign w:val="subscript"/>
                    </w:rPr>
                    <w:t xml:space="preserve">2 </w:t>
                  </w:r>
                  <w:r w:rsidRPr="003549B4">
                    <w:rPr>
                      <w:rFonts w:ascii="Times New Roman" w:hAnsi="Times New Roman" w:cs="Times New Roman"/>
                      <w:sz w:val="20"/>
                      <w:szCs w:val="20"/>
                    </w:rPr>
                    <w:t xml:space="preserve"> nesmie byť  vyšší ako 1 100 mg/m</w:t>
                  </w:r>
                  <w:r w:rsidRPr="003549B4">
                    <w:rPr>
                      <w:rFonts w:ascii="Times New Roman" w:hAnsi="Times New Roman" w:cs="Times New Roman"/>
                      <w:sz w:val="20"/>
                      <w:szCs w:val="20"/>
                      <w:vertAlign w:val="superscript"/>
                    </w:rPr>
                    <w:t>3</w:t>
                  </w:r>
                  <w:r w:rsidRPr="003549B4">
                    <w:rPr>
                      <w:rFonts w:ascii="Times New Roman" w:hAnsi="Times New Roman" w:cs="Times New Roman"/>
                      <w:sz w:val="20"/>
                      <w:szCs w:val="20"/>
                    </w:rPr>
                    <w:t xml:space="preserve"> </w:t>
                  </w:r>
                </w:p>
              </w:tc>
            </w:tr>
            <w:tr w:rsidR="00905DC2" w:rsidRPr="003549B4" w14:paraId="338E8B4A" w14:textId="77777777" w:rsidTr="00E609C1">
              <w:trPr>
                <w:trHeight w:val="247"/>
                <w:jc w:val="center"/>
              </w:trPr>
              <w:tc>
                <w:tcPr>
                  <w:tcW w:w="1559" w:type="dxa"/>
                  <w:vMerge w:val="restart"/>
                  <w:tcBorders>
                    <w:top w:val="single" w:sz="4" w:space="0" w:color="auto"/>
                    <w:left w:val="single" w:sz="3" w:space="0" w:color="000000"/>
                    <w:right w:val="single" w:sz="3" w:space="0" w:color="000000"/>
                  </w:tcBorders>
                </w:tcPr>
                <w:p w14:paraId="1460EE91" w14:textId="77777777" w:rsidR="00905DC2" w:rsidRPr="003549B4" w:rsidRDefault="00905DC2" w:rsidP="00905DC2">
                  <w:pPr>
                    <w:spacing w:after="0" w:line="240" w:lineRule="auto"/>
                    <w:rPr>
                      <w:rFonts w:ascii="Times New Roman" w:hAnsi="Times New Roman" w:cs="Times New Roman"/>
                      <w:sz w:val="20"/>
                      <w:szCs w:val="20"/>
                    </w:rPr>
                  </w:pPr>
                </w:p>
              </w:tc>
              <w:tc>
                <w:tcPr>
                  <w:tcW w:w="4611" w:type="dxa"/>
                  <w:gridSpan w:val="4"/>
                  <w:tcBorders>
                    <w:top w:val="single" w:sz="4" w:space="0" w:color="auto"/>
                    <w:left w:val="single" w:sz="3" w:space="0" w:color="000000"/>
                    <w:bottom w:val="single" w:sz="3" w:space="0" w:color="000000"/>
                    <w:right w:val="single" w:sz="3" w:space="0" w:color="000000"/>
                  </w:tcBorders>
                  <w:vAlign w:val="center"/>
                </w:tcPr>
                <w:p w14:paraId="65ACDC5B" w14:textId="77777777" w:rsidR="00905DC2" w:rsidRPr="003549B4" w:rsidRDefault="00905DC2" w:rsidP="00905DC2">
                  <w:pPr>
                    <w:spacing w:after="0" w:line="240" w:lineRule="auto"/>
                    <w:ind w:right="79"/>
                    <w:jc w:val="center"/>
                    <w:rPr>
                      <w:rFonts w:ascii="Times New Roman" w:hAnsi="Times New Roman" w:cs="Times New Roman"/>
                      <w:b/>
                      <w:sz w:val="20"/>
                      <w:szCs w:val="20"/>
                    </w:rPr>
                  </w:pPr>
                  <w:r w:rsidRPr="003549B4">
                    <w:rPr>
                      <w:rFonts w:ascii="Times New Roman" w:hAnsi="Times New Roman" w:cs="Times New Roman"/>
                      <w:b/>
                      <w:sz w:val="20"/>
                      <w:szCs w:val="20"/>
                    </w:rPr>
                    <w:t xml:space="preserve">Emisný limit </w:t>
                  </w:r>
                  <w:r w:rsidRPr="003549B4">
                    <w:rPr>
                      <w:rFonts w:ascii="Times New Roman" w:hAnsi="Times New Roman" w:cs="Times New Roman"/>
                      <w:b/>
                      <w:sz w:val="20"/>
                      <w:szCs w:val="20"/>
                    </w:rPr>
                    <w:sym w:font="Symbol" w:char="F05B"/>
                  </w:r>
                  <w:r w:rsidRPr="003549B4">
                    <w:rPr>
                      <w:rFonts w:ascii="Times New Roman" w:hAnsi="Times New Roman" w:cs="Times New Roman"/>
                      <w:b/>
                      <w:sz w:val="20"/>
                      <w:szCs w:val="20"/>
                    </w:rPr>
                    <w:t>mg/m</w:t>
                  </w:r>
                  <w:r w:rsidRPr="003549B4">
                    <w:rPr>
                      <w:rFonts w:ascii="Times New Roman" w:hAnsi="Times New Roman" w:cs="Times New Roman"/>
                      <w:b/>
                      <w:sz w:val="20"/>
                      <w:szCs w:val="20"/>
                      <w:vertAlign w:val="superscript"/>
                    </w:rPr>
                    <w:t>3</w:t>
                  </w:r>
                  <w:r w:rsidRPr="003549B4">
                    <w:rPr>
                      <w:rFonts w:ascii="Times New Roman" w:hAnsi="Times New Roman" w:cs="Times New Roman"/>
                      <w:b/>
                      <w:sz w:val="20"/>
                      <w:szCs w:val="20"/>
                    </w:rPr>
                    <w:sym w:font="Symbol" w:char="F05D"/>
                  </w:r>
                </w:p>
              </w:tc>
            </w:tr>
            <w:tr w:rsidR="00905DC2" w:rsidRPr="003549B4" w14:paraId="4DEF177E" w14:textId="77777777" w:rsidTr="00E609C1">
              <w:trPr>
                <w:trHeight w:val="247"/>
                <w:jc w:val="center"/>
              </w:trPr>
              <w:tc>
                <w:tcPr>
                  <w:tcW w:w="1559" w:type="dxa"/>
                  <w:vMerge/>
                  <w:tcBorders>
                    <w:left w:val="single" w:sz="3" w:space="0" w:color="000000"/>
                    <w:bottom w:val="single" w:sz="3" w:space="0" w:color="000000"/>
                    <w:right w:val="single" w:sz="3" w:space="0" w:color="000000"/>
                  </w:tcBorders>
                </w:tcPr>
                <w:p w14:paraId="7E8275DD" w14:textId="77777777" w:rsidR="00905DC2" w:rsidRPr="003549B4" w:rsidRDefault="00905DC2" w:rsidP="00905DC2">
                  <w:pPr>
                    <w:spacing w:after="0" w:line="240" w:lineRule="auto"/>
                    <w:rPr>
                      <w:rFonts w:ascii="Times New Roman" w:hAnsi="Times New Roman" w:cs="Times New Roman"/>
                      <w:sz w:val="20"/>
                      <w:szCs w:val="20"/>
                    </w:rPr>
                  </w:pPr>
                </w:p>
              </w:tc>
              <w:tc>
                <w:tcPr>
                  <w:tcW w:w="1050" w:type="dxa"/>
                  <w:tcBorders>
                    <w:top w:val="single" w:sz="3" w:space="0" w:color="000000"/>
                    <w:left w:val="single" w:sz="3" w:space="0" w:color="000000"/>
                    <w:bottom w:val="single" w:sz="3" w:space="0" w:color="000000"/>
                    <w:right w:val="single" w:sz="3" w:space="0" w:color="000000"/>
                  </w:tcBorders>
                  <w:vAlign w:val="center"/>
                </w:tcPr>
                <w:p w14:paraId="6DF09346" w14:textId="77777777" w:rsidR="00905DC2" w:rsidRPr="003549B4" w:rsidRDefault="00905DC2" w:rsidP="00905DC2">
                  <w:pPr>
                    <w:spacing w:after="0" w:line="240" w:lineRule="auto"/>
                    <w:ind w:right="85"/>
                    <w:jc w:val="center"/>
                    <w:rPr>
                      <w:rFonts w:ascii="Times New Roman" w:hAnsi="Times New Roman" w:cs="Times New Roman"/>
                      <w:sz w:val="20"/>
                      <w:szCs w:val="20"/>
                    </w:rPr>
                  </w:pPr>
                  <w:r w:rsidRPr="003549B4">
                    <w:rPr>
                      <w:rFonts w:ascii="Times New Roman" w:hAnsi="Times New Roman" w:cs="Times New Roman"/>
                      <w:b/>
                      <w:sz w:val="20"/>
                      <w:szCs w:val="20"/>
                    </w:rPr>
                    <w:t>TZL</w:t>
                  </w:r>
                </w:p>
              </w:tc>
              <w:tc>
                <w:tcPr>
                  <w:tcW w:w="1216" w:type="dxa"/>
                  <w:tcBorders>
                    <w:top w:val="single" w:sz="3" w:space="0" w:color="000000"/>
                    <w:left w:val="single" w:sz="3" w:space="0" w:color="000000"/>
                    <w:bottom w:val="single" w:sz="3" w:space="0" w:color="000000"/>
                    <w:right w:val="single" w:sz="3" w:space="0" w:color="000000"/>
                  </w:tcBorders>
                  <w:vAlign w:val="center"/>
                </w:tcPr>
                <w:p w14:paraId="414EC52A" w14:textId="77777777" w:rsidR="00905DC2" w:rsidRPr="003549B4" w:rsidRDefault="00905DC2" w:rsidP="00905DC2">
                  <w:pPr>
                    <w:spacing w:after="0" w:line="240" w:lineRule="auto"/>
                    <w:ind w:right="81"/>
                    <w:jc w:val="center"/>
                    <w:rPr>
                      <w:rFonts w:ascii="Times New Roman" w:hAnsi="Times New Roman" w:cs="Times New Roman"/>
                      <w:sz w:val="20"/>
                      <w:szCs w:val="20"/>
                    </w:rPr>
                  </w:pPr>
                  <w:r w:rsidRPr="003549B4">
                    <w:rPr>
                      <w:rFonts w:ascii="Times New Roman" w:hAnsi="Times New Roman" w:cs="Times New Roman"/>
                      <w:b/>
                      <w:sz w:val="20"/>
                      <w:szCs w:val="20"/>
                    </w:rPr>
                    <w:t>SO</w:t>
                  </w:r>
                  <w:r w:rsidRPr="003549B4">
                    <w:rPr>
                      <w:rFonts w:ascii="Times New Roman" w:hAnsi="Times New Roman" w:cs="Times New Roman"/>
                      <w:b/>
                      <w:sz w:val="20"/>
                      <w:szCs w:val="20"/>
                      <w:vertAlign w:val="subscript"/>
                    </w:rPr>
                    <w:t>2</w:t>
                  </w:r>
                </w:p>
              </w:tc>
              <w:tc>
                <w:tcPr>
                  <w:tcW w:w="1214" w:type="dxa"/>
                  <w:tcBorders>
                    <w:top w:val="single" w:sz="3" w:space="0" w:color="000000"/>
                    <w:left w:val="single" w:sz="3" w:space="0" w:color="000000"/>
                    <w:bottom w:val="single" w:sz="3" w:space="0" w:color="000000"/>
                    <w:right w:val="single" w:sz="3" w:space="0" w:color="000000"/>
                  </w:tcBorders>
                  <w:vAlign w:val="center"/>
                </w:tcPr>
                <w:p w14:paraId="05EEA2EB" w14:textId="77777777" w:rsidR="00905DC2" w:rsidRPr="003549B4" w:rsidRDefault="00905DC2" w:rsidP="00905DC2">
                  <w:pPr>
                    <w:spacing w:after="0" w:line="240" w:lineRule="auto"/>
                    <w:ind w:right="83"/>
                    <w:jc w:val="center"/>
                    <w:rPr>
                      <w:rFonts w:ascii="Times New Roman" w:hAnsi="Times New Roman" w:cs="Times New Roman"/>
                      <w:sz w:val="20"/>
                      <w:szCs w:val="20"/>
                    </w:rPr>
                  </w:pPr>
                  <w:r w:rsidRPr="003549B4">
                    <w:rPr>
                      <w:rFonts w:ascii="Times New Roman" w:hAnsi="Times New Roman" w:cs="Times New Roman"/>
                      <w:b/>
                      <w:sz w:val="20"/>
                      <w:szCs w:val="20"/>
                    </w:rPr>
                    <w:t>NO</w:t>
                  </w:r>
                  <w:r w:rsidRPr="003549B4">
                    <w:rPr>
                      <w:rFonts w:ascii="Times New Roman" w:hAnsi="Times New Roman" w:cs="Times New Roman"/>
                      <w:b/>
                      <w:sz w:val="20"/>
                      <w:szCs w:val="20"/>
                      <w:vertAlign w:val="subscript"/>
                    </w:rPr>
                    <w:t>x</w:t>
                  </w:r>
                </w:p>
              </w:tc>
              <w:tc>
                <w:tcPr>
                  <w:tcW w:w="1131" w:type="dxa"/>
                  <w:tcBorders>
                    <w:top w:val="single" w:sz="3" w:space="0" w:color="000000"/>
                    <w:left w:val="single" w:sz="3" w:space="0" w:color="000000"/>
                    <w:bottom w:val="single" w:sz="3" w:space="0" w:color="000000"/>
                    <w:right w:val="single" w:sz="3" w:space="0" w:color="000000"/>
                  </w:tcBorders>
                  <w:vAlign w:val="center"/>
                </w:tcPr>
                <w:p w14:paraId="2EECCFDD" w14:textId="77777777" w:rsidR="00905DC2" w:rsidRPr="003549B4" w:rsidRDefault="00905DC2" w:rsidP="00905DC2">
                  <w:pPr>
                    <w:spacing w:after="0" w:line="240" w:lineRule="auto"/>
                    <w:ind w:right="79"/>
                    <w:jc w:val="center"/>
                    <w:rPr>
                      <w:rFonts w:ascii="Times New Roman" w:hAnsi="Times New Roman" w:cs="Times New Roman"/>
                      <w:sz w:val="20"/>
                      <w:szCs w:val="20"/>
                    </w:rPr>
                  </w:pPr>
                  <w:r w:rsidRPr="003549B4">
                    <w:rPr>
                      <w:rFonts w:ascii="Times New Roman" w:hAnsi="Times New Roman" w:cs="Times New Roman"/>
                      <w:b/>
                      <w:sz w:val="20"/>
                      <w:szCs w:val="20"/>
                    </w:rPr>
                    <w:t>CO</w:t>
                  </w:r>
                </w:p>
              </w:tc>
            </w:tr>
            <w:tr w:rsidR="00905DC2" w:rsidRPr="003549B4" w14:paraId="0B9B95E8" w14:textId="77777777" w:rsidTr="00E609C1">
              <w:trPr>
                <w:trHeight w:val="247"/>
                <w:jc w:val="center"/>
              </w:trPr>
              <w:tc>
                <w:tcPr>
                  <w:tcW w:w="1559" w:type="dxa"/>
                  <w:tcBorders>
                    <w:top w:val="single" w:sz="3" w:space="0" w:color="000000"/>
                    <w:left w:val="single" w:sz="3" w:space="0" w:color="000000"/>
                    <w:bottom w:val="single" w:sz="3" w:space="0" w:color="000000"/>
                    <w:right w:val="single" w:sz="3" w:space="0" w:color="000000"/>
                  </w:tcBorders>
                </w:tcPr>
                <w:p w14:paraId="68651E2E"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Plynový olej  </w:t>
                  </w:r>
                </w:p>
              </w:tc>
              <w:tc>
                <w:tcPr>
                  <w:tcW w:w="1050" w:type="dxa"/>
                  <w:tcBorders>
                    <w:top w:val="single" w:sz="3" w:space="0" w:color="000000"/>
                    <w:left w:val="single" w:sz="3" w:space="0" w:color="000000"/>
                    <w:bottom w:val="single" w:sz="3" w:space="0" w:color="000000"/>
                    <w:right w:val="single" w:sz="3" w:space="0" w:color="000000"/>
                  </w:tcBorders>
                  <w:vAlign w:val="center"/>
                </w:tcPr>
                <w:p w14:paraId="0A43A9A6" w14:textId="77777777" w:rsidR="00905DC2" w:rsidRPr="003549B4" w:rsidRDefault="00905DC2" w:rsidP="00905DC2">
                  <w:pPr>
                    <w:spacing w:after="0" w:line="240" w:lineRule="auto"/>
                    <w:ind w:right="84"/>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216" w:type="dxa"/>
                  <w:tcBorders>
                    <w:top w:val="single" w:sz="3" w:space="0" w:color="000000"/>
                    <w:left w:val="single" w:sz="3" w:space="0" w:color="000000"/>
                    <w:bottom w:val="single" w:sz="3" w:space="0" w:color="000000"/>
                    <w:right w:val="single" w:sz="3" w:space="0" w:color="000000"/>
                  </w:tcBorders>
                  <w:vAlign w:val="center"/>
                </w:tcPr>
                <w:p w14:paraId="60CFFE19" w14:textId="77777777" w:rsidR="00905DC2" w:rsidRPr="003549B4" w:rsidRDefault="00905DC2" w:rsidP="00905DC2">
                  <w:pPr>
                    <w:spacing w:after="0" w:line="240" w:lineRule="auto"/>
                    <w:ind w:right="84"/>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214" w:type="dxa"/>
                  <w:tcBorders>
                    <w:top w:val="single" w:sz="3" w:space="0" w:color="000000"/>
                    <w:left w:val="single" w:sz="3" w:space="0" w:color="000000"/>
                    <w:bottom w:val="single" w:sz="3" w:space="0" w:color="000000"/>
                    <w:right w:val="single" w:sz="3" w:space="0" w:color="000000"/>
                  </w:tcBorders>
                  <w:vAlign w:val="center"/>
                </w:tcPr>
                <w:p w14:paraId="2653F926" w14:textId="77777777" w:rsidR="00905DC2" w:rsidRPr="003549B4" w:rsidRDefault="00905DC2" w:rsidP="00905DC2">
                  <w:pPr>
                    <w:spacing w:after="0" w:line="240" w:lineRule="auto"/>
                    <w:ind w:right="83"/>
                    <w:jc w:val="center"/>
                    <w:rPr>
                      <w:rFonts w:ascii="Times New Roman" w:hAnsi="Times New Roman" w:cs="Times New Roman"/>
                      <w:sz w:val="20"/>
                      <w:szCs w:val="20"/>
                    </w:rPr>
                  </w:pPr>
                  <w:r w:rsidRPr="003549B4">
                    <w:rPr>
                      <w:rFonts w:ascii="Times New Roman" w:hAnsi="Times New Roman" w:cs="Times New Roman"/>
                      <w:sz w:val="20"/>
                      <w:szCs w:val="20"/>
                    </w:rPr>
                    <w:t>200</w:t>
                  </w:r>
                </w:p>
              </w:tc>
              <w:tc>
                <w:tcPr>
                  <w:tcW w:w="1131" w:type="dxa"/>
                  <w:tcBorders>
                    <w:top w:val="single" w:sz="3" w:space="0" w:color="000000"/>
                    <w:left w:val="single" w:sz="3" w:space="0" w:color="000000"/>
                    <w:bottom w:val="single" w:sz="3" w:space="0" w:color="000000"/>
                    <w:right w:val="single" w:sz="3" w:space="0" w:color="000000"/>
                  </w:tcBorders>
                  <w:vAlign w:val="center"/>
                </w:tcPr>
                <w:p w14:paraId="7E89E823" w14:textId="77777777" w:rsidR="00905DC2" w:rsidRPr="003549B4" w:rsidRDefault="00905DC2" w:rsidP="00905DC2">
                  <w:pPr>
                    <w:spacing w:after="0" w:line="240" w:lineRule="auto"/>
                    <w:ind w:right="78"/>
                    <w:jc w:val="center"/>
                    <w:rPr>
                      <w:rFonts w:ascii="Times New Roman" w:hAnsi="Times New Roman" w:cs="Times New Roman"/>
                      <w:sz w:val="20"/>
                      <w:szCs w:val="20"/>
                    </w:rPr>
                  </w:pPr>
                  <w:r w:rsidRPr="003549B4">
                    <w:rPr>
                      <w:rFonts w:ascii="Times New Roman" w:hAnsi="Times New Roman" w:cs="Times New Roman"/>
                      <w:sz w:val="20"/>
                      <w:szCs w:val="20"/>
                    </w:rPr>
                    <w:t>100</w:t>
                  </w:r>
                </w:p>
              </w:tc>
            </w:tr>
            <w:tr w:rsidR="00905DC2" w:rsidRPr="003549B4" w14:paraId="7EEE2765" w14:textId="77777777" w:rsidTr="00E609C1">
              <w:trPr>
                <w:trHeight w:val="247"/>
                <w:jc w:val="center"/>
              </w:trPr>
              <w:tc>
                <w:tcPr>
                  <w:tcW w:w="1559" w:type="dxa"/>
                  <w:tcBorders>
                    <w:top w:val="single" w:sz="3" w:space="0" w:color="000000"/>
                    <w:left w:val="single" w:sz="3" w:space="0" w:color="000000"/>
                    <w:bottom w:val="single" w:sz="3" w:space="0" w:color="000000"/>
                    <w:right w:val="single" w:sz="3" w:space="0" w:color="000000"/>
                  </w:tcBorders>
                </w:tcPr>
                <w:p w14:paraId="6AD29D40"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Iné kvapalné palivo </w:t>
                  </w:r>
                </w:p>
              </w:tc>
              <w:tc>
                <w:tcPr>
                  <w:tcW w:w="1050" w:type="dxa"/>
                  <w:tcBorders>
                    <w:top w:val="single" w:sz="3" w:space="0" w:color="000000"/>
                    <w:left w:val="single" w:sz="3" w:space="0" w:color="000000"/>
                    <w:bottom w:val="single" w:sz="3" w:space="0" w:color="000000"/>
                    <w:right w:val="single" w:sz="3" w:space="0" w:color="000000"/>
                  </w:tcBorders>
                  <w:vAlign w:val="center"/>
                </w:tcPr>
                <w:p w14:paraId="2CE79464" w14:textId="77777777" w:rsidR="00905DC2" w:rsidRPr="003549B4" w:rsidRDefault="00905DC2" w:rsidP="00905DC2">
                  <w:pPr>
                    <w:spacing w:after="0" w:line="240" w:lineRule="auto"/>
                    <w:ind w:right="82"/>
                    <w:jc w:val="center"/>
                    <w:rPr>
                      <w:rFonts w:ascii="Times New Roman" w:hAnsi="Times New Roman" w:cs="Times New Roman"/>
                      <w:sz w:val="20"/>
                      <w:szCs w:val="20"/>
                    </w:rPr>
                  </w:pPr>
                  <w:r w:rsidRPr="003549B4">
                    <w:rPr>
                      <w:rFonts w:ascii="Times New Roman" w:hAnsi="Times New Roman" w:cs="Times New Roman"/>
                      <w:sz w:val="20"/>
                      <w:szCs w:val="20"/>
                    </w:rPr>
                    <w:t>10, 20</w:t>
                  </w:r>
                  <w:r w:rsidRPr="003549B4">
                    <w:rPr>
                      <w:rFonts w:ascii="Times New Roman" w:hAnsi="Times New Roman" w:cs="Times New Roman"/>
                      <w:sz w:val="20"/>
                      <w:szCs w:val="20"/>
                      <w:vertAlign w:val="superscript"/>
                    </w:rPr>
                    <w:t>1</w:t>
                  </w:r>
                  <w:r w:rsidRPr="003549B4">
                    <w:rPr>
                      <w:rFonts w:ascii="Times New Roman" w:hAnsi="Times New Roman" w:cs="Times New Roman"/>
                      <w:sz w:val="20"/>
                      <w:szCs w:val="20"/>
                    </w:rPr>
                    <w:t>)</w:t>
                  </w:r>
                </w:p>
              </w:tc>
              <w:tc>
                <w:tcPr>
                  <w:tcW w:w="1216" w:type="dxa"/>
                  <w:tcBorders>
                    <w:top w:val="single" w:sz="3" w:space="0" w:color="000000"/>
                    <w:left w:val="single" w:sz="3" w:space="0" w:color="000000"/>
                    <w:bottom w:val="single" w:sz="3" w:space="0" w:color="000000"/>
                    <w:right w:val="single" w:sz="3" w:space="0" w:color="000000"/>
                  </w:tcBorders>
                  <w:vAlign w:val="center"/>
                </w:tcPr>
                <w:p w14:paraId="4B3488C9" w14:textId="77777777" w:rsidR="00905DC2" w:rsidRPr="003549B4" w:rsidRDefault="00905DC2" w:rsidP="00905DC2">
                  <w:pPr>
                    <w:spacing w:after="0" w:line="240" w:lineRule="auto"/>
                    <w:ind w:right="85"/>
                    <w:jc w:val="center"/>
                    <w:rPr>
                      <w:rFonts w:ascii="Times New Roman" w:hAnsi="Times New Roman" w:cs="Times New Roman"/>
                      <w:sz w:val="20"/>
                      <w:szCs w:val="20"/>
                    </w:rPr>
                  </w:pPr>
                  <w:r w:rsidRPr="003549B4">
                    <w:rPr>
                      <w:rFonts w:ascii="Times New Roman" w:hAnsi="Times New Roman" w:cs="Times New Roman"/>
                      <w:sz w:val="20"/>
                      <w:szCs w:val="20"/>
                    </w:rPr>
                    <w:t>120</w:t>
                  </w:r>
                </w:p>
              </w:tc>
              <w:tc>
                <w:tcPr>
                  <w:tcW w:w="1214" w:type="dxa"/>
                  <w:tcBorders>
                    <w:top w:val="single" w:sz="3" w:space="0" w:color="000000"/>
                    <w:left w:val="single" w:sz="3" w:space="0" w:color="000000"/>
                    <w:bottom w:val="single" w:sz="3" w:space="0" w:color="000000"/>
                    <w:right w:val="single" w:sz="3" w:space="0" w:color="000000"/>
                  </w:tcBorders>
                  <w:vAlign w:val="center"/>
                </w:tcPr>
                <w:p w14:paraId="3970534C" w14:textId="77777777" w:rsidR="00905DC2" w:rsidRPr="003549B4" w:rsidRDefault="00905DC2" w:rsidP="00905DC2">
                  <w:pPr>
                    <w:spacing w:after="0" w:line="240" w:lineRule="auto"/>
                    <w:ind w:right="83"/>
                    <w:jc w:val="center"/>
                    <w:rPr>
                      <w:rFonts w:ascii="Times New Roman" w:hAnsi="Times New Roman" w:cs="Times New Roman"/>
                      <w:sz w:val="20"/>
                      <w:szCs w:val="20"/>
                    </w:rPr>
                  </w:pPr>
                  <w:r w:rsidRPr="003549B4">
                    <w:rPr>
                      <w:rFonts w:ascii="Times New Roman" w:hAnsi="Times New Roman" w:cs="Times New Roman"/>
                      <w:sz w:val="20"/>
                      <w:szCs w:val="20"/>
                    </w:rPr>
                    <w:t>200</w:t>
                  </w:r>
                </w:p>
              </w:tc>
              <w:tc>
                <w:tcPr>
                  <w:tcW w:w="1131" w:type="dxa"/>
                  <w:tcBorders>
                    <w:top w:val="single" w:sz="3" w:space="0" w:color="000000"/>
                    <w:left w:val="single" w:sz="3" w:space="0" w:color="000000"/>
                    <w:bottom w:val="single" w:sz="3" w:space="0" w:color="000000"/>
                    <w:right w:val="single" w:sz="3" w:space="0" w:color="000000"/>
                  </w:tcBorders>
                  <w:vAlign w:val="center"/>
                </w:tcPr>
                <w:p w14:paraId="25386101" w14:textId="77777777" w:rsidR="00905DC2" w:rsidRPr="003549B4" w:rsidRDefault="00905DC2" w:rsidP="00905DC2">
                  <w:pPr>
                    <w:spacing w:after="0" w:line="240" w:lineRule="auto"/>
                    <w:ind w:right="78"/>
                    <w:jc w:val="center"/>
                    <w:rPr>
                      <w:rFonts w:ascii="Times New Roman" w:hAnsi="Times New Roman" w:cs="Times New Roman"/>
                      <w:sz w:val="20"/>
                      <w:szCs w:val="20"/>
                    </w:rPr>
                  </w:pPr>
                  <w:r w:rsidRPr="003549B4">
                    <w:rPr>
                      <w:rFonts w:ascii="Times New Roman" w:hAnsi="Times New Roman" w:cs="Times New Roman"/>
                      <w:sz w:val="20"/>
                      <w:szCs w:val="20"/>
                    </w:rPr>
                    <w:t>100</w:t>
                  </w:r>
                </w:p>
              </w:tc>
            </w:tr>
            <w:tr w:rsidR="00905DC2" w:rsidRPr="003549B4" w14:paraId="7CDFACBE" w14:textId="77777777" w:rsidTr="00E609C1">
              <w:trPr>
                <w:trHeight w:val="247"/>
                <w:jc w:val="center"/>
              </w:trPr>
              <w:tc>
                <w:tcPr>
                  <w:tcW w:w="1559" w:type="dxa"/>
                  <w:tcBorders>
                    <w:top w:val="single" w:sz="3" w:space="0" w:color="000000"/>
                    <w:left w:val="single" w:sz="3" w:space="0" w:color="000000"/>
                    <w:bottom w:val="single" w:sz="3" w:space="0" w:color="000000"/>
                    <w:right w:val="single" w:sz="3" w:space="0" w:color="000000"/>
                  </w:tcBorders>
                </w:tcPr>
                <w:p w14:paraId="116A4B33"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ZPN </w:t>
                  </w:r>
                </w:p>
              </w:tc>
              <w:tc>
                <w:tcPr>
                  <w:tcW w:w="1050" w:type="dxa"/>
                  <w:tcBorders>
                    <w:top w:val="single" w:sz="3" w:space="0" w:color="000000"/>
                    <w:left w:val="single" w:sz="3" w:space="0" w:color="000000"/>
                    <w:bottom w:val="single" w:sz="3" w:space="0" w:color="000000"/>
                    <w:right w:val="single" w:sz="3" w:space="0" w:color="000000"/>
                  </w:tcBorders>
                  <w:vAlign w:val="center"/>
                </w:tcPr>
                <w:p w14:paraId="35D3A098" w14:textId="77777777" w:rsidR="00905DC2" w:rsidRPr="003549B4" w:rsidRDefault="00905DC2" w:rsidP="00905DC2">
                  <w:pPr>
                    <w:spacing w:after="0" w:line="240" w:lineRule="auto"/>
                    <w:ind w:right="84"/>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216" w:type="dxa"/>
                  <w:tcBorders>
                    <w:top w:val="single" w:sz="3" w:space="0" w:color="000000"/>
                    <w:left w:val="single" w:sz="3" w:space="0" w:color="000000"/>
                    <w:bottom w:val="single" w:sz="3" w:space="0" w:color="000000"/>
                    <w:right w:val="single" w:sz="3" w:space="0" w:color="000000"/>
                  </w:tcBorders>
                  <w:vAlign w:val="center"/>
                </w:tcPr>
                <w:p w14:paraId="12C4C27C" w14:textId="77777777" w:rsidR="00905DC2" w:rsidRPr="003549B4" w:rsidRDefault="00905DC2" w:rsidP="00905DC2">
                  <w:pPr>
                    <w:spacing w:after="0" w:line="240" w:lineRule="auto"/>
                    <w:ind w:right="84"/>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214" w:type="dxa"/>
                  <w:tcBorders>
                    <w:top w:val="single" w:sz="3" w:space="0" w:color="000000"/>
                    <w:left w:val="single" w:sz="3" w:space="0" w:color="000000"/>
                    <w:bottom w:val="single" w:sz="3" w:space="0" w:color="000000"/>
                    <w:right w:val="single" w:sz="3" w:space="0" w:color="000000"/>
                  </w:tcBorders>
                  <w:vAlign w:val="center"/>
                </w:tcPr>
                <w:p w14:paraId="2165CBAB" w14:textId="77777777" w:rsidR="00905DC2" w:rsidRPr="003549B4" w:rsidRDefault="00905DC2" w:rsidP="00905DC2">
                  <w:pPr>
                    <w:spacing w:after="0" w:line="240" w:lineRule="auto"/>
                    <w:ind w:right="83"/>
                    <w:jc w:val="center"/>
                    <w:rPr>
                      <w:rFonts w:ascii="Times New Roman" w:hAnsi="Times New Roman" w:cs="Times New Roman"/>
                      <w:sz w:val="20"/>
                      <w:szCs w:val="20"/>
                    </w:rPr>
                  </w:pPr>
                  <w:r w:rsidRPr="003549B4">
                    <w:rPr>
                      <w:rFonts w:ascii="Times New Roman" w:hAnsi="Times New Roman" w:cs="Times New Roman"/>
                      <w:sz w:val="20"/>
                      <w:szCs w:val="20"/>
                    </w:rPr>
                    <w:t>150</w:t>
                  </w:r>
                </w:p>
              </w:tc>
              <w:tc>
                <w:tcPr>
                  <w:tcW w:w="1131" w:type="dxa"/>
                  <w:tcBorders>
                    <w:top w:val="single" w:sz="3" w:space="0" w:color="000000"/>
                    <w:left w:val="single" w:sz="3" w:space="0" w:color="000000"/>
                    <w:bottom w:val="single" w:sz="3" w:space="0" w:color="000000"/>
                    <w:right w:val="single" w:sz="3" w:space="0" w:color="000000"/>
                  </w:tcBorders>
                  <w:vAlign w:val="center"/>
                </w:tcPr>
                <w:p w14:paraId="59431093" w14:textId="77777777" w:rsidR="00905DC2" w:rsidRPr="003549B4" w:rsidRDefault="00905DC2" w:rsidP="00905DC2">
                  <w:pPr>
                    <w:spacing w:after="0" w:line="240" w:lineRule="auto"/>
                    <w:ind w:right="78"/>
                    <w:jc w:val="center"/>
                    <w:rPr>
                      <w:rFonts w:ascii="Times New Roman" w:hAnsi="Times New Roman" w:cs="Times New Roman"/>
                      <w:sz w:val="20"/>
                      <w:szCs w:val="20"/>
                    </w:rPr>
                  </w:pPr>
                  <w:r w:rsidRPr="003549B4">
                    <w:rPr>
                      <w:rFonts w:ascii="Times New Roman" w:hAnsi="Times New Roman" w:cs="Times New Roman"/>
                      <w:sz w:val="20"/>
                      <w:szCs w:val="20"/>
                    </w:rPr>
                    <w:t>100</w:t>
                  </w:r>
                </w:p>
              </w:tc>
            </w:tr>
            <w:tr w:rsidR="00905DC2" w:rsidRPr="003549B4" w14:paraId="4F485CC5" w14:textId="77777777" w:rsidTr="00E609C1">
              <w:trPr>
                <w:trHeight w:val="249"/>
                <w:jc w:val="center"/>
              </w:trPr>
              <w:tc>
                <w:tcPr>
                  <w:tcW w:w="1559" w:type="dxa"/>
                  <w:tcBorders>
                    <w:top w:val="single" w:sz="3" w:space="0" w:color="000000"/>
                    <w:left w:val="single" w:sz="3" w:space="0" w:color="000000"/>
                    <w:bottom w:val="single" w:sz="3" w:space="0" w:color="000000"/>
                    <w:right w:val="single" w:sz="3" w:space="0" w:color="000000"/>
                  </w:tcBorders>
                </w:tcPr>
                <w:p w14:paraId="2BF2F0F5"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Iné plynné palivo </w:t>
                  </w:r>
                </w:p>
              </w:tc>
              <w:tc>
                <w:tcPr>
                  <w:tcW w:w="1050" w:type="dxa"/>
                  <w:tcBorders>
                    <w:top w:val="single" w:sz="3" w:space="0" w:color="000000"/>
                    <w:left w:val="single" w:sz="3" w:space="0" w:color="000000"/>
                    <w:bottom w:val="single" w:sz="3" w:space="0" w:color="000000"/>
                    <w:right w:val="single" w:sz="3" w:space="0" w:color="000000"/>
                  </w:tcBorders>
                  <w:vAlign w:val="center"/>
                </w:tcPr>
                <w:p w14:paraId="2212AB44" w14:textId="77777777" w:rsidR="00905DC2" w:rsidRPr="003549B4" w:rsidRDefault="00905DC2" w:rsidP="00905DC2">
                  <w:pPr>
                    <w:spacing w:after="0" w:line="240" w:lineRule="auto"/>
                    <w:ind w:right="84"/>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216" w:type="dxa"/>
                  <w:tcBorders>
                    <w:top w:val="single" w:sz="3" w:space="0" w:color="000000"/>
                    <w:left w:val="single" w:sz="3" w:space="0" w:color="000000"/>
                    <w:bottom w:val="single" w:sz="3" w:space="0" w:color="000000"/>
                    <w:right w:val="single" w:sz="3" w:space="0" w:color="000000"/>
                  </w:tcBorders>
                  <w:vAlign w:val="center"/>
                </w:tcPr>
                <w:p w14:paraId="41411563" w14:textId="77777777" w:rsidR="00905DC2" w:rsidRPr="003549B4" w:rsidRDefault="00905DC2" w:rsidP="00905DC2">
                  <w:pPr>
                    <w:spacing w:after="0" w:line="240" w:lineRule="auto"/>
                    <w:ind w:left="6"/>
                    <w:jc w:val="center"/>
                    <w:rPr>
                      <w:rFonts w:ascii="Times New Roman" w:hAnsi="Times New Roman" w:cs="Times New Roman"/>
                      <w:sz w:val="20"/>
                      <w:szCs w:val="20"/>
                    </w:rPr>
                  </w:pPr>
                  <w:r w:rsidRPr="003549B4">
                    <w:rPr>
                      <w:rFonts w:ascii="Times New Roman" w:hAnsi="Times New Roman" w:cs="Times New Roman"/>
                      <w:sz w:val="20"/>
                      <w:szCs w:val="20"/>
                    </w:rPr>
                    <w:t>15, 60</w:t>
                  </w:r>
                  <w:r w:rsidRPr="003549B4">
                    <w:rPr>
                      <w:rFonts w:ascii="Times New Roman" w:hAnsi="Times New Roman" w:cs="Times New Roman"/>
                      <w:sz w:val="20"/>
                      <w:szCs w:val="20"/>
                      <w:vertAlign w:val="superscript"/>
                    </w:rPr>
                    <w:t>2</w:t>
                  </w:r>
                  <w:r w:rsidRPr="003549B4">
                    <w:rPr>
                      <w:rFonts w:ascii="Times New Roman" w:hAnsi="Times New Roman" w:cs="Times New Roman"/>
                      <w:sz w:val="20"/>
                      <w:szCs w:val="20"/>
                    </w:rPr>
                    <w:t>), 65</w:t>
                  </w:r>
                  <w:r w:rsidRPr="003549B4">
                    <w:rPr>
                      <w:rFonts w:ascii="Times New Roman" w:hAnsi="Times New Roman" w:cs="Times New Roman"/>
                      <w:sz w:val="20"/>
                      <w:szCs w:val="20"/>
                      <w:vertAlign w:val="superscript"/>
                    </w:rPr>
                    <w:t>3</w:t>
                  </w:r>
                  <w:r w:rsidRPr="003549B4">
                    <w:rPr>
                      <w:rFonts w:ascii="Times New Roman" w:hAnsi="Times New Roman" w:cs="Times New Roman"/>
                      <w:sz w:val="20"/>
                      <w:szCs w:val="20"/>
                    </w:rPr>
                    <w:t>), 130</w:t>
                  </w:r>
                  <w:r w:rsidRPr="003549B4">
                    <w:rPr>
                      <w:rFonts w:ascii="Times New Roman" w:hAnsi="Times New Roman" w:cs="Times New Roman"/>
                      <w:sz w:val="20"/>
                      <w:szCs w:val="20"/>
                      <w:vertAlign w:val="superscript"/>
                    </w:rPr>
                    <w:t>4</w:t>
                  </w:r>
                  <w:r w:rsidRPr="003549B4">
                    <w:rPr>
                      <w:rFonts w:ascii="Times New Roman" w:hAnsi="Times New Roman" w:cs="Times New Roman"/>
                      <w:sz w:val="20"/>
                      <w:szCs w:val="20"/>
                    </w:rPr>
                    <w:t>)</w:t>
                  </w:r>
                </w:p>
              </w:tc>
              <w:tc>
                <w:tcPr>
                  <w:tcW w:w="1214" w:type="dxa"/>
                  <w:tcBorders>
                    <w:top w:val="single" w:sz="3" w:space="0" w:color="000000"/>
                    <w:left w:val="single" w:sz="3" w:space="0" w:color="000000"/>
                    <w:bottom w:val="single" w:sz="3" w:space="0" w:color="000000"/>
                    <w:right w:val="single" w:sz="3" w:space="0" w:color="000000"/>
                  </w:tcBorders>
                  <w:vAlign w:val="center"/>
                </w:tcPr>
                <w:p w14:paraId="78DE4DF4" w14:textId="77777777" w:rsidR="00905DC2" w:rsidRPr="003549B4" w:rsidRDefault="00905DC2" w:rsidP="00905DC2">
                  <w:pPr>
                    <w:spacing w:after="0" w:line="240" w:lineRule="auto"/>
                    <w:ind w:right="83"/>
                    <w:jc w:val="center"/>
                    <w:rPr>
                      <w:rFonts w:ascii="Times New Roman" w:hAnsi="Times New Roman" w:cs="Times New Roman"/>
                      <w:sz w:val="20"/>
                      <w:szCs w:val="20"/>
                    </w:rPr>
                  </w:pPr>
                  <w:r w:rsidRPr="003549B4">
                    <w:rPr>
                      <w:rFonts w:ascii="Times New Roman" w:hAnsi="Times New Roman" w:cs="Times New Roman"/>
                      <w:sz w:val="20"/>
                      <w:szCs w:val="20"/>
                    </w:rPr>
                    <w:t>200</w:t>
                  </w:r>
                </w:p>
              </w:tc>
              <w:tc>
                <w:tcPr>
                  <w:tcW w:w="1131" w:type="dxa"/>
                  <w:tcBorders>
                    <w:top w:val="single" w:sz="3" w:space="0" w:color="000000"/>
                    <w:left w:val="single" w:sz="3" w:space="0" w:color="000000"/>
                    <w:bottom w:val="single" w:sz="3" w:space="0" w:color="000000"/>
                    <w:right w:val="single" w:sz="3" w:space="0" w:color="000000"/>
                  </w:tcBorders>
                  <w:vAlign w:val="center"/>
                </w:tcPr>
                <w:p w14:paraId="0361856D" w14:textId="77777777" w:rsidR="00905DC2" w:rsidRPr="003549B4" w:rsidRDefault="00905DC2" w:rsidP="00905DC2">
                  <w:pPr>
                    <w:spacing w:after="0" w:line="240" w:lineRule="auto"/>
                    <w:ind w:right="78"/>
                    <w:jc w:val="center"/>
                    <w:rPr>
                      <w:rFonts w:ascii="Times New Roman" w:hAnsi="Times New Roman" w:cs="Times New Roman"/>
                      <w:sz w:val="20"/>
                      <w:szCs w:val="20"/>
                    </w:rPr>
                  </w:pPr>
                  <w:r w:rsidRPr="003549B4">
                    <w:rPr>
                      <w:rFonts w:ascii="Times New Roman" w:hAnsi="Times New Roman" w:cs="Times New Roman"/>
                      <w:sz w:val="20"/>
                      <w:szCs w:val="20"/>
                    </w:rPr>
                    <w:t>100</w:t>
                  </w:r>
                </w:p>
              </w:tc>
            </w:tr>
          </w:tbl>
          <w:p w14:paraId="261BD7EC" w14:textId="77777777" w:rsidR="00905DC2" w:rsidRPr="003549B4" w:rsidRDefault="00905DC2" w:rsidP="00905DC2">
            <w:pPr>
              <w:spacing w:after="27" w:line="247" w:lineRule="auto"/>
              <w:ind w:left="5"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1</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 xml:space="preserve">Platí pre zariadenia s MTP ≤ 20 MW. </w:t>
            </w:r>
          </w:p>
          <w:p w14:paraId="153730DC" w14:textId="77777777" w:rsidR="00905DC2" w:rsidRPr="003549B4" w:rsidRDefault="00905DC2" w:rsidP="00905DC2">
            <w:pPr>
              <w:spacing w:after="27" w:line="247" w:lineRule="auto"/>
              <w:ind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2</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Platí pre spaľovanie bioplynu.</w:t>
            </w:r>
          </w:p>
          <w:p w14:paraId="015A1D46" w14:textId="77777777" w:rsidR="00905DC2" w:rsidRPr="003549B4" w:rsidRDefault="00905DC2" w:rsidP="00905DC2">
            <w:pPr>
              <w:spacing w:after="27" w:line="247" w:lineRule="auto"/>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lastRenderedPageBreak/>
              <w:t>3</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Platí pre spaľovanie nízkovýhrevných plynov z vysokých pecí v železiarskom a oceliarskom priemysle.</w:t>
            </w:r>
          </w:p>
          <w:p w14:paraId="7921C67D" w14:textId="77777777" w:rsidR="00905DC2" w:rsidRPr="003549B4" w:rsidRDefault="00905DC2" w:rsidP="00905DC2">
            <w:pPr>
              <w:spacing w:after="27" w:line="247" w:lineRule="auto"/>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4</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Platí pre spaľovanie nízkovýhrevných plynov z koksárenských pecí v železiarskom a oceliarskom priemysle.</w:t>
            </w:r>
          </w:p>
          <w:p w14:paraId="1FC8B53B" w14:textId="77777777" w:rsidR="00905DC2" w:rsidRPr="003549B4" w:rsidRDefault="00905DC2" w:rsidP="00905DC2">
            <w:pPr>
              <w:spacing w:after="0" w:line="240" w:lineRule="auto"/>
              <w:ind w:left="284" w:hanging="284"/>
              <w:rPr>
                <w:rFonts w:ascii="Times New Roman" w:hAnsi="Times New Roman" w:cs="Times New Roman"/>
                <w:sz w:val="20"/>
                <w:szCs w:val="20"/>
              </w:rPr>
            </w:pPr>
          </w:p>
          <w:p w14:paraId="71DD5533" w14:textId="77777777" w:rsidR="00905DC2" w:rsidRPr="003549B4" w:rsidRDefault="00905DC2" w:rsidP="00905DC2">
            <w:pPr>
              <w:spacing w:after="0" w:line="240" w:lineRule="auto"/>
              <w:ind w:left="284" w:hanging="284"/>
              <w:rPr>
                <w:rFonts w:ascii="Times New Roman" w:hAnsi="Times New Roman" w:cs="Times New Roman"/>
                <w:sz w:val="20"/>
                <w:szCs w:val="20"/>
              </w:rPr>
            </w:pPr>
            <w:r w:rsidRPr="003549B4">
              <w:rPr>
                <w:rFonts w:ascii="Times New Roman" w:hAnsi="Times New Roman" w:cs="Times New Roman"/>
                <w:sz w:val="20"/>
                <w:szCs w:val="20"/>
              </w:rPr>
              <w:t xml:space="preserve">4.     Spaľovacie zariadenie zložené zo stacionárnych piestových spaľovacích motorov  </w:t>
            </w:r>
          </w:p>
          <w:p w14:paraId="531A6B47" w14:textId="77777777" w:rsidR="00905DC2" w:rsidRPr="003549B4" w:rsidRDefault="00905DC2" w:rsidP="00905DC2">
            <w:pPr>
              <w:spacing w:before="120" w:after="0" w:line="240" w:lineRule="auto"/>
              <w:ind w:left="284" w:hanging="284"/>
              <w:rPr>
                <w:rFonts w:ascii="Times New Roman" w:hAnsi="Times New Roman" w:cs="Times New Roman"/>
                <w:sz w:val="20"/>
                <w:szCs w:val="20"/>
              </w:rPr>
            </w:pPr>
            <w:r w:rsidRPr="003549B4">
              <w:rPr>
                <w:rFonts w:ascii="Times New Roman" w:hAnsi="Times New Roman" w:cs="Times New Roman"/>
                <w:sz w:val="20"/>
                <w:szCs w:val="20"/>
              </w:rPr>
              <w:t xml:space="preserve">A. Emisné limity pre piestové spaľovacie motory – jestvujúce zariadenia </w:t>
            </w:r>
          </w:p>
          <w:p w14:paraId="37927668" w14:textId="77777777" w:rsidR="00905DC2" w:rsidRPr="003549B4" w:rsidRDefault="00905DC2" w:rsidP="00905DC2">
            <w:pPr>
              <w:spacing w:after="0" w:line="240" w:lineRule="auto"/>
              <w:ind w:left="284" w:hanging="284"/>
              <w:rPr>
                <w:rFonts w:ascii="Times New Roman" w:hAnsi="Times New Roman" w:cs="Times New Roman"/>
                <w:sz w:val="20"/>
                <w:szCs w:val="20"/>
              </w:rPr>
            </w:pPr>
          </w:p>
          <w:tbl>
            <w:tblPr>
              <w:tblW w:w="5000" w:type="pct"/>
              <w:jc w:val="center"/>
              <w:tblLayout w:type="fixed"/>
              <w:tblCellMar>
                <w:top w:w="10" w:type="dxa"/>
                <w:left w:w="91" w:type="dxa"/>
                <w:right w:w="47" w:type="dxa"/>
              </w:tblCellMar>
              <w:tblLook w:val="04A0" w:firstRow="1" w:lastRow="0" w:firstColumn="1" w:lastColumn="0" w:noHBand="0" w:noVBand="1"/>
            </w:tblPr>
            <w:tblGrid>
              <w:gridCol w:w="1182"/>
              <w:gridCol w:w="662"/>
              <w:gridCol w:w="921"/>
              <w:gridCol w:w="1051"/>
              <w:gridCol w:w="791"/>
              <w:gridCol w:w="1120"/>
            </w:tblGrid>
            <w:tr w:rsidR="00905DC2" w:rsidRPr="003549B4" w14:paraId="5F7883E3" w14:textId="77777777" w:rsidTr="00A67F8D">
              <w:trPr>
                <w:trHeight w:val="223"/>
                <w:jc w:val="center"/>
              </w:trPr>
              <w:tc>
                <w:tcPr>
                  <w:tcW w:w="1194" w:type="dxa"/>
                  <w:vMerge w:val="restart"/>
                  <w:tcBorders>
                    <w:top w:val="single" w:sz="3" w:space="0" w:color="000000"/>
                    <w:left w:val="single" w:sz="3" w:space="0" w:color="000000"/>
                    <w:bottom w:val="single" w:sz="3" w:space="0" w:color="000000"/>
                    <w:right w:val="single" w:sz="3" w:space="0" w:color="000000"/>
                  </w:tcBorders>
                  <w:vAlign w:val="center"/>
                </w:tcPr>
                <w:p w14:paraId="08D5580A"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b/>
                      <w:sz w:val="20"/>
                      <w:szCs w:val="20"/>
                    </w:rPr>
                    <w:t xml:space="preserve">Podmienky </w:t>
                  </w:r>
                </w:p>
                <w:p w14:paraId="7B9F2C74"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b/>
                      <w:sz w:val="20"/>
                      <w:szCs w:val="20"/>
                    </w:rPr>
                    <w:t xml:space="preserve">platnosti  EL </w:t>
                  </w:r>
                </w:p>
              </w:tc>
              <w:tc>
                <w:tcPr>
                  <w:tcW w:w="4588" w:type="dxa"/>
                  <w:gridSpan w:val="5"/>
                  <w:tcBorders>
                    <w:top w:val="single" w:sz="3" w:space="0" w:color="000000"/>
                    <w:left w:val="single" w:sz="3" w:space="0" w:color="000000"/>
                    <w:bottom w:val="single" w:sz="3" w:space="0" w:color="000000"/>
                    <w:right w:val="single" w:sz="3" w:space="0" w:color="000000"/>
                  </w:tcBorders>
                </w:tcPr>
                <w:p w14:paraId="24796085"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Štandardné stavové podmienky, suchý plyn, O</w:t>
                  </w:r>
                  <w:r w:rsidRPr="003549B4">
                    <w:rPr>
                      <w:rFonts w:ascii="Times New Roman" w:hAnsi="Times New Roman" w:cs="Times New Roman"/>
                      <w:sz w:val="20"/>
                      <w:szCs w:val="20"/>
                      <w:vertAlign w:val="subscript"/>
                    </w:rPr>
                    <w:t>2 ref</w:t>
                  </w:r>
                  <w:r w:rsidRPr="003549B4">
                    <w:rPr>
                      <w:rFonts w:ascii="Times New Roman" w:hAnsi="Times New Roman" w:cs="Times New Roman"/>
                      <w:sz w:val="20"/>
                      <w:szCs w:val="20"/>
                    </w:rPr>
                    <w:t xml:space="preserve">: 15 % objemu  </w:t>
                  </w:r>
                </w:p>
              </w:tc>
            </w:tr>
            <w:tr w:rsidR="00905DC2" w:rsidRPr="003549B4" w14:paraId="3398223E" w14:textId="77777777" w:rsidTr="00A67F8D">
              <w:trPr>
                <w:trHeight w:val="862"/>
                <w:jc w:val="center"/>
              </w:trPr>
              <w:tc>
                <w:tcPr>
                  <w:tcW w:w="1194" w:type="dxa"/>
                  <w:vMerge/>
                  <w:tcBorders>
                    <w:top w:val="nil"/>
                    <w:left w:val="single" w:sz="3" w:space="0" w:color="000000"/>
                    <w:bottom w:val="nil"/>
                    <w:right w:val="single" w:sz="3" w:space="0" w:color="000000"/>
                  </w:tcBorders>
                </w:tcPr>
                <w:p w14:paraId="2D6896CC" w14:textId="77777777" w:rsidR="00905DC2" w:rsidRPr="003549B4" w:rsidRDefault="00905DC2" w:rsidP="00905DC2">
                  <w:pPr>
                    <w:spacing w:after="0" w:line="240" w:lineRule="auto"/>
                    <w:rPr>
                      <w:rFonts w:ascii="Times New Roman" w:hAnsi="Times New Roman" w:cs="Times New Roman"/>
                      <w:sz w:val="20"/>
                      <w:szCs w:val="20"/>
                    </w:rPr>
                  </w:pPr>
                </w:p>
              </w:tc>
              <w:tc>
                <w:tcPr>
                  <w:tcW w:w="4588" w:type="dxa"/>
                  <w:gridSpan w:val="5"/>
                  <w:tcBorders>
                    <w:top w:val="single" w:sz="3" w:space="0" w:color="000000"/>
                    <w:left w:val="single" w:sz="3" w:space="0" w:color="000000"/>
                    <w:bottom w:val="single" w:sz="3" w:space="0" w:color="000000"/>
                    <w:right w:val="single" w:sz="3" w:space="0" w:color="000000"/>
                  </w:tcBorders>
                </w:tcPr>
                <w:p w14:paraId="206DE934" w14:textId="77777777" w:rsidR="00905DC2" w:rsidRPr="003549B4" w:rsidRDefault="00905DC2" w:rsidP="00905DC2">
                  <w:pPr>
                    <w:spacing w:after="0" w:line="240" w:lineRule="auto"/>
                    <w:ind w:right="45"/>
                    <w:jc w:val="both"/>
                    <w:rPr>
                      <w:rFonts w:ascii="Times New Roman" w:hAnsi="Times New Roman" w:cs="Times New Roman"/>
                      <w:sz w:val="20"/>
                      <w:szCs w:val="20"/>
                    </w:rPr>
                  </w:pPr>
                  <w:r w:rsidRPr="003549B4">
                    <w:rPr>
                      <w:rFonts w:ascii="Times New Roman" w:hAnsi="Times New Roman" w:cs="Times New Roman"/>
                      <w:sz w:val="20"/>
                      <w:szCs w:val="20"/>
                    </w:rPr>
                    <w:t>Pre zariadenia využívané na pohon plynových kompresorových staníc potrebných na zaistenie bezpečnosti vnútroštátnych plynárenských prepravných sústav plynu podľa § 18 možno do roku 2030 povoliť výnimku z EL pre NO</w:t>
                  </w:r>
                  <w:r w:rsidRPr="003549B4">
                    <w:rPr>
                      <w:rFonts w:ascii="Times New Roman" w:hAnsi="Times New Roman" w:cs="Times New Roman"/>
                      <w:sz w:val="20"/>
                      <w:szCs w:val="20"/>
                      <w:vertAlign w:val="subscript"/>
                    </w:rPr>
                    <w:t>x</w:t>
                  </w:r>
                  <w:r w:rsidRPr="003549B4">
                    <w:rPr>
                      <w:rFonts w:ascii="Times New Roman" w:hAnsi="Times New Roman" w:cs="Times New Roman"/>
                      <w:sz w:val="20"/>
                      <w:szCs w:val="20"/>
                    </w:rPr>
                    <w:t xml:space="preserve">, pričom určený EL nesmie prekročiť EL ustanovený v časti V     </w:t>
                  </w:r>
                </w:p>
              </w:tc>
            </w:tr>
            <w:tr w:rsidR="00905DC2" w:rsidRPr="003549B4" w14:paraId="10C8A98C" w14:textId="77777777" w:rsidTr="00A67F8D">
              <w:trPr>
                <w:trHeight w:val="235"/>
                <w:jc w:val="center"/>
              </w:trPr>
              <w:tc>
                <w:tcPr>
                  <w:tcW w:w="1194" w:type="dxa"/>
                  <w:vMerge/>
                  <w:tcBorders>
                    <w:top w:val="nil"/>
                    <w:left w:val="single" w:sz="3" w:space="0" w:color="000000"/>
                    <w:bottom w:val="nil"/>
                    <w:right w:val="single" w:sz="3" w:space="0" w:color="000000"/>
                  </w:tcBorders>
                </w:tcPr>
                <w:p w14:paraId="6E6680C2" w14:textId="77777777" w:rsidR="00905DC2" w:rsidRPr="003549B4" w:rsidRDefault="00905DC2" w:rsidP="00905DC2">
                  <w:pPr>
                    <w:spacing w:after="0" w:line="240" w:lineRule="auto"/>
                    <w:rPr>
                      <w:rFonts w:ascii="Times New Roman" w:hAnsi="Times New Roman" w:cs="Times New Roman"/>
                      <w:sz w:val="20"/>
                      <w:szCs w:val="20"/>
                    </w:rPr>
                  </w:pPr>
                </w:p>
              </w:tc>
              <w:tc>
                <w:tcPr>
                  <w:tcW w:w="4588" w:type="dxa"/>
                  <w:gridSpan w:val="5"/>
                  <w:tcBorders>
                    <w:top w:val="single" w:sz="3" w:space="0" w:color="000000"/>
                    <w:left w:val="single" w:sz="3" w:space="0" w:color="000000"/>
                    <w:bottom w:val="single" w:sz="3" w:space="0" w:color="000000"/>
                    <w:right w:val="single" w:sz="3" w:space="0" w:color="000000"/>
                  </w:tcBorders>
                </w:tcPr>
                <w:p w14:paraId="6D668351" w14:textId="77777777" w:rsidR="00905DC2" w:rsidRPr="003549B4" w:rsidRDefault="00905DC2" w:rsidP="00905DC2">
                  <w:pPr>
                    <w:spacing w:after="0" w:line="240" w:lineRule="auto"/>
                    <w:ind w:right="45"/>
                    <w:jc w:val="center"/>
                    <w:rPr>
                      <w:rFonts w:ascii="Times New Roman" w:hAnsi="Times New Roman" w:cs="Times New Roman"/>
                      <w:sz w:val="20"/>
                      <w:szCs w:val="20"/>
                    </w:rPr>
                  </w:pPr>
                  <w:r w:rsidRPr="003549B4">
                    <w:rPr>
                      <w:rFonts w:ascii="Times New Roman" w:hAnsi="Times New Roman" w:cs="Times New Roman"/>
                      <w:b/>
                      <w:sz w:val="20"/>
                      <w:szCs w:val="20"/>
                    </w:rPr>
                    <w:t xml:space="preserve">Emisný limit </w:t>
                  </w:r>
                  <w:r w:rsidRPr="003549B4">
                    <w:rPr>
                      <w:rFonts w:ascii="Times New Roman" w:hAnsi="Times New Roman" w:cs="Times New Roman"/>
                      <w:b/>
                      <w:sz w:val="20"/>
                      <w:szCs w:val="20"/>
                    </w:rPr>
                    <w:sym w:font="Symbol" w:char="F05B"/>
                  </w:r>
                  <w:r w:rsidRPr="003549B4">
                    <w:rPr>
                      <w:rFonts w:ascii="Times New Roman" w:hAnsi="Times New Roman" w:cs="Times New Roman"/>
                      <w:b/>
                      <w:sz w:val="20"/>
                      <w:szCs w:val="20"/>
                    </w:rPr>
                    <w:t>mg/m</w:t>
                  </w:r>
                  <w:r w:rsidRPr="003549B4">
                    <w:rPr>
                      <w:rFonts w:ascii="Times New Roman" w:hAnsi="Times New Roman" w:cs="Times New Roman"/>
                      <w:b/>
                      <w:sz w:val="20"/>
                      <w:szCs w:val="20"/>
                      <w:vertAlign w:val="superscript"/>
                    </w:rPr>
                    <w:t>3</w:t>
                  </w:r>
                  <w:r w:rsidRPr="003549B4">
                    <w:rPr>
                      <w:rFonts w:ascii="Times New Roman" w:hAnsi="Times New Roman" w:cs="Times New Roman"/>
                      <w:b/>
                      <w:sz w:val="20"/>
                      <w:szCs w:val="20"/>
                    </w:rPr>
                    <w:sym w:font="Symbol" w:char="F05D"/>
                  </w:r>
                  <w:r w:rsidRPr="003549B4">
                    <w:rPr>
                      <w:rFonts w:ascii="Times New Roman" w:hAnsi="Times New Roman" w:cs="Times New Roman"/>
                      <w:b/>
                      <w:sz w:val="20"/>
                      <w:szCs w:val="20"/>
                    </w:rPr>
                    <w:t xml:space="preserve">  </w:t>
                  </w:r>
                </w:p>
              </w:tc>
            </w:tr>
            <w:tr w:rsidR="00905DC2" w:rsidRPr="003549B4" w14:paraId="73E277FB" w14:textId="77777777" w:rsidTr="00A67F8D">
              <w:trPr>
                <w:trHeight w:val="223"/>
                <w:jc w:val="center"/>
              </w:trPr>
              <w:tc>
                <w:tcPr>
                  <w:tcW w:w="1194" w:type="dxa"/>
                  <w:vMerge/>
                  <w:tcBorders>
                    <w:top w:val="nil"/>
                    <w:left w:val="single" w:sz="3" w:space="0" w:color="000000"/>
                    <w:bottom w:val="single" w:sz="3" w:space="0" w:color="000000"/>
                    <w:right w:val="single" w:sz="3" w:space="0" w:color="000000"/>
                  </w:tcBorders>
                </w:tcPr>
                <w:p w14:paraId="7D1D21B8" w14:textId="77777777" w:rsidR="00905DC2" w:rsidRPr="003549B4" w:rsidRDefault="00905DC2" w:rsidP="00905DC2">
                  <w:pPr>
                    <w:spacing w:after="0" w:line="240" w:lineRule="auto"/>
                    <w:rPr>
                      <w:rFonts w:ascii="Times New Roman" w:hAnsi="Times New Roman" w:cs="Times New Roman"/>
                      <w:sz w:val="20"/>
                      <w:szCs w:val="20"/>
                    </w:rPr>
                  </w:pPr>
                </w:p>
              </w:tc>
              <w:tc>
                <w:tcPr>
                  <w:tcW w:w="668" w:type="dxa"/>
                  <w:tcBorders>
                    <w:top w:val="single" w:sz="3" w:space="0" w:color="000000"/>
                    <w:left w:val="single" w:sz="3" w:space="0" w:color="000000"/>
                    <w:bottom w:val="single" w:sz="3" w:space="0" w:color="000000"/>
                    <w:right w:val="single" w:sz="3" w:space="0" w:color="000000"/>
                  </w:tcBorders>
                </w:tcPr>
                <w:p w14:paraId="61A38315" w14:textId="77777777" w:rsidR="00905DC2" w:rsidRPr="003549B4" w:rsidRDefault="00905DC2" w:rsidP="00905DC2">
                  <w:pPr>
                    <w:spacing w:after="0" w:line="240" w:lineRule="auto"/>
                    <w:ind w:right="48"/>
                    <w:jc w:val="center"/>
                    <w:rPr>
                      <w:rFonts w:ascii="Times New Roman" w:hAnsi="Times New Roman" w:cs="Times New Roman"/>
                      <w:sz w:val="20"/>
                      <w:szCs w:val="20"/>
                    </w:rPr>
                  </w:pPr>
                  <w:r w:rsidRPr="003549B4">
                    <w:rPr>
                      <w:rFonts w:ascii="Times New Roman" w:hAnsi="Times New Roman" w:cs="Times New Roman"/>
                      <w:b/>
                      <w:sz w:val="20"/>
                      <w:szCs w:val="20"/>
                    </w:rPr>
                    <w:t xml:space="preserve">TZL </w:t>
                  </w:r>
                </w:p>
              </w:tc>
              <w:tc>
                <w:tcPr>
                  <w:tcW w:w="930" w:type="dxa"/>
                  <w:tcBorders>
                    <w:top w:val="single" w:sz="3" w:space="0" w:color="000000"/>
                    <w:left w:val="single" w:sz="3" w:space="0" w:color="000000"/>
                    <w:bottom w:val="single" w:sz="3" w:space="0" w:color="000000"/>
                    <w:right w:val="single" w:sz="3" w:space="0" w:color="000000"/>
                  </w:tcBorders>
                </w:tcPr>
                <w:p w14:paraId="58E8A48E" w14:textId="77777777" w:rsidR="00905DC2" w:rsidRPr="003549B4" w:rsidRDefault="00905DC2" w:rsidP="00905DC2">
                  <w:pPr>
                    <w:spacing w:after="0" w:line="240" w:lineRule="auto"/>
                    <w:ind w:right="39"/>
                    <w:jc w:val="center"/>
                    <w:rPr>
                      <w:rFonts w:ascii="Times New Roman" w:hAnsi="Times New Roman" w:cs="Times New Roman"/>
                      <w:sz w:val="20"/>
                      <w:szCs w:val="20"/>
                    </w:rPr>
                  </w:pPr>
                  <w:r w:rsidRPr="003549B4">
                    <w:rPr>
                      <w:rFonts w:ascii="Times New Roman" w:hAnsi="Times New Roman" w:cs="Times New Roman"/>
                      <w:b/>
                      <w:sz w:val="20"/>
                      <w:szCs w:val="20"/>
                    </w:rPr>
                    <w:t>SO</w:t>
                  </w:r>
                  <w:r w:rsidRPr="003549B4">
                    <w:rPr>
                      <w:rFonts w:ascii="Times New Roman" w:hAnsi="Times New Roman" w:cs="Times New Roman"/>
                      <w:b/>
                      <w:sz w:val="20"/>
                      <w:szCs w:val="20"/>
                      <w:vertAlign w:val="subscript"/>
                    </w:rPr>
                    <w:t>2</w:t>
                  </w:r>
                  <w:r w:rsidRPr="003549B4">
                    <w:rPr>
                      <w:rFonts w:ascii="Times New Roman" w:hAnsi="Times New Roman" w:cs="Times New Roman"/>
                      <w:b/>
                      <w:sz w:val="20"/>
                      <w:szCs w:val="20"/>
                    </w:rPr>
                    <w:t xml:space="preserve"> </w:t>
                  </w:r>
                </w:p>
              </w:tc>
              <w:tc>
                <w:tcPr>
                  <w:tcW w:w="1061" w:type="dxa"/>
                  <w:tcBorders>
                    <w:top w:val="single" w:sz="3" w:space="0" w:color="000000"/>
                    <w:left w:val="single" w:sz="3" w:space="0" w:color="000000"/>
                    <w:bottom w:val="single" w:sz="3" w:space="0" w:color="000000"/>
                    <w:right w:val="single" w:sz="3" w:space="0" w:color="000000"/>
                  </w:tcBorders>
                </w:tcPr>
                <w:p w14:paraId="6FFDB2F3" w14:textId="77777777" w:rsidR="00905DC2" w:rsidRPr="003549B4" w:rsidRDefault="00905DC2" w:rsidP="00905DC2">
                  <w:pPr>
                    <w:spacing w:after="0" w:line="240" w:lineRule="auto"/>
                    <w:ind w:right="41"/>
                    <w:jc w:val="center"/>
                    <w:rPr>
                      <w:rFonts w:ascii="Times New Roman" w:hAnsi="Times New Roman" w:cs="Times New Roman"/>
                      <w:sz w:val="20"/>
                      <w:szCs w:val="20"/>
                    </w:rPr>
                  </w:pPr>
                  <w:r w:rsidRPr="003549B4">
                    <w:rPr>
                      <w:rFonts w:ascii="Times New Roman" w:hAnsi="Times New Roman" w:cs="Times New Roman"/>
                      <w:b/>
                      <w:sz w:val="20"/>
                      <w:szCs w:val="20"/>
                    </w:rPr>
                    <w:t>NO</w:t>
                  </w:r>
                  <w:r w:rsidRPr="003549B4">
                    <w:rPr>
                      <w:rFonts w:ascii="Times New Roman" w:hAnsi="Times New Roman" w:cs="Times New Roman"/>
                      <w:b/>
                      <w:sz w:val="20"/>
                      <w:szCs w:val="20"/>
                      <w:vertAlign w:val="subscript"/>
                    </w:rPr>
                    <w:t>X</w:t>
                  </w:r>
                  <w:r w:rsidRPr="003549B4">
                    <w:rPr>
                      <w:rFonts w:ascii="Times New Roman" w:hAnsi="Times New Roman" w:cs="Times New Roman"/>
                      <w:b/>
                      <w:sz w:val="20"/>
                      <w:szCs w:val="20"/>
                    </w:rPr>
                    <w:t xml:space="preserve"> </w:t>
                  </w:r>
                </w:p>
              </w:tc>
              <w:tc>
                <w:tcPr>
                  <w:tcW w:w="798" w:type="dxa"/>
                  <w:tcBorders>
                    <w:top w:val="single" w:sz="3" w:space="0" w:color="000000"/>
                    <w:left w:val="single" w:sz="3" w:space="0" w:color="000000"/>
                    <w:bottom w:val="single" w:sz="3" w:space="0" w:color="000000"/>
                    <w:right w:val="single" w:sz="3" w:space="0" w:color="000000"/>
                  </w:tcBorders>
                </w:tcPr>
                <w:p w14:paraId="72C70C89" w14:textId="77777777" w:rsidR="00905DC2" w:rsidRPr="003549B4" w:rsidRDefault="00905DC2" w:rsidP="00905DC2">
                  <w:pPr>
                    <w:spacing w:after="0" w:line="240" w:lineRule="auto"/>
                    <w:ind w:right="47"/>
                    <w:jc w:val="center"/>
                    <w:rPr>
                      <w:rFonts w:ascii="Times New Roman" w:hAnsi="Times New Roman" w:cs="Times New Roman"/>
                      <w:sz w:val="20"/>
                      <w:szCs w:val="20"/>
                    </w:rPr>
                  </w:pPr>
                  <w:r w:rsidRPr="003549B4">
                    <w:rPr>
                      <w:rFonts w:ascii="Times New Roman" w:hAnsi="Times New Roman" w:cs="Times New Roman"/>
                      <w:b/>
                      <w:sz w:val="20"/>
                      <w:szCs w:val="20"/>
                    </w:rPr>
                    <w:t xml:space="preserve">CO </w:t>
                  </w:r>
                </w:p>
              </w:tc>
              <w:tc>
                <w:tcPr>
                  <w:tcW w:w="1131" w:type="dxa"/>
                  <w:tcBorders>
                    <w:top w:val="single" w:sz="3" w:space="0" w:color="000000"/>
                    <w:left w:val="single" w:sz="3" w:space="0" w:color="000000"/>
                    <w:bottom w:val="single" w:sz="3" w:space="0" w:color="000000"/>
                    <w:right w:val="single" w:sz="3" w:space="0" w:color="000000"/>
                  </w:tcBorders>
                </w:tcPr>
                <w:p w14:paraId="5938D223" w14:textId="77777777" w:rsidR="00905DC2" w:rsidRPr="003549B4" w:rsidRDefault="00905DC2" w:rsidP="00905DC2">
                  <w:pPr>
                    <w:spacing w:after="0" w:line="240" w:lineRule="auto"/>
                    <w:ind w:left="-72" w:firstLine="72"/>
                    <w:rPr>
                      <w:rFonts w:ascii="Times New Roman" w:hAnsi="Times New Roman" w:cs="Times New Roman"/>
                      <w:sz w:val="20"/>
                      <w:szCs w:val="20"/>
                    </w:rPr>
                  </w:pPr>
                  <w:r w:rsidRPr="003549B4">
                    <w:rPr>
                      <w:rFonts w:ascii="Times New Roman" w:hAnsi="Times New Roman" w:cs="Times New Roman"/>
                      <w:b/>
                      <w:sz w:val="20"/>
                      <w:szCs w:val="20"/>
                    </w:rPr>
                    <w:t>Formaldehyd</w:t>
                  </w:r>
                </w:p>
              </w:tc>
            </w:tr>
            <w:tr w:rsidR="00905DC2" w:rsidRPr="003549B4" w14:paraId="1F07E578" w14:textId="77777777" w:rsidTr="00A67F8D">
              <w:trPr>
                <w:trHeight w:val="435"/>
                <w:jc w:val="center"/>
              </w:trPr>
              <w:tc>
                <w:tcPr>
                  <w:tcW w:w="1194" w:type="dxa"/>
                  <w:tcBorders>
                    <w:top w:val="single" w:sz="3" w:space="0" w:color="000000"/>
                    <w:left w:val="single" w:sz="3" w:space="0" w:color="000000"/>
                    <w:bottom w:val="single" w:sz="3" w:space="0" w:color="000000"/>
                    <w:right w:val="single" w:sz="3" w:space="0" w:color="000000"/>
                  </w:tcBorders>
                  <w:vAlign w:val="center"/>
                </w:tcPr>
                <w:p w14:paraId="5221CE45"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Plynový olej</w:t>
                  </w:r>
                </w:p>
              </w:tc>
              <w:tc>
                <w:tcPr>
                  <w:tcW w:w="668" w:type="dxa"/>
                  <w:tcBorders>
                    <w:top w:val="single" w:sz="3" w:space="0" w:color="000000"/>
                    <w:left w:val="single" w:sz="3" w:space="0" w:color="000000"/>
                    <w:bottom w:val="single" w:sz="3" w:space="0" w:color="000000"/>
                    <w:right w:val="single" w:sz="3" w:space="0" w:color="000000"/>
                  </w:tcBorders>
                  <w:vAlign w:val="center"/>
                </w:tcPr>
                <w:p w14:paraId="75F31118" w14:textId="77777777" w:rsidR="00905DC2" w:rsidRPr="003549B4" w:rsidRDefault="00905DC2" w:rsidP="00905DC2">
                  <w:pPr>
                    <w:spacing w:after="0" w:line="240" w:lineRule="auto"/>
                    <w:ind w:right="47"/>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930" w:type="dxa"/>
                  <w:tcBorders>
                    <w:top w:val="single" w:sz="3" w:space="0" w:color="000000"/>
                    <w:left w:val="single" w:sz="3" w:space="0" w:color="000000"/>
                    <w:bottom w:val="single" w:sz="3" w:space="0" w:color="000000"/>
                    <w:right w:val="single" w:sz="3" w:space="0" w:color="000000"/>
                  </w:tcBorders>
                  <w:vAlign w:val="center"/>
                </w:tcPr>
                <w:p w14:paraId="08E3B25E" w14:textId="77777777" w:rsidR="00905DC2" w:rsidRPr="003549B4" w:rsidRDefault="00905DC2" w:rsidP="00905DC2">
                  <w:pPr>
                    <w:spacing w:after="0" w:line="240" w:lineRule="auto"/>
                    <w:ind w:right="43"/>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061" w:type="dxa"/>
                  <w:tcBorders>
                    <w:top w:val="single" w:sz="3" w:space="0" w:color="000000"/>
                    <w:left w:val="single" w:sz="3" w:space="0" w:color="000000"/>
                    <w:bottom w:val="single" w:sz="3" w:space="0" w:color="000000"/>
                    <w:right w:val="single" w:sz="3" w:space="0" w:color="000000"/>
                  </w:tcBorders>
                  <w:vAlign w:val="center"/>
                </w:tcPr>
                <w:p w14:paraId="223E8250" w14:textId="77777777" w:rsidR="00905DC2" w:rsidRPr="003549B4" w:rsidRDefault="00905DC2" w:rsidP="00905DC2">
                  <w:pPr>
                    <w:spacing w:after="0" w:line="240" w:lineRule="auto"/>
                    <w:ind w:left="-64" w:right="-70"/>
                    <w:jc w:val="center"/>
                    <w:rPr>
                      <w:rFonts w:ascii="Times New Roman" w:hAnsi="Times New Roman" w:cs="Times New Roman"/>
                      <w:sz w:val="20"/>
                      <w:szCs w:val="20"/>
                    </w:rPr>
                  </w:pPr>
                  <w:r w:rsidRPr="003549B4">
                    <w:rPr>
                      <w:rFonts w:ascii="Times New Roman" w:hAnsi="Times New Roman" w:cs="Times New Roman"/>
                      <w:sz w:val="20"/>
                      <w:szCs w:val="20"/>
                    </w:rPr>
                    <w:t>190, 250</w:t>
                  </w:r>
                  <w:r w:rsidRPr="003549B4">
                    <w:rPr>
                      <w:rFonts w:ascii="Times New Roman" w:hAnsi="Times New Roman" w:cs="Times New Roman"/>
                      <w:sz w:val="20"/>
                      <w:szCs w:val="20"/>
                      <w:vertAlign w:val="superscript"/>
                    </w:rPr>
                    <w:t>1</w:t>
                  </w:r>
                  <w:r w:rsidRPr="003549B4">
                    <w:rPr>
                      <w:rFonts w:ascii="Times New Roman" w:hAnsi="Times New Roman" w:cs="Times New Roman"/>
                      <w:sz w:val="20"/>
                      <w:szCs w:val="20"/>
                    </w:rPr>
                    <w:t>), 1 850</w:t>
                  </w:r>
                  <w:r w:rsidRPr="003549B4">
                    <w:rPr>
                      <w:rFonts w:ascii="Times New Roman" w:hAnsi="Times New Roman" w:cs="Times New Roman"/>
                      <w:sz w:val="20"/>
                      <w:szCs w:val="20"/>
                      <w:vertAlign w:val="superscript"/>
                    </w:rPr>
                    <w:t>2</w:t>
                  </w:r>
                  <w:r w:rsidRPr="003549B4">
                    <w:rPr>
                      <w:rFonts w:ascii="Times New Roman" w:hAnsi="Times New Roman" w:cs="Times New Roman"/>
                      <w:sz w:val="20"/>
                      <w:szCs w:val="20"/>
                    </w:rPr>
                    <w:t>)</w:t>
                  </w:r>
                </w:p>
              </w:tc>
              <w:tc>
                <w:tcPr>
                  <w:tcW w:w="798" w:type="dxa"/>
                  <w:tcBorders>
                    <w:top w:val="single" w:sz="3" w:space="0" w:color="000000"/>
                    <w:left w:val="single" w:sz="3" w:space="0" w:color="000000"/>
                    <w:bottom w:val="single" w:sz="3" w:space="0" w:color="000000"/>
                    <w:right w:val="single" w:sz="3" w:space="0" w:color="000000"/>
                  </w:tcBorders>
                  <w:vAlign w:val="center"/>
                </w:tcPr>
                <w:p w14:paraId="5319F973" w14:textId="77777777" w:rsidR="00905DC2" w:rsidRPr="003549B4" w:rsidRDefault="00905DC2" w:rsidP="00905DC2">
                  <w:pPr>
                    <w:spacing w:after="0" w:line="240" w:lineRule="auto"/>
                    <w:ind w:right="46"/>
                    <w:jc w:val="center"/>
                    <w:rPr>
                      <w:rFonts w:ascii="Times New Roman" w:hAnsi="Times New Roman" w:cs="Times New Roman"/>
                      <w:sz w:val="20"/>
                      <w:szCs w:val="20"/>
                    </w:rPr>
                  </w:pPr>
                  <w:r w:rsidRPr="003549B4">
                    <w:rPr>
                      <w:rFonts w:ascii="Times New Roman" w:hAnsi="Times New Roman" w:cs="Times New Roman"/>
                      <w:sz w:val="20"/>
                      <w:szCs w:val="20"/>
                    </w:rPr>
                    <w:t>250</w:t>
                  </w:r>
                </w:p>
              </w:tc>
              <w:tc>
                <w:tcPr>
                  <w:tcW w:w="1131" w:type="dxa"/>
                  <w:tcBorders>
                    <w:top w:val="single" w:sz="3" w:space="0" w:color="000000"/>
                    <w:left w:val="single" w:sz="3" w:space="0" w:color="000000"/>
                    <w:bottom w:val="single" w:sz="3" w:space="0" w:color="000000"/>
                    <w:right w:val="single" w:sz="3" w:space="0" w:color="000000"/>
                  </w:tcBorders>
                  <w:vAlign w:val="center"/>
                </w:tcPr>
                <w:p w14:paraId="26838812" w14:textId="77777777" w:rsidR="00905DC2" w:rsidRPr="003549B4" w:rsidRDefault="00905DC2" w:rsidP="00905DC2">
                  <w:pPr>
                    <w:spacing w:after="0" w:line="240" w:lineRule="auto"/>
                    <w:ind w:right="44"/>
                    <w:jc w:val="center"/>
                    <w:rPr>
                      <w:rFonts w:ascii="Times New Roman" w:hAnsi="Times New Roman" w:cs="Times New Roman"/>
                      <w:sz w:val="20"/>
                      <w:szCs w:val="20"/>
                    </w:rPr>
                  </w:pPr>
                  <w:r w:rsidRPr="003549B4">
                    <w:rPr>
                      <w:rFonts w:ascii="Times New Roman" w:hAnsi="Times New Roman" w:cs="Times New Roman"/>
                      <w:sz w:val="20"/>
                      <w:szCs w:val="20"/>
                    </w:rPr>
                    <w:t>-</w:t>
                  </w:r>
                </w:p>
              </w:tc>
            </w:tr>
            <w:tr w:rsidR="00905DC2" w:rsidRPr="003549B4" w14:paraId="3A51BCAA" w14:textId="77777777" w:rsidTr="00A67F8D">
              <w:trPr>
                <w:trHeight w:val="435"/>
                <w:jc w:val="center"/>
              </w:trPr>
              <w:tc>
                <w:tcPr>
                  <w:tcW w:w="1194" w:type="dxa"/>
                  <w:tcBorders>
                    <w:top w:val="single" w:sz="3" w:space="0" w:color="000000"/>
                    <w:left w:val="single" w:sz="3" w:space="0" w:color="000000"/>
                    <w:bottom w:val="single" w:sz="3" w:space="0" w:color="000000"/>
                    <w:right w:val="single" w:sz="3" w:space="0" w:color="000000"/>
                  </w:tcBorders>
                  <w:vAlign w:val="center"/>
                </w:tcPr>
                <w:p w14:paraId="0CFAF8A6"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Iné kvapalné palivá</w:t>
                  </w:r>
                </w:p>
              </w:tc>
              <w:tc>
                <w:tcPr>
                  <w:tcW w:w="668" w:type="dxa"/>
                  <w:tcBorders>
                    <w:top w:val="single" w:sz="3" w:space="0" w:color="000000"/>
                    <w:left w:val="single" w:sz="3" w:space="0" w:color="000000"/>
                    <w:bottom w:val="single" w:sz="3" w:space="0" w:color="000000"/>
                    <w:right w:val="single" w:sz="3" w:space="0" w:color="000000"/>
                  </w:tcBorders>
                  <w:vAlign w:val="center"/>
                </w:tcPr>
                <w:p w14:paraId="1321B9CC" w14:textId="77777777" w:rsidR="00905DC2" w:rsidRPr="003549B4" w:rsidRDefault="00905DC2" w:rsidP="00905DC2">
                  <w:pPr>
                    <w:spacing w:after="0" w:line="240" w:lineRule="auto"/>
                    <w:ind w:left="-56" w:right="-47"/>
                    <w:jc w:val="center"/>
                    <w:rPr>
                      <w:rFonts w:ascii="Times New Roman" w:hAnsi="Times New Roman" w:cs="Times New Roman"/>
                      <w:sz w:val="20"/>
                      <w:szCs w:val="20"/>
                    </w:rPr>
                  </w:pPr>
                  <w:r w:rsidRPr="003549B4">
                    <w:rPr>
                      <w:rFonts w:ascii="Times New Roman" w:hAnsi="Times New Roman" w:cs="Times New Roman"/>
                      <w:sz w:val="20"/>
                      <w:szCs w:val="20"/>
                    </w:rPr>
                    <w:t>10, 20</w:t>
                  </w:r>
                  <w:r w:rsidRPr="003549B4">
                    <w:rPr>
                      <w:rFonts w:ascii="Times New Roman" w:hAnsi="Times New Roman" w:cs="Times New Roman"/>
                      <w:sz w:val="20"/>
                      <w:szCs w:val="20"/>
                      <w:vertAlign w:val="superscript"/>
                    </w:rPr>
                    <w:t>4</w:t>
                  </w:r>
                  <w:r w:rsidRPr="003549B4">
                    <w:rPr>
                      <w:rFonts w:ascii="Times New Roman" w:hAnsi="Times New Roman" w:cs="Times New Roman"/>
                      <w:sz w:val="20"/>
                      <w:szCs w:val="20"/>
                    </w:rPr>
                    <w:t>)</w:t>
                  </w:r>
                </w:p>
              </w:tc>
              <w:tc>
                <w:tcPr>
                  <w:tcW w:w="930" w:type="dxa"/>
                  <w:tcBorders>
                    <w:top w:val="single" w:sz="3" w:space="0" w:color="000000"/>
                    <w:left w:val="single" w:sz="3" w:space="0" w:color="000000"/>
                    <w:bottom w:val="single" w:sz="3" w:space="0" w:color="000000"/>
                    <w:right w:val="single" w:sz="3" w:space="0" w:color="000000"/>
                  </w:tcBorders>
                  <w:vAlign w:val="center"/>
                </w:tcPr>
                <w:p w14:paraId="0FE17126" w14:textId="77777777" w:rsidR="00905DC2" w:rsidRPr="003549B4" w:rsidRDefault="00905DC2" w:rsidP="00905DC2">
                  <w:pPr>
                    <w:spacing w:after="0" w:line="240" w:lineRule="auto"/>
                    <w:ind w:right="40"/>
                    <w:jc w:val="center"/>
                    <w:rPr>
                      <w:rFonts w:ascii="Times New Roman" w:hAnsi="Times New Roman" w:cs="Times New Roman"/>
                      <w:sz w:val="20"/>
                      <w:szCs w:val="20"/>
                    </w:rPr>
                  </w:pPr>
                  <w:r w:rsidRPr="003549B4">
                    <w:rPr>
                      <w:rFonts w:ascii="Times New Roman" w:hAnsi="Times New Roman" w:cs="Times New Roman"/>
                      <w:sz w:val="20"/>
                      <w:szCs w:val="20"/>
                    </w:rPr>
                    <w:t>120</w:t>
                  </w:r>
                </w:p>
              </w:tc>
              <w:tc>
                <w:tcPr>
                  <w:tcW w:w="1061" w:type="dxa"/>
                  <w:tcBorders>
                    <w:top w:val="single" w:sz="3" w:space="0" w:color="000000"/>
                    <w:left w:val="single" w:sz="3" w:space="0" w:color="000000"/>
                    <w:bottom w:val="single" w:sz="3" w:space="0" w:color="000000"/>
                    <w:right w:val="single" w:sz="3" w:space="0" w:color="000000"/>
                  </w:tcBorders>
                  <w:vAlign w:val="center"/>
                </w:tcPr>
                <w:p w14:paraId="56BE6E75" w14:textId="77777777" w:rsidR="00905DC2" w:rsidRPr="003549B4" w:rsidRDefault="00905DC2" w:rsidP="00905DC2">
                  <w:pPr>
                    <w:spacing w:after="0" w:line="240" w:lineRule="auto"/>
                    <w:ind w:left="-64" w:right="-70"/>
                    <w:jc w:val="center"/>
                    <w:rPr>
                      <w:rFonts w:ascii="Times New Roman" w:hAnsi="Times New Roman" w:cs="Times New Roman"/>
                      <w:sz w:val="20"/>
                      <w:szCs w:val="20"/>
                    </w:rPr>
                  </w:pPr>
                  <w:r w:rsidRPr="003549B4">
                    <w:rPr>
                      <w:rFonts w:ascii="Times New Roman" w:hAnsi="Times New Roman" w:cs="Times New Roman"/>
                      <w:sz w:val="20"/>
                      <w:szCs w:val="20"/>
                    </w:rPr>
                    <w:t>190, 225</w:t>
                  </w:r>
                  <w:r w:rsidRPr="003549B4">
                    <w:rPr>
                      <w:rFonts w:ascii="Times New Roman" w:hAnsi="Times New Roman" w:cs="Times New Roman"/>
                      <w:sz w:val="20"/>
                      <w:szCs w:val="20"/>
                      <w:vertAlign w:val="superscript"/>
                    </w:rPr>
                    <w:t>5</w:t>
                  </w:r>
                  <w:r w:rsidRPr="003549B4">
                    <w:rPr>
                      <w:rFonts w:ascii="Times New Roman" w:hAnsi="Times New Roman" w:cs="Times New Roman"/>
                      <w:sz w:val="20"/>
                      <w:szCs w:val="20"/>
                    </w:rPr>
                    <w:t>), 250</w:t>
                  </w:r>
                  <w:r w:rsidRPr="003549B4">
                    <w:rPr>
                      <w:rFonts w:ascii="Times New Roman" w:hAnsi="Times New Roman" w:cs="Times New Roman"/>
                      <w:sz w:val="20"/>
                      <w:szCs w:val="20"/>
                      <w:vertAlign w:val="superscript"/>
                    </w:rPr>
                    <w:t>1</w:t>
                  </w:r>
                  <w:r w:rsidRPr="003549B4">
                    <w:rPr>
                      <w:rFonts w:ascii="Times New Roman" w:hAnsi="Times New Roman" w:cs="Times New Roman"/>
                      <w:sz w:val="20"/>
                      <w:szCs w:val="20"/>
                    </w:rPr>
                    <w:t>), 1 850</w:t>
                  </w:r>
                  <w:r w:rsidRPr="003549B4">
                    <w:rPr>
                      <w:rFonts w:ascii="Times New Roman" w:hAnsi="Times New Roman" w:cs="Times New Roman"/>
                      <w:sz w:val="20"/>
                      <w:szCs w:val="20"/>
                      <w:vertAlign w:val="superscript"/>
                    </w:rPr>
                    <w:t>2</w:t>
                  </w:r>
                  <w:r w:rsidRPr="003549B4">
                    <w:rPr>
                      <w:rFonts w:ascii="Times New Roman" w:hAnsi="Times New Roman" w:cs="Times New Roman"/>
                      <w:sz w:val="20"/>
                      <w:szCs w:val="20"/>
                    </w:rPr>
                    <w:t>)</w:t>
                  </w:r>
                </w:p>
              </w:tc>
              <w:tc>
                <w:tcPr>
                  <w:tcW w:w="798" w:type="dxa"/>
                  <w:tcBorders>
                    <w:top w:val="single" w:sz="3" w:space="0" w:color="000000"/>
                    <w:left w:val="single" w:sz="3" w:space="0" w:color="000000"/>
                    <w:bottom w:val="single" w:sz="3" w:space="0" w:color="000000"/>
                    <w:right w:val="single" w:sz="3" w:space="0" w:color="000000"/>
                  </w:tcBorders>
                  <w:vAlign w:val="center"/>
                </w:tcPr>
                <w:p w14:paraId="62A06C6C" w14:textId="77777777" w:rsidR="00905DC2" w:rsidRPr="003549B4" w:rsidRDefault="00905DC2" w:rsidP="00905DC2">
                  <w:pPr>
                    <w:spacing w:after="0" w:line="240" w:lineRule="auto"/>
                    <w:ind w:right="46"/>
                    <w:jc w:val="center"/>
                    <w:rPr>
                      <w:rFonts w:ascii="Times New Roman" w:hAnsi="Times New Roman" w:cs="Times New Roman"/>
                      <w:sz w:val="20"/>
                      <w:szCs w:val="20"/>
                    </w:rPr>
                  </w:pPr>
                  <w:r w:rsidRPr="003549B4">
                    <w:rPr>
                      <w:rFonts w:ascii="Times New Roman" w:hAnsi="Times New Roman" w:cs="Times New Roman"/>
                      <w:sz w:val="20"/>
                      <w:szCs w:val="20"/>
                    </w:rPr>
                    <w:t>250</w:t>
                  </w:r>
                </w:p>
              </w:tc>
              <w:tc>
                <w:tcPr>
                  <w:tcW w:w="1131" w:type="dxa"/>
                  <w:tcBorders>
                    <w:top w:val="single" w:sz="3" w:space="0" w:color="000000"/>
                    <w:left w:val="single" w:sz="3" w:space="0" w:color="000000"/>
                    <w:bottom w:val="single" w:sz="3" w:space="0" w:color="000000"/>
                    <w:right w:val="single" w:sz="3" w:space="0" w:color="000000"/>
                  </w:tcBorders>
                  <w:vAlign w:val="center"/>
                </w:tcPr>
                <w:p w14:paraId="3F6C56FB" w14:textId="77777777" w:rsidR="00905DC2" w:rsidRPr="003549B4" w:rsidRDefault="00905DC2" w:rsidP="00905DC2">
                  <w:pPr>
                    <w:spacing w:after="0" w:line="240" w:lineRule="auto"/>
                    <w:ind w:right="44"/>
                    <w:jc w:val="center"/>
                    <w:rPr>
                      <w:rFonts w:ascii="Times New Roman" w:hAnsi="Times New Roman" w:cs="Times New Roman"/>
                      <w:sz w:val="20"/>
                      <w:szCs w:val="20"/>
                    </w:rPr>
                  </w:pPr>
                  <w:r w:rsidRPr="003549B4">
                    <w:rPr>
                      <w:rFonts w:ascii="Times New Roman" w:hAnsi="Times New Roman" w:cs="Times New Roman"/>
                      <w:sz w:val="20"/>
                      <w:szCs w:val="20"/>
                    </w:rPr>
                    <w:t>-</w:t>
                  </w:r>
                </w:p>
              </w:tc>
            </w:tr>
            <w:tr w:rsidR="00905DC2" w:rsidRPr="003549B4" w14:paraId="41637E4B" w14:textId="77777777" w:rsidTr="00A67F8D">
              <w:trPr>
                <w:trHeight w:val="221"/>
                <w:jc w:val="center"/>
              </w:trPr>
              <w:tc>
                <w:tcPr>
                  <w:tcW w:w="1194" w:type="dxa"/>
                  <w:tcBorders>
                    <w:top w:val="single" w:sz="3" w:space="0" w:color="000000"/>
                    <w:left w:val="single" w:sz="3" w:space="0" w:color="000000"/>
                    <w:bottom w:val="single" w:sz="3" w:space="0" w:color="000000"/>
                    <w:right w:val="single" w:sz="3" w:space="0" w:color="000000"/>
                  </w:tcBorders>
                  <w:vAlign w:val="center"/>
                </w:tcPr>
                <w:p w14:paraId="6CBFABA8"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ZPN</w:t>
                  </w:r>
                </w:p>
              </w:tc>
              <w:tc>
                <w:tcPr>
                  <w:tcW w:w="668" w:type="dxa"/>
                  <w:tcBorders>
                    <w:top w:val="single" w:sz="3" w:space="0" w:color="000000"/>
                    <w:left w:val="single" w:sz="3" w:space="0" w:color="000000"/>
                    <w:bottom w:val="single" w:sz="3" w:space="0" w:color="000000"/>
                    <w:right w:val="single" w:sz="3" w:space="0" w:color="000000"/>
                  </w:tcBorders>
                  <w:vAlign w:val="center"/>
                </w:tcPr>
                <w:p w14:paraId="10294D70" w14:textId="77777777" w:rsidR="00905DC2" w:rsidRPr="003549B4" w:rsidRDefault="00905DC2" w:rsidP="00905DC2">
                  <w:pPr>
                    <w:spacing w:after="0" w:line="240" w:lineRule="auto"/>
                    <w:ind w:right="47"/>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930" w:type="dxa"/>
                  <w:tcBorders>
                    <w:top w:val="single" w:sz="3" w:space="0" w:color="000000"/>
                    <w:left w:val="single" w:sz="3" w:space="0" w:color="000000"/>
                    <w:bottom w:val="single" w:sz="3" w:space="0" w:color="000000"/>
                    <w:right w:val="single" w:sz="3" w:space="0" w:color="000000"/>
                  </w:tcBorders>
                  <w:vAlign w:val="center"/>
                </w:tcPr>
                <w:p w14:paraId="1B8C697A" w14:textId="77777777" w:rsidR="00905DC2" w:rsidRPr="003549B4" w:rsidRDefault="00905DC2" w:rsidP="00905DC2">
                  <w:pPr>
                    <w:spacing w:after="0" w:line="240" w:lineRule="auto"/>
                    <w:ind w:right="43"/>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061" w:type="dxa"/>
                  <w:tcBorders>
                    <w:top w:val="single" w:sz="3" w:space="0" w:color="000000"/>
                    <w:left w:val="single" w:sz="3" w:space="0" w:color="000000"/>
                    <w:bottom w:val="single" w:sz="3" w:space="0" w:color="000000"/>
                    <w:right w:val="single" w:sz="3" w:space="0" w:color="000000"/>
                  </w:tcBorders>
                  <w:vAlign w:val="center"/>
                </w:tcPr>
                <w:p w14:paraId="74B7321A" w14:textId="77777777" w:rsidR="00905DC2" w:rsidRPr="003549B4" w:rsidRDefault="00905DC2" w:rsidP="00905DC2">
                  <w:pPr>
                    <w:spacing w:after="0" w:line="240" w:lineRule="auto"/>
                    <w:ind w:left="-64" w:right="-70"/>
                    <w:jc w:val="center"/>
                    <w:rPr>
                      <w:rFonts w:ascii="Times New Roman" w:hAnsi="Times New Roman" w:cs="Times New Roman"/>
                      <w:sz w:val="20"/>
                      <w:szCs w:val="20"/>
                    </w:rPr>
                  </w:pPr>
                  <w:r w:rsidRPr="003549B4">
                    <w:rPr>
                      <w:rFonts w:ascii="Times New Roman" w:hAnsi="Times New Roman" w:cs="Times New Roman"/>
                      <w:sz w:val="20"/>
                      <w:szCs w:val="20"/>
                    </w:rPr>
                    <w:t>190, 380</w:t>
                  </w:r>
                  <w:r w:rsidRPr="003549B4">
                    <w:rPr>
                      <w:rFonts w:ascii="Times New Roman" w:hAnsi="Times New Roman" w:cs="Times New Roman"/>
                      <w:sz w:val="20"/>
                      <w:szCs w:val="20"/>
                      <w:vertAlign w:val="superscript"/>
                    </w:rPr>
                    <w:t>6</w:t>
                  </w:r>
                  <w:r w:rsidRPr="003549B4">
                    <w:rPr>
                      <w:rFonts w:ascii="Times New Roman" w:hAnsi="Times New Roman" w:cs="Times New Roman"/>
                      <w:sz w:val="20"/>
                      <w:szCs w:val="20"/>
                    </w:rPr>
                    <w:t>)</w:t>
                  </w:r>
                </w:p>
              </w:tc>
              <w:tc>
                <w:tcPr>
                  <w:tcW w:w="798" w:type="dxa"/>
                  <w:tcBorders>
                    <w:top w:val="single" w:sz="3" w:space="0" w:color="000000"/>
                    <w:left w:val="single" w:sz="3" w:space="0" w:color="000000"/>
                    <w:bottom w:val="single" w:sz="3" w:space="0" w:color="000000"/>
                    <w:right w:val="single" w:sz="3" w:space="0" w:color="000000"/>
                  </w:tcBorders>
                  <w:vAlign w:val="center"/>
                </w:tcPr>
                <w:p w14:paraId="330A05E8" w14:textId="77777777" w:rsidR="00905DC2" w:rsidRPr="003549B4" w:rsidRDefault="00905DC2" w:rsidP="00905DC2">
                  <w:pPr>
                    <w:spacing w:after="0" w:line="240" w:lineRule="auto"/>
                    <w:ind w:right="46"/>
                    <w:jc w:val="center"/>
                    <w:rPr>
                      <w:rFonts w:ascii="Times New Roman" w:hAnsi="Times New Roman" w:cs="Times New Roman"/>
                      <w:sz w:val="20"/>
                      <w:szCs w:val="20"/>
                    </w:rPr>
                  </w:pPr>
                  <w:r w:rsidRPr="003549B4">
                    <w:rPr>
                      <w:rFonts w:ascii="Times New Roman" w:hAnsi="Times New Roman" w:cs="Times New Roman"/>
                      <w:sz w:val="20"/>
                      <w:szCs w:val="20"/>
                    </w:rPr>
                    <w:t>250</w:t>
                  </w:r>
                </w:p>
              </w:tc>
              <w:tc>
                <w:tcPr>
                  <w:tcW w:w="1131" w:type="dxa"/>
                  <w:tcBorders>
                    <w:top w:val="single" w:sz="3" w:space="0" w:color="000000"/>
                    <w:left w:val="single" w:sz="3" w:space="0" w:color="000000"/>
                    <w:bottom w:val="single" w:sz="3" w:space="0" w:color="000000"/>
                    <w:right w:val="single" w:sz="3" w:space="0" w:color="000000"/>
                  </w:tcBorders>
                  <w:vAlign w:val="center"/>
                </w:tcPr>
                <w:p w14:paraId="229175DE" w14:textId="77777777" w:rsidR="00905DC2" w:rsidRPr="003549B4" w:rsidRDefault="00905DC2" w:rsidP="00905DC2">
                  <w:pPr>
                    <w:spacing w:after="0" w:line="240" w:lineRule="auto"/>
                    <w:ind w:right="44"/>
                    <w:jc w:val="center"/>
                    <w:rPr>
                      <w:rFonts w:ascii="Times New Roman" w:hAnsi="Times New Roman" w:cs="Times New Roman"/>
                      <w:sz w:val="20"/>
                      <w:szCs w:val="20"/>
                    </w:rPr>
                  </w:pPr>
                  <w:r w:rsidRPr="003549B4">
                    <w:rPr>
                      <w:rFonts w:ascii="Times New Roman" w:hAnsi="Times New Roman" w:cs="Times New Roman"/>
                      <w:sz w:val="20"/>
                      <w:szCs w:val="20"/>
                    </w:rPr>
                    <w:t>-</w:t>
                  </w:r>
                </w:p>
              </w:tc>
            </w:tr>
            <w:tr w:rsidR="00905DC2" w:rsidRPr="003549B4" w14:paraId="54B398B9" w14:textId="77777777" w:rsidTr="00A67F8D">
              <w:trPr>
                <w:trHeight w:val="435"/>
                <w:jc w:val="center"/>
              </w:trPr>
              <w:tc>
                <w:tcPr>
                  <w:tcW w:w="1194" w:type="dxa"/>
                  <w:tcBorders>
                    <w:top w:val="single" w:sz="3" w:space="0" w:color="000000"/>
                    <w:left w:val="single" w:sz="3" w:space="0" w:color="000000"/>
                    <w:bottom w:val="single" w:sz="3" w:space="0" w:color="000000"/>
                    <w:right w:val="single" w:sz="3" w:space="0" w:color="000000"/>
                  </w:tcBorders>
                  <w:vAlign w:val="center"/>
                </w:tcPr>
                <w:p w14:paraId="20F0E960"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Iné plynné palivá</w:t>
                  </w:r>
                </w:p>
              </w:tc>
              <w:tc>
                <w:tcPr>
                  <w:tcW w:w="668" w:type="dxa"/>
                  <w:tcBorders>
                    <w:top w:val="single" w:sz="3" w:space="0" w:color="000000"/>
                    <w:left w:val="single" w:sz="3" w:space="0" w:color="000000"/>
                    <w:bottom w:val="single" w:sz="3" w:space="0" w:color="000000"/>
                    <w:right w:val="single" w:sz="3" w:space="0" w:color="000000"/>
                  </w:tcBorders>
                  <w:vAlign w:val="center"/>
                </w:tcPr>
                <w:p w14:paraId="5535D174" w14:textId="77777777" w:rsidR="00905DC2" w:rsidRPr="003549B4" w:rsidRDefault="00905DC2" w:rsidP="00905DC2">
                  <w:pPr>
                    <w:spacing w:after="0" w:line="240" w:lineRule="auto"/>
                    <w:ind w:right="47"/>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930" w:type="dxa"/>
                  <w:tcBorders>
                    <w:top w:val="single" w:sz="3" w:space="0" w:color="000000"/>
                    <w:left w:val="single" w:sz="3" w:space="0" w:color="000000"/>
                    <w:bottom w:val="single" w:sz="3" w:space="0" w:color="000000"/>
                    <w:right w:val="single" w:sz="3" w:space="0" w:color="000000"/>
                  </w:tcBorders>
                  <w:vAlign w:val="center"/>
                </w:tcPr>
                <w:p w14:paraId="0CB13738" w14:textId="77777777" w:rsidR="00905DC2" w:rsidRPr="003549B4" w:rsidRDefault="00905DC2" w:rsidP="00905DC2">
                  <w:pPr>
                    <w:spacing w:after="0" w:line="240" w:lineRule="auto"/>
                    <w:ind w:left="-91" w:right="-47"/>
                    <w:jc w:val="center"/>
                    <w:rPr>
                      <w:rFonts w:ascii="Times New Roman" w:hAnsi="Times New Roman" w:cs="Times New Roman"/>
                      <w:sz w:val="20"/>
                      <w:szCs w:val="20"/>
                    </w:rPr>
                  </w:pPr>
                  <w:r w:rsidRPr="003549B4">
                    <w:rPr>
                      <w:rFonts w:ascii="Times New Roman" w:hAnsi="Times New Roman" w:cs="Times New Roman"/>
                      <w:sz w:val="20"/>
                      <w:szCs w:val="20"/>
                    </w:rPr>
                    <w:t>15, 60</w:t>
                  </w:r>
                  <w:r w:rsidRPr="003549B4">
                    <w:rPr>
                      <w:rFonts w:ascii="Times New Roman" w:hAnsi="Times New Roman" w:cs="Times New Roman"/>
                      <w:sz w:val="20"/>
                      <w:szCs w:val="20"/>
                      <w:vertAlign w:val="superscript"/>
                    </w:rPr>
                    <w:t>3</w:t>
                  </w:r>
                  <w:r w:rsidRPr="003549B4">
                    <w:rPr>
                      <w:rFonts w:ascii="Times New Roman" w:hAnsi="Times New Roman" w:cs="Times New Roman"/>
                      <w:sz w:val="20"/>
                      <w:szCs w:val="20"/>
                    </w:rPr>
                    <w:t>), 65</w:t>
                  </w:r>
                  <w:r w:rsidRPr="003549B4">
                    <w:rPr>
                      <w:rFonts w:ascii="Times New Roman" w:hAnsi="Times New Roman" w:cs="Times New Roman"/>
                      <w:sz w:val="20"/>
                      <w:szCs w:val="20"/>
                      <w:vertAlign w:val="superscript"/>
                    </w:rPr>
                    <w:t>7</w:t>
                  </w:r>
                  <w:r w:rsidRPr="003549B4">
                    <w:rPr>
                      <w:rFonts w:ascii="Times New Roman" w:hAnsi="Times New Roman" w:cs="Times New Roman"/>
                      <w:sz w:val="20"/>
                      <w:szCs w:val="20"/>
                    </w:rPr>
                    <w:t>), 130</w:t>
                  </w:r>
                  <w:r w:rsidRPr="003549B4">
                    <w:rPr>
                      <w:rFonts w:ascii="Times New Roman" w:hAnsi="Times New Roman" w:cs="Times New Roman"/>
                      <w:sz w:val="20"/>
                      <w:szCs w:val="20"/>
                      <w:vertAlign w:val="superscript"/>
                    </w:rPr>
                    <w:t>8</w:t>
                  </w:r>
                  <w:r w:rsidRPr="003549B4">
                    <w:rPr>
                      <w:rFonts w:ascii="Times New Roman" w:hAnsi="Times New Roman" w:cs="Times New Roman"/>
                      <w:sz w:val="20"/>
                      <w:szCs w:val="20"/>
                    </w:rPr>
                    <w:t>)</w:t>
                  </w:r>
                </w:p>
              </w:tc>
              <w:tc>
                <w:tcPr>
                  <w:tcW w:w="1061" w:type="dxa"/>
                  <w:tcBorders>
                    <w:top w:val="single" w:sz="3" w:space="0" w:color="000000"/>
                    <w:left w:val="single" w:sz="3" w:space="0" w:color="000000"/>
                    <w:bottom w:val="single" w:sz="3" w:space="0" w:color="000000"/>
                    <w:right w:val="single" w:sz="3" w:space="0" w:color="000000"/>
                  </w:tcBorders>
                  <w:vAlign w:val="center"/>
                </w:tcPr>
                <w:p w14:paraId="05A01E4A" w14:textId="77777777" w:rsidR="00905DC2" w:rsidRPr="003549B4" w:rsidRDefault="00905DC2" w:rsidP="00905DC2">
                  <w:pPr>
                    <w:spacing w:after="0" w:line="240" w:lineRule="auto"/>
                    <w:ind w:right="40"/>
                    <w:jc w:val="center"/>
                    <w:rPr>
                      <w:rFonts w:ascii="Times New Roman" w:hAnsi="Times New Roman" w:cs="Times New Roman"/>
                      <w:sz w:val="20"/>
                      <w:szCs w:val="20"/>
                    </w:rPr>
                  </w:pPr>
                  <w:r w:rsidRPr="003549B4">
                    <w:rPr>
                      <w:rFonts w:ascii="Times New Roman" w:hAnsi="Times New Roman" w:cs="Times New Roman"/>
                      <w:sz w:val="20"/>
                      <w:szCs w:val="20"/>
                    </w:rPr>
                    <w:t>190</w:t>
                  </w:r>
                </w:p>
              </w:tc>
              <w:tc>
                <w:tcPr>
                  <w:tcW w:w="798" w:type="dxa"/>
                  <w:tcBorders>
                    <w:top w:val="single" w:sz="3" w:space="0" w:color="000000"/>
                    <w:left w:val="single" w:sz="3" w:space="0" w:color="000000"/>
                    <w:bottom w:val="single" w:sz="3" w:space="0" w:color="000000"/>
                    <w:right w:val="single" w:sz="3" w:space="0" w:color="000000"/>
                  </w:tcBorders>
                  <w:vAlign w:val="center"/>
                </w:tcPr>
                <w:p w14:paraId="6AB6A02C" w14:textId="77777777" w:rsidR="00905DC2" w:rsidRPr="003549B4" w:rsidRDefault="00905DC2" w:rsidP="00905DC2">
                  <w:pPr>
                    <w:spacing w:after="0" w:line="240" w:lineRule="auto"/>
                    <w:ind w:right="46"/>
                    <w:jc w:val="center"/>
                    <w:rPr>
                      <w:rFonts w:ascii="Times New Roman" w:hAnsi="Times New Roman" w:cs="Times New Roman"/>
                      <w:sz w:val="20"/>
                      <w:szCs w:val="20"/>
                    </w:rPr>
                  </w:pPr>
                  <w:r w:rsidRPr="003549B4">
                    <w:rPr>
                      <w:rFonts w:ascii="Times New Roman" w:hAnsi="Times New Roman" w:cs="Times New Roman"/>
                      <w:sz w:val="20"/>
                      <w:szCs w:val="20"/>
                    </w:rPr>
                    <w:t>250</w:t>
                  </w:r>
                </w:p>
              </w:tc>
              <w:tc>
                <w:tcPr>
                  <w:tcW w:w="1131" w:type="dxa"/>
                  <w:tcBorders>
                    <w:top w:val="single" w:sz="3" w:space="0" w:color="000000"/>
                    <w:left w:val="single" w:sz="3" w:space="0" w:color="000000"/>
                    <w:bottom w:val="single" w:sz="3" w:space="0" w:color="000000"/>
                    <w:right w:val="single" w:sz="3" w:space="0" w:color="000000"/>
                  </w:tcBorders>
                  <w:vAlign w:val="center"/>
                </w:tcPr>
                <w:p w14:paraId="7B2BA706" w14:textId="77777777" w:rsidR="00905DC2" w:rsidRPr="003549B4" w:rsidRDefault="00905DC2" w:rsidP="00905DC2">
                  <w:pPr>
                    <w:spacing w:after="0" w:line="240" w:lineRule="auto"/>
                    <w:ind w:right="44"/>
                    <w:jc w:val="center"/>
                    <w:rPr>
                      <w:rFonts w:ascii="Times New Roman" w:hAnsi="Times New Roman" w:cs="Times New Roman"/>
                      <w:sz w:val="20"/>
                      <w:szCs w:val="20"/>
                    </w:rPr>
                  </w:pPr>
                  <w:r w:rsidRPr="003549B4">
                    <w:rPr>
                      <w:rFonts w:ascii="Times New Roman" w:hAnsi="Times New Roman" w:cs="Times New Roman"/>
                      <w:sz w:val="20"/>
                      <w:szCs w:val="20"/>
                    </w:rPr>
                    <w:t>25</w:t>
                  </w:r>
                  <w:r w:rsidRPr="003549B4">
                    <w:rPr>
                      <w:rFonts w:ascii="Times New Roman" w:hAnsi="Times New Roman" w:cs="Times New Roman"/>
                      <w:sz w:val="20"/>
                      <w:szCs w:val="20"/>
                      <w:vertAlign w:val="superscript"/>
                    </w:rPr>
                    <w:t>3</w:t>
                  </w:r>
                  <w:r w:rsidRPr="003549B4">
                    <w:rPr>
                      <w:rFonts w:ascii="Times New Roman" w:hAnsi="Times New Roman" w:cs="Times New Roman"/>
                      <w:sz w:val="20"/>
                      <w:szCs w:val="20"/>
                    </w:rPr>
                    <w:t>)</w:t>
                  </w:r>
                </w:p>
              </w:tc>
            </w:tr>
          </w:tbl>
          <w:p w14:paraId="08F6E1AE" w14:textId="77777777" w:rsidR="00905DC2" w:rsidRPr="003549B4" w:rsidRDefault="00905DC2" w:rsidP="00905DC2">
            <w:pPr>
              <w:spacing w:after="30" w:line="247" w:lineRule="auto"/>
              <w:ind w:left="-19"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1</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 xml:space="preserve">Platí pre motory s MTP ≤  5 MW. </w:t>
            </w:r>
          </w:p>
          <w:p w14:paraId="023C75FB" w14:textId="77777777" w:rsidR="00905DC2" w:rsidRPr="003549B4" w:rsidRDefault="00905DC2" w:rsidP="00905DC2">
            <w:pPr>
              <w:spacing w:after="30" w:line="247" w:lineRule="auto"/>
              <w:ind w:left="-19"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2</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 xml:space="preserve">Platí pre dieselové motory </w:t>
            </w:r>
          </w:p>
          <w:p w14:paraId="6486C046" w14:textId="77777777" w:rsidR="00905DC2" w:rsidRPr="003549B4" w:rsidRDefault="00905DC2" w:rsidP="00905DC2">
            <w:pPr>
              <w:spacing w:after="30" w:line="247" w:lineRule="auto"/>
              <w:ind w:left="-19" w:right="770"/>
              <w:jc w:val="both"/>
              <w:rPr>
                <w:rFonts w:ascii="Times New Roman" w:hAnsi="Times New Roman" w:cs="Times New Roman"/>
                <w:sz w:val="20"/>
                <w:szCs w:val="20"/>
              </w:rPr>
            </w:pPr>
            <w:r w:rsidRPr="003549B4">
              <w:rPr>
                <w:rFonts w:ascii="Times New Roman" w:hAnsi="Times New Roman" w:cs="Times New Roman"/>
                <w:sz w:val="20"/>
                <w:szCs w:val="20"/>
              </w:rPr>
              <w:t xml:space="preserve">    a) konštruované do 18. 5. 2006, </w:t>
            </w:r>
          </w:p>
          <w:p w14:paraId="208B3013" w14:textId="77777777" w:rsidR="00905DC2" w:rsidRPr="003549B4" w:rsidRDefault="00905DC2" w:rsidP="00905DC2">
            <w:pPr>
              <w:spacing w:after="27" w:line="247" w:lineRule="auto"/>
              <w:ind w:left="-19" w:right="770"/>
              <w:jc w:val="both"/>
              <w:rPr>
                <w:rFonts w:ascii="Times New Roman" w:hAnsi="Times New Roman" w:cs="Times New Roman"/>
                <w:sz w:val="20"/>
                <w:szCs w:val="20"/>
              </w:rPr>
            </w:pPr>
            <w:r w:rsidRPr="003549B4">
              <w:rPr>
                <w:rFonts w:ascii="Times New Roman" w:hAnsi="Times New Roman" w:cs="Times New Roman"/>
                <w:sz w:val="20"/>
                <w:szCs w:val="20"/>
              </w:rPr>
              <w:t xml:space="preserve">    b) pre dvojpalivové motory v kvapalnom režime.  </w:t>
            </w:r>
          </w:p>
          <w:p w14:paraId="16C00FF0" w14:textId="77777777" w:rsidR="00905DC2" w:rsidRPr="003549B4" w:rsidRDefault="00905DC2" w:rsidP="00905DC2">
            <w:pPr>
              <w:spacing w:after="30" w:line="247" w:lineRule="auto"/>
              <w:ind w:left="-19"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3</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 xml:space="preserve">Platí pre spaľovanie bioplynu. </w:t>
            </w:r>
          </w:p>
          <w:p w14:paraId="61302528" w14:textId="77777777" w:rsidR="00905DC2" w:rsidRPr="003549B4" w:rsidRDefault="00905DC2" w:rsidP="00905DC2">
            <w:pPr>
              <w:spacing w:after="30" w:line="247" w:lineRule="auto"/>
              <w:ind w:left="-19"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4</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 xml:space="preserve">Platí pre motory s MTP  ≤ 20 MW. </w:t>
            </w:r>
          </w:p>
          <w:p w14:paraId="0F0E4780" w14:textId="77777777" w:rsidR="00905DC2" w:rsidRPr="003549B4" w:rsidRDefault="00905DC2" w:rsidP="00905DC2">
            <w:pPr>
              <w:spacing w:after="30" w:line="247" w:lineRule="auto"/>
              <w:ind w:left="-19"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5</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 xml:space="preserve">Platí pre  motory s MTP &lt;  5 – 20 MW. </w:t>
            </w:r>
          </w:p>
          <w:p w14:paraId="31D9B66B" w14:textId="77777777" w:rsidR="00905DC2" w:rsidRPr="003549B4" w:rsidRDefault="00905DC2" w:rsidP="00905DC2">
            <w:pPr>
              <w:spacing w:after="30" w:line="247" w:lineRule="auto"/>
              <w:ind w:left="-19"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6</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 xml:space="preserve">Platí pre dvojpalivové motory v plynnom režime.  </w:t>
            </w:r>
          </w:p>
          <w:p w14:paraId="0837F433" w14:textId="77777777" w:rsidR="00905DC2" w:rsidRPr="003549B4" w:rsidRDefault="00905DC2" w:rsidP="00905DC2">
            <w:pPr>
              <w:spacing w:after="30" w:line="247" w:lineRule="auto"/>
              <w:ind w:left="-19" w:right="8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7</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 xml:space="preserve">Platí pre spaľovanie nízkovýhrevných plynov z vysokých pecí v železiarskom a oceliarskom priemysle. </w:t>
            </w:r>
          </w:p>
          <w:p w14:paraId="65A00D62" w14:textId="77777777" w:rsidR="00905DC2" w:rsidRPr="003549B4" w:rsidRDefault="00905DC2" w:rsidP="00905DC2">
            <w:pPr>
              <w:spacing w:after="30" w:line="247" w:lineRule="auto"/>
              <w:ind w:left="-19" w:right="80"/>
              <w:jc w:val="both"/>
              <w:rPr>
                <w:rFonts w:ascii="Times New Roman" w:hAnsi="Times New Roman" w:cs="Times New Roman"/>
                <w:b/>
                <w:sz w:val="20"/>
                <w:szCs w:val="20"/>
              </w:rPr>
            </w:pPr>
            <w:r w:rsidRPr="003549B4">
              <w:rPr>
                <w:rFonts w:ascii="Times New Roman" w:eastAsia="Times New Roman" w:hAnsi="Times New Roman" w:cs="Times New Roman"/>
                <w:sz w:val="20"/>
                <w:szCs w:val="20"/>
                <w:vertAlign w:val="superscript"/>
              </w:rPr>
              <w:t>8</w:t>
            </w:r>
            <w:r w:rsidRPr="003549B4">
              <w:rPr>
                <w:rFonts w:ascii="Times New Roman" w:eastAsia="Times New Roman" w:hAnsi="Times New Roman" w:cs="Times New Roman"/>
                <w:sz w:val="20"/>
                <w:szCs w:val="20"/>
              </w:rPr>
              <w:t xml:space="preserve">) </w:t>
            </w:r>
            <w:r w:rsidRPr="003549B4">
              <w:rPr>
                <w:rFonts w:ascii="Times New Roman" w:hAnsi="Times New Roman" w:cs="Times New Roman"/>
                <w:sz w:val="20"/>
                <w:szCs w:val="20"/>
              </w:rPr>
              <w:t xml:space="preserve">Platí pre spaľovanie nízkovýhrevných plynov z koksárenských pecí v železiarskom a oceliarskom priemysle.  </w:t>
            </w:r>
          </w:p>
        </w:tc>
        <w:tc>
          <w:tcPr>
            <w:tcW w:w="429" w:type="dxa"/>
            <w:tcBorders>
              <w:top w:val="single" w:sz="4" w:space="0" w:color="auto"/>
              <w:bottom w:val="single" w:sz="4" w:space="0" w:color="auto"/>
            </w:tcBorders>
            <w:vAlign w:val="center"/>
          </w:tcPr>
          <w:p w14:paraId="482E6608" w14:textId="3017A94C"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370D1D4B"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00A06264"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0B8A020" w14:textId="77777777" w:rsidR="00905DC2" w:rsidRPr="003549B4" w:rsidRDefault="00DF685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č</w:t>
            </w:r>
            <w:r w:rsidR="00905DC2" w:rsidRPr="003549B4">
              <w:rPr>
                <w:rFonts w:ascii="Times New Roman" w:hAnsi="Times New Roman" w:cs="Times New Roman"/>
                <w:sz w:val="20"/>
                <w:szCs w:val="20"/>
              </w:rPr>
              <w:t>asť 2</w:t>
            </w:r>
          </w:p>
        </w:tc>
        <w:tc>
          <w:tcPr>
            <w:tcW w:w="6287" w:type="dxa"/>
          </w:tcPr>
          <w:p w14:paraId="15E3A03A"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Emisné limity pre nové stredne veľké spaľovacie zariadenia</w:t>
            </w:r>
          </w:p>
        </w:tc>
        <w:tc>
          <w:tcPr>
            <w:tcW w:w="433" w:type="dxa"/>
          </w:tcPr>
          <w:p w14:paraId="5886982D" w14:textId="77777777" w:rsidR="00905DC2" w:rsidRPr="003549B4" w:rsidRDefault="00905DC2" w:rsidP="00905DC2">
            <w:pPr>
              <w:spacing w:after="0" w:line="240" w:lineRule="auto"/>
              <w:rPr>
                <w:rFonts w:ascii="Times New Roman" w:hAnsi="Times New Roman" w:cs="Times New Roman"/>
                <w:sz w:val="20"/>
                <w:szCs w:val="20"/>
              </w:rPr>
            </w:pPr>
          </w:p>
        </w:tc>
        <w:tc>
          <w:tcPr>
            <w:tcW w:w="572" w:type="dxa"/>
          </w:tcPr>
          <w:p w14:paraId="3E88DEA6" w14:textId="77777777" w:rsidR="00905DC2" w:rsidRPr="003549B4" w:rsidRDefault="00905DC2" w:rsidP="00F17024">
            <w:pPr>
              <w:spacing w:after="0" w:line="240" w:lineRule="auto"/>
              <w:ind w:right="-108"/>
              <w:rPr>
                <w:rFonts w:ascii="Times New Roman" w:hAnsi="Times New Roman" w:cs="Times New Roman"/>
                <w:sz w:val="20"/>
                <w:szCs w:val="20"/>
              </w:rPr>
            </w:pPr>
          </w:p>
        </w:tc>
        <w:tc>
          <w:tcPr>
            <w:tcW w:w="569" w:type="dxa"/>
          </w:tcPr>
          <w:p w14:paraId="23D25A27" w14:textId="77777777" w:rsidR="00905DC2" w:rsidRPr="003549B4" w:rsidRDefault="00905DC2" w:rsidP="00F17024">
            <w:pPr>
              <w:spacing w:after="0" w:line="240" w:lineRule="auto"/>
              <w:ind w:left="14" w:right="-9" w:hanging="29"/>
              <w:rPr>
                <w:rFonts w:ascii="Times New Roman" w:hAnsi="Times New Roman" w:cs="Times New Roman"/>
                <w:sz w:val="20"/>
                <w:szCs w:val="20"/>
              </w:rPr>
            </w:pPr>
          </w:p>
        </w:tc>
        <w:tc>
          <w:tcPr>
            <w:tcW w:w="6006" w:type="dxa"/>
            <w:vAlign w:val="center"/>
          </w:tcPr>
          <w:p w14:paraId="57D94775" w14:textId="77777777" w:rsidR="00905DC2" w:rsidRPr="003549B4" w:rsidRDefault="00905DC2" w:rsidP="00905DC2">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459743AC" w14:textId="77777777" w:rsidR="00905DC2" w:rsidRPr="003549B4" w:rsidRDefault="00905DC2" w:rsidP="00905DC2">
            <w:pPr>
              <w:spacing w:after="0" w:line="240" w:lineRule="auto"/>
              <w:rPr>
                <w:rFonts w:ascii="Times New Roman" w:hAnsi="Times New Roman" w:cs="Times New Roman"/>
                <w:sz w:val="20"/>
                <w:szCs w:val="20"/>
              </w:rPr>
            </w:pPr>
          </w:p>
        </w:tc>
        <w:tc>
          <w:tcPr>
            <w:tcW w:w="660" w:type="dxa"/>
            <w:tcBorders>
              <w:top w:val="single" w:sz="4" w:space="0" w:color="auto"/>
              <w:bottom w:val="single" w:sz="4" w:space="0" w:color="auto"/>
            </w:tcBorders>
            <w:vAlign w:val="center"/>
          </w:tcPr>
          <w:p w14:paraId="570BF41A"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29EC232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23EB3ABF"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Tab.1</w:t>
            </w:r>
          </w:p>
        </w:tc>
        <w:tc>
          <w:tcPr>
            <w:tcW w:w="6287" w:type="dxa"/>
          </w:tcPr>
          <w:p w14:paraId="12396F82"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Emisné limity (mg/Nm3) pre nové stredne veľké spaľovacie zariadenia iné ako motory a plynové turbíny</w:t>
            </w:r>
          </w:p>
          <w:p w14:paraId="40777D18"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noProof/>
                <w:sz w:val="20"/>
                <w:szCs w:val="20"/>
                <w:lang w:eastAsia="sk-SK"/>
              </w:rPr>
              <w:drawing>
                <wp:inline distT="0" distB="0" distL="0" distR="0" wp14:anchorId="15BCCE91" wp14:editId="074D50E5">
                  <wp:extent cx="4257675" cy="2114550"/>
                  <wp:effectExtent l="0" t="0" r="952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2114550"/>
                          </a:xfrm>
                          <a:prstGeom prst="rect">
                            <a:avLst/>
                          </a:prstGeom>
                          <a:noFill/>
                          <a:ln>
                            <a:noFill/>
                          </a:ln>
                        </pic:spPr>
                      </pic:pic>
                    </a:graphicData>
                  </a:graphic>
                </wp:inline>
              </w:drawing>
            </w:r>
          </w:p>
          <w:p w14:paraId="4306E004"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(1) Táto hodnota sa neuplatňuje v prípade zariadení spaľujúcich výlučne drevnú tuhú biomasu. </w:t>
            </w:r>
          </w:p>
          <w:p w14:paraId="79CCD6F6"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(2) Do 1. januára 2025, 1 700 mg/Nm3 v prípade zariadení, ktoré sú súčasťou SIS alebo MIS. </w:t>
            </w:r>
          </w:p>
          <w:p w14:paraId="425F8F95"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(3)400 mg/Nm3 v prípade nízkovýhrevných plynov z koksárenských pecí a 200 mg/Nm3 v prípade nízkovýhrevných plynov z vysokých pecí v železiarskom a oceliarskom priemysle. </w:t>
            </w:r>
          </w:p>
          <w:p w14:paraId="6714167A"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(4) 100 mg/Nm3 v prípade bioplynu. </w:t>
            </w:r>
          </w:p>
          <w:p w14:paraId="08AF2DE0"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(5) 500 mg/Nm3 v prípade zariadení s celkovým menovitým tepelným príkonom rovnajúcim sa alebo väčším ako 1 MW a menším alebo rovnajúcim sa 5 MW. </w:t>
            </w:r>
          </w:p>
          <w:p w14:paraId="437F9EE6"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(6) Do 1. januára 2025, 450 mg/Nm3 v prípade spaľovania ťažkého vykurovacieho oleja s obsahom 0,2 % až 0,3 % dusíka a 360 mg/Nm3 v prípade spaľovania ťažkého vykurovacieho oleja s obsahom menej ako 0,2 % dusíka v prípade zariadení, ktoré sú súčasťou SIS alebo MIS. </w:t>
            </w:r>
          </w:p>
          <w:p w14:paraId="11FFC40F"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(7) 50 mg/Nm3 v prípade zariadení s celkovým menovitým tepelným príkonom rovnajúcim sa alebo väčším ako 1 MW a menším alebo rovnajúcim sa 5 MW; 30 mg/Nm3 v prípade zariadení s celkovým menovitým tepelným príkonom väčším ako 5 MW a menším alebo rovnajúcim sa 20 MW. </w:t>
            </w:r>
          </w:p>
          <w:p w14:paraId="1C113982"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(8) 50 mg/Nm3 v prípade zariadení s celkovým menovitým tepelným príkonom rovnajúcim sa alebo väčším ako 1 MW a menším alebo rovnajúcim sa 5 MW.</w:t>
            </w:r>
          </w:p>
        </w:tc>
        <w:tc>
          <w:tcPr>
            <w:tcW w:w="433" w:type="dxa"/>
          </w:tcPr>
          <w:p w14:paraId="5BD803B2"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w:t>
            </w:r>
          </w:p>
        </w:tc>
        <w:tc>
          <w:tcPr>
            <w:tcW w:w="572" w:type="dxa"/>
          </w:tcPr>
          <w:p w14:paraId="0912AAD8"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2C30D884"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68EF14B2"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Pr.4</w:t>
            </w:r>
          </w:p>
          <w:p w14:paraId="36F9DB37"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Časť IV</w:t>
            </w:r>
          </w:p>
          <w:p w14:paraId="2A5B8BB2"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tcPr>
          <w:p w14:paraId="150B06C8" w14:textId="77777777" w:rsidR="00905DC2" w:rsidRPr="003549B4" w:rsidRDefault="00905DC2" w:rsidP="00905DC2">
            <w:pPr>
              <w:spacing w:before="120" w:after="0" w:line="240" w:lineRule="auto"/>
              <w:ind w:left="284" w:hanging="284"/>
              <w:rPr>
                <w:rFonts w:ascii="Times New Roman" w:hAnsi="Times New Roman" w:cs="Times New Roman"/>
                <w:sz w:val="20"/>
                <w:szCs w:val="20"/>
              </w:rPr>
            </w:pPr>
            <w:r w:rsidRPr="003549B4">
              <w:rPr>
                <w:rFonts w:ascii="Times New Roman" w:hAnsi="Times New Roman" w:cs="Times New Roman"/>
                <w:sz w:val="20"/>
                <w:szCs w:val="20"/>
              </w:rPr>
              <w:t>2. Spaľovanie tuhých palív, kvapalných palív a plynných palív okrem spaľovania v plynových turbínach a stacionárnych piestových spaľovacích motoroch</w:t>
            </w:r>
          </w:p>
          <w:p w14:paraId="630FD556" w14:textId="77777777" w:rsidR="00905DC2" w:rsidRPr="003549B4" w:rsidRDefault="00905DC2" w:rsidP="00D53B67">
            <w:pPr>
              <w:spacing w:after="120" w:line="240" w:lineRule="auto"/>
              <w:ind w:right="669"/>
              <w:rPr>
                <w:rFonts w:ascii="Times New Roman" w:hAnsi="Times New Roman" w:cs="Times New Roman"/>
                <w:sz w:val="20"/>
                <w:szCs w:val="20"/>
              </w:rPr>
            </w:pPr>
            <w:r w:rsidRPr="003549B4">
              <w:rPr>
                <w:rFonts w:ascii="Times New Roman" w:hAnsi="Times New Roman" w:cs="Times New Roman"/>
                <w:sz w:val="20"/>
                <w:szCs w:val="20"/>
              </w:rPr>
              <w:t xml:space="preserve">B. Emisné limity pre väčšie stredné spaľovacie zariadenia spaľujúce tuhé palivá, kvapalné palivá a plynné palivá – nové zariadenia </w:t>
            </w:r>
          </w:p>
          <w:tbl>
            <w:tblPr>
              <w:tblW w:w="5000" w:type="pct"/>
              <w:jc w:val="center"/>
              <w:tblLayout w:type="fixed"/>
              <w:tblCellMar>
                <w:top w:w="22" w:type="dxa"/>
              </w:tblCellMar>
              <w:tblLook w:val="04A0" w:firstRow="1" w:lastRow="0" w:firstColumn="1" w:lastColumn="0" w:noHBand="0" w:noVBand="1"/>
            </w:tblPr>
            <w:tblGrid>
              <w:gridCol w:w="1549"/>
              <w:gridCol w:w="794"/>
              <w:gridCol w:w="1064"/>
              <w:gridCol w:w="793"/>
              <w:gridCol w:w="801"/>
              <w:gridCol w:w="121"/>
              <w:gridCol w:w="605"/>
            </w:tblGrid>
            <w:tr w:rsidR="00905DC2" w:rsidRPr="003549B4" w14:paraId="63613BE2" w14:textId="77777777" w:rsidTr="00D53B67">
              <w:trPr>
                <w:trHeight w:val="649"/>
                <w:jc w:val="center"/>
              </w:trPr>
              <w:tc>
                <w:tcPr>
                  <w:tcW w:w="1566" w:type="dxa"/>
                  <w:vMerge w:val="restart"/>
                  <w:tcBorders>
                    <w:top w:val="single" w:sz="3" w:space="0" w:color="000000"/>
                    <w:left w:val="single" w:sz="3" w:space="0" w:color="000000"/>
                    <w:bottom w:val="single" w:sz="3" w:space="0" w:color="000000"/>
                    <w:right w:val="single" w:sz="3" w:space="0" w:color="000000"/>
                  </w:tcBorders>
                  <w:vAlign w:val="center"/>
                </w:tcPr>
                <w:p w14:paraId="7178244C"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b/>
                      <w:sz w:val="18"/>
                      <w:szCs w:val="18"/>
                    </w:rPr>
                    <w:t>Podmienky</w:t>
                  </w:r>
                </w:p>
                <w:p w14:paraId="29157292"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b/>
                      <w:sz w:val="18"/>
                      <w:szCs w:val="18"/>
                    </w:rPr>
                    <w:t>platnosti  EL</w:t>
                  </w:r>
                </w:p>
              </w:tc>
              <w:tc>
                <w:tcPr>
                  <w:tcW w:w="4216" w:type="dxa"/>
                  <w:gridSpan w:val="6"/>
                  <w:tcBorders>
                    <w:top w:val="single" w:sz="3" w:space="0" w:color="000000"/>
                    <w:left w:val="single" w:sz="3" w:space="0" w:color="000000"/>
                    <w:bottom w:val="single" w:sz="3" w:space="0" w:color="000000"/>
                    <w:right w:val="single" w:sz="3" w:space="0" w:color="000000"/>
                  </w:tcBorders>
                  <w:vAlign w:val="center"/>
                </w:tcPr>
                <w:p w14:paraId="36D9015D"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Štandardné stavové podmienky, suchý plyn</w:t>
                  </w:r>
                </w:p>
                <w:p w14:paraId="3E161AB6"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Tuhé palivá vrátane biomasy: O</w:t>
                  </w:r>
                  <w:r w:rsidRPr="003549B4">
                    <w:rPr>
                      <w:rFonts w:ascii="Times New Roman" w:hAnsi="Times New Roman" w:cs="Times New Roman"/>
                      <w:sz w:val="18"/>
                      <w:szCs w:val="18"/>
                      <w:vertAlign w:val="subscript"/>
                    </w:rPr>
                    <w:t>2 ref</w:t>
                  </w:r>
                  <w:r w:rsidRPr="003549B4">
                    <w:rPr>
                      <w:rFonts w:ascii="Times New Roman" w:hAnsi="Times New Roman" w:cs="Times New Roman"/>
                      <w:sz w:val="18"/>
                      <w:szCs w:val="18"/>
                    </w:rPr>
                    <w:t>: 6 % objemu</w:t>
                  </w:r>
                </w:p>
                <w:p w14:paraId="710B8E5B"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Kvapalné a plynné palivá: O</w:t>
                  </w:r>
                  <w:r w:rsidRPr="003549B4">
                    <w:rPr>
                      <w:rFonts w:ascii="Times New Roman" w:hAnsi="Times New Roman" w:cs="Times New Roman"/>
                      <w:sz w:val="18"/>
                      <w:szCs w:val="18"/>
                      <w:vertAlign w:val="subscript"/>
                    </w:rPr>
                    <w:t>2</w:t>
                  </w:r>
                  <w:r w:rsidRPr="003549B4">
                    <w:rPr>
                      <w:rFonts w:ascii="Times New Roman" w:hAnsi="Times New Roman" w:cs="Times New Roman"/>
                      <w:sz w:val="18"/>
                      <w:szCs w:val="18"/>
                    </w:rPr>
                    <w:t xml:space="preserve"> </w:t>
                  </w:r>
                  <w:r w:rsidRPr="003549B4">
                    <w:rPr>
                      <w:rFonts w:ascii="Times New Roman" w:hAnsi="Times New Roman" w:cs="Times New Roman"/>
                      <w:sz w:val="18"/>
                      <w:szCs w:val="18"/>
                      <w:vertAlign w:val="subscript"/>
                    </w:rPr>
                    <w:t>ref</w:t>
                  </w:r>
                  <w:r w:rsidRPr="003549B4">
                    <w:rPr>
                      <w:rFonts w:ascii="Times New Roman" w:hAnsi="Times New Roman" w:cs="Times New Roman"/>
                      <w:sz w:val="18"/>
                      <w:szCs w:val="18"/>
                    </w:rPr>
                    <w:t>: 3 % objemu</w:t>
                  </w:r>
                </w:p>
              </w:tc>
            </w:tr>
            <w:tr w:rsidR="00905DC2" w:rsidRPr="003549B4" w14:paraId="62047CC9" w14:textId="77777777" w:rsidTr="00D53B67">
              <w:trPr>
                <w:trHeight w:val="862"/>
                <w:jc w:val="center"/>
              </w:trPr>
              <w:tc>
                <w:tcPr>
                  <w:tcW w:w="1566" w:type="dxa"/>
                  <w:vMerge/>
                  <w:tcBorders>
                    <w:top w:val="nil"/>
                    <w:left w:val="single" w:sz="3" w:space="0" w:color="000000"/>
                    <w:bottom w:val="single" w:sz="3" w:space="0" w:color="000000"/>
                    <w:right w:val="single" w:sz="3" w:space="0" w:color="000000"/>
                  </w:tcBorders>
                  <w:vAlign w:val="center"/>
                </w:tcPr>
                <w:p w14:paraId="24432CA3" w14:textId="77777777" w:rsidR="00905DC2" w:rsidRPr="003549B4" w:rsidRDefault="00905DC2" w:rsidP="00905DC2">
                  <w:pPr>
                    <w:spacing w:after="0" w:line="240" w:lineRule="auto"/>
                    <w:jc w:val="center"/>
                    <w:rPr>
                      <w:rFonts w:ascii="Times New Roman" w:hAnsi="Times New Roman" w:cs="Times New Roman"/>
                      <w:sz w:val="18"/>
                      <w:szCs w:val="18"/>
                    </w:rPr>
                  </w:pPr>
                </w:p>
              </w:tc>
              <w:tc>
                <w:tcPr>
                  <w:tcW w:w="4216" w:type="dxa"/>
                  <w:gridSpan w:val="6"/>
                  <w:tcBorders>
                    <w:top w:val="single" w:sz="3" w:space="0" w:color="000000"/>
                    <w:left w:val="single" w:sz="3" w:space="0" w:color="000000"/>
                    <w:bottom w:val="single" w:sz="3" w:space="0" w:color="000000"/>
                    <w:right w:val="single" w:sz="3" w:space="0" w:color="000000"/>
                  </w:tcBorders>
                  <w:vAlign w:val="center"/>
                </w:tcPr>
                <w:p w14:paraId="40143365" w14:textId="77777777" w:rsidR="00905DC2" w:rsidRPr="003549B4" w:rsidRDefault="00905DC2" w:rsidP="00905DC2">
                  <w:pPr>
                    <w:spacing w:after="0" w:line="240" w:lineRule="auto"/>
                    <w:ind w:right="45"/>
                    <w:rPr>
                      <w:rFonts w:ascii="Times New Roman" w:hAnsi="Times New Roman" w:cs="Times New Roman"/>
                      <w:sz w:val="18"/>
                      <w:szCs w:val="18"/>
                    </w:rPr>
                  </w:pPr>
                  <w:r w:rsidRPr="003549B4">
                    <w:rPr>
                      <w:rFonts w:ascii="Times New Roman" w:hAnsi="Times New Roman" w:cs="Times New Roman"/>
                      <w:sz w:val="18"/>
                      <w:szCs w:val="18"/>
                    </w:rPr>
                    <w:t>Na zariadenia zaradené v OPR podľa § 17 ods. 1 a 2 sa emisné limity neuplatňujú okrem EL pre TZL: 100 mg/m</w:t>
                  </w:r>
                  <w:r w:rsidRPr="003549B4">
                    <w:rPr>
                      <w:rFonts w:ascii="Times New Roman" w:hAnsi="Times New Roman" w:cs="Times New Roman"/>
                      <w:sz w:val="18"/>
                      <w:szCs w:val="18"/>
                      <w:vertAlign w:val="superscript"/>
                    </w:rPr>
                    <w:t>3</w:t>
                  </w:r>
                  <w:r w:rsidRPr="003549B4">
                    <w:rPr>
                      <w:rFonts w:ascii="Times New Roman" w:hAnsi="Times New Roman" w:cs="Times New Roman"/>
                      <w:sz w:val="18"/>
                      <w:szCs w:val="18"/>
                    </w:rPr>
                    <w:t xml:space="preserve"> na spaľovanie tuhých palív vrátane biomasy</w:t>
                  </w:r>
                </w:p>
              </w:tc>
            </w:tr>
            <w:tr w:rsidR="00905DC2" w:rsidRPr="003549B4" w14:paraId="6749DB01" w14:textId="77777777" w:rsidTr="00D53B67">
              <w:trPr>
                <w:trHeight w:val="328"/>
                <w:jc w:val="center"/>
              </w:trPr>
              <w:tc>
                <w:tcPr>
                  <w:tcW w:w="1566" w:type="dxa"/>
                  <w:vMerge w:val="restart"/>
                  <w:tcBorders>
                    <w:top w:val="single" w:sz="3" w:space="0" w:color="000000"/>
                    <w:left w:val="single" w:sz="3" w:space="0" w:color="000000"/>
                    <w:bottom w:val="single" w:sz="3" w:space="0" w:color="000000"/>
                    <w:right w:val="single" w:sz="3" w:space="0" w:color="000000"/>
                  </w:tcBorders>
                  <w:vAlign w:val="center"/>
                </w:tcPr>
                <w:p w14:paraId="613415B7" w14:textId="77777777" w:rsidR="00905DC2" w:rsidRPr="003549B4" w:rsidRDefault="00905DC2" w:rsidP="00905DC2">
                  <w:pPr>
                    <w:spacing w:after="0" w:line="240" w:lineRule="auto"/>
                    <w:jc w:val="center"/>
                    <w:rPr>
                      <w:rFonts w:ascii="Times New Roman" w:hAnsi="Times New Roman" w:cs="Times New Roman"/>
                      <w:sz w:val="18"/>
                      <w:szCs w:val="18"/>
                    </w:rPr>
                  </w:pPr>
                </w:p>
              </w:tc>
              <w:tc>
                <w:tcPr>
                  <w:tcW w:w="4216" w:type="dxa"/>
                  <w:gridSpan w:val="6"/>
                  <w:tcBorders>
                    <w:top w:val="single" w:sz="3" w:space="0" w:color="000000"/>
                    <w:left w:val="single" w:sz="3" w:space="0" w:color="000000"/>
                    <w:bottom w:val="single" w:sz="3" w:space="0" w:color="000000"/>
                    <w:right w:val="single" w:sz="3" w:space="0" w:color="000000"/>
                  </w:tcBorders>
                  <w:vAlign w:val="center"/>
                </w:tcPr>
                <w:p w14:paraId="2632007F"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b/>
                      <w:sz w:val="18"/>
                      <w:szCs w:val="18"/>
                    </w:rPr>
                    <w:t xml:space="preserve">Emisný limit </w:t>
                  </w:r>
                  <w:r w:rsidRPr="003549B4">
                    <w:rPr>
                      <w:rFonts w:ascii="Times New Roman" w:hAnsi="Times New Roman" w:cs="Times New Roman"/>
                      <w:b/>
                      <w:sz w:val="18"/>
                      <w:szCs w:val="18"/>
                    </w:rPr>
                    <w:sym w:font="Symbol" w:char="F05B"/>
                  </w:r>
                  <w:r w:rsidRPr="003549B4">
                    <w:rPr>
                      <w:rFonts w:ascii="Times New Roman" w:hAnsi="Times New Roman" w:cs="Times New Roman"/>
                      <w:b/>
                      <w:sz w:val="18"/>
                      <w:szCs w:val="18"/>
                    </w:rPr>
                    <w:t>mg/m</w:t>
                  </w:r>
                  <w:r w:rsidRPr="003549B4">
                    <w:rPr>
                      <w:rFonts w:ascii="Times New Roman" w:hAnsi="Times New Roman" w:cs="Times New Roman"/>
                      <w:b/>
                      <w:sz w:val="18"/>
                      <w:szCs w:val="18"/>
                      <w:vertAlign w:val="superscript"/>
                    </w:rPr>
                    <w:t>3</w:t>
                  </w:r>
                  <w:r w:rsidRPr="003549B4">
                    <w:rPr>
                      <w:rFonts w:ascii="Times New Roman" w:hAnsi="Times New Roman" w:cs="Times New Roman"/>
                      <w:b/>
                      <w:sz w:val="18"/>
                      <w:szCs w:val="18"/>
                    </w:rPr>
                    <w:sym w:font="Symbol" w:char="F05D"/>
                  </w:r>
                </w:p>
              </w:tc>
            </w:tr>
            <w:tr w:rsidR="00905DC2" w:rsidRPr="003549B4" w14:paraId="620CEAEF" w14:textId="77777777" w:rsidTr="00D53B67">
              <w:trPr>
                <w:trHeight w:val="328"/>
                <w:jc w:val="center"/>
              </w:trPr>
              <w:tc>
                <w:tcPr>
                  <w:tcW w:w="1566" w:type="dxa"/>
                  <w:vMerge/>
                  <w:tcBorders>
                    <w:top w:val="nil"/>
                    <w:left w:val="single" w:sz="3" w:space="0" w:color="000000"/>
                    <w:bottom w:val="single" w:sz="3" w:space="0" w:color="000000"/>
                    <w:right w:val="single" w:sz="3" w:space="0" w:color="000000"/>
                  </w:tcBorders>
                  <w:vAlign w:val="center"/>
                </w:tcPr>
                <w:p w14:paraId="1763B186" w14:textId="77777777" w:rsidR="00905DC2" w:rsidRPr="003549B4" w:rsidRDefault="00905DC2" w:rsidP="00905DC2">
                  <w:pPr>
                    <w:spacing w:after="0" w:line="240" w:lineRule="auto"/>
                    <w:jc w:val="center"/>
                    <w:rPr>
                      <w:rFonts w:ascii="Times New Roman" w:hAnsi="Times New Roman" w:cs="Times New Roman"/>
                      <w:sz w:val="18"/>
                      <w:szCs w:val="18"/>
                    </w:rPr>
                  </w:pPr>
                </w:p>
              </w:tc>
              <w:tc>
                <w:tcPr>
                  <w:tcW w:w="801" w:type="dxa"/>
                  <w:tcBorders>
                    <w:top w:val="single" w:sz="3" w:space="0" w:color="000000"/>
                    <w:left w:val="single" w:sz="3" w:space="0" w:color="000000"/>
                    <w:bottom w:val="single" w:sz="3" w:space="0" w:color="000000"/>
                    <w:right w:val="single" w:sz="3" w:space="0" w:color="000000"/>
                  </w:tcBorders>
                  <w:vAlign w:val="center"/>
                </w:tcPr>
                <w:p w14:paraId="669E1454" w14:textId="77777777" w:rsidR="00905DC2" w:rsidRPr="003549B4" w:rsidRDefault="00905DC2" w:rsidP="00905DC2">
                  <w:pPr>
                    <w:spacing w:after="0" w:line="240" w:lineRule="auto"/>
                    <w:ind w:right="2"/>
                    <w:jc w:val="center"/>
                    <w:rPr>
                      <w:rFonts w:ascii="Times New Roman" w:hAnsi="Times New Roman" w:cs="Times New Roman"/>
                      <w:sz w:val="18"/>
                      <w:szCs w:val="18"/>
                    </w:rPr>
                  </w:pPr>
                  <w:r w:rsidRPr="003549B4">
                    <w:rPr>
                      <w:rFonts w:ascii="Times New Roman" w:hAnsi="Times New Roman" w:cs="Times New Roman"/>
                      <w:sz w:val="18"/>
                      <w:szCs w:val="18"/>
                    </w:rPr>
                    <w:t>TZL</w:t>
                  </w:r>
                </w:p>
              </w:tc>
              <w:tc>
                <w:tcPr>
                  <w:tcW w:w="1075" w:type="dxa"/>
                  <w:tcBorders>
                    <w:top w:val="single" w:sz="3" w:space="0" w:color="000000"/>
                    <w:left w:val="single" w:sz="3" w:space="0" w:color="000000"/>
                    <w:bottom w:val="single" w:sz="3" w:space="0" w:color="000000"/>
                    <w:right w:val="single" w:sz="3" w:space="0" w:color="000000"/>
                  </w:tcBorders>
                  <w:vAlign w:val="center"/>
                </w:tcPr>
                <w:p w14:paraId="597ED2A0"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SO</w:t>
                  </w:r>
                  <w:r w:rsidRPr="003549B4">
                    <w:rPr>
                      <w:rFonts w:ascii="Times New Roman" w:hAnsi="Times New Roman" w:cs="Times New Roman"/>
                      <w:sz w:val="18"/>
                      <w:szCs w:val="18"/>
                      <w:vertAlign w:val="subscript"/>
                    </w:rPr>
                    <w:t>2</w:t>
                  </w:r>
                </w:p>
              </w:tc>
              <w:tc>
                <w:tcPr>
                  <w:tcW w:w="800" w:type="dxa"/>
                  <w:tcBorders>
                    <w:top w:val="single" w:sz="3" w:space="0" w:color="000000"/>
                    <w:left w:val="single" w:sz="3" w:space="0" w:color="000000"/>
                    <w:bottom w:val="single" w:sz="3" w:space="0" w:color="000000"/>
                    <w:right w:val="single" w:sz="3" w:space="0" w:color="000000"/>
                  </w:tcBorders>
                  <w:vAlign w:val="center"/>
                </w:tcPr>
                <w:p w14:paraId="7163247B"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NO</w:t>
                  </w:r>
                  <w:r w:rsidRPr="003549B4">
                    <w:rPr>
                      <w:rFonts w:ascii="Times New Roman" w:hAnsi="Times New Roman" w:cs="Times New Roman"/>
                      <w:sz w:val="18"/>
                      <w:szCs w:val="18"/>
                      <w:vertAlign w:val="subscript"/>
                    </w:rPr>
                    <w:t>X</w:t>
                  </w:r>
                </w:p>
              </w:tc>
              <w:tc>
                <w:tcPr>
                  <w:tcW w:w="808" w:type="dxa"/>
                  <w:tcBorders>
                    <w:top w:val="single" w:sz="3" w:space="0" w:color="000000"/>
                    <w:left w:val="single" w:sz="3" w:space="0" w:color="000000"/>
                    <w:bottom w:val="single" w:sz="3" w:space="0" w:color="000000"/>
                    <w:right w:val="single" w:sz="3" w:space="0" w:color="000000"/>
                  </w:tcBorders>
                  <w:vAlign w:val="center"/>
                </w:tcPr>
                <w:p w14:paraId="037B7328"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CO</w:t>
                  </w:r>
                </w:p>
              </w:tc>
              <w:tc>
                <w:tcPr>
                  <w:tcW w:w="732" w:type="dxa"/>
                  <w:gridSpan w:val="2"/>
                  <w:tcBorders>
                    <w:top w:val="single" w:sz="3" w:space="0" w:color="000000"/>
                    <w:left w:val="single" w:sz="3" w:space="0" w:color="000000"/>
                    <w:bottom w:val="single" w:sz="3" w:space="0" w:color="000000"/>
                    <w:right w:val="single" w:sz="3" w:space="0" w:color="000000"/>
                  </w:tcBorders>
                  <w:vAlign w:val="center"/>
                </w:tcPr>
                <w:p w14:paraId="31FD6B5F"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TOC</w:t>
                  </w:r>
                </w:p>
              </w:tc>
            </w:tr>
            <w:tr w:rsidR="00905DC2" w:rsidRPr="003549B4" w14:paraId="530F23BC" w14:textId="77777777" w:rsidTr="00D53B67">
              <w:trPr>
                <w:trHeight w:val="247"/>
                <w:jc w:val="center"/>
              </w:trPr>
              <w:tc>
                <w:tcPr>
                  <w:tcW w:w="5782" w:type="dxa"/>
                  <w:gridSpan w:val="7"/>
                  <w:tcBorders>
                    <w:top w:val="single" w:sz="3" w:space="0" w:color="000000"/>
                    <w:left w:val="single" w:sz="3" w:space="0" w:color="000000"/>
                    <w:bottom w:val="single" w:sz="3" w:space="0" w:color="000000"/>
                    <w:right w:val="single" w:sz="3" w:space="0" w:color="000000"/>
                  </w:tcBorders>
                  <w:vAlign w:val="center"/>
                </w:tcPr>
                <w:p w14:paraId="249DC158"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b/>
                      <w:sz w:val="18"/>
                      <w:szCs w:val="18"/>
                    </w:rPr>
                    <w:t>Nové zariadenia  MTP ≥ 1 – 5 MW</w:t>
                  </w:r>
                </w:p>
              </w:tc>
            </w:tr>
            <w:tr w:rsidR="00905DC2" w:rsidRPr="003549B4" w14:paraId="3CB25F52" w14:textId="77777777" w:rsidTr="00D53B67">
              <w:trPr>
                <w:trHeight w:val="435"/>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06DACA2D" w14:textId="77777777" w:rsidR="00905DC2" w:rsidRPr="003549B4" w:rsidRDefault="00905DC2" w:rsidP="00905DC2">
                  <w:pPr>
                    <w:spacing w:after="0" w:line="240" w:lineRule="auto"/>
                    <w:ind w:right="153"/>
                    <w:rPr>
                      <w:rFonts w:ascii="Times New Roman" w:hAnsi="Times New Roman" w:cs="Times New Roman"/>
                      <w:sz w:val="18"/>
                      <w:szCs w:val="18"/>
                    </w:rPr>
                  </w:pPr>
                  <w:r w:rsidRPr="003549B4">
                    <w:rPr>
                      <w:rFonts w:ascii="Times New Roman" w:hAnsi="Times New Roman" w:cs="Times New Roman"/>
                      <w:sz w:val="18"/>
                      <w:szCs w:val="18"/>
                    </w:rPr>
                    <w:t>Tuhé palivá okrem biomasy</w:t>
                  </w:r>
                </w:p>
              </w:tc>
              <w:tc>
                <w:tcPr>
                  <w:tcW w:w="801" w:type="dxa"/>
                  <w:tcBorders>
                    <w:top w:val="single" w:sz="3" w:space="0" w:color="000000"/>
                    <w:left w:val="single" w:sz="3" w:space="0" w:color="000000"/>
                    <w:bottom w:val="single" w:sz="3" w:space="0" w:color="000000"/>
                    <w:right w:val="single" w:sz="3" w:space="0" w:color="000000"/>
                  </w:tcBorders>
                  <w:vAlign w:val="center"/>
                </w:tcPr>
                <w:p w14:paraId="128AE2E3" w14:textId="77777777" w:rsidR="00905DC2" w:rsidRPr="003549B4" w:rsidRDefault="00905DC2" w:rsidP="00905DC2">
                  <w:pPr>
                    <w:spacing w:after="0" w:line="240" w:lineRule="auto"/>
                    <w:ind w:right="3"/>
                    <w:jc w:val="center"/>
                    <w:rPr>
                      <w:rFonts w:ascii="Times New Roman" w:hAnsi="Times New Roman" w:cs="Times New Roman"/>
                      <w:sz w:val="18"/>
                      <w:szCs w:val="18"/>
                    </w:rPr>
                  </w:pPr>
                  <w:r w:rsidRPr="003549B4">
                    <w:rPr>
                      <w:rFonts w:ascii="Times New Roman" w:hAnsi="Times New Roman" w:cs="Times New Roman"/>
                      <w:sz w:val="18"/>
                      <w:szCs w:val="18"/>
                    </w:rPr>
                    <w:t>50</w:t>
                  </w:r>
                </w:p>
              </w:tc>
              <w:tc>
                <w:tcPr>
                  <w:tcW w:w="1075" w:type="dxa"/>
                  <w:tcBorders>
                    <w:top w:val="single" w:sz="3" w:space="0" w:color="000000"/>
                    <w:left w:val="single" w:sz="3" w:space="0" w:color="000000"/>
                    <w:bottom w:val="single" w:sz="3" w:space="0" w:color="000000"/>
                    <w:right w:val="single" w:sz="3" w:space="0" w:color="000000"/>
                  </w:tcBorders>
                  <w:vAlign w:val="center"/>
                </w:tcPr>
                <w:p w14:paraId="752EDD54"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400</w:t>
                  </w:r>
                </w:p>
              </w:tc>
              <w:tc>
                <w:tcPr>
                  <w:tcW w:w="800" w:type="dxa"/>
                  <w:tcBorders>
                    <w:top w:val="single" w:sz="3" w:space="0" w:color="000000"/>
                    <w:left w:val="single" w:sz="3" w:space="0" w:color="000000"/>
                    <w:bottom w:val="single" w:sz="3" w:space="0" w:color="000000"/>
                    <w:right w:val="single" w:sz="3" w:space="0" w:color="000000"/>
                  </w:tcBorders>
                  <w:vAlign w:val="center"/>
                </w:tcPr>
                <w:p w14:paraId="21EDC891"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500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3A342FA1"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250</w:t>
                  </w:r>
                </w:p>
              </w:tc>
              <w:tc>
                <w:tcPr>
                  <w:tcW w:w="610" w:type="dxa"/>
                  <w:tcBorders>
                    <w:top w:val="single" w:sz="3" w:space="0" w:color="000000"/>
                    <w:left w:val="single" w:sz="3" w:space="0" w:color="000000"/>
                    <w:bottom w:val="single" w:sz="3" w:space="0" w:color="000000"/>
                    <w:right w:val="single" w:sz="3" w:space="0" w:color="000000"/>
                  </w:tcBorders>
                  <w:vAlign w:val="center"/>
                </w:tcPr>
                <w:p w14:paraId="7F13FBDE"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905DC2" w:rsidRPr="003549B4" w14:paraId="61A19F83"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21FFA761"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Biomasa</w:t>
                  </w:r>
                </w:p>
              </w:tc>
              <w:tc>
                <w:tcPr>
                  <w:tcW w:w="801" w:type="dxa"/>
                  <w:tcBorders>
                    <w:top w:val="single" w:sz="3" w:space="0" w:color="000000"/>
                    <w:left w:val="single" w:sz="3" w:space="0" w:color="000000"/>
                    <w:bottom w:val="single" w:sz="3" w:space="0" w:color="000000"/>
                    <w:right w:val="single" w:sz="3" w:space="0" w:color="000000"/>
                  </w:tcBorders>
                  <w:vAlign w:val="center"/>
                </w:tcPr>
                <w:p w14:paraId="67C4FEDD" w14:textId="77777777" w:rsidR="00905DC2" w:rsidRPr="003549B4" w:rsidRDefault="00905DC2" w:rsidP="00905DC2">
                  <w:pPr>
                    <w:spacing w:after="0" w:line="240" w:lineRule="auto"/>
                    <w:ind w:right="3"/>
                    <w:jc w:val="center"/>
                    <w:rPr>
                      <w:rFonts w:ascii="Times New Roman" w:hAnsi="Times New Roman" w:cs="Times New Roman"/>
                      <w:sz w:val="18"/>
                      <w:szCs w:val="18"/>
                    </w:rPr>
                  </w:pPr>
                  <w:r w:rsidRPr="003549B4">
                    <w:rPr>
                      <w:rFonts w:ascii="Times New Roman" w:hAnsi="Times New Roman" w:cs="Times New Roman"/>
                      <w:sz w:val="18"/>
                      <w:szCs w:val="18"/>
                    </w:rPr>
                    <w:t>50</w:t>
                  </w:r>
                </w:p>
              </w:tc>
              <w:tc>
                <w:tcPr>
                  <w:tcW w:w="1075" w:type="dxa"/>
                  <w:tcBorders>
                    <w:top w:val="single" w:sz="3" w:space="0" w:color="000000"/>
                    <w:left w:val="single" w:sz="3" w:space="0" w:color="000000"/>
                    <w:bottom w:val="single" w:sz="3" w:space="0" w:color="000000"/>
                    <w:right w:val="single" w:sz="3" w:space="0" w:color="000000"/>
                  </w:tcBorders>
                  <w:vAlign w:val="center"/>
                </w:tcPr>
                <w:p w14:paraId="0B726132"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200</w:t>
                  </w:r>
                  <w:r w:rsidRPr="003549B4">
                    <w:rPr>
                      <w:rFonts w:ascii="Times New Roman" w:hAnsi="Times New Roman" w:cs="Times New Roman"/>
                      <w:sz w:val="18"/>
                      <w:szCs w:val="18"/>
                      <w:vertAlign w:val="superscript"/>
                    </w:rPr>
                    <w:t>1</w:t>
                  </w:r>
                  <w:r w:rsidRPr="003549B4">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3E0766C6"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500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3CFE88D4"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250</w:t>
                  </w:r>
                </w:p>
              </w:tc>
              <w:tc>
                <w:tcPr>
                  <w:tcW w:w="610" w:type="dxa"/>
                  <w:tcBorders>
                    <w:top w:val="single" w:sz="3" w:space="0" w:color="000000"/>
                    <w:left w:val="single" w:sz="3" w:space="0" w:color="000000"/>
                    <w:bottom w:val="single" w:sz="3" w:space="0" w:color="000000"/>
                    <w:right w:val="single" w:sz="3" w:space="0" w:color="000000"/>
                  </w:tcBorders>
                  <w:vAlign w:val="center"/>
                </w:tcPr>
                <w:p w14:paraId="0BD41120"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20</w:t>
                  </w:r>
                </w:p>
              </w:tc>
            </w:tr>
            <w:tr w:rsidR="00905DC2" w:rsidRPr="003549B4" w14:paraId="234C405A"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107148D9"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Plynový olej</w:t>
                  </w:r>
                </w:p>
              </w:tc>
              <w:tc>
                <w:tcPr>
                  <w:tcW w:w="801" w:type="dxa"/>
                  <w:tcBorders>
                    <w:top w:val="single" w:sz="3" w:space="0" w:color="000000"/>
                    <w:left w:val="single" w:sz="3" w:space="0" w:color="000000"/>
                    <w:bottom w:val="single" w:sz="3" w:space="0" w:color="000000"/>
                    <w:right w:val="single" w:sz="3" w:space="0" w:color="000000"/>
                  </w:tcBorders>
                  <w:vAlign w:val="center"/>
                </w:tcPr>
                <w:p w14:paraId="650461A8" w14:textId="77777777" w:rsidR="00905DC2" w:rsidRPr="003549B4" w:rsidRDefault="00905DC2" w:rsidP="00905DC2">
                  <w:pPr>
                    <w:spacing w:after="0" w:line="240" w:lineRule="auto"/>
                    <w:ind w:right="1"/>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7423460A" w14:textId="77777777" w:rsidR="00905DC2" w:rsidRPr="003549B4" w:rsidRDefault="00905DC2" w:rsidP="00905DC2">
                  <w:pPr>
                    <w:spacing w:after="0" w:line="240" w:lineRule="auto"/>
                    <w:ind w:right="1"/>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0842EFF0"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0AFB78DF"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110</w:t>
                  </w:r>
                </w:p>
              </w:tc>
              <w:tc>
                <w:tcPr>
                  <w:tcW w:w="610" w:type="dxa"/>
                  <w:tcBorders>
                    <w:top w:val="single" w:sz="3" w:space="0" w:color="000000"/>
                    <w:left w:val="single" w:sz="3" w:space="0" w:color="000000"/>
                    <w:bottom w:val="single" w:sz="3" w:space="0" w:color="000000"/>
                    <w:right w:val="single" w:sz="3" w:space="0" w:color="000000"/>
                  </w:tcBorders>
                  <w:vAlign w:val="center"/>
                </w:tcPr>
                <w:p w14:paraId="6C58BCB4"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905DC2" w:rsidRPr="003549B4" w14:paraId="61774269"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3F4D7305"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Iné kvapalné palivo</w:t>
                  </w:r>
                </w:p>
              </w:tc>
              <w:tc>
                <w:tcPr>
                  <w:tcW w:w="801" w:type="dxa"/>
                  <w:tcBorders>
                    <w:top w:val="single" w:sz="3" w:space="0" w:color="000000"/>
                    <w:left w:val="single" w:sz="3" w:space="0" w:color="000000"/>
                    <w:bottom w:val="single" w:sz="3" w:space="0" w:color="000000"/>
                    <w:right w:val="single" w:sz="3" w:space="0" w:color="000000"/>
                  </w:tcBorders>
                  <w:vAlign w:val="center"/>
                </w:tcPr>
                <w:p w14:paraId="194254BF" w14:textId="77777777" w:rsidR="00905DC2" w:rsidRPr="003549B4" w:rsidRDefault="00905DC2" w:rsidP="00905DC2">
                  <w:pPr>
                    <w:spacing w:after="0" w:line="240" w:lineRule="auto"/>
                    <w:ind w:right="3"/>
                    <w:jc w:val="center"/>
                    <w:rPr>
                      <w:rFonts w:ascii="Times New Roman" w:hAnsi="Times New Roman" w:cs="Times New Roman"/>
                      <w:sz w:val="18"/>
                      <w:szCs w:val="18"/>
                    </w:rPr>
                  </w:pPr>
                  <w:r w:rsidRPr="003549B4">
                    <w:rPr>
                      <w:rFonts w:ascii="Times New Roman" w:hAnsi="Times New Roman" w:cs="Times New Roman"/>
                      <w:sz w:val="18"/>
                      <w:szCs w:val="18"/>
                    </w:rPr>
                    <w:t>50</w:t>
                  </w:r>
                </w:p>
              </w:tc>
              <w:tc>
                <w:tcPr>
                  <w:tcW w:w="1075" w:type="dxa"/>
                  <w:tcBorders>
                    <w:top w:val="single" w:sz="3" w:space="0" w:color="000000"/>
                    <w:left w:val="single" w:sz="3" w:space="0" w:color="000000"/>
                    <w:bottom w:val="single" w:sz="3" w:space="0" w:color="000000"/>
                    <w:right w:val="single" w:sz="3" w:space="0" w:color="000000"/>
                  </w:tcBorders>
                  <w:vAlign w:val="center"/>
                </w:tcPr>
                <w:p w14:paraId="20B9D345"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350</w:t>
                  </w:r>
                </w:p>
              </w:tc>
              <w:tc>
                <w:tcPr>
                  <w:tcW w:w="800" w:type="dxa"/>
                  <w:tcBorders>
                    <w:top w:val="single" w:sz="3" w:space="0" w:color="000000"/>
                    <w:left w:val="single" w:sz="3" w:space="0" w:color="000000"/>
                    <w:bottom w:val="single" w:sz="3" w:space="0" w:color="000000"/>
                    <w:right w:val="single" w:sz="3" w:space="0" w:color="000000"/>
                  </w:tcBorders>
                  <w:vAlign w:val="center"/>
                </w:tcPr>
                <w:p w14:paraId="13EAB42B"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300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2E0E8EA5"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110</w:t>
                  </w:r>
                </w:p>
              </w:tc>
              <w:tc>
                <w:tcPr>
                  <w:tcW w:w="610" w:type="dxa"/>
                  <w:tcBorders>
                    <w:top w:val="single" w:sz="3" w:space="0" w:color="000000"/>
                    <w:left w:val="single" w:sz="3" w:space="0" w:color="000000"/>
                    <w:bottom w:val="single" w:sz="3" w:space="0" w:color="000000"/>
                    <w:right w:val="single" w:sz="3" w:space="0" w:color="000000"/>
                  </w:tcBorders>
                  <w:vAlign w:val="center"/>
                </w:tcPr>
                <w:p w14:paraId="7F830C2E"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905DC2" w:rsidRPr="003549B4" w14:paraId="6D0EF937"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373BA02B"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ZPN</w:t>
                  </w:r>
                </w:p>
              </w:tc>
              <w:tc>
                <w:tcPr>
                  <w:tcW w:w="801" w:type="dxa"/>
                  <w:tcBorders>
                    <w:top w:val="single" w:sz="3" w:space="0" w:color="000000"/>
                    <w:left w:val="single" w:sz="3" w:space="0" w:color="000000"/>
                    <w:bottom w:val="single" w:sz="3" w:space="0" w:color="000000"/>
                    <w:right w:val="single" w:sz="3" w:space="0" w:color="000000"/>
                  </w:tcBorders>
                  <w:vAlign w:val="center"/>
                </w:tcPr>
                <w:p w14:paraId="057C6C4A" w14:textId="77777777" w:rsidR="00905DC2" w:rsidRPr="003549B4" w:rsidRDefault="00905DC2" w:rsidP="00905DC2">
                  <w:pPr>
                    <w:spacing w:after="0" w:line="240" w:lineRule="auto"/>
                    <w:ind w:right="1"/>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1152FE1F" w14:textId="77777777" w:rsidR="00905DC2" w:rsidRPr="003549B4" w:rsidRDefault="00905DC2" w:rsidP="00905DC2">
                  <w:pPr>
                    <w:spacing w:after="0" w:line="240" w:lineRule="auto"/>
                    <w:ind w:right="1"/>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37EB9752"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100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6418F722"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50</w:t>
                  </w:r>
                </w:p>
              </w:tc>
              <w:tc>
                <w:tcPr>
                  <w:tcW w:w="610" w:type="dxa"/>
                  <w:tcBorders>
                    <w:top w:val="single" w:sz="3" w:space="0" w:color="000000"/>
                    <w:left w:val="single" w:sz="3" w:space="0" w:color="000000"/>
                    <w:bottom w:val="single" w:sz="3" w:space="0" w:color="000000"/>
                    <w:right w:val="single" w:sz="3" w:space="0" w:color="000000"/>
                  </w:tcBorders>
                  <w:vAlign w:val="center"/>
                </w:tcPr>
                <w:p w14:paraId="2CCDC518"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905DC2" w:rsidRPr="003549B4" w14:paraId="63860C3D" w14:textId="77777777" w:rsidTr="00D53B67">
              <w:trPr>
                <w:trHeight w:val="435"/>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727BA877"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Iné plynné palivo</w:t>
                  </w:r>
                </w:p>
              </w:tc>
              <w:tc>
                <w:tcPr>
                  <w:tcW w:w="801" w:type="dxa"/>
                  <w:tcBorders>
                    <w:top w:val="single" w:sz="3" w:space="0" w:color="000000"/>
                    <w:left w:val="single" w:sz="3" w:space="0" w:color="000000"/>
                    <w:bottom w:val="single" w:sz="3" w:space="0" w:color="000000"/>
                    <w:right w:val="single" w:sz="3" w:space="0" w:color="000000"/>
                  </w:tcBorders>
                  <w:vAlign w:val="center"/>
                </w:tcPr>
                <w:p w14:paraId="0CFAD63E" w14:textId="77777777" w:rsidR="00905DC2" w:rsidRPr="003549B4" w:rsidRDefault="00905DC2" w:rsidP="00905DC2">
                  <w:pPr>
                    <w:spacing w:after="0" w:line="240" w:lineRule="auto"/>
                    <w:ind w:right="1"/>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0DF9C97D" w14:textId="77777777" w:rsidR="00905DC2" w:rsidRPr="003549B4" w:rsidRDefault="00905DC2" w:rsidP="00905DC2">
                  <w:pPr>
                    <w:spacing w:after="0" w:line="240" w:lineRule="auto"/>
                    <w:ind w:left="-92" w:right="-47"/>
                    <w:jc w:val="center"/>
                    <w:rPr>
                      <w:rFonts w:ascii="Times New Roman" w:hAnsi="Times New Roman" w:cs="Times New Roman"/>
                      <w:sz w:val="18"/>
                      <w:szCs w:val="18"/>
                    </w:rPr>
                  </w:pPr>
                  <w:r w:rsidRPr="003549B4">
                    <w:rPr>
                      <w:rFonts w:ascii="Times New Roman" w:hAnsi="Times New Roman" w:cs="Times New Roman"/>
                      <w:sz w:val="18"/>
                      <w:szCs w:val="18"/>
                    </w:rPr>
                    <w:t>35, 100</w:t>
                  </w:r>
                  <w:r w:rsidRPr="003549B4">
                    <w:rPr>
                      <w:rFonts w:ascii="Times New Roman" w:hAnsi="Times New Roman" w:cs="Times New Roman"/>
                      <w:sz w:val="18"/>
                      <w:szCs w:val="18"/>
                      <w:vertAlign w:val="superscript"/>
                    </w:rPr>
                    <w:t>2</w:t>
                  </w:r>
                  <w:r w:rsidRPr="003549B4">
                    <w:rPr>
                      <w:rFonts w:ascii="Times New Roman" w:hAnsi="Times New Roman" w:cs="Times New Roman"/>
                      <w:sz w:val="18"/>
                      <w:szCs w:val="18"/>
                    </w:rPr>
                    <w:t>),</w:t>
                  </w:r>
                </w:p>
                <w:p w14:paraId="42B38665" w14:textId="77777777" w:rsidR="00905DC2" w:rsidRPr="003549B4" w:rsidRDefault="00905DC2" w:rsidP="00905DC2">
                  <w:pPr>
                    <w:spacing w:after="0" w:line="240" w:lineRule="auto"/>
                    <w:ind w:left="-103" w:right="-47" w:firstLine="11"/>
                    <w:jc w:val="center"/>
                    <w:rPr>
                      <w:rFonts w:ascii="Times New Roman" w:hAnsi="Times New Roman" w:cs="Times New Roman"/>
                      <w:sz w:val="18"/>
                      <w:szCs w:val="18"/>
                    </w:rPr>
                  </w:pPr>
                  <w:r w:rsidRPr="003549B4">
                    <w:rPr>
                      <w:rFonts w:ascii="Times New Roman" w:hAnsi="Times New Roman" w:cs="Times New Roman"/>
                      <w:sz w:val="18"/>
                      <w:szCs w:val="18"/>
                    </w:rPr>
                    <w:t>200</w:t>
                  </w:r>
                  <w:r w:rsidRPr="003549B4">
                    <w:rPr>
                      <w:rFonts w:ascii="Times New Roman" w:hAnsi="Times New Roman" w:cs="Times New Roman"/>
                      <w:sz w:val="18"/>
                      <w:szCs w:val="18"/>
                      <w:vertAlign w:val="superscript"/>
                    </w:rPr>
                    <w:t>3</w:t>
                  </w:r>
                  <w:r w:rsidRPr="003549B4">
                    <w:rPr>
                      <w:rFonts w:ascii="Times New Roman" w:hAnsi="Times New Roman" w:cs="Times New Roman"/>
                      <w:sz w:val="18"/>
                      <w:szCs w:val="18"/>
                    </w:rPr>
                    <w:t>), 400</w:t>
                  </w:r>
                  <w:r w:rsidRPr="003549B4">
                    <w:rPr>
                      <w:rFonts w:ascii="Times New Roman" w:hAnsi="Times New Roman" w:cs="Times New Roman"/>
                      <w:sz w:val="18"/>
                      <w:szCs w:val="18"/>
                      <w:vertAlign w:val="superscript"/>
                    </w:rPr>
                    <w:t>4</w:t>
                  </w:r>
                  <w:r w:rsidRPr="003549B4">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7C379D31"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7C964C18"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100</w:t>
                  </w:r>
                </w:p>
              </w:tc>
              <w:tc>
                <w:tcPr>
                  <w:tcW w:w="610" w:type="dxa"/>
                  <w:tcBorders>
                    <w:top w:val="single" w:sz="3" w:space="0" w:color="000000"/>
                    <w:left w:val="single" w:sz="3" w:space="0" w:color="000000"/>
                    <w:bottom w:val="single" w:sz="3" w:space="0" w:color="000000"/>
                    <w:right w:val="single" w:sz="3" w:space="0" w:color="000000"/>
                  </w:tcBorders>
                  <w:vAlign w:val="center"/>
                </w:tcPr>
                <w:p w14:paraId="2CF2391E"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905DC2" w:rsidRPr="003549B4" w14:paraId="45BC9974" w14:textId="77777777" w:rsidTr="00D53B67">
              <w:trPr>
                <w:trHeight w:val="247"/>
                <w:jc w:val="center"/>
              </w:trPr>
              <w:tc>
                <w:tcPr>
                  <w:tcW w:w="5782" w:type="dxa"/>
                  <w:gridSpan w:val="7"/>
                  <w:tcBorders>
                    <w:top w:val="single" w:sz="3" w:space="0" w:color="000000"/>
                    <w:left w:val="single" w:sz="3" w:space="0" w:color="000000"/>
                    <w:bottom w:val="single" w:sz="3" w:space="0" w:color="000000"/>
                    <w:right w:val="single" w:sz="3" w:space="0" w:color="000000"/>
                  </w:tcBorders>
                  <w:vAlign w:val="center"/>
                </w:tcPr>
                <w:p w14:paraId="28905FEC"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b/>
                      <w:sz w:val="18"/>
                      <w:szCs w:val="18"/>
                    </w:rPr>
                    <w:t>Nové zariadenia  s  MTP  &gt; 5 MW</w:t>
                  </w:r>
                </w:p>
              </w:tc>
            </w:tr>
            <w:tr w:rsidR="00905DC2" w:rsidRPr="003549B4" w14:paraId="1211FFB2" w14:textId="77777777" w:rsidTr="00D53B67">
              <w:trPr>
                <w:trHeight w:val="435"/>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6F57E43C" w14:textId="77777777" w:rsidR="00905DC2" w:rsidRPr="003549B4" w:rsidRDefault="00905DC2" w:rsidP="00905DC2">
                  <w:pPr>
                    <w:spacing w:after="0" w:line="240" w:lineRule="auto"/>
                    <w:ind w:right="153"/>
                    <w:rPr>
                      <w:rFonts w:ascii="Times New Roman" w:hAnsi="Times New Roman" w:cs="Times New Roman"/>
                      <w:sz w:val="18"/>
                      <w:szCs w:val="18"/>
                    </w:rPr>
                  </w:pPr>
                  <w:r w:rsidRPr="003549B4">
                    <w:rPr>
                      <w:rFonts w:ascii="Times New Roman" w:hAnsi="Times New Roman" w:cs="Times New Roman"/>
                      <w:sz w:val="18"/>
                      <w:szCs w:val="18"/>
                    </w:rPr>
                    <w:t>Tuhé palivá okrem biomasy</w:t>
                  </w:r>
                </w:p>
              </w:tc>
              <w:tc>
                <w:tcPr>
                  <w:tcW w:w="801" w:type="dxa"/>
                  <w:tcBorders>
                    <w:top w:val="single" w:sz="3" w:space="0" w:color="000000"/>
                    <w:left w:val="single" w:sz="3" w:space="0" w:color="000000"/>
                    <w:bottom w:val="single" w:sz="3" w:space="0" w:color="000000"/>
                    <w:right w:val="single" w:sz="3" w:space="0" w:color="000000"/>
                  </w:tcBorders>
                  <w:vAlign w:val="center"/>
                </w:tcPr>
                <w:p w14:paraId="19DBBD9F"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20, 30</w:t>
                  </w:r>
                  <w:r w:rsidRPr="003549B4">
                    <w:rPr>
                      <w:rFonts w:ascii="Times New Roman" w:hAnsi="Times New Roman" w:cs="Times New Roman"/>
                      <w:sz w:val="18"/>
                      <w:szCs w:val="18"/>
                      <w:vertAlign w:val="superscript"/>
                    </w:rPr>
                    <w:t>5</w:t>
                  </w:r>
                  <w:r w:rsidRPr="003549B4">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1E063EED"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400</w:t>
                  </w:r>
                </w:p>
              </w:tc>
              <w:tc>
                <w:tcPr>
                  <w:tcW w:w="800" w:type="dxa"/>
                  <w:tcBorders>
                    <w:top w:val="single" w:sz="3" w:space="0" w:color="000000"/>
                    <w:left w:val="single" w:sz="3" w:space="0" w:color="000000"/>
                    <w:bottom w:val="single" w:sz="3" w:space="0" w:color="000000"/>
                    <w:right w:val="single" w:sz="3" w:space="0" w:color="000000"/>
                  </w:tcBorders>
                  <w:vAlign w:val="center"/>
                </w:tcPr>
                <w:p w14:paraId="70A8CC7B"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300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16B98857"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150</w:t>
                  </w:r>
                </w:p>
              </w:tc>
              <w:tc>
                <w:tcPr>
                  <w:tcW w:w="610" w:type="dxa"/>
                  <w:tcBorders>
                    <w:top w:val="single" w:sz="3" w:space="0" w:color="000000"/>
                    <w:left w:val="single" w:sz="3" w:space="0" w:color="000000"/>
                    <w:bottom w:val="single" w:sz="3" w:space="0" w:color="000000"/>
                    <w:right w:val="single" w:sz="3" w:space="0" w:color="000000"/>
                  </w:tcBorders>
                  <w:vAlign w:val="center"/>
                </w:tcPr>
                <w:p w14:paraId="66B03C9B"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905DC2" w:rsidRPr="003549B4" w14:paraId="735AAB26"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578B0D07"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Biomasa</w:t>
                  </w:r>
                </w:p>
              </w:tc>
              <w:tc>
                <w:tcPr>
                  <w:tcW w:w="801" w:type="dxa"/>
                  <w:tcBorders>
                    <w:top w:val="single" w:sz="3" w:space="0" w:color="000000"/>
                    <w:left w:val="single" w:sz="3" w:space="0" w:color="000000"/>
                    <w:bottom w:val="single" w:sz="3" w:space="0" w:color="000000"/>
                    <w:right w:val="single" w:sz="3" w:space="0" w:color="000000"/>
                  </w:tcBorders>
                  <w:vAlign w:val="center"/>
                </w:tcPr>
                <w:p w14:paraId="0C7FBCAF"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20, 30</w:t>
                  </w:r>
                  <w:r w:rsidRPr="003549B4">
                    <w:rPr>
                      <w:rFonts w:ascii="Times New Roman" w:hAnsi="Times New Roman" w:cs="Times New Roman"/>
                      <w:sz w:val="18"/>
                      <w:szCs w:val="18"/>
                      <w:vertAlign w:val="superscript"/>
                    </w:rPr>
                    <w:t>5</w:t>
                  </w:r>
                  <w:r w:rsidRPr="003549B4">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1B7631B6"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200</w:t>
                  </w:r>
                  <w:r w:rsidRPr="003549B4">
                    <w:rPr>
                      <w:rFonts w:ascii="Times New Roman" w:hAnsi="Times New Roman" w:cs="Times New Roman"/>
                      <w:sz w:val="18"/>
                      <w:szCs w:val="18"/>
                      <w:vertAlign w:val="superscript"/>
                    </w:rPr>
                    <w:t>1</w:t>
                  </w:r>
                  <w:r w:rsidRPr="003549B4">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205DC612"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300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488467CC" w14:textId="77777777" w:rsidR="00905DC2" w:rsidRPr="003549B4" w:rsidRDefault="00905DC2" w:rsidP="00905DC2">
                  <w:pPr>
                    <w:spacing w:after="0" w:line="240" w:lineRule="auto"/>
                    <w:ind w:left="-108" w:right="-100"/>
                    <w:jc w:val="center"/>
                    <w:rPr>
                      <w:rFonts w:ascii="Times New Roman" w:hAnsi="Times New Roman" w:cs="Times New Roman"/>
                      <w:sz w:val="18"/>
                      <w:szCs w:val="18"/>
                    </w:rPr>
                  </w:pPr>
                  <w:r w:rsidRPr="003549B4">
                    <w:rPr>
                      <w:rFonts w:ascii="Times New Roman" w:hAnsi="Times New Roman" w:cs="Times New Roman"/>
                      <w:sz w:val="18"/>
                      <w:szCs w:val="18"/>
                    </w:rPr>
                    <w:t>150, 250</w:t>
                  </w:r>
                  <w:r w:rsidRPr="003549B4">
                    <w:rPr>
                      <w:rFonts w:ascii="Times New Roman" w:hAnsi="Times New Roman" w:cs="Times New Roman"/>
                      <w:sz w:val="18"/>
                      <w:szCs w:val="18"/>
                      <w:vertAlign w:val="superscript"/>
                    </w:rPr>
                    <w:t>6</w:t>
                  </w:r>
                  <w:r w:rsidRPr="003549B4">
                    <w:rPr>
                      <w:rFonts w:ascii="Times New Roman" w:hAnsi="Times New Roman" w:cs="Times New Roman"/>
                      <w:sz w:val="18"/>
                      <w:szCs w:val="18"/>
                    </w:rPr>
                    <w:t>)</w:t>
                  </w:r>
                </w:p>
              </w:tc>
              <w:tc>
                <w:tcPr>
                  <w:tcW w:w="610" w:type="dxa"/>
                  <w:tcBorders>
                    <w:top w:val="single" w:sz="3" w:space="0" w:color="000000"/>
                    <w:left w:val="single" w:sz="3" w:space="0" w:color="000000"/>
                    <w:bottom w:val="single" w:sz="3" w:space="0" w:color="000000"/>
                    <w:right w:val="single" w:sz="3" w:space="0" w:color="000000"/>
                  </w:tcBorders>
                  <w:vAlign w:val="center"/>
                </w:tcPr>
                <w:p w14:paraId="1A8ECCFC"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20</w:t>
                  </w:r>
                </w:p>
              </w:tc>
            </w:tr>
            <w:tr w:rsidR="00905DC2" w:rsidRPr="003549B4" w14:paraId="09A2434B"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7864B535"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Plynový olej</w:t>
                  </w:r>
                </w:p>
              </w:tc>
              <w:tc>
                <w:tcPr>
                  <w:tcW w:w="801" w:type="dxa"/>
                  <w:tcBorders>
                    <w:top w:val="single" w:sz="3" w:space="0" w:color="000000"/>
                    <w:left w:val="single" w:sz="3" w:space="0" w:color="000000"/>
                    <w:bottom w:val="single" w:sz="3" w:space="0" w:color="000000"/>
                    <w:right w:val="single" w:sz="3" w:space="0" w:color="000000"/>
                  </w:tcBorders>
                  <w:vAlign w:val="center"/>
                </w:tcPr>
                <w:p w14:paraId="4A889B61" w14:textId="77777777" w:rsidR="00905DC2" w:rsidRPr="003549B4" w:rsidRDefault="00905DC2" w:rsidP="00905DC2">
                  <w:pPr>
                    <w:spacing w:after="0" w:line="240" w:lineRule="auto"/>
                    <w:ind w:right="1"/>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75BDAC15" w14:textId="77777777" w:rsidR="00905DC2" w:rsidRPr="003549B4" w:rsidRDefault="00905DC2" w:rsidP="00905DC2">
                  <w:pPr>
                    <w:spacing w:after="0" w:line="240" w:lineRule="auto"/>
                    <w:ind w:right="1"/>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087F854A"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1F290B7A"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110</w:t>
                  </w:r>
                </w:p>
              </w:tc>
              <w:tc>
                <w:tcPr>
                  <w:tcW w:w="610" w:type="dxa"/>
                  <w:tcBorders>
                    <w:top w:val="single" w:sz="3" w:space="0" w:color="000000"/>
                    <w:left w:val="single" w:sz="3" w:space="0" w:color="000000"/>
                    <w:bottom w:val="single" w:sz="3" w:space="0" w:color="000000"/>
                    <w:right w:val="single" w:sz="3" w:space="0" w:color="000000"/>
                  </w:tcBorders>
                  <w:vAlign w:val="center"/>
                </w:tcPr>
                <w:p w14:paraId="04AA0584"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905DC2" w:rsidRPr="003549B4" w14:paraId="495DFBCF" w14:textId="77777777" w:rsidTr="00D53B67">
              <w:trPr>
                <w:trHeight w:val="247"/>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30FC3969"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Iné kvapalné palivo</w:t>
                  </w:r>
                </w:p>
              </w:tc>
              <w:tc>
                <w:tcPr>
                  <w:tcW w:w="801" w:type="dxa"/>
                  <w:tcBorders>
                    <w:top w:val="single" w:sz="3" w:space="0" w:color="000000"/>
                    <w:left w:val="single" w:sz="3" w:space="0" w:color="000000"/>
                    <w:bottom w:val="single" w:sz="3" w:space="0" w:color="000000"/>
                    <w:right w:val="single" w:sz="3" w:space="0" w:color="000000"/>
                  </w:tcBorders>
                  <w:vAlign w:val="center"/>
                </w:tcPr>
                <w:p w14:paraId="57334E94" w14:textId="77777777" w:rsidR="00905DC2" w:rsidRPr="003549B4" w:rsidRDefault="00905DC2" w:rsidP="00905DC2">
                  <w:pPr>
                    <w:spacing w:after="0" w:line="240" w:lineRule="auto"/>
                    <w:ind w:right="3"/>
                    <w:jc w:val="center"/>
                    <w:rPr>
                      <w:rFonts w:ascii="Times New Roman" w:hAnsi="Times New Roman" w:cs="Times New Roman"/>
                      <w:sz w:val="18"/>
                      <w:szCs w:val="18"/>
                    </w:rPr>
                  </w:pPr>
                  <w:r w:rsidRPr="003549B4">
                    <w:rPr>
                      <w:rFonts w:ascii="Times New Roman" w:hAnsi="Times New Roman" w:cs="Times New Roman"/>
                      <w:sz w:val="18"/>
                      <w:szCs w:val="18"/>
                    </w:rPr>
                    <w:t>20</w:t>
                  </w:r>
                </w:p>
              </w:tc>
              <w:tc>
                <w:tcPr>
                  <w:tcW w:w="1075" w:type="dxa"/>
                  <w:tcBorders>
                    <w:top w:val="single" w:sz="3" w:space="0" w:color="000000"/>
                    <w:left w:val="single" w:sz="3" w:space="0" w:color="000000"/>
                    <w:bottom w:val="single" w:sz="3" w:space="0" w:color="000000"/>
                    <w:right w:val="single" w:sz="3" w:space="0" w:color="000000"/>
                  </w:tcBorders>
                  <w:vAlign w:val="center"/>
                </w:tcPr>
                <w:p w14:paraId="665A7102"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350</w:t>
                  </w:r>
                </w:p>
              </w:tc>
              <w:tc>
                <w:tcPr>
                  <w:tcW w:w="800" w:type="dxa"/>
                  <w:tcBorders>
                    <w:top w:val="single" w:sz="3" w:space="0" w:color="000000"/>
                    <w:left w:val="single" w:sz="3" w:space="0" w:color="000000"/>
                    <w:bottom w:val="single" w:sz="3" w:space="0" w:color="000000"/>
                    <w:right w:val="single" w:sz="3" w:space="0" w:color="000000"/>
                  </w:tcBorders>
                  <w:vAlign w:val="center"/>
                </w:tcPr>
                <w:p w14:paraId="36AE537C"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300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58C59C41"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110</w:t>
                  </w:r>
                </w:p>
              </w:tc>
              <w:tc>
                <w:tcPr>
                  <w:tcW w:w="610" w:type="dxa"/>
                  <w:tcBorders>
                    <w:top w:val="single" w:sz="3" w:space="0" w:color="000000"/>
                    <w:left w:val="single" w:sz="3" w:space="0" w:color="000000"/>
                    <w:bottom w:val="single" w:sz="3" w:space="0" w:color="000000"/>
                    <w:right w:val="single" w:sz="3" w:space="0" w:color="000000"/>
                  </w:tcBorders>
                  <w:vAlign w:val="center"/>
                </w:tcPr>
                <w:p w14:paraId="30084C25"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905DC2" w:rsidRPr="003549B4" w14:paraId="259347EE" w14:textId="77777777" w:rsidTr="00D53B67">
              <w:trPr>
                <w:trHeight w:val="249"/>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35922245"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ZPN</w:t>
                  </w:r>
                </w:p>
              </w:tc>
              <w:tc>
                <w:tcPr>
                  <w:tcW w:w="801" w:type="dxa"/>
                  <w:tcBorders>
                    <w:top w:val="single" w:sz="3" w:space="0" w:color="000000"/>
                    <w:left w:val="single" w:sz="3" w:space="0" w:color="000000"/>
                    <w:bottom w:val="single" w:sz="3" w:space="0" w:color="000000"/>
                    <w:right w:val="single" w:sz="3" w:space="0" w:color="000000"/>
                  </w:tcBorders>
                  <w:vAlign w:val="center"/>
                </w:tcPr>
                <w:p w14:paraId="42398463" w14:textId="77777777" w:rsidR="00905DC2" w:rsidRPr="003549B4" w:rsidRDefault="00905DC2" w:rsidP="00905DC2">
                  <w:pPr>
                    <w:spacing w:after="0" w:line="240" w:lineRule="auto"/>
                    <w:ind w:right="1"/>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3398A335" w14:textId="77777777" w:rsidR="00905DC2" w:rsidRPr="003549B4" w:rsidRDefault="00905DC2" w:rsidP="00905DC2">
                  <w:pPr>
                    <w:spacing w:after="0" w:line="240" w:lineRule="auto"/>
                    <w:ind w:right="1"/>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01B9E88C"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100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541AF07D"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50</w:t>
                  </w:r>
                </w:p>
              </w:tc>
              <w:tc>
                <w:tcPr>
                  <w:tcW w:w="610" w:type="dxa"/>
                  <w:tcBorders>
                    <w:top w:val="single" w:sz="3" w:space="0" w:color="000000"/>
                    <w:left w:val="single" w:sz="3" w:space="0" w:color="000000"/>
                    <w:bottom w:val="single" w:sz="3" w:space="0" w:color="000000"/>
                    <w:right w:val="single" w:sz="3" w:space="0" w:color="000000"/>
                  </w:tcBorders>
                  <w:vAlign w:val="center"/>
                </w:tcPr>
                <w:p w14:paraId="2888DD01"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w:t>
                  </w:r>
                </w:p>
              </w:tc>
            </w:tr>
            <w:tr w:rsidR="00905DC2" w:rsidRPr="003549B4" w14:paraId="76586B90" w14:textId="77777777" w:rsidTr="00D53B67">
              <w:trPr>
                <w:trHeight w:val="435"/>
                <w:jc w:val="center"/>
              </w:trPr>
              <w:tc>
                <w:tcPr>
                  <w:tcW w:w="1566" w:type="dxa"/>
                  <w:tcBorders>
                    <w:top w:val="single" w:sz="3" w:space="0" w:color="000000"/>
                    <w:left w:val="single" w:sz="3" w:space="0" w:color="000000"/>
                    <w:bottom w:val="single" w:sz="3" w:space="0" w:color="000000"/>
                    <w:right w:val="single" w:sz="3" w:space="0" w:color="000000"/>
                  </w:tcBorders>
                  <w:vAlign w:val="center"/>
                </w:tcPr>
                <w:p w14:paraId="1E3B43C3" w14:textId="77777777" w:rsidR="00905DC2" w:rsidRPr="003549B4" w:rsidRDefault="00905DC2" w:rsidP="00905DC2">
                  <w:pPr>
                    <w:spacing w:after="0" w:line="240" w:lineRule="auto"/>
                    <w:rPr>
                      <w:rFonts w:ascii="Times New Roman" w:hAnsi="Times New Roman" w:cs="Times New Roman"/>
                      <w:sz w:val="18"/>
                      <w:szCs w:val="18"/>
                    </w:rPr>
                  </w:pPr>
                  <w:r w:rsidRPr="003549B4">
                    <w:rPr>
                      <w:rFonts w:ascii="Times New Roman" w:hAnsi="Times New Roman" w:cs="Times New Roman"/>
                      <w:sz w:val="18"/>
                      <w:szCs w:val="18"/>
                    </w:rPr>
                    <w:t>Iné plynné palivo</w:t>
                  </w:r>
                </w:p>
              </w:tc>
              <w:tc>
                <w:tcPr>
                  <w:tcW w:w="801" w:type="dxa"/>
                  <w:tcBorders>
                    <w:top w:val="single" w:sz="3" w:space="0" w:color="000000"/>
                    <w:left w:val="single" w:sz="3" w:space="0" w:color="000000"/>
                    <w:bottom w:val="single" w:sz="3" w:space="0" w:color="000000"/>
                    <w:right w:val="single" w:sz="3" w:space="0" w:color="000000"/>
                  </w:tcBorders>
                  <w:vAlign w:val="center"/>
                </w:tcPr>
                <w:p w14:paraId="62A3628F" w14:textId="77777777" w:rsidR="00905DC2" w:rsidRPr="003549B4" w:rsidRDefault="00905DC2" w:rsidP="00905DC2">
                  <w:pPr>
                    <w:spacing w:after="0" w:line="240" w:lineRule="auto"/>
                    <w:ind w:right="1"/>
                    <w:jc w:val="center"/>
                    <w:rPr>
                      <w:rFonts w:ascii="Times New Roman" w:hAnsi="Times New Roman" w:cs="Times New Roman"/>
                      <w:sz w:val="18"/>
                      <w:szCs w:val="18"/>
                    </w:rPr>
                  </w:pPr>
                  <w:r w:rsidRPr="003549B4">
                    <w:rPr>
                      <w:rFonts w:ascii="Times New Roman" w:hAnsi="Times New Roman" w:cs="Times New Roman"/>
                      <w:sz w:val="18"/>
                      <w:szCs w:val="18"/>
                    </w:rPr>
                    <w:t>-</w:t>
                  </w:r>
                </w:p>
              </w:tc>
              <w:tc>
                <w:tcPr>
                  <w:tcW w:w="1075" w:type="dxa"/>
                  <w:tcBorders>
                    <w:top w:val="single" w:sz="3" w:space="0" w:color="000000"/>
                    <w:left w:val="single" w:sz="3" w:space="0" w:color="000000"/>
                    <w:bottom w:val="single" w:sz="3" w:space="0" w:color="000000"/>
                    <w:right w:val="single" w:sz="3" w:space="0" w:color="000000"/>
                  </w:tcBorders>
                  <w:vAlign w:val="center"/>
                </w:tcPr>
                <w:p w14:paraId="3108F62C" w14:textId="77777777" w:rsidR="00905DC2" w:rsidRPr="003549B4" w:rsidRDefault="00905DC2" w:rsidP="00905DC2">
                  <w:pPr>
                    <w:spacing w:after="0" w:line="240" w:lineRule="auto"/>
                    <w:ind w:left="-92" w:right="-189"/>
                    <w:jc w:val="center"/>
                    <w:rPr>
                      <w:rFonts w:ascii="Times New Roman" w:hAnsi="Times New Roman" w:cs="Times New Roman"/>
                      <w:sz w:val="18"/>
                      <w:szCs w:val="18"/>
                    </w:rPr>
                  </w:pPr>
                  <w:r w:rsidRPr="003549B4">
                    <w:rPr>
                      <w:rFonts w:ascii="Times New Roman" w:hAnsi="Times New Roman" w:cs="Times New Roman"/>
                      <w:sz w:val="18"/>
                      <w:szCs w:val="18"/>
                    </w:rPr>
                    <w:t>35, 100</w:t>
                  </w:r>
                  <w:r w:rsidRPr="003549B4">
                    <w:rPr>
                      <w:rFonts w:ascii="Times New Roman" w:hAnsi="Times New Roman" w:cs="Times New Roman"/>
                      <w:sz w:val="18"/>
                      <w:szCs w:val="18"/>
                      <w:vertAlign w:val="superscript"/>
                    </w:rPr>
                    <w:t>2</w:t>
                  </w:r>
                  <w:r w:rsidRPr="003549B4">
                    <w:rPr>
                      <w:rFonts w:ascii="Times New Roman" w:hAnsi="Times New Roman" w:cs="Times New Roman"/>
                      <w:sz w:val="18"/>
                      <w:szCs w:val="18"/>
                    </w:rPr>
                    <w:t>),</w:t>
                  </w:r>
                </w:p>
                <w:p w14:paraId="3FD8B0E1" w14:textId="77777777" w:rsidR="00905DC2" w:rsidRPr="003549B4" w:rsidRDefault="00905DC2" w:rsidP="00905DC2">
                  <w:pPr>
                    <w:spacing w:after="0" w:line="240" w:lineRule="auto"/>
                    <w:ind w:left="-92" w:right="-47"/>
                    <w:jc w:val="center"/>
                    <w:rPr>
                      <w:rFonts w:ascii="Times New Roman" w:hAnsi="Times New Roman" w:cs="Times New Roman"/>
                      <w:sz w:val="18"/>
                      <w:szCs w:val="18"/>
                    </w:rPr>
                  </w:pPr>
                  <w:r w:rsidRPr="003549B4">
                    <w:rPr>
                      <w:rFonts w:ascii="Times New Roman" w:hAnsi="Times New Roman" w:cs="Times New Roman"/>
                      <w:sz w:val="18"/>
                      <w:szCs w:val="18"/>
                    </w:rPr>
                    <w:t>200</w:t>
                  </w:r>
                  <w:r w:rsidRPr="003549B4">
                    <w:rPr>
                      <w:rFonts w:ascii="Times New Roman" w:hAnsi="Times New Roman" w:cs="Times New Roman"/>
                      <w:sz w:val="18"/>
                      <w:szCs w:val="18"/>
                      <w:vertAlign w:val="superscript"/>
                    </w:rPr>
                    <w:t>3</w:t>
                  </w:r>
                  <w:r w:rsidRPr="003549B4">
                    <w:rPr>
                      <w:rFonts w:ascii="Times New Roman" w:hAnsi="Times New Roman" w:cs="Times New Roman"/>
                      <w:sz w:val="18"/>
                      <w:szCs w:val="18"/>
                    </w:rPr>
                    <w:t>), 400</w:t>
                  </w:r>
                  <w:r w:rsidRPr="003549B4">
                    <w:rPr>
                      <w:rFonts w:ascii="Times New Roman" w:hAnsi="Times New Roman" w:cs="Times New Roman"/>
                      <w:sz w:val="18"/>
                      <w:szCs w:val="18"/>
                      <w:vertAlign w:val="superscript"/>
                    </w:rPr>
                    <w:t>4</w:t>
                  </w:r>
                  <w:r w:rsidRPr="003549B4">
                    <w:rPr>
                      <w:rFonts w:ascii="Times New Roman" w:hAnsi="Times New Roman" w:cs="Times New Roman"/>
                      <w:sz w:val="18"/>
                      <w:szCs w:val="18"/>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770678BC"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200</w:t>
                  </w:r>
                </w:p>
              </w:tc>
              <w:tc>
                <w:tcPr>
                  <w:tcW w:w="930" w:type="dxa"/>
                  <w:gridSpan w:val="2"/>
                  <w:tcBorders>
                    <w:top w:val="single" w:sz="3" w:space="0" w:color="000000"/>
                    <w:left w:val="single" w:sz="3" w:space="0" w:color="000000"/>
                    <w:bottom w:val="single" w:sz="3" w:space="0" w:color="000000"/>
                    <w:right w:val="single" w:sz="3" w:space="0" w:color="000000"/>
                  </w:tcBorders>
                  <w:vAlign w:val="center"/>
                </w:tcPr>
                <w:p w14:paraId="4E52ABB3"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100</w:t>
                  </w:r>
                </w:p>
              </w:tc>
              <w:tc>
                <w:tcPr>
                  <w:tcW w:w="610" w:type="dxa"/>
                  <w:tcBorders>
                    <w:top w:val="single" w:sz="3" w:space="0" w:color="000000"/>
                    <w:left w:val="single" w:sz="3" w:space="0" w:color="000000"/>
                    <w:bottom w:val="single" w:sz="3" w:space="0" w:color="000000"/>
                    <w:right w:val="single" w:sz="3" w:space="0" w:color="000000"/>
                  </w:tcBorders>
                  <w:vAlign w:val="center"/>
                </w:tcPr>
                <w:p w14:paraId="5491BEFA" w14:textId="77777777" w:rsidR="00905DC2" w:rsidRPr="003549B4" w:rsidRDefault="00905DC2" w:rsidP="00905DC2">
                  <w:pPr>
                    <w:spacing w:after="0" w:line="240" w:lineRule="auto"/>
                    <w:jc w:val="center"/>
                    <w:rPr>
                      <w:rFonts w:ascii="Times New Roman" w:hAnsi="Times New Roman" w:cs="Times New Roman"/>
                      <w:sz w:val="18"/>
                      <w:szCs w:val="18"/>
                    </w:rPr>
                  </w:pPr>
                  <w:r w:rsidRPr="003549B4">
                    <w:rPr>
                      <w:rFonts w:ascii="Times New Roman" w:hAnsi="Times New Roman" w:cs="Times New Roman"/>
                      <w:sz w:val="18"/>
                      <w:szCs w:val="18"/>
                    </w:rPr>
                    <w:t>-</w:t>
                  </w:r>
                </w:p>
              </w:tc>
            </w:tr>
          </w:tbl>
          <w:p w14:paraId="39235EFC" w14:textId="77777777" w:rsidR="00905DC2" w:rsidRPr="003549B4" w:rsidRDefault="00905DC2" w:rsidP="00905DC2">
            <w:pPr>
              <w:spacing w:before="120" w:after="5" w:line="247" w:lineRule="auto"/>
              <w:ind w:right="8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1</w:t>
            </w:r>
            <w:r w:rsidRPr="003549B4">
              <w:rPr>
                <w:rFonts w:ascii="Times New Roman" w:eastAsia="Times New Roman" w:hAnsi="Times New Roman" w:cs="Times New Roman"/>
                <w:sz w:val="20"/>
                <w:szCs w:val="20"/>
              </w:rPr>
              <w:t xml:space="preserve">) Neuplatňuje sa pre zariadenia  spaľujúce výlučne drevnú biomasu. </w:t>
            </w:r>
          </w:p>
          <w:p w14:paraId="1CFFC423" w14:textId="77777777" w:rsidR="00905DC2" w:rsidRPr="003549B4" w:rsidRDefault="00905DC2" w:rsidP="00905DC2">
            <w:pPr>
              <w:spacing w:after="25" w:line="247" w:lineRule="auto"/>
              <w:ind w:right="3099"/>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2</w:t>
            </w:r>
            <w:r w:rsidRPr="003549B4">
              <w:rPr>
                <w:rFonts w:ascii="Times New Roman" w:eastAsia="Times New Roman" w:hAnsi="Times New Roman" w:cs="Times New Roman"/>
                <w:sz w:val="20"/>
                <w:szCs w:val="20"/>
              </w:rPr>
              <w:t xml:space="preserve">) Platí pre spaľovanie bioplynu.  </w:t>
            </w:r>
          </w:p>
          <w:p w14:paraId="1B143D59" w14:textId="77777777" w:rsidR="00905DC2" w:rsidRPr="003549B4" w:rsidRDefault="00905DC2" w:rsidP="00905DC2">
            <w:pPr>
              <w:spacing w:after="30" w:line="247" w:lineRule="auto"/>
              <w:ind w:right="8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lastRenderedPageBreak/>
              <w:t>3</w:t>
            </w:r>
            <w:r w:rsidRPr="003549B4">
              <w:rPr>
                <w:rFonts w:ascii="Times New Roman" w:eastAsia="Times New Roman" w:hAnsi="Times New Roman" w:cs="Times New Roman"/>
                <w:sz w:val="20"/>
                <w:szCs w:val="20"/>
              </w:rPr>
              <w:t xml:space="preserve">) Platí pre spaľovanie nízkovýhrevných plynov z vysokých pecí v železiarskom a oceliarskom priemysle. </w:t>
            </w:r>
          </w:p>
          <w:p w14:paraId="72822F82" w14:textId="77777777" w:rsidR="00905DC2" w:rsidRPr="003549B4" w:rsidRDefault="00905DC2" w:rsidP="00905DC2">
            <w:pPr>
              <w:spacing w:after="30" w:line="247" w:lineRule="auto"/>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4</w:t>
            </w:r>
            <w:r w:rsidRPr="003549B4">
              <w:rPr>
                <w:rFonts w:ascii="Times New Roman" w:eastAsia="Times New Roman" w:hAnsi="Times New Roman" w:cs="Times New Roman"/>
                <w:sz w:val="20"/>
                <w:szCs w:val="20"/>
              </w:rPr>
              <w:t xml:space="preserve">) Platí pre spaľovanie nízkovýhrevných plynov z koksárenských pecí v železiarskom a oceliarskom priemysle. </w:t>
            </w:r>
          </w:p>
          <w:p w14:paraId="07658691" w14:textId="77777777" w:rsidR="00905DC2" w:rsidRPr="003549B4" w:rsidRDefault="00905DC2" w:rsidP="00905DC2">
            <w:pPr>
              <w:spacing w:after="29" w:line="247" w:lineRule="auto"/>
              <w:ind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5</w:t>
            </w:r>
            <w:r w:rsidRPr="003549B4">
              <w:rPr>
                <w:rFonts w:ascii="Times New Roman" w:eastAsia="Times New Roman" w:hAnsi="Times New Roman" w:cs="Times New Roman"/>
                <w:sz w:val="20"/>
                <w:szCs w:val="20"/>
              </w:rPr>
              <w:t xml:space="preserve">) Platí pre spaľovacie zariadenia s MTP ≤ 20 MW. </w:t>
            </w:r>
          </w:p>
          <w:p w14:paraId="5CE8115C" w14:textId="77777777" w:rsidR="00905DC2" w:rsidRPr="003549B4" w:rsidRDefault="00905DC2" w:rsidP="00D53B67">
            <w:pPr>
              <w:spacing w:after="5" w:line="247" w:lineRule="auto"/>
              <w:ind w:right="770"/>
              <w:jc w:val="both"/>
              <w:rPr>
                <w:rFonts w:ascii="Times New Roman" w:hAnsi="Times New Roman" w:cs="Times New Roman"/>
                <w:sz w:val="20"/>
                <w:szCs w:val="20"/>
              </w:rPr>
            </w:pPr>
            <w:r w:rsidRPr="003549B4">
              <w:rPr>
                <w:rFonts w:ascii="Times New Roman" w:eastAsia="Times New Roman" w:hAnsi="Times New Roman" w:cs="Times New Roman"/>
                <w:sz w:val="20"/>
                <w:szCs w:val="20"/>
                <w:vertAlign w:val="superscript"/>
              </w:rPr>
              <w:t>6</w:t>
            </w:r>
            <w:r w:rsidRPr="003549B4">
              <w:rPr>
                <w:rFonts w:ascii="Times New Roman" w:eastAsia="Times New Roman" w:hAnsi="Times New Roman" w:cs="Times New Roman"/>
                <w:sz w:val="20"/>
                <w:szCs w:val="20"/>
              </w:rPr>
              <w:t xml:space="preserve">) Platí pre spaľovanie slamy.  </w:t>
            </w:r>
          </w:p>
        </w:tc>
        <w:tc>
          <w:tcPr>
            <w:tcW w:w="429" w:type="dxa"/>
            <w:tcBorders>
              <w:top w:val="single" w:sz="4" w:space="0" w:color="auto"/>
              <w:bottom w:val="single" w:sz="4" w:space="0" w:color="auto"/>
            </w:tcBorders>
            <w:vAlign w:val="center"/>
          </w:tcPr>
          <w:p w14:paraId="4DEEE876" w14:textId="4760E32B"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6158E23D"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5BB96B99"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630DD667"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Tab.2</w:t>
            </w:r>
          </w:p>
        </w:tc>
        <w:tc>
          <w:tcPr>
            <w:tcW w:w="6287" w:type="dxa"/>
            <w:tcBorders>
              <w:bottom w:val="single" w:sz="4" w:space="0" w:color="auto"/>
            </w:tcBorders>
          </w:tcPr>
          <w:p w14:paraId="24E70696"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Emisné limity (mg/Nm3) pre nové motory a plynové turbíny</w:t>
            </w:r>
          </w:p>
          <w:p w14:paraId="4DF461D0"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noProof/>
                <w:sz w:val="20"/>
                <w:szCs w:val="20"/>
                <w:lang w:eastAsia="sk-SK"/>
              </w:rPr>
              <w:drawing>
                <wp:inline distT="0" distB="0" distL="0" distR="0" wp14:anchorId="3C2507DB" wp14:editId="73AB2BE8">
                  <wp:extent cx="4238625" cy="2924175"/>
                  <wp:effectExtent l="0" t="0" r="9525"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8625" cy="2924175"/>
                          </a:xfrm>
                          <a:prstGeom prst="rect">
                            <a:avLst/>
                          </a:prstGeom>
                          <a:noFill/>
                          <a:ln>
                            <a:noFill/>
                          </a:ln>
                        </pic:spPr>
                      </pic:pic>
                    </a:graphicData>
                  </a:graphic>
                </wp:inline>
              </w:drawing>
            </w:r>
          </w:p>
          <w:p w14:paraId="335940AE"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(1) Do 1. januára 2025, 590 mg/Nm3 v prípade naftových motorov, ktoré sú súčasťou SIS alebo MIS.</w:t>
            </w:r>
          </w:p>
          <w:p w14:paraId="02131E12"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(2) 40 mg/Nm3 v prípade bioplynu. </w:t>
            </w:r>
          </w:p>
          <w:p w14:paraId="32753743"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(3) Motory s prevádzkou 500 až 1 500 hodín ročne môžu byť oslobodené od povinnosti dodržiavať tieto emisné limity, ak uplatňujú primárne opatrenia na znižovanie emisií NOx a spĺňajú emisné limity uvedené v poznámke pod čiarou č. 4. </w:t>
            </w:r>
          </w:p>
          <w:p w14:paraId="55D5CAF3"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(4) Do 1. januára 2025 v prípade SIS a MIS 1 850 mg/Nm3 pre dvojpalivový motor v kvapalnom režime a 380 mg/Nm3 v plynnom režime; 1 300 mg/Nm3 pre naftové motory s RPM ≤ 1 200 ot./min. s celkovým menovitým tepelným príkonom menším alebo rovnajúcim sa 20 MW a 1 850 mg/Nm3 pre naftové motory s celkovým menovitým tepelným príkonom väčším ako 20 MW; 750 mg/Nm3 pre naftové motory s RPM &gt; 1 200 ot./min.</w:t>
            </w:r>
          </w:p>
          <w:p w14:paraId="05D7B34F"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 xml:space="preserve"> (5) 225 mg/Nm3 v prípade dvojpalivových motorov v kvapalnom režime.</w:t>
            </w:r>
          </w:p>
          <w:p w14:paraId="3F0687CF"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 (6) 225 mg/Nm3 v prípade naftových motorov s celkovým menovitým tepelným príkonom menším alebo rovnajúcim sa 20 MW s RPM ≤ 1 200 ot./min. </w:t>
            </w:r>
          </w:p>
          <w:p w14:paraId="7894ED2F"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(7) 190 mg/Nm3 v prípade dvojpalivových motorov v kvapalnom režime. </w:t>
            </w:r>
          </w:p>
          <w:p w14:paraId="045C0DE0"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(8) Tieto emisné limity sa uplatňujú iba pri zaťažení nad 70 %. </w:t>
            </w:r>
          </w:p>
          <w:p w14:paraId="5A8D1022"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(9) Do 1. januára 2025, 550 mg/Nm3 v prípade zariadení, ktoré sú súčasťou SIS alebo MIS. </w:t>
            </w:r>
          </w:p>
          <w:p w14:paraId="70B0C64F"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(10) Do 1. januára 2025, 75 mg/Nm3 v prípade naftových motorov, ktoré sú súčasťou SIS alebo MIS. </w:t>
            </w:r>
          </w:p>
          <w:p w14:paraId="48B4BC5C"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(11) 20 mg/Nm3 v prípade zariadení s celkovým menovitým tepelným príkonom rovnajúcim sa alebo väčším ako 1 MW a menším alebo rovnajúcim sa 5 MW.</w:t>
            </w:r>
          </w:p>
        </w:tc>
        <w:tc>
          <w:tcPr>
            <w:tcW w:w="433" w:type="dxa"/>
            <w:tcBorders>
              <w:bottom w:val="single" w:sz="4" w:space="0" w:color="auto"/>
            </w:tcBorders>
          </w:tcPr>
          <w:p w14:paraId="58AAF268"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N</w:t>
            </w:r>
          </w:p>
        </w:tc>
        <w:tc>
          <w:tcPr>
            <w:tcW w:w="572" w:type="dxa"/>
            <w:tcBorders>
              <w:bottom w:val="single" w:sz="4" w:space="0" w:color="auto"/>
            </w:tcBorders>
          </w:tcPr>
          <w:p w14:paraId="31226995"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10393EE4"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Borders>
              <w:bottom w:val="single" w:sz="4" w:space="0" w:color="auto"/>
            </w:tcBorders>
          </w:tcPr>
          <w:p w14:paraId="7F2E686C"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Pr.4</w:t>
            </w:r>
          </w:p>
          <w:p w14:paraId="3268EEE5" w14:textId="77777777" w:rsidR="00905DC2" w:rsidRPr="003549B4" w:rsidRDefault="00D53B67"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č</w:t>
            </w:r>
            <w:r w:rsidR="00905DC2" w:rsidRPr="003549B4">
              <w:rPr>
                <w:rFonts w:ascii="Times New Roman" w:hAnsi="Times New Roman" w:cs="Times New Roman"/>
                <w:sz w:val="20"/>
                <w:szCs w:val="20"/>
              </w:rPr>
              <w:t>asť IV</w:t>
            </w:r>
          </w:p>
          <w:p w14:paraId="7EA1A42D"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p w14:paraId="1A243C26"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tcBorders>
              <w:bottom w:val="single" w:sz="4" w:space="0" w:color="auto"/>
            </w:tcBorders>
          </w:tcPr>
          <w:p w14:paraId="7B24438F" w14:textId="77777777" w:rsidR="00905DC2" w:rsidRPr="003549B4" w:rsidRDefault="00905DC2" w:rsidP="00905DC2">
            <w:pPr>
              <w:spacing w:before="120" w:after="0" w:line="240" w:lineRule="auto"/>
              <w:ind w:left="284" w:hanging="284"/>
              <w:rPr>
                <w:rFonts w:ascii="Times New Roman" w:hAnsi="Times New Roman" w:cs="Times New Roman"/>
                <w:sz w:val="20"/>
                <w:szCs w:val="20"/>
              </w:rPr>
            </w:pPr>
            <w:r w:rsidRPr="003549B4">
              <w:rPr>
                <w:rFonts w:ascii="Times New Roman" w:hAnsi="Times New Roman" w:cs="Times New Roman"/>
                <w:sz w:val="20"/>
                <w:szCs w:val="20"/>
              </w:rPr>
              <w:t>3.  Spaľovacie zariadenie zložené z plynových turbín</w:t>
            </w:r>
          </w:p>
          <w:p w14:paraId="3940C946" w14:textId="77777777" w:rsidR="00905DC2" w:rsidRPr="003549B4" w:rsidRDefault="00905DC2" w:rsidP="00D53B67">
            <w:pPr>
              <w:spacing w:before="120" w:after="120" w:line="240" w:lineRule="auto"/>
              <w:ind w:left="284" w:hanging="284"/>
              <w:rPr>
                <w:rFonts w:ascii="Times New Roman" w:hAnsi="Times New Roman" w:cs="Times New Roman"/>
                <w:sz w:val="20"/>
                <w:szCs w:val="20"/>
              </w:rPr>
            </w:pPr>
            <w:r w:rsidRPr="003549B4">
              <w:rPr>
                <w:rFonts w:ascii="Times New Roman" w:hAnsi="Times New Roman" w:cs="Times New Roman"/>
                <w:sz w:val="20"/>
                <w:szCs w:val="20"/>
              </w:rPr>
              <w:t xml:space="preserve">B. Emisné limity pre plynové turbíny – nové zariadenia </w:t>
            </w:r>
          </w:p>
          <w:tbl>
            <w:tblPr>
              <w:tblW w:w="4993" w:type="pct"/>
              <w:jc w:val="center"/>
              <w:tblLayout w:type="fixed"/>
              <w:tblCellMar>
                <w:top w:w="10" w:type="dxa"/>
                <w:right w:w="16" w:type="dxa"/>
              </w:tblCellMar>
              <w:tblLook w:val="04A0" w:firstRow="1" w:lastRow="0" w:firstColumn="1" w:lastColumn="0" w:noHBand="0" w:noVBand="1"/>
            </w:tblPr>
            <w:tblGrid>
              <w:gridCol w:w="1703"/>
              <w:gridCol w:w="770"/>
              <w:gridCol w:w="1125"/>
              <w:gridCol w:w="1124"/>
              <w:gridCol w:w="997"/>
            </w:tblGrid>
            <w:tr w:rsidR="00905DC2" w:rsidRPr="003549B4" w14:paraId="410EDA3D" w14:textId="77777777" w:rsidTr="00D53B67">
              <w:trPr>
                <w:trHeight w:val="223"/>
                <w:jc w:val="center"/>
              </w:trPr>
              <w:tc>
                <w:tcPr>
                  <w:tcW w:w="1720" w:type="dxa"/>
                  <w:vMerge w:val="restart"/>
                  <w:tcBorders>
                    <w:top w:val="single" w:sz="3" w:space="0" w:color="000000"/>
                    <w:left w:val="single" w:sz="3" w:space="0" w:color="000000"/>
                    <w:bottom w:val="single" w:sz="3" w:space="0" w:color="000000"/>
                    <w:right w:val="single" w:sz="3" w:space="0" w:color="000000"/>
                  </w:tcBorders>
                  <w:vAlign w:val="center"/>
                </w:tcPr>
                <w:p w14:paraId="057653E1" w14:textId="77777777" w:rsidR="00905DC2" w:rsidRPr="003549B4" w:rsidRDefault="00905DC2" w:rsidP="00905DC2">
                  <w:pPr>
                    <w:spacing w:after="0"/>
                    <w:ind w:left="91"/>
                    <w:rPr>
                      <w:rFonts w:ascii="Times New Roman" w:hAnsi="Times New Roman" w:cs="Times New Roman"/>
                      <w:sz w:val="20"/>
                      <w:szCs w:val="20"/>
                    </w:rPr>
                  </w:pPr>
                  <w:r w:rsidRPr="003549B4">
                    <w:rPr>
                      <w:rFonts w:ascii="Times New Roman" w:hAnsi="Times New Roman" w:cs="Times New Roman"/>
                      <w:b/>
                      <w:sz w:val="20"/>
                      <w:szCs w:val="20"/>
                    </w:rPr>
                    <w:t xml:space="preserve">Podmienky platnosti EL </w:t>
                  </w:r>
                </w:p>
              </w:tc>
              <w:tc>
                <w:tcPr>
                  <w:tcW w:w="4054" w:type="dxa"/>
                  <w:gridSpan w:val="4"/>
                  <w:tcBorders>
                    <w:top w:val="single" w:sz="3" w:space="0" w:color="000000"/>
                    <w:left w:val="single" w:sz="3" w:space="0" w:color="000000"/>
                    <w:bottom w:val="single" w:sz="3" w:space="0" w:color="000000"/>
                    <w:right w:val="single" w:sz="3" w:space="0" w:color="000000"/>
                  </w:tcBorders>
                </w:tcPr>
                <w:p w14:paraId="277CA339" w14:textId="77777777" w:rsidR="00D53B67" w:rsidRPr="003549B4" w:rsidRDefault="00905DC2" w:rsidP="00905DC2">
                  <w:pPr>
                    <w:spacing w:after="0"/>
                    <w:ind w:left="-29"/>
                    <w:rPr>
                      <w:rFonts w:ascii="Times New Roman" w:hAnsi="Times New Roman" w:cs="Times New Roman"/>
                      <w:sz w:val="20"/>
                      <w:szCs w:val="20"/>
                    </w:rPr>
                  </w:pPr>
                  <w:r w:rsidRPr="003549B4">
                    <w:rPr>
                      <w:rFonts w:ascii="Times New Roman" w:hAnsi="Times New Roman" w:cs="Times New Roman"/>
                      <w:sz w:val="20"/>
                      <w:szCs w:val="20"/>
                    </w:rPr>
                    <w:t xml:space="preserve">Štandardné stavové podmienky, suchý plyn, </w:t>
                  </w:r>
                </w:p>
                <w:p w14:paraId="738E9C4B" w14:textId="77777777" w:rsidR="00905DC2" w:rsidRPr="003549B4" w:rsidRDefault="00905DC2" w:rsidP="00905DC2">
                  <w:pPr>
                    <w:spacing w:after="0"/>
                    <w:ind w:left="-29"/>
                    <w:rPr>
                      <w:rFonts w:ascii="Times New Roman" w:hAnsi="Times New Roman" w:cs="Times New Roman"/>
                      <w:sz w:val="20"/>
                      <w:szCs w:val="20"/>
                    </w:rPr>
                  </w:pPr>
                  <w:r w:rsidRPr="003549B4">
                    <w:rPr>
                      <w:rFonts w:ascii="Times New Roman" w:hAnsi="Times New Roman" w:cs="Times New Roman"/>
                      <w:sz w:val="20"/>
                      <w:szCs w:val="20"/>
                    </w:rPr>
                    <w:t>O</w:t>
                  </w:r>
                  <w:r w:rsidRPr="003549B4">
                    <w:rPr>
                      <w:rFonts w:ascii="Times New Roman" w:hAnsi="Times New Roman" w:cs="Times New Roman"/>
                      <w:sz w:val="20"/>
                      <w:szCs w:val="20"/>
                      <w:vertAlign w:val="subscript"/>
                    </w:rPr>
                    <w:t>2 ref</w:t>
                  </w:r>
                  <w:r w:rsidRPr="003549B4">
                    <w:rPr>
                      <w:rFonts w:ascii="Times New Roman" w:hAnsi="Times New Roman" w:cs="Times New Roman"/>
                      <w:sz w:val="20"/>
                      <w:szCs w:val="20"/>
                    </w:rPr>
                    <w:t>: 15 % objemu</w:t>
                  </w:r>
                </w:p>
              </w:tc>
            </w:tr>
            <w:tr w:rsidR="00905DC2" w:rsidRPr="003549B4" w14:paraId="721F09D5" w14:textId="77777777" w:rsidTr="00D53B67">
              <w:trPr>
                <w:trHeight w:val="221"/>
                <w:jc w:val="center"/>
              </w:trPr>
              <w:tc>
                <w:tcPr>
                  <w:tcW w:w="1720" w:type="dxa"/>
                  <w:vMerge/>
                  <w:tcBorders>
                    <w:top w:val="nil"/>
                    <w:left w:val="single" w:sz="3" w:space="0" w:color="000000"/>
                    <w:bottom w:val="nil"/>
                    <w:right w:val="single" w:sz="3" w:space="0" w:color="000000"/>
                  </w:tcBorders>
                </w:tcPr>
                <w:p w14:paraId="71D72CB3" w14:textId="77777777" w:rsidR="00905DC2" w:rsidRPr="003549B4" w:rsidRDefault="00905DC2" w:rsidP="00905DC2">
                  <w:pPr>
                    <w:spacing w:after="0"/>
                    <w:rPr>
                      <w:rFonts w:ascii="Times New Roman" w:hAnsi="Times New Roman" w:cs="Times New Roman"/>
                      <w:sz w:val="20"/>
                      <w:szCs w:val="20"/>
                    </w:rPr>
                  </w:pPr>
                </w:p>
              </w:tc>
              <w:tc>
                <w:tcPr>
                  <w:tcW w:w="4054" w:type="dxa"/>
                  <w:gridSpan w:val="4"/>
                  <w:tcBorders>
                    <w:top w:val="single" w:sz="3" w:space="0" w:color="000000"/>
                    <w:left w:val="single" w:sz="3" w:space="0" w:color="000000"/>
                    <w:bottom w:val="single" w:sz="3" w:space="0" w:color="000000"/>
                    <w:right w:val="single" w:sz="3" w:space="0" w:color="000000"/>
                  </w:tcBorders>
                </w:tcPr>
                <w:p w14:paraId="66DAC75C" w14:textId="77777777" w:rsidR="00905DC2" w:rsidRPr="003549B4" w:rsidRDefault="00905DC2" w:rsidP="00D53B67">
                  <w:pPr>
                    <w:spacing w:after="0"/>
                    <w:ind w:left="-29"/>
                    <w:rPr>
                      <w:rFonts w:ascii="Times New Roman" w:hAnsi="Times New Roman" w:cs="Times New Roman"/>
                      <w:sz w:val="20"/>
                      <w:szCs w:val="20"/>
                    </w:rPr>
                  </w:pPr>
                  <w:r w:rsidRPr="003549B4">
                    <w:rPr>
                      <w:rFonts w:ascii="Times New Roman" w:hAnsi="Times New Roman" w:cs="Times New Roman"/>
                      <w:sz w:val="20"/>
                      <w:szCs w:val="20"/>
                    </w:rPr>
                    <w:t xml:space="preserve">Pre plynové turbíny platia EL pri zaťažení &gt; 70% </w:t>
                  </w:r>
                </w:p>
              </w:tc>
            </w:tr>
            <w:tr w:rsidR="00905DC2" w:rsidRPr="003549B4" w14:paraId="7DDE4544" w14:textId="77777777" w:rsidTr="00D53B67">
              <w:trPr>
                <w:trHeight w:val="237"/>
                <w:jc w:val="center"/>
              </w:trPr>
              <w:tc>
                <w:tcPr>
                  <w:tcW w:w="1720" w:type="dxa"/>
                  <w:vMerge/>
                  <w:tcBorders>
                    <w:top w:val="nil"/>
                    <w:left w:val="single" w:sz="3" w:space="0" w:color="000000"/>
                    <w:bottom w:val="nil"/>
                    <w:right w:val="single" w:sz="3" w:space="0" w:color="000000"/>
                  </w:tcBorders>
                </w:tcPr>
                <w:p w14:paraId="2BC9226C" w14:textId="77777777" w:rsidR="00905DC2" w:rsidRPr="003549B4" w:rsidRDefault="00905DC2" w:rsidP="00905DC2">
                  <w:pPr>
                    <w:spacing w:after="0"/>
                    <w:rPr>
                      <w:rFonts w:ascii="Times New Roman" w:hAnsi="Times New Roman" w:cs="Times New Roman"/>
                      <w:sz w:val="20"/>
                      <w:szCs w:val="20"/>
                    </w:rPr>
                  </w:pPr>
                </w:p>
              </w:tc>
              <w:tc>
                <w:tcPr>
                  <w:tcW w:w="4054" w:type="dxa"/>
                  <w:gridSpan w:val="4"/>
                  <w:tcBorders>
                    <w:top w:val="single" w:sz="3" w:space="0" w:color="000000"/>
                    <w:left w:val="single" w:sz="3" w:space="0" w:color="000000"/>
                    <w:bottom w:val="single" w:sz="3" w:space="0" w:color="000000"/>
                    <w:right w:val="single" w:sz="3" w:space="0" w:color="000000"/>
                  </w:tcBorders>
                </w:tcPr>
                <w:p w14:paraId="5E3A4E64" w14:textId="77777777" w:rsidR="00905DC2" w:rsidRPr="003549B4" w:rsidRDefault="00905DC2" w:rsidP="00905DC2">
                  <w:pPr>
                    <w:spacing w:after="0"/>
                    <w:jc w:val="center"/>
                    <w:rPr>
                      <w:rFonts w:ascii="Times New Roman" w:hAnsi="Times New Roman" w:cs="Times New Roman"/>
                      <w:sz w:val="20"/>
                      <w:szCs w:val="20"/>
                    </w:rPr>
                  </w:pPr>
                  <w:r w:rsidRPr="003549B4">
                    <w:rPr>
                      <w:rFonts w:ascii="Times New Roman" w:hAnsi="Times New Roman" w:cs="Times New Roman"/>
                      <w:b/>
                      <w:sz w:val="20"/>
                      <w:szCs w:val="20"/>
                    </w:rPr>
                    <w:t xml:space="preserve">Emisný limit </w:t>
                  </w:r>
                  <w:r w:rsidRPr="003549B4">
                    <w:rPr>
                      <w:rFonts w:ascii="Times New Roman" w:hAnsi="Times New Roman" w:cs="Times New Roman"/>
                      <w:b/>
                      <w:sz w:val="20"/>
                      <w:szCs w:val="20"/>
                    </w:rPr>
                    <w:sym w:font="Symbol" w:char="F05B"/>
                  </w:r>
                  <w:r w:rsidRPr="003549B4">
                    <w:rPr>
                      <w:rFonts w:ascii="Times New Roman" w:hAnsi="Times New Roman" w:cs="Times New Roman"/>
                      <w:b/>
                      <w:sz w:val="20"/>
                      <w:szCs w:val="20"/>
                    </w:rPr>
                    <w:t>mg/m</w:t>
                  </w:r>
                  <w:r w:rsidRPr="003549B4">
                    <w:rPr>
                      <w:rFonts w:ascii="Times New Roman" w:hAnsi="Times New Roman" w:cs="Times New Roman"/>
                      <w:b/>
                      <w:sz w:val="20"/>
                      <w:szCs w:val="20"/>
                      <w:vertAlign w:val="superscript"/>
                    </w:rPr>
                    <w:t>3</w:t>
                  </w:r>
                  <w:r w:rsidRPr="003549B4">
                    <w:rPr>
                      <w:rFonts w:ascii="Times New Roman" w:hAnsi="Times New Roman" w:cs="Times New Roman"/>
                      <w:b/>
                      <w:sz w:val="20"/>
                      <w:szCs w:val="20"/>
                    </w:rPr>
                    <w:sym w:font="Symbol" w:char="F05D"/>
                  </w:r>
                </w:p>
              </w:tc>
            </w:tr>
            <w:tr w:rsidR="00905DC2" w:rsidRPr="003549B4" w14:paraId="4787938F" w14:textId="77777777" w:rsidTr="00D53B67">
              <w:trPr>
                <w:trHeight w:val="221"/>
                <w:jc w:val="center"/>
              </w:trPr>
              <w:tc>
                <w:tcPr>
                  <w:tcW w:w="1720" w:type="dxa"/>
                  <w:vMerge/>
                  <w:tcBorders>
                    <w:top w:val="nil"/>
                    <w:left w:val="single" w:sz="3" w:space="0" w:color="000000"/>
                    <w:bottom w:val="single" w:sz="3" w:space="0" w:color="000000"/>
                    <w:right w:val="single" w:sz="3" w:space="0" w:color="000000"/>
                  </w:tcBorders>
                </w:tcPr>
                <w:p w14:paraId="531433F8" w14:textId="77777777" w:rsidR="00905DC2" w:rsidRPr="003549B4" w:rsidRDefault="00905DC2" w:rsidP="00905DC2">
                  <w:pPr>
                    <w:spacing w:after="0"/>
                    <w:rPr>
                      <w:rFonts w:ascii="Times New Roman" w:hAnsi="Times New Roman" w:cs="Times New Roman"/>
                      <w:sz w:val="20"/>
                      <w:szCs w:val="20"/>
                    </w:rPr>
                  </w:pPr>
                </w:p>
              </w:tc>
              <w:tc>
                <w:tcPr>
                  <w:tcW w:w="777" w:type="dxa"/>
                  <w:tcBorders>
                    <w:top w:val="single" w:sz="3" w:space="0" w:color="000000"/>
                    <w:left w:val="single" w:sz="3" w:space="0" w:color="000000"/>
                    <w:bottom w:val="single" w:sz="3" w:space="0" w:color="000000"/>
                    <w:right w:val="single" w:sz="3" w:space="0" w:color="000000"/>
                  </w:tcBorders>
                  <w:vAlign w:val="center"/>
                </w:tcPr>
                <w:p w14:paraId="491A8B15" w14:textId="77777777" w:rsidR="00905DC2" w:rsidRPr="003549B4" w:rsidRDefault="00905DC2" w:rsidP="00905DC2">
                  <w:pPr>
                    <w:spacing w:after="0"/>
                    <w:ind w:left="14"/>
                    <w:jc w:val="center"/>
                    <w:rPr>
                      <w:rFonts w:ascii="Times New Roman" w:hAnsi="Times New Roman" w:cs="Times New Roman"/>
                      <w:sz w:val="20"/>
                      <w:szCs w:val="20"/>
                    </w:rPr>
                  </w:pPr>
                  <w:r w:rsidRPr="003549B4">
                    <w:rPr>
                      <w:rFonts w:ascii="Times New Roman" w:hAnsi="Times New Roman" w:cs="Times New Roman"/>
                      <w:b/>
                      <w:sz w:val="20"/>
                      <w:szCs w:val="20"/>
                    </w:rPr>
                    <w:t>TZL</w:t>
                  </w:r>
                </w:p>
              </w:tc>
              <w:tc>
                <w:tcPr>
                  <w:tcW w:w="1136" w:type="dxa"/>
                  <w:tcBorders>
                    <w:top w:val="single" w:sz="3" w:space="0" w:color="000000"/>
                    <w:left w:val="single" w:sz="3" w:space="0" w:color="000000"/>
                    <w:bottom w:val="single" w:sz="3" w:space="0" w:color="000000"/>
                    <w:right w:val="single" w:sz="3" w:space="0" w:color="000000"/>
                  </w:tcBorders>
                  <w:vAlign w:val="center"/>
                </w:tcPr>
                <w:p w14:paraId="1A56843D" w14:textId="77777777" w:rsidR="00905DC2" w:rsidRPr="003549B4" w:rsidRDefault="00905DC2" w:rsidP="00905DC2">
                  <w:pPr>
                    <w:spacing w:after="0"/>
                    <w:ind w:left="17"/>
                    <w:jc w:val="center"/>
                    <w:rPr>
                      <w:rFonts w:ascii="Times New Roman" w:hAnsi="Times New Roman" w:cs="Times New Roman"/>
                      <w:sz w:val="20"/>
                      <w:szCs w:val="20"/>
                    </w:rPr>
                  </w:pPr>
                  <w:r w:rsidRPr="003549B4">
                    <w:rPr>
                      <w:rFonts w:ascii="Times New Roman" w:hAnsi="Times New Roman" w:cs="Times New Roman"/>
                      <w:b/>
                      <w:sz w:val="20"/>
                      <w:szCs w:val="20"/>
                    </w:rPr>
                    <w:t>SO2</w:t>
                  </w:r>
                </w:p>
              </w:tc>
              <w:tc>
                <w:tcPr>
                  <w:tcW w:w="1135" w:type="dxa"/>
                  <w:tcBorders>
                    <w:top w:val="single" w:sz="3" w:space="0" w:color="000000"/>
                    <w:left w:val="single" w:sz="3" w:space="0" w:color="000000"/>
                    <w:bottom w:val="single" w:sz="3" w:space="0" w:color="000000"/>
                    <w:right w:val="single" w:sz="3" w:space="0" w:color="000000"/>
                  </w:tcBorders>
                  <w:vAlign w:val="center"/>
                </w:tcPr>
                <w:p w14:paraId="041BE950" w14:textId="77777777" w:rsidR="00905DC2" w:rsidRPr="003549B4" w:rsidRDefault="00905DC2" w:rsidP="00905DC2">
                  <w:pPr>
                    <w:spacing w:after="0"/>
                    <w:ind w:left="16"/>
                    <w:jc w:val="center"/>
                    <w:rPr>
                      <w:rFonts w:ascii="Times New Roman" w:hAnsi="Times New Roman" w:cs="Times New Roman"/>
                      <w:sz w:val="20"/>
                      <w:szCs w:val="20"/>
                    </w:rPr>
                  </w:pPr>
                  <w:r w:rsidRPr="003549B4">
                    <w:rPr>
                      <w:rFonts w:ascii="Times New Roman" w:hAnsi="Times New Roman" w:cs="Times New Roman"/>
                      <w:b/>
                      <w:sz w:val="20"/>
                      <w:szCs w:val="20"/>
                    </w:rPr>
                    <w:t>NOX</w:t>
                  </w:r>
                </w:p>
              </w:tc>
              <w:tc>
                <w:tcPr>
                  <w:tcW w:w="1006" w:type="dxa"/>
                  <w:tcBorders>
                    <w:top w:val="single" w:sz="3" w:space="0" w:color="000000"/>
                    <w:left w:val="single" w:sz="3" w:space="0" w:color="000000"/>
                    <w:bottom w:val="single" w:sz="3" w:space="0" w:color="000000"/>
                    <w:right w:val="single" w:sz="3" w:space="0" w:color="000000"/>
                  </w:tcBorders>
                  <w:vAlign w:val="center"/>
                </w:tcPr>
                <w:p w14:paraId="3DD24AAD" w14:textId="77777777" w:rsidR="00905DC2" w:rsidRPr="003549B4" w:rsidRDefault="00905DC2" w:rsidP="00905DC2">
                  <w:pPr>
                    <w:spacing w:after="0"/>
                    <w:ind w:left="19"/>
                    <w:jc w:val="center"/>
                    <w:rPr>
                      <w:rFonts w:ascii="Times New Roman" w:hAnsi="Times New Roman" w:cs="Times New Roman"/>
                      <w:sz w:val="20"/>
                      <w:szCs w:val="20"/>
                    </w:rPr>
                  </w:pPr>
                  <w:r w:rsidRPr="003549B4">
                    <w:rPr>
                      <w:rFonts w:ascii="Times New Roman" w:hAnsi="Times New Roman" w:cs="Times New Roman"/>
                      <w:b/>
                      <w:sz w:val="20"/>
                      <w:szCs w:val="20"/>
                    </w:rPr>
                    <w:t>CO</w:t>
                  </w:r>
                </w:p>
              </w:tc>
            </w:tr>
            <w:tr w:rsidR="00905DC2" w:rsidRPr="003549B4" w14:paraId="0C42A9A9" w14:textId="77777777" w:rsidTr="00D53B67">
              <w:trPr>
                <w:trHeight w:val="223"/>
                <w:jc w:val="center"/>
              </w:trPr>
              <w:tc>
                <w:tcPr>
                  <w:tcW w:w="1720" w:type="dxa"/>
                  <w:tcBorders>
                    <w:top w:val="single" w:sz="3" w:space="0" w:color="000000"/>
                    <w:left w:val="single" w:sz="3" w:space="0" w:color="000000"/>
                    <w:bottom w:val="single" w:sz="3" w:space="0" w:color="000000"/>
                    <w:right w:val="single" w:sz="3" w:space="0" w:color="000000"/>
                  </w:tcBorders>
                </w:tcPr>
                <w:p w14:paraId="37349E15" w14:textId="77777777" w:rsidR="00905DC2" w:rsidRPr="003549B4" w:rsidRDefault="00905DC2" w:rsidP="00905DC2">
                  <w:pPr>
                    <w:spacing w:after="0"/>
                    <w:ind w:left="91"/>
                    <w:rPr>
                      <w:rFonts w:ascii="Times New Roman" w:hAnsi="Times New Roman" w:cs="Times New Roman"/>
                      <w:sz w:val="20"/>
                      <w:szCs w:val="20"/>
                    </w:rPr>
                  </w:pPr>
                  <w:r w:rsidRPr="003549B4">
                    <w:rPr>
                      <w:rFonts w:ascii="Times New Roman" w:hAnsi="Times New Roman" w:cs="Times New Roman"/>
                      <w:sz w:val="20"/>
                      <w:szCs w:val="20"/>
                    </w:rPr>
                    <w:t xml:space="preserve">Plynový olej  </w:t>
                  </w:r>
                </w:p>
              </w:tc>
              <w:tc>
                <w:tcPr>
                  <w:tcW w:w="777" w:type="dxa"/>
                  <w:tcBorders>
                    <w:top w:val="single" w:sz="3" w:space="0" w:color="000000"/>
                    <w:left w:val="single" w:sz="3" w:space="0" w:color="000000"/>
                    <w:bottom w:val="single" w:sz="3" w:space="0" w:color="000000"/>
                    <w:right w:val="single" w:sz="3" w:space="0" w:color="000000"/>
                  </w:tcBorders>
                  <w:vAlign w:val="center"/>
                </w:tcPr>
                <w:p w14:paraId="78A149E4" w14:textId="77777777" w:rsidR="00905DC2" w:rsidRPr="003549B4" w:rsidRDefault="00905DC2" w:rsidP="00905DC2">
                  <w:pPr>
                    <w:spacing w:after="0"/>
                    <w:ind w:left="15"/>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136" w:type="dxa"/>
                  <w:tcBorders>
                    <w:top w:val="single" w:sz="3" w:space="0" w:color="000000"/>
                    <w:left w:val="single" w:sz="3" w:space="0" w:color="000000"/>
                    <w:bottom w:val="single" w:sz="3" w:space="0" w:color="000000"/>
                    <w:right w:val="single" w:sz="3" w:space="0" w:color="000000"/>
                  </w:tcBorders>
                  <w:vAlign w:val="center"/>
                </w:tcPr>
                <w:p w14:paraId="5E9CADDB" w14:textId="77777777" w:rsidR="00905DC2" w:rsidRPr="003549B4" w:rsidRDefault="00905DC2" w:rsidP="00905DC2">
                  <w:pPr>
                    <w:spacing w:after="0"/>
                    <w:ind w:left="15"/>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135" w:type="dxa"/>
                  <w:tcBorders>
                    <w:top w:val="single" w:sz="3" w:space="0" w:color="000000"/>
                    <w:left w:val="single" w:sz="3" w:space="0" w:color="000000"/>
                    <w:bottom w:val="single" w:sz="3" w:space="0" w:color="000000"/>
                    <w:right w:val="single" w:sz="3" w:space="0" w:color="000000"/>
                  </w:tcBorders>
                  <w:vAlign w:val="center"/>
                </w:tcPr>
                <w:p w14:paraId="3BC6987B" w14:textId="77777777" w:rsidR="00905DC2" w:rsidRPr="003549B4" w:rsidRDefault="00905DC2" w:rsidP="00905DC2">
                  <w:pPr>
                    <w:spacing w:after="0"/>
                    <w:ind w:left="16"/>
                    <w:jc w:val="center"/>
                    <w:rPr>
                      <w:rFonts w:ascii="Times New Roman" w:hAnsi="Times New Roman" w:cs="Times New Roman"/>
                      <w:sz w:val="20"/>
                      <w:szCs w:val="20"/>
                    </w:rPr>
                  </w:pPr>
                  <w:r w:rsidRPr="003549B4">
                    <w:rPr>
                      <w:rFonts w:ascii="Times New Roman" w:hAnsi="Times New Roman" w:cs="Times New Roman"/>
                      <w:sz w:val="20"/>
                      <w:szCs w:val="20"/>
                    </w:rPr>
                    <w:t>75</w:t>
                  </w:r>
                </w:p>
              </w:tc>
              <w:tc>
                <w:tcPr>
                  <w:tcW w:w="1006" w:type="dxa"/>
                  <w:tcBorders>
                    <w:top w:val="single" w:sz="3" w:space="0" w:color="000000"/>
                    <w:left w:val="single" w:sz="3" w:space="0" w:color="000000"/>
                    <w:bottom w:val="single" w:sz="3" w:space="0" w:color="000000"/>
                    <w:right w:val="single" w:sz="3" w:space="0" w:color="000000"/>
                  </w:tcBorders>
                  <w:vAlign w:val="center"/>
                </w:tcPr>
                <w:p w14:paraId="4CD46C11" w14:textId="77777777" w:rsidR="00905DC2" w:rsidRPr="003549B4" w:rsidRDefault="00905DC2" w:rsidP="00905DC2">
                  <w:pPr>
                    <w:spacing w:after="0"/>
                    <w:ind w:left="20"/>
                    <w:jc w:val="center"/>
                    <w:rPr>
                      <w:rFonts w:ascii="Times New Roman" w:hAnsi="Times New Roman" w:cs="Times New Roman"/>
                      <w:sz w:val="20"/>
                      <w:szCs w:val="20"/>
                    </w:rPr>
                  </w:pPr>
                  <w:r w:rsidRPr="003549B4">
                    <w:rPr>
                      <w:rFonts w:ascii="Times New Roman" w:hAnsi="Times New Roman" w:cs="Times New Roman"/>
                      <w:sz w:val="20"/>
                      <w:szCs w:val="20"/>
                    </w:rPr>
                    <w:t>100</w:t>
                  </w:r>
                </w:p>
              </w:tc>
            </w:tr>
            <w:tr w:rsidR="00905DC2" w:rsidRPr="003549B4" w14:paraId="6B9CFA97" w14:textId="77777777" w:rsidTr="00D53B67">
              <w:trPr>
                <w:trHeight w:val="221"/>
                <w:jc w:val="center"/>
              </w:trPr>
              <w:tc>
                <w:tcPr>
                  <w:tcW w:w="1720" w:type="dxa"/>
                  <w:tcBorders>
                    <w:top w:val="single" w:sz="3" w:space="0" w:color="000000"/>
                    <w:left w:val="single" w:sz="3" w:space="0" w:color="000000"/>
                    <w:bottom w:val="single" w:sz="3" w:space="0" w:color="000000"/>
                    <w:right w:val="single" w:sz="3" w:space="0" w:color="000000"/>
                  </w:tcBorders>
                </w:tcPr>
                <w:p w14:paraId="747377EE" w14:textId="77777777" w:rsidR="00905DC2" w:rsidRPr="003549B4" w:rsidRDefault="00905DC2" w:rsidP="00905DC2">
                  <w:pPr>
                    <w:spacing w:after="0"/>
                    <w:ind w:left="91"/>
                    <w:rPr>
                      <w:rFonts w:ascii="Times New Roman" w:hAnsi="Times New Roman" w:cs="Times New Roman"/>
                      <w:sz w:val="20"/>
                      <w:szCs w:val="20"/>
                    </w:rPr>
                  </w:pPr>
                  <w:r w:rsidRPr="003549B4">
                    <w:rPr>
                      <w:rFonts w:ascii="Times New Roman" w:hAnsi="Times New Roman" w:cs="Times New Roman"/>
                      <w:sz w:val="20"/>
                      <w:szCs w:val="20"/>
                    </w:rPr>
                    <w:t xml:space="preserve">Iné kvapalné palivá </w:t>
                  </w:r>
                </w:p>
              </w:tc>
              <w:tc>
                <w:tcPr>
                  <w:tcW w:w="777" w:type="dxa"/>
                  <w:tcBorders>
                    <w:top w:val="single" w:sz="3" w:space="0" w:color="000000"/>
                    <w:left w:val="single" w:sz="3" w:space="0" w:color="000000"/>
                    <w:bottom w:val="single" w:sz="3" w:space="0" w:color="000000"/>
                    <w:right w:val="single" w:sz="3" w:space="0" w:color="000000"/>
                  </w:tcBorders>
                  <w:vAlign w:val="center"/>
                </w:tcPr>
                <w:p w14:paraId="0CCCE6DE" w14:textId="77777777" w:rsidR="00905DC2" w:rsidRPr="003549B4" w:rsidRDefault="00905DC2" w:rsidP="00905DC2">
                  <w:pPr>
                    <w:spacing w:after="0"/>
                    <w:ind w:left="17"/>
                    <w:jc w:val="center"/>
                    <w:rPr>
                      <w:rFonts w:ascii="Times New Roman" w:hAnsi="Times New Roman" w:cs="Times New Roman"/>
                      <w:sz w:val="20"/>
                      <w:szCs w:val="20"/>
                    </w:rPr>
                  </w:pPr>
                  <w:r w:rsidRPr="003549B4">
                    <w:rPr>
                      <w:rFonts w:ascii="Times New Roman" w:hAnsi="Times New Roman" w:cs="Times New Roman"/>
                      <w:sz w:val="20"/>
                      <w:szCs w:val="20"/>
                    </w:rPr>
                    <w:t>10, 20</w:t>
                  </w:r>
                  <w:r w:rsidRPr="003549B4">
                    <w:rPr>
                      <w:rFonts w:ascii="Times New Roman" w:hAnsi="Times New Roman" w:cs="Times New Roman"/>
                      <w:sz w:val="20"/>
                      <w:szCs w:val="20"/>
                      <w:vertAlign w:val="superscript"/>
                    </w:rPr>
                    <w:t>1</w:t>
                  </w:r>
                  <w:r w:rsidRPr="003549B4">
                    <w:rPr>
                      <w:rFonts w:ascii="Times New Roman" w:hAnsi="Times New Roman" w:cs="Times New Roman"/>
                      <w:sz w:val="20"/>
                      <w:szCs w:val="20"/>
                    </w:rPr>
                    <w:t>)</w:t>
                  </w:r>
                </w:p>
              </w:tc>
              <w:tc>
                <w:tcPr>
                  <w:tcW w:w="1136" w:type="dxa"/>
                  <w:tcBorders>
                    <w:top w:val="single" w:sz="3" w:space="0" w:color="000000"/>
                    <w:left w:val="single" w:sz="3" w:space="0" w:color="000000"/>
                    <w:bottom w:val="single" w:sz="3" w:space="0" w:color="000000"/>
                    <w:right w:val="single" w:sz="3" w:space="0" w:color="000000"/>
                  </w:tcBorders>
                  <w:vAlign w:val="center"/>
                </w:tcPr>
                <w:p w14:paraId="2BC17A70" w14:textId="77777777" w:rsidR="00905DC2" w:rsidRPr="003549B4" w:rsidRDefault="00905DC2" w:rsidP="00905DC2">
                  <w:pPr>
                    <w:spacing w:after="0"/>
                    <w:ind w:left="13"/>
                    <w:jc w:val="center"/>
                    <w:rPr>
                      <w:rFonts w:ascii="Times New Roman" w:hAnsi="Times New Roman" w:cs="Times New Roman"/>
                      <w:sz w:val="20"/>
                      <w:szCs w:val="20"/>
                    </w:rPr>
                  </w:pPr>
                  <w:r w:rsidRPr="003549B4">
                    <w:rPr>
                      <w:rFonts w:ascii="Times New Roman" w:hAnsi="Times New Roman" w:cs="Times New Roman"/>
                      <w:sz w:val="20"/>
                      <w:szCs w:val="20"/>
                    </w:rPr>
                    <w:t>120</w:t>
                  </w:r>
                </w:p>
              </w:tc>
              <w:tc>
                <w:tcPr>
                  <w:tcW w:w="1135" w:type="dxa"/>
                  <w:tcBorders>
                    <w:top w:val="single" w:sz="3" w:space="0" w:color="000000"/>
                    <w:left w:val="single" w:sz="3" w:space="0" w:color="000000"/>
                    <w:bottom w:val="single" w:sz="3" w:space="0" w:color="000000"/>
                    <w:right w:val="single" w:sz="3" w:space="0" w:color="000000"/>
                  </w:tcBorders>
                  <w:vAlign w:val="center"/>
                </w:tcPr>
                <w:p w14:paraId="3882DF79" w14:textId="77777777" w:rsidR="00905DC2" w:rsidRPr="003549B4" w:rsidRDefault="00905DC2" w:rsidP="00905DC2">
                  <w:pPr>
                    <w:spacing w:after="0"/>
                    <w:ind w:left="16"/>
                    <w:jc w:val="center"/>
                    <w:rPr>
                      <w:rFonts w:ascii="Times New Roman" w:hAnsi="Times New Roman" w:cs="Times New Roman"/>
                      <w:sz w:val="20"/>
                      <w:szCs w:val="20"/>
                    </w:rPr>
                  </w:pPr>
                  <w:r w:rsidRPr="003549B4">
                    <w:rPr>
                      <w:rFonts w:ascii="Times New Roman" w:hAnsi="Times New Roman" w:cs="Times New Roman"/>
                      <w:sz w:val="20"/>
                      <w:szCs w:val="20"/>
                    </w:rPr>
                    <w:t>75</w:t>
                  </w:r>
                </w:p>
              </w:tc>
              <w:tc>
                <w:tcPr>
                  <w:tcW w:w="1006" w:type="dxa"/>
                  <w:tcBorders>
                    <w:top w:val="single" w:sz="3" w:space="0" w:color="000000"/>
                    <w:left w:val="single" w:sz="3" w:space="0" w:color="000000"/>
                    <w:bottom w:val="single" w:sz="3" w:space="0" w:color="000000"/>
                    <w:right w:val="single" w:sz="3" w:space="0" w:color="000000"/>
                  </w:tcBorders>
                  <w:vAlign w:val="center"/>
                </w:tcPr>
                <w:p w14:paraId="0FC3F50F" w14:textId="77777777" w:rsidR="00905DC2" w:rsidRPr="003549B4" w:rsidRDefault="00905DC2" w:rsidP="00905DC2">
                  <w:pPr>
                    <w:spacing w:after="0"/>
                    <w:ind w:left="20"/>
                    <w:jc w:val="center"/>
                    <w:rPr>
                      <w:rFonts w:ascii="Times New Roman" w:hAnsi="Times New Roman" w:cs="Times New Roman"/>
                      <w:sz w:val="20"/>
                      <w:szCs w:val="20"/>
                    </w:rPr>
                  </w:pPr>
                  <w:r w:rsidRPr="003549B4">
                    <w:rPr>
                      <w:rFonts w:ascii="Times New Roman" w:hAnsi="Times New Roman" w:cs="Times New Roman"/>
                      <w:sz w:val="20"/>
                      <w:szCs w:val="20"/>
                    </w:rPr>
                    <w:t>100</w:t>
                  </w:r>
                </w:p>
              </w:tc>
            </w:tr>
            <w:tr w:rsidR="00905DC2" w:rsidRPr="003549B4" w14:paraId="501F7A83" w14:textId="77777777" w:rsidTr="00D53B67">
              <w:trPr>
                <w:trHeight w:val="223"/>
                <w:jc w:val="center"/>
              </w:trPr>
              <w:tc>
                <w:tcPr>
                  <w:tcW w:w="1720" w:type="dxa"/>
                  <w:tcBorders>
                    <w:top w:val="single" w:sz="3" w:space="0" w:color="000000"/>
                    <w:left w:val="single" w:sz="3" w:space="0" w:color="000000"/>
                    <w:bottom w:val="single" w:sz="3" w:space="0" w:color="000000"/>
                    <w:right w:val="single" w:sz="3" w:space="0" w:color="000000"/>
                  </w:tcBorders>
                </w:tcPr>
                <w:p w14:paraId="00467144" w14:textId="77777777" w:rsidR="00905DC2" w:rsidRPr="003549B4" w:rsidRDefault="00905DC2" w:rsidP="00905DC2">
                  <w:pPr>
                    <w:spacing w:after="0"/>
                    <w:ind w:left="91"/>
                    <w:rPr>
                      <w:rFonts w:ascii="Times New Roman" w:hAnsi="Times New Roman" w:cs="Times New Roman"/>
                      <w:sz w:val="20"/>
                      <w:szCs w:val="20"/>
                    </w:rPr>
                  </w:pPr>
                  <w:r w:rsidRPr="003549B4">
                    <w:rPr>
                      <w:rFonts w:ascii="Times New Roman" w:hAnsi="Times New Roman" w:cs="Times New Roman"/>
                      <w:sz w:val="20"/>
                      <w:szCs w:val="20"/>
                    </w:rPr>
                    <w:t xml:space="preserve">ZPN </w:t>
                  </w:r>
                </w:p>
              </w:tc>
              <w:tc>
                <w:tcPr>
                  <w:tcW w:w="777" w:type="dxa"/>
                  <w:tcBorders>
                    <w:top w:val="single" w:sz="3" w:space="0" w:color="000000"/>
                    <w:left w:val="single" w:sz="3" w:space="0" w:color="000000"/>
                    <w:bottom w:val="single" w:sz="3" w:space="0" w:color="000000"/>
                    <w:right w:val="single" w:sz="3" w:space="0" w:color="000000"/>
                  </w:tcBorders>
                  <w:vAlign w:val="center"/>
                </w:tcPr>
                <w:p w14:paraId="2973DB4D" w14:textId="77777777" w:rsidR="00905DC2" w:rsidRPr="003549B4" w:rsidRDefault="00905DC2" w:rsidP="00905DC2">
                  <w:pPr>
                    <w:spacing w:after="0"/>
                    <w:ind w:left="15"/>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136" w:type="dxa"/>
                  <w:tcBorders>
                    <w:top w:val="single" w:sz="3" w:space="0" w:color="000000"/>
                    <w:left w:val="single" w:sz="3" w:space="0" w:color="000000"/>
                    <w:bottom w:val="single" w:sz="3" w:space="0" w:color="000000"/>
                    <w:right w:val="single" w:sz="3" w:space="0" w:color="000000"/>
                  </w:tcBorders>
                  <w:vAlign w:val="center"/>
                </w:tcPr>
                <w:p w14:paraId="5CB0E925" w14:textId="77777777" w:rsidR="00905DC2" w:rsidRPr="003549B4" w:rsidRDefault="00905DC2" w:rsidP="00905DC2">
                  <w:pPr>
                    <w:spacing w:after="0"/>
                    <w:ind w:left="15"/>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135" w:type="dxa"/>
                  <w:tcBorders>
                    <w:top w:val="single" w:sz="3" w:space="0" w:color="000000"/>
                    <w:left w:val="single" w:sz="3" w:space="0" w:color="000000"/>
                    <w:bottom w:val="single" w:sz="3" w:space="0" w:color="000000"/>
                    <w:right w:val="single" w:sz="3" w:space="0" w:color="000000"/>
                  </w:tcBorders>
                  <w:vAlign w:val="center"/>
                </w:tcPr>
                <w:p w14:paraId="09ED264F" w14:textId="77777777" w:rsidR="00905DC2" w:rsidRPr="003549B4" w:rsidRDefault="00905DC2" w:rsidP="00905DC2">
                  <w:pPr>
                    <w:spacing w:after="0"/>
                    <w:ind w:left="16"/>
                    <w:jc w:val="center"/>
                    <w:rPr>
                      <w:rFonts w:ascii="Times New Roman" w:hAnsi="Times New Roman" w:cs="Times New Roman"/>
                      <w:sz w:val="20"/>
                      <w:szCs w:val="20"/>
                    </w:rPr>
                  </w:pPr>
                  <w:r w:rsidRPr="003549B4">
                    <w:rPr>
                      <w:rFonts w:ascii="Times New Roman" w:hAnsi="Times New Roman" w:cs="Times New Roman"/>
                      <w:sz w:val="20"/>
                      <w:szCs w:val="20"/>
                    </w:rPr>
                    <w:t>50</w:t>
                  </w:r>
                </w:p>
              </w:tc>
              <w:tc>
                <w:tcPr>
                  <w:tcW w:w="1006" w:type="dxa"/>
                  <w:tcBorders>
                    <w:top w:val="single" w:sz="3" w:space="0" w:color="000000"/>
                    <w:left w:val="single" w:sz="3" w:space="0" w:color="000000"/>
                    <w:bottom w:val="single" w:sz="3" w:space="0" w:color="000000"/>
                    <w:right w:val="single" w:sz="3" w:space="0" w:color="000000"/>
                  </w:tcBorders>
                  <w:vAlign w:val="center"/>
                </w:tcPr>
                <w:p w14:paraId="69E34D75" w14:textId="77777777" w:rsidR="00905DC2" w:rsidRPr="003549B4" w:rsidRDefault="00905DC2" w:rsidP="00905DC2">
                  <w:pPr>
                    <w:spacing w:after="0"/>
                    <w:ind w:left="20"/>
                    <w:jc w:val="center"/>
                    <w:rPr>
                      <w:rFonts w:ascii="Times New Roman" w:hAnsi="Times New Roman" w:cs="Times New Roman"/>
                      <w:sz w:val="20"/>
                      <w:szCs w:val="20"/>
                    </w:rPr>
                  </w:pPr>
                  <w:r w:rsidRPr="003549B4">
                    <w:rPr>
                      <w:rFonts w:ascii="Times New Roman" w:hAnsi="Times New Roman" w:cs="Times New Roman"/>
                      <w:sz w:val="20"/>
                      <w:szCs w:val="20"/>
                    </w:rPr>
                    <w:t>100</w:t>
                  </w:r>
                </w:p>
              </w:tc>
            </w:tr>
            <w:tr w:rsidR="00905DC2" w:rsidRPr="003549B4" w14:paraId="0F8AB419" w14:textId="77777777" w:rsidTr="00D53B67">
              <w:trPr>
                <w:trHeight w:val="223"/>
                <w:jc w:val="center"/>
              </w:trPr>
              <w:tc>
                <w:tcPr>
                  <w:tcW w:w="1720" w:type="dxa"/>
                  <w:tcBorders>
                    <w:top w:val="single" w:sz="3" w:space="0" w:color="000000"/>
                    <w:left w:val="single" w:sz="3" w:space="0" w:color="000000"/>
                    <w:bottom w:val="single" w:sz="3" w:space="0" w:color="000000"/>
                    <w:right w:val="single" w:sz="3" w:space="0" w:color="000000"/>
                  </w:tcBorders>
                </w:tcPr>
                <w:p w14:paraId="62ABDAD7" w14:textId="77777777" w:rsidR="00905DC2" w:rsidRPr="003549B4" w:rsidRDefault="00905DC2" w:rsidP="00905DC2">
                  <w:pPr>
                    <w:spacing w:after="0"/>
                    <w:ind w:left="91"/>
                    <w:rPr>
                      <w:rFonts w:ascii="Times New Roman" w:hAnsi="Times New Roman" w:cs="Times New Roman"/>
                      <w:sz w:val="20"/>
                      <w:szCs w:val="20"/>
                    </w:rPr>
                  </w:pPr>
                  <w:r w:rsidRPr="003549B4">
                    <w:rPr>
                      <w:rFonts w:ascii="Times New Roman" w:hAnsi="Times New Roman" w:cs="Times New Roman"/>
                      <w:sz w:val="20"/>
                      <w:szCs w:val="20"/>
                    </w:rPr>
                    <w:t xml:space="preserve">Iné plynné palivá  </w:t>
                  </w:r>
                </w:p>
              </w:tc>
              <w:tc>
                <w:tcPr>
                  <w:tcW w:w="777" w:type="dxa"/>
                  <w:tcBorders>
                    <w:top w:val="single" w:sz="3" w:space="0" w:color="000000"/>
                    <w:left w:val="single" w:sz="3" w:space="0" w:color="000000"/>
                    <w:bottom w:val="single" w:sz="3" w:space="0" w:color="000000"/>
                    <w:right w:val="single" w:sz="3" w:space="0" w:color="000000"/>
                  </w:tcBorders>
                  <w:vAlign w:val="center"/>
                </w:tcPr>
                <w:p w14:paraId="75F74F7B" w14:textId="77777777" w:rsidR="00905DC2" w:rsidRPr="003549B4" w:rsidRDefault="00905DC2" w:rsidP="00905DC2">
                  <w:pPr>
                    <w:spacing w:after="0"/>
                    <w:ind w:left="15"/>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136" w:type="dxa"/>
                  <w:tcBorders>
                    <w:top w:val="single" w:sz="3" w:space="0" w:color="000000"/>
                    <w:left w:val="single" w:sz="3" w:space="0" w:color="000000"/>
                    <w:bottom w:val="single" w:sz="3" w:space="0" w:color="000000"/>
                    <w:right w:val="single" w:sz="3" w:space="0" w:color="000000"/>
                  </w:tcBorders>
                  <w:vAlign w:val="center"/>
                </w:tcPr>
                <w:p w14:paraId="2BB118AC" w14:textId="77777777" w:rsidR="00905DC2" w:rsidRPr="003549B4" w:rsidRDefault="00905DC2" w:rsidP="00905DC2">
                  <w:pPr>
                    <w:spacing w:after="0"/>
                    <w:ind w:left="13"/>
                    <w:jc w:val="center"/>
                    <w:rPr>
                      <w:rFonts w:ascii="Times New Roman" w:hAnsi="Times New Roman" w:cs="Times New Roman"/>
                      <w:sz w:val="20"/>
                      <w:szCs w:val="20"/>
                    </w:rPr>
                  </w:pPr>
                  <w:r w:rsidRPr="003549B4">
                    <w:rPr>
                      <w:rFonts w:ascii="Times New Roman" w:hAnsi="Times New Roman" w:cs="Times New Roman"/>
                      <w:sz w:val="20"/>
                      <w:szCs w:val="20"/>
                    </w:rPr>
                    <w:t>15, 40</w:t>
                  </w:r>
                  <w:r w:rsidRPr="003549B4">
                    <w:rPr>
                      <w:rFonts w:ascii="Times New Roman" w:hAnsi="Times New Roman" w:cs="Times New Roman"/>
                      <w:sz w:val="20"/>
                      <w:szCs w:val="20"/>
                      <w:vertAlign w:val="superscript"/>
                    </w:rPr>
                    <w:t>2</w:t>
                  </w:r>
                  <w:r w:rsidRPr="003549B4">
                    <w:rPr>
                      <w:rFonts w:ascii="Times New Roman" w:hAnsi="Times New Roman" w:cs="Times New Roman"/>
                      <w:sz w:val="20"/>
                      <w:szCs w:val="20"/>
                    </w:rPr>
                    <w:t>)</w:t>
                  </w:r>
                </w:p>
              </w:tc>
              <w:tc>
                <w:tcPr>
                  <w:tcW w:w="1135" w:type="dxa"/>
                  <w:tcBorders>
                    <w:top w:val="single" w:sz="3" w:space="0" w:color="000000"/>
                    <w:left w:val="single" w:sz="3" w:space="0" w:color="000000"/>
                    <w:bottom w:val="single" w:sz="3" w:space="0" w:color="000000"/>
                    <w:right w:val="single" w:sz="3" w:space="0" w:color="000000"/>
                  </w:tcBorders>
                  <w:vAlign w:val="center"/>
                </w:tcPr>
                <w:p w14:paraId="440C430B" w14:textId="77777777" w:rsidR="00905DC2" w:rsidRPr="003549B4" w:rsidRDefault="00905DC2" w:rsidP="00905DC2">
                  <w:pPr>
                    <w:spacing w:after="0"/>
                    <w:ind w:left="16"/>
                    <w:jc w:val="center"/>
                    <w:rPr>
                      <w:rFonts w:ascii="Times New Roman" w:hAnsi="Times New Roman" w:cs="Times New Roman"/>
                      <w:sz w:val="20"/>
                      <w:szCs w:val="20"/>
                    </w:rPr>
                  </w:pPr>
                  <w:r w:rsidRPr="003549B4">
                    <w:rPr>
                      <w:rFonts w:ascii="Times New Roman" w:hAnsi="Times New Roman" w:cs="Times New Roman"/>
                      <w:sz w:val="20"/>
                      <w:szCs w:val="20"/>
                    </w:rPr>
                    <w:t>75</w:t>
                  </w:r>
                </w:p>
              </w:tc>
              <w:tc>
                <w:tcPr>
                  <w:tcW w:w="1006" w:type="dxa"/>
                  <w:tcBorders>
                    <w:top w:val="single" w:sz="3" w:space="0" w:color="000000"/>
                    <w:left w:val="single" w:sz="3" w:space="0" w:color="000000"/>
                    <w:bottom w:val="single" w:sz="3" w:space="0" w:color="000000"/>
                    <w:right w:val="single" w:sz="3" w:space="0" w:color="000000"/>
                  </w:tcBorders>
                  <w:vAlign w:val="center"/>
                </w:tcPr>
                <w:p w14:paraId="2574DE8E" w14:textId="77777777" w:rsidR="00905DC2" w:rsidRPr="003549B4" w:rsidRDefault="00905DC2" w:rsidP="00905DC2">
                  <w:pPr>
                    <w:spacing w:after="0"/>
                    <w:ind w:left="20"/>
                    <w:jc w:val="center"/>
                    <w:rPr>
                      <w:rFonts w:ascii="Times New Roman" w:hAnsi="Times New Roman" w:cs="Times New Roman"/>
                      <w:sz w:val="20"/>
                      <w:szCs w:val="20"/>
                    </w:rPr>
                  </w:pPr>
                  <w:r w:rsidRPr="003549B4">
                    <w:rPr>
                      <w:rFonts w:ascii="Times New Roman" w:hAnsi="Times New Roman" w:cs="Times New Roman"/>
                      <w:sz w:val="20"/>
                      <w:szCs w:val="20"/>
                    </w:rPr>
                    <w:t>100</w:t>
                  </w:r>
                </w:p>
              </w:tc>
            </w:tr>
          </w:tbl>
          <w:p w14:paraId="572BD3A2" w14:textId="77777777" w:rsidR="00905DC2" w:rsidRPr="003549B4" w:rsidRDefault="00905DC2" w:rsidP="00905DC2">
            <w:pPr>
              <w:spacing w:after="27" w:line="247" w:lineRule="auto"/>
              <w:ind w:left="-19" w:right="770"/>
              <w:jc w:val="both"/>
              <w:rPr>
                <w:rFonts w:ascii="Times New Roman" w:eastAsia="Times New Roman" w:hAnsi="Times New Roman" w:cs="Times New Roman"/>
                <w:sz w:val="20"/>
                <w:szCs w:val="20"/>
              </w:rPr>
            </w:pPr>
            <w:r w:rsidRPr="003549B4">
              <w:rPr>
                <w:rFonts w:ascii="Times New Roman" w:eastAsia="Times New Roman" w:hAnsi="Times New Roman" w:cs="Times New Roman"/>
                <w:sz w:val="20"/>
                <w:szCs w:val="20"/>
                <w:vertAlign w:val="superscript"/>
              </w:rPr>
              <w:t>1</w:t>
            </w:r>
            <w:r w:rsidRPr="003549B4">
              <w:rPr>
                <w:rFonts w:ascii="Times New Roman" w:eastAsia="Times New Roman" w:hAnsi="Times New Roman" w:cs="Times New Roman"/>
                <w:sz w:val="20"/>
                <w:szCs w:val="20"/>
              </w:rPr>
              <w:t xml:space="preserve">) Platí pre zariadenia s MTP ≤ 5 MW. </w:t>
            </w:r>
          </w:p>
          <w:p w14:paraId="4762E2AA" w14:textId="77777777" w:rsidR="00905DC2" w:rsidRPr="003549B4" w:rsidRDefault="00905DC2" w:rsidP="00905DC2">
            <w:pPr>
              <w:spacing w:after="5" w:line="247" w:lineRule="auto"/>
              <w:ind w:left="-19" w:right="770"/>
              <w:jc w:val="both"/>
              <w:rPr>
                <w:rFonts w:ascii="Times New Roman" w:eastAsia="Times New Roman" w:hAnsi="Times New Roman" w:cs="Times New Roman"/>
                <w:sz w:val="20"/>
                <w:szCs w:val="20"/>
              </w:rPr>
            </w:pPr>
            <w:r w:rsidRPr="003549B4">
              <w:rPr>
                <w:rFonts w:ascii="Times New Roman" w:eastAsia="Times New Roman" w:hAnsi="Times New Roman" w:cs="Times New Roman"/>
                <w:sz w:val="20"/>
                <w:szCs w:val="20"/>
                <w:vertAlign w:val="superscript"/>
              </w:rPr>
              <w:t>2</w:t>
            </w:r>
            <w:r w:rsidRPr="003549B4">
              <w:rPr>
                <w:rFonts w:ascii="Times New Roman" w:eastAsia="Times New Roman" w:hAnsi="Times New Roman" w:cs="Times New Roman"/>
                <w:sz w:val="20"/>
                <w:szCs w:val="20"/>
              </w:rPr>
              <w:t xml:space="preserve">) Platí pre spaľovanie bioplynu. </w:t>
            </w:r>
          </w:p>
          <w:p w14:paraId="379E746B" w14:textId="77777777" w:rsidR="00905DC2" w:rsidRPr="003549B4" w:rsidRDefault="00905DC2" w:rsidP="00D53B67">
            <w:pPr>
              <w:spacing w:after="0" w:line="240" w:lineRule="auto"/>
              <w:ind w:left="284" w:hanging="284"/>
              <w:rPr>
                <w:rFonts w:ascii="Times New Roman" w:eastAsia="Times New Roman" w:hAnsi="Times New Roman" w:cs="Times New Roman"/>
                <w:sz w:val="20"/>
                <w:szCs w:val="20"/>
              </w:rPr>
            </w:pPr>
          </w:p>
          <w:p w14:paraId="54E4EC7C" w14:textId="77777777" w:rsidR="00905DC2" w:rsidRPr="003549B4" w:rsidRDefault="00905DC2" w:rsidP="00D53B67">
            <w:pPr>
              <w:spacing w:after="0" w:line="240" w:lineRule="auto"/>
              <w:ind w:left="284" w:hanging="284"/>
              <w:rPr>
                <w:rFonts w:ascii="Times New Roman" w:hAnsi="Times New Roman" w:cs="Times New Roman"/>
                <w:sz w:val="20"/>
                <w:szCs w:val="20"/>
              </w:rPr>
            </w:pPr>
            <w:r w:rsidRPr="003549B4">
              <w:rPr>
                <w:rFonts w:ascii="Times New Roman" w:hAnsi="Times New Roman" w:cs="Times New Roman"/>
                <w:sz w:val="20"/>
                <w:szCs w:val="20"/>
              </w:rPr>
              <w:t xml:space="preserve">4.     Spaľovacie zariadenie zložené zo stacionárnych piestových spaľovacích motorov  </w:t>
            </w:r>
          </w:p>
          <w:p w14:paraId="6D51330D" w14:textId="77777777" w:rsidR="00905DC2" w:rsidRPr="003549B4" w:rsidRDefault="00905DC2" w:rsidP="00D53B67">
            <w:pPr>
              <w:spacing w:before="120" w:after="120" w:line="240" w:lineRule="auto"/>
              <w:ind w:left="284" w:hanging="284"/>
              <w:rPr>
                <w:rFonts w:ascii="Times New Roman" w:hAnsi="Times New Roman" w:cs="Times New Roman"/>
                <w:sz w:val="20"/>
                <w:szCs w:val="20"/>
              </w:rPr>
            </w:pPr>
            <w:r w:rsidRPr="003549B4">
              <w:rPr>
                <w:rFonts w:ascii="Times New Roman" w:hAnsi="Times New Roman" w:cs="Times New Roman"/>
                <w:sz w:val="20"/>
                <w:szCs w:val="20"/>
              </w:rPr>
              <w:t xml:space="preserve">B. Emisné limity pre piestové spaľovacie motory – nové zariadenia </w:t>
            </w:r>
          </w:p>
          <w:tbl>
            <w:tblPr>
              <w:tblW w:w="4993" w:type="pct"/>
              <w:jc w:val="center"/>
              <w:tblLayout w:type="fixed"/>
              <w:tblCellMar>
                <w:top w:w="12" w:type="dxa"/>
                <w:left w:w="91" w:type="dxa"/>
                <w:right w:w="65" w:type="dxa"/>
              </w:tblCellMar>
              <w:tblLook w:val="04A0" w:firstRow="1" w:lastRow="0" w:firstColumn="1" w:lastColumn="0" w:noHBand="0" w:noVBand="1"/>
            </w:tblPr>
            <w:tblGrid>
              <w:gridCol w:w="1309"/>
              <w:gridCol w:w="791"/>
              <w:gridCol w:w="792"/>
              <w:gridCol w:w="1177"/>
              <w:gridCol w:w="661"/>
              <w:gridCol w:w="989"/>
            </w:tblGrid>
            <w:tr w:rsidR="00905DC2" w:rsidRPr="003549B4" w14:paraId="4D25E9E7" w14:textId="77777777" w:rsidTr="00D53B67">
              <w:trPr>
                <w:trHeight w:val="324"/>
                <w:jc w:val="center"/>
              </w:trPr>
              <w:tc>
                <w:tcPr>
                  <w:tcW w:w="1324" w:type="dxa"/>
                  <w:vMerge w:val="restart"/>
                  <w:tcBorders>
                    <w:top w:val="single" w:sz="3" w:space="0" w:color="000000"/>
                    <w:left w:val="single" w:sz="3" w:space="0" w:color="000000"/>
                    <w:right w:val="single" w:sz="3" w:space="0" w:color="000000"/>
                  </w:tcBorders>
                  <w:vAlign w:val="center"/>
                </w:tcPr>
                <w:p w14:paraId="5F206A0A" w14:textId="77777777" w:rsidR="00905DC2" w:rsidRPr="003549B4" w:rsidRDefault="00905DC2" w:rsidP="00905DC2">
                  <w:pPr>
                    <w:spacing w:after="0"/>
                    <w:rPr>
                      <w:rFonts w:ascii="Times New Roman" w:hAnsi="Times New Roman" w:cs="Times New Roman"/>
                      <w:sz w:val="20"/>
                      <w:szCs w:val="20"/>
                    </w:rPr>
                  </w:pPr>
                  <w:r w:rsidRPr="003549B4">
                    <w:rPr>
                      <w:rFonts w:ascii="Times New Roman" w:hAnsi="Times New Roman" w:cs="Times New Roman"/>
                      <w:b/>
                      <w:sz w:val="20"/>
                      <w:szCs w:val="20"/>
                    </w:rPr>
                    <w:t xml:space="preserve">Podmienky platnosti  </w:t>
                  </w:r>
                </w:p>
                <w:p w14:paraId="7990E642" w14:textId="77777777" w:rsidR="00905DC2" w:rsidRPr="003549B4" w:rsidRDefault="00905DC2" w:rsidP="00905DC2">
                  <w:pPr>
                    <w:spacing w:after="0"/>
                    <w:rPr>
                      <w:rFonts w:ascii="Times New Roman" w:hAnsi="Times New Roman" w:cs="Times New Roman"/>
                      <w:sz w:val="20"/>
                      <w:szCs w:val="20"/>
                    </w:rPr>
                  </w:pPr>
                  <w:r w:rsidRPr="003549B4">
                    <w:rPr>
                      <w:rFonts w:ascii="Times New Roman" w:hAnsi="Times New Roman" w:cs="Times New Roman"/>
                      <w:b/>
                      <w:sz w:val="20"/>
                      <w:szCs w:val="20"/>
                    </w:rPr>
                    <w:t xml:space="preserve">EL </w:t>
                  </w:r>
                </w:p>
              </w:tc>
              <w:tc>
                <w:tcPr>
                  <w:tcW w:w="4458" w:type="dxa"/>
                  <w:gridSpan w:val="5"/>
                  <w:tcBorders>
                    <w:top w:val="single" w:sz="3" w:space="0" w:color="000000"/>
                    <w:left w:val="single" w:sz="3" w:space="0" w:color="000000"/>
                    <w:bottom w:val="single" w:sz="3" w:space="0" w:color="000000"/>
                    <w:right w:val="single" w:sz="3" w:space="0" w:color="000000"/>
                  </w:tcBorders>
                </w:tcPr>
                <w:p w14:paraId="46DE7002" w14:textId="77777777" w:rsidR="00D7201C" w:rsidRPr="003549B4" w:rsidRDefault="00905DC2" w:rsidP="00905DC2">
                  <w:pPr>
                    <w:spacing w:after="0"/>
                    <w:ind w:left="2"/>
                    <w:rPr>
                      <w:rFonts w:ascii="Times New Roman" w:hAnsi="Times New Roman" w:cs="Times New Roman"/>
                      <w:sz w:val="20"/>
                      <w:szCs w:val="20"/>
                    </w:rPr>
                  </w:pPr>
                  <w:r w:rsidRPr="003549B4">
                    <w:rPr>
                      <w:rFonts w:ascii="Times New Roman" w:hAnsi="Times New Roman" w:cs="Times New Roman"/>
                      <w:sz w:val="20"/>
                      <w:szCs w:val="20"/>
                    </w:rPr>
                    <w:t>Štandardné stavové podmienky, suchý plyn,</w:t>
                  </w:r>
                </w:p>
                <w:p w14:paraId="5E7BC448" w14:textId="77777777" w:rsidR="00905DC2" w:rsidRPr="003549B4" w:rsidRDefault="00905DC2" w:rsidP="00905DC2">
                  <w:pPr>
                    <w:spacing w:after="0"/>
                    <w:ind w:left="2"/>
                    <w:rPr>
                      <w:rFonts w:ascii="Times New Roman" w:hAnsi="Times New Roman" w:cs="Times New Roman"/>
                      <w:sz w:val="20"/>
                      <w:szCs w:val="20"/>
                    </w:rPr>
                  </w:pPr>
                  <w:r w:rsidRPr="003549B4">
                    <w:rPr>
                      <w:rFonts w:ascii="Times New Roman" w:hAnsi="Times New Roman" w:cs="Times New Roman"/>
                      <w:sz w:val="20"/>
                      <w:szCs w:val="20"/>
                    </w:rPr>
                    <w:t>O</w:t>
                  </w:r>
                  <w:r w:rsidRPr="003549B4">
                    <w:rPr>
                      <w:rFonts w:ascii="Times New Roman" w:hAnsi="Times New Roman" w:cs="Times New Roman"/>
                      <w:sz w:val="20"/>
                      <w:szCs w:val="20"/>
                      <w:vertAlign w:val="subscript"/>
                    </w:rPr>
                    <w:t>2</w:t>
                  </w:r>
                  <w:r w:rsidRPr="003549B4">
                    <w:rPr>
                      <w:rFonts w:ascii="Times New Roman" w:hAnsi="Times New Roman" w:cs="Times New Roman"/>
                      <w:sz w:val="20"/>
                      <w:szCs w:val="20"/>
                    </w:rPr>
                    <w:t xml:space="preserve"> </w:t>
                  </w:r>
                  <w:r w:rsidRPr="003549B4">
                    <w:rPr>
                      <w:rFonts w:ascii="Times New Roman" w:hAnsi="Times New Roman" w:cs="Times New Roman"/>
                      <w:sz w:val="20"/>
                      <w:szCs w:val="20"/>
                      <w:vertAlign w:val="subscript"/>
                    </w:rPr>
                    <w:t>ref</w:t>
                  </w:r>
                  <w:r w:rsidRPr="003549B4">
                    <w:rPr>
                      <w:rFonts w:ascii="Times New Roman" w:hAnsi="Times New Roman" w:cs="Times New Roman"/>
                      <w:sz w:val="20"/>
                      <w:szCs w:val="20"/>
                    </w:rPr>
                    <w:t xml:space="preserve">: 15 % objemu  </w:t>
                  </w:r>
                </w:p>
              </w:tc>
            </w:tr>
            <w:tr w:rsidR="00905DC2" w:rsidRPr="003549B4" w14:paraId="78158C0A" w14:textId="77777777" w:rsidTr="00D53B67">
              <w:trPr>
                <w:trHeight w:val="649"/>
                <w:jc w:val="center"/>
              </w:trPr>
              <w:tc>
                <w:tcPr>
                  <w:tcW w:w="1324" w:type="dxa"/>
                  <w:vMerge/>
                  <w:tcBorders>
                    <w:left w:val="single" w:sz="3" w:space="0" w:color="000000"/>
                    <w:right w:val="single" w:sz="3" w:space="0" w:color="000000"/>
                  </w:tcBorders>
                </w:tcPr>
                <w:p w14:paraId="428B2466" w14:textId="77777777" w:rsidR="00905DC2" w:rsidRPr="003549B4" w:rsidRDefault="00905DC2" w:rsidP="00905DC2">
                  <w:pPr>
                    <w:spacing w:after="0"/>
                    <w:rPr>
                      <w:rFonts w:ascii="Times New Roman" w:hAnsi="Times New Roman" w:cs="Times New Roman"/>
                      <w:sz w:val="20"/>
                      <w:szCs w:val="20"/>
                    </w:rPr>
                  </w:pPr>
                </w:p>
              </w:tc>
              <w:tc>
                <w:tcPr>
                  <w:tcW w:w="4458" w:type="dxa"/>
                  <w:gridSpan w:val="5"/>
                  <w:tcBorders>
                    <w:top w:val="single" w:sz="3" w:space="0" w:color="000000"/>
                    <w:left w:val="single" w:sz="3" w:space="0" w:color="000000"/>
                    <w:bottom w:val="single" w:sz="3" w:space="0" w:color="000000"/>
                    <w:right w:val="single" w:sz="3" w:space="0" w:color="000000"/>
                  </w:tcBorders>
                </w:tcPr>
                <w:p w14:paraId="6F0042F4" w14:textId="77777777" w:rsidR="00905DC2" w:rsidRPr="003549B4" w:rsidRDefault="00905DC2" w:rsidP="00905DC2">
                  <w:pPr>
                    <w:spacing w:after="0"/>
                    <w:ind w:left="2"/>
                    <w:rPr>
                      <w:rFonts w:ascii="Times New Roman" w:hAnsi="Times New Roman" w:cs="Times New Roman"/>
                      <w:sz w:val="20"/>
                      <w:szCs w:val="20"/>
                    </w:rPr>
                  </w:pPr>
                  <w:r w:rsidRPr="003549B4">
                    <w:rPr>
                      <w:rFonts w:ascii="Times New Roman" w:hAnsi="Times New Roman" w:cs="Times New Roman"/>
                      <w:sz w:val="20"/>
                      <w:szCs w:val="20"/>
                    </w:rPr>
                    <w:t>Pre zariadenia  v OPR pre motory platia osobitné EL pre NO</w:t>
                  </w:r>
                  <w:r w:rsidRPr="003549B4">
                    <w:rPr>
                      <w:rFonts w:ascii="Times New Roman" w:hAnsi="Times New Roman" w:cs="Times New Roman"/>
                      <w:sz w:val="20"/>
                      <w:szCs w:val="20"/>
                      <w:vertAlign w:val="subscript"/>
                    </w:rPr>
                    <w:t>x</w:t>
                  </w:r>
                  <w:r w:rsidRPr="003549B4">
                    <w:rPr>
                      <w:rFonts w:ascii="Times New Roman" w:hAnsi="Times New Roman" w:cs="Times New Roman"/>
                      <w:sz w:val="20"/>
                      <w:szCs w:val="20"/>
                    </w:rPr>
                    <w:t>,  ak uplatňujú primárne opatrenia na  znižovanie emisií NO</w:t>
                  </w:r>
                  <w:r w:rsidRPr="003549B4">
                    <w:rPr>
                      <w:rFonts w:ascii="Times New Roman" w:hAnsi="Times New Roman" w:cs="Times New Roman"/>
                      <w:sz w:val="20"/>
                      <w:szCs w:val="20"/>
                      <w:vertAlign w:val="subscript"/>
                    </w:rPr>
                    <w:t>x</w:t>
                  </w:r>
                  <w:r w:rsidRPr="003549B4">
                    <w:rPr>
                      <w:rFonts w:ascii="Times New Roman" w:hAnsi="Times New Roman" w:cs="Times New Roman"/>
                      <w:sz w:val="20"/>
                      <w:szCs w:val="20"/>
                    </w:rPr>
                    <w:t xml:space="preserve"> a  spĺňajú tieto emisné limity pre NO</w:t>
                  </w:r>
                  <w:r w:rsidRPr="003549B4">
                    <w:rPr>
                      <w:rFonts w:ascii="Times New Roman" w:hAnsi="Times New Roman" w:cs="Times New Roman"/>
                      <w:sz w:val="20"/>
                      <w:szCs w:val="20"/>
                      <w:vertAlign w:val="subscript"/>
                    </w:rPr>
                    <w:t>x</w:t>
                  </w:r>
                  <w:r w:rsidRPr="003549B4">
                    <w:rPr>
                      <w:rFonts w:ascii="Times New Roman" w:hAnsi="Times New Roman" w:cs="Times New Roman"/>
                      <w:sz w:val="20"/>
                      <w:szCs w:val="20"/>
                    </w:rPr>
                    <w:t xml:space="preserve">:  </w:t>
                  </w:r>
                </w:p>
              </w:tc>
            </w:tr>
            <w:tr w:rsidR="00905DC2" w:rsidRPr="003549B4" w14:paraId="68997AA0" w14:textId="77777777" w:rsidTr="00D53B67">
              <w:trPr>
                <w:trHeight w:val="1516"/>
                <w:jc w:val="center"/>
              </w:trPr>
              <w:tc>
                <w:tcPr>
                  <w:tcW w:w="1324" w:type="dxa"/>
                  <w:vMerge/>
                  <w:tcBorders>
                    <w:left w:val="single" w:sz="3" w:space="0" w:color="000000"/>
                    <w:right w:val="single" w:sz="3" w:space="0" w:color="000000"/>
                  </w:tcBorders>
                </w:tcPr>
                <w:p w14:paraId="6DAA5025" w14:textId="77777777" w:rsidR="00905DC2" w:rsidRPr="003549B4" w:rsidRDefault="00905DC2" w:rsidP="00905DC2">
                  <w:pPr>
                    <w:spacing w:after="0"/>
                    <w:rPr>
                      <w:rFonts w:ascii="Times New Roman" w:hAnsi="Times New Roman" w:cs="Times New Roman"/>
                      <w:sz w:val="20"/>
                      <w:szCs w:val="20"/>
                    </w:rPr>
                  </w:pPr>
                </w:p>
              </w:tc>
              <w:tc>
                <w:tcPr>
                  <w:tcW w:w="4458" w:type="dxa"/>
                  <w:gridSpan w:val="5"/>
                  <w:tcBorders>
                    <w:top w:val="single" w:sz="3" w:space="0" w:color="000000"/>
                    <w:left w:val="single" w:sz="3" w:space="0" w:color="000000"/>
                    <w:bottom w:val="single" w:sz="3" w:space="0" w:color="000000"/>
                    <w:right w:val="single" w:sz="3" w:space="0" w:color="000000"/>
                  </w:tcBorders>
                </w:tcPr>
                <w:p w14:paraId="39D186AA" w14:textId="77777777" w:rsidR="00905DC2" w:rsidRPr="003549B4" w:rsidRDefault="00905DC2" w:rsidP="00905DC2">
                  <w:pPr>
                    <w:numPr>
                      <w:ilvl w:val="0"/>
                      <w:numId w:val="15"/>
                    </w:numPr>
                    <w:spacing w:after="0" w:line="259" w:lineRule="auto"/>
                    <w:ind w:hanging="267"/>
                    <w:rPr>
                      <w:rFonts w:ascii="Times New Roman" w:hAnsi="Times New Roman" w:cs="Times New Roman"/>
                      <w:sz w:val="20"/>
                      <w:szCs w:val="20"/>
                    </w:rPr>
                  </w:pPr>
                  <w:r w:rsidRPr="003549B4">
                    <w:rPr>
                      <w:rFonts w:ascii="Times New Roman" w:hAnsi="Times New Roman" w:cs="Times New Roman"/>
                      <w:sz w:val="20"/>
                      <w:szCs w:val="20"/>
                    </w:rPr>
                    <w:t xml:space="preserve">dvojpalivové motory  </w:t>
                  </w:r>
                </w:p>
                <w:p w14:paraId="3627FEE6" w14:textId="77777777" w:rsidR="00905DC2" w:rsidRPr="003549B4" w:rsidRDefault="00905DC2" w:rsidP="00905DC2">
                  <w:pPr>
                    <w:numPr>
                      <w:ilvl w:val="1"/>
                      <w:numId w:val="15"/>
                    </w:numPr>
                    <w:spacing w:after="0" w:line="259" w:lineRule="auto"/>
                    <w:ind w:hanging="239"/>
                    <w:rPr>
                      <w:rFonts w:ascii="Times New Roman" w:hAnsi="Times New Roman" w:cs="Times New Roman"/>
                      <w:sz w:val="20"/>
                      <w:szCs w:val="20"/>
                    </w:rPr>
                  </w:pPr>
                  <w:r w:rsidRPr="003549B4">
                    <w:rPr>
                      <w:rFonts w:ascii="Times New Roman" w:hAnsi="Times New Roman" w:cs="Times New Roman"/>
                      <w:sz w:val="20"/>
                      <w:szCs w:val="20"/>
                    </w:rPr>
                    <w:t>v kvapalnom režime  1 850 mg/m</w:t>
                  </w:r>
                  <w:r w:rsidRPr="003549B4">
                    <w:rPr>
                      <w:rFonts w:ascii="Times New Roman" w:hAnsi="Times New Roman" w:cs="Times New Roman"/>
                      <w:sz w:val="20"/>
                      <w:szCs w:val="20"/>
                      <w:vertAlign w:val="superscript"/>
                    </w:rPr>
                    <w:t>3</w:t>
                  </w:r>
                  <w:r w:rsidRPr="003549B4">
                    <w:rPr>
                      <w:rFonts w:ascii="Times New Roman" w:hAnsi="Times New Roman" w:cs="Times New Roman"/>
                      <w:sz w:val="20"/>
                      <w:szCs w:val="20"/>
                    </w:rPr>
                    <w:t xml:space="preserve">, </w:t>
                  </w:r>
                </w:p>
                <w:p w14:paraId="376AA0E9" w14:textId="77777777" w:rsidR="00905DC2" w:rsidRPr="003549B4" w:rsidRDefault="00905DC2" w:rsidP="00905DC2">
                  <w:pPr>
                    <w:numPr>
                      <w:ilvl w:val="1"/>
                      <w:numId w:val="15"/>
                    </w:numPr>
                    <w:spacing w:after="0" w:line="259" w:lineRule="auto"/>
                    <w:ind w:hanging="239"/>
                    <w:rPr>
                      <w:rFonts w:ascii="Times New Roman" w:hAnsi="Times New Roman" w:cs="Times New Roman"/>
                      <w:sz w:val="20"/>
                      <w:szCs w:val="20"/>
                    </w:rPr>
                  </w:pPr>
                  <w:r w:rsidRPr="003549B4">
                    <w:rPr>
                      <w:rFonts w:ascii="Times New Roman" w:hAnsi="Times New Roman" w:cs="Times New Roman"/>
                      <w:sz w:val="20"/>
                      <w:szCs w:val="20"/>
                    </w:rPr>
                    <w:t>v plynnom režime  380 mg/m</w:t>
                  </w:r>
                  <w:r w:rsidRPr="003549B4">
                    <w:rPr>
                      <w:rFonts w:ascii="Times New Roman" w:hAnsi="Times New Roman" w:cs="Times New Roman"/>
                      <w:sz w:val="20"/>
                      <w:szCs w:val="20"/>
                      <w:vertAlign w:val="superscript"/>
                    </w:rPr>
                    <w:t>3</w:t>
                  </w:r>
                  <w:r w:rsidRPr="003549B4">
                    <w:rPr>
                      <w:rFonts w:ascii="Times New Roman" w:hAnsi="Times New Roman" w:cs="Times New Roman"/>
                      <w:sz w:val="20"/>
                      <w:szCs w:val="20"/>
                    </w:rPr>
                    <w:t xml:space="preserve">, </w:t>
                  </w:r>
                </w:p>
                <w:p w14:paraId="10ABDEF1" w14:textId="77777777" w:rsidR="00905DC2" w:rsidRPr="003549B4" w:rsidRDefault="00905DC2" w:rsidP="00905DC2">
                  <w:pPr>
                    <w:numPr>
                      <w:ilvl w:val="0"/>
                      <w:numId w:val="15"/>
                    </w:numPr>
                    <w:spacing w:after="0" w:line="259" w:lineRule="auto"/>
                    <w:ind w:hanging="267"/>
                    <w:rPr>
                      <w:rFonts w:ascii="Times New Roman" w:hAnsi="Times New Roman" w:cs="Times New Roman"/>
                      <w:sz w:val="20"/>
                      <w:szCs w:val="20"/>
                    </w:rPr>
                  </w:pPr>
                  <w:r w:rsidRPr="003549B4">
                    <w:rPr>
                      <w:rFonts w:ascii="Times New Roman" w:hAnsi="Times New Roman" w:cs="Times New Roman"/>
                      <w:sz w:val="20"/>
                      <w:szCs w:val="20"/>
                    </w:rPr>
                    <w:t xml:space="preserve">dieselové motory s RPM ≤ 1 200 ot/min a  </w:t>
                  </w:r>
                </w:p>
                <w:p w14:paraId="2C94844A" w14:textId="77777777" w:rsidR="00905DC2" w:rsidRPr="003549B4" w:rsidRDefault="00905DC2" w:rsidP="00905DC2">
                  <w:pPr>
                    <w:numPr>
                      <w:ilvl w:val="1"/>
                      <w:numId w:val="15"/>
                    </w:numPr>
                    <w:spacing w:after="0" w:line="259" w:lineRule="auto"/>
                    <w:ind w:hanging="239"/>
                    <w:rPr>
                      <w:rFonts w:ascii="Times New Roman" w:hAnsi="Times New Roman" w:cs="Times New Roman"/>
                      <w:sz w:val="20"/>
                      <w:szCs w:val="20"/>
                    </w:rPr>
                  </w:pPr>
                  <w:r w:rsidRPr="003549B4">
                    <w:rPr>
                      <w:rFonts w:ascii="Times New Roman" w:hAnsi="Times New Roman" w:cs="Times New Roman"/>
                      <w:sz w:val="20"/>
                      <w:szCs w:val="20"/>
                    </w:rPr>
                    <w:t>celkovým MTP ≤  20 MW:  1 300 mg/m</w:t>
                  </w:r>
                  <w:r w:rsidRPr="003549B4">
                    <w:rPr>
                      <w:rFonts w:ascii="Times New Roman" w:hAnsi="Times New Roman" w:cs="Times New Roman"/>
                      <w:sz w:val="20"/>
                      <w:szCs w:val="20"/>
                      <w:vertAlign w:val="superscript"/>
                    </w:rPr>
                    <w:t>3</w:t>
                  </w:r>
                  <w:r w:rsidRPr="003549B4">
                    <w:rPr>
                      <w:rFonts w:ascii="Times New Roman" w:hAnsi="Times New Roman" w:cs="Times New Roman"/>
                      <w:sz w:val="20"/>
                      <w:szCs w:val="20"/>
                    </w:rPr>
                    <w:t xml:space="preserve">, </w:t>
                  </w:r>
                </w:p>
                <w:p w14:paraId="58A3E253" w14:textId="77777777" w:rsidR="00905DC2" w:rsidRPr="003549B4" w:rsidRDefault="00905DC2" w:rsidP="00905DC2">
                  <w:pPr>
                    <w:numPr>
                      <w:ilvl w:val="1"/>
                      <w:numId w:val="15"/>
                    </w:numPr>
                    <w:spacing w:after="0" w:line="259" w:lineRule="auto"/>
                    <w:ind w:hanging="239"/>
                    <w:rPr>
                      <w:rFonts w:ascii="Times New Roman" w:hAnsi="Times New Roman" w:cs="Times New Roman"/>
                      <w:sz w:val="20"/>
                      <w:szCs w:val="20"/>
                    </w:rPr>
                  </w:pPr>
                  <w:r w:rsidRPr="003549B4">
                    <w:rPr>
                      <w:rFonts w:ascii="Times New Roman" w:hAnsi="Times New Roman" w:cs="Times New Roman"/>
                      <w:sz w:val="20"/>
                      <w:szCs w:val="20"/>
                    </w:rPr>
                    <w:t>celkovým  MTP &gt; 20 MW:  1 850 mg/m</w:t>
                  </w:r>
                  <w:r w:rsidRPr="003549B4">
                    <w:rPr>
                      <w:rFonts w:ascii="Times New Roman" w:hAnsi="Times New Roman" w:cs="Times New Roman"/>
                      <w:sz w:val="20"/>
                      <w:szCs w:val="20"/>
                      <w:vertAlign w:val="superscript"/>
                    </w:rPr>
                    <w:t>3</w:t>
                  </w:r>
                  <w:r w:rsidRPr="003549B4">
                    <w:rPr>
                      <w:rFonts w:ascii="Times New Roman" w:hAnsi="Times New Roman" w:cs="Times New Roman"/>
                      <w:sz w:val="20"/>
                      <w:szCs w:val="20"/>
                    </w:rPr>
                    <w:t xml:space="preserve">, </w:t>
                  </w:r>
                </w:p>
                <w:p w14:paraId="222E6305" w14:textId="77777777" w:rsidR="00905DC2" w:rsidRPr="003549B4" w:rsidRDefault="00905DC2" w:rsidP="00905DC2">
                  <w:pPr>
                    <w:numPr>
                      <w:ilvl w:val="0"/>
                      <w:numId w:val="15"/>
                    </w:numPr>
                    <w:spacing w:after="0" w:line="259" w:lineRule="auto"/>
                    <w:ind w:hanging="239"/>
                    <w:rPr>
                      <w:rFonts w:ascii="Times New Roman" w:hAnsi="Times New Roman" w:cs="Times New Roman"/>
                      <w:sz w:val="20"/>
                      <w:szCs w:val="20"/>
                    </w:rPr>
                  </w:pPr>
                  <w:r w:rsidRPr="003549B4">
                    <w:rPr>
                      <w:rFonts w:ascii="Times New Roman" w:hAnsi="Times New Roman" w:cs="Times New Roman"/>
                      <w:sz w:val="20"/>
                      <w:szCs w:val="20"/>
                    </w:rPr>
                    <w:lastRenderedPageBreak/>
                    <w:t>dieselové motory s RPM &gt; 1 200 ot/min:  750 mg/m</w:t>
                  </w:r>
                  <w:r w:rsidRPr="003549B4">
                    <w:rPr>
                      <w:rFonts w:ascii="Times New Roman" w:hAnsi="Times New Roman" w:cs="Times New Roman"/>
                      <w:sz w:val="20"/>
                      <w:szCs w:val="20"/>
                      <w:vertAlign w:val="superscript"/>
                    </w:rPr>
                    <w:t>3</w:t>
                  </w:r>
                  <w:r w:rsidRPr="003549B4">
                    <w:rPr>
                      <w:rFonts w:ascii="Times New Roman" w:hAnsi="Times New Roman" w:cs="Times New Roman"/>
                      <w:sz w:val="20"/>
                      <w:szCs w:val="20"/>
                    </w:rPr>
                    <w:t xml:space="preserve"> </w:t>
                  </w:r>
                </w:p>
              </w:tc>
            </w:tr>
            <w:tr w:rsidR="00905DC2" w:rsidRPr="003549B4" w14:paraId="2B043345" w14:textId="77777777" w:rsidTr="00D53B67">
              <w:trPr>
                <w:trHeight w:val="235"/>
                <w:jc w:val="center"/>
              </w:trPr>
              <w:tc>
                <w:tcPr>
                  <w:tcW w:w="1324" w:type="dxa"/>
                  <w:vMerge/>
                  <w:tcBorders>
                    <w:left w:val="single" w:sz="3" w:space="0" w:color="000000"/>
                    <w:right w:val="single" w:sz="3" w:space="0" w:color="000000"/>
                  </w:tcBorders>
                </w:tcPr>
                <w:p w14:paraId="630234B9" w14:textId="77777777" w:rsidR="00905DC2" w:rsidRPr="003549B4" w:rsidRDefault="00905DC2" w:rsidP="00905DC2">
                  <w:pPr>
                    <w:spacing w:after="0"/>
                    <w:rPr>
                      <w:rFonts w:ascii="Times New Roman" w:hAnsi="Times New Roman" w:cs="Times New Roman"/>
                      <w:sz w:val="20"/>
                      <w:szCs w:val="20"/>
                    </w:rPr>
                  </w:pPr>
                </w:p>
              </w:tc>
              <w:tc>
                <w:tcPr>
                  <w:tcW w:w="4458" w:type="dxa"/>
                  <w:gridSpan w:val="5"/>
                  <w:tcBorders>
                    <w:top w:val="single" w:sz="3" w:space="0" w:color="000000"/>
                    <w:left w:val="single" w:sz="3" w:space="0" w:color="000000"/>
                    <w:bottom w:val="single" w:sz="3" w:space="0" w:color="000000"/>
                    <w:right w:val="single" w:sz="3" w:space="0" w:color="000000"/>
                  </w:tcBorders>
                </w:tcPr>
                <w:p w14:paraId="66AD8CEC" w14:textId="77777777" w:rsidR="00905DC2" w:rsidRPr="003549B4" w:rsidRDefault="00905DC2" w:rsidP="00905DC2">
                  <w:pPr>
                    <w:spacing w:after="0"/>
                    <w:jc w:val="center"/>
                    <w:rPr>
                      <w:rFonts w:ascii="Times New Roman" w:hAnsi="Times New Roman" w:cs="Times New Roman"/>
                      <w:sz w:val="20"/>
                      <w:szCs w:val="20"/>
                    </w:rPr>
                  </w:pPr>
                  <w:r w:rsidRPr="003549B4">
                    <w:rPr>
                      <w:rFonts w:ascii="Times New Roman" w:hAnsi="Times New Roman" w:cs="Times New Roman"/>
                      <w:b/>
                      <w:sz w:val="20"/>
                      <w:szCs w:val="20"/>
                    </w:rPr>
                    <w:t xml:space="preserve">Emisný limit   </w:t>
                  </w:r>
                  <w:r w:rsidRPr="003549B4">
                    <w:rPr>
                      <w:rFonts w:ascii="Times New Roman" w:hAnsi="Times New Roman" w:cs="Times New Roman"/>
                      <w:b/>
                      <w:sz w:val="20"/>
                      <w:szCs w:val="20"/>
                    </w:rPr>
                    <w:sym w:font="Symbol" w:char="F05B"/>
                  </w:r>
                  <w:r w:rsidRPr="003549B4">
                    <w:rPr>
                      <w:rFonts w:ascii="Times New Roman" w:hAnsi="Times New Roman" w:cs="Times New Roman"/>
                      <w:b/>
                      <w:sz w:val="20"/>
                      <w:szCs w:val="20"/>
                    </w:rPr>
                    <w:t>mg/m</w:t>
                  </w:r>
                  <w:r w:rsidRPr="003549B4">
                    <w:rPr>
                      <w:rFonts w:ascii="Times New Roman" w:hAnsi="Times New Roman" w:cs="Times New Roman"/>
                      <w:b/>
                      <w:sz w:val="20"/>
                      <w:szCs w:val="20"/>
                      <w:vertAlign w:val="superscript"/>
                    </w:rPr>
                    <w:t>3</w:t>
                  </w:r>
                  <w:r w:rsidRPr="003549B4">
                    <w:rPr>
                      <w:rFonts w:ascii="Times New Roman" w:hAnsi="Times New Roman" w:cs="Times New Roman"/>
                      <w:b/>
                      <w:sz w:val="20"/>
                      <w:szCs w:val="20"/>
                    </w:rPr>
                    <w:sym w:font="Symbol" w:char="F05D"/>
                  </w:r>
                </w:p>
              </w:tc>
            </w:tr>
            <w:tr w:rsidR="00905DC2" w:rsidRPr="003549B4" w14:paraId="7EB6DFEF" w14:textId="77777777" w:rsidTr="00D53B67">
              <w:trPr>
                <w:trHeight w:val="223"/>
                <w:jc w:val="center"/>
              </w:trPr>
              <w:tc>
                <w:tcPr>
                  <w:tcW w:w="1324" w:type="dxa"/>
                  <w:vMerge/>
                  <w:tcBorders>
                    <w:left w:val="single" w:sz="3" w:space="0" w:color="000000"/>
                    <w:bottom w:val="single" w:sz="3" w:space="0" w:color="000000"/>
                    <w:right w:val="single" w:sz="3" w:space="0" w:color="000000"/>
                  </w:tcBorders>
                </w:tcPr>
                <w:p w14:paraId="5B2FA95E" w14:textId="77777777" w:rsidR="00905DC2" w:rsidRPr="003549B4" w:rsidRDefault="00905DC2" w:rsidP="00905DC2">
                  <w:pPr>
                    <w:spacing w:after="0"/>
                    <w:rPr>
                      <w:rFonts w:ascii="Times New Roman" w:hAnsi="Times New Roman" w:cs="Times New Roman"/>
                      <w:sz w:val="20"/>
                      <w:szCs w:val="20"/>
                    </w:rPr>
                  </w:pPr>
                </w:p>
              </w:tc>
              <w:tc>
                <w:tcPr>
                  <w:tcW w:w="799" w:type="dxa"/>
                  <w:tcBorders>
                    <w:top w:val="single" w:sz="3" w:space="0" w:color="000000"/>
                    <w:left w:val="single" w:sz="3" w:space="0" w:color="000000"/>
                    <w:bottom w:val="single" w:sz="3" w:space="0" w:color="000000"/>
                    <w:right w:val="single" w:sz="3" w:space="0" w:color="000000"/>
                  </w:tcBorders>
                  <w:vAlign w:val="center"/>
                </w:tcPr>
                <w:p w14:paraId="4E816A0B" w14:textId="77777777" w:rsidR="00905DC2" w:rsidRPr="003549B4" w:rsidRDefault="00905DC2" w:rsidP="00905DC2">
                  <w:pPr>
                    <w:spacing w:after="0"/>
                    <w:ind w:left="24"/>
                    <w:jc w:val="center"/>
                    <w:rPr>
                      <w:rFonts w:ascii="Times New Roman" w:hAnsi="Times New Roman" w:cs="Times New Roman"/>
                      <w:sz w:val="20"/>
                      <w:szCs w:val="20"/>
                    </w:rPr>
                  </w:pPr>
                  <w:r w:rsidRPr="003549B4">
                    <w:rPr>
                      <w:rFonts w:ascii="Times New Roman" w:hAnsi="Times New Roman" w:cs="Times New Roman"/>
                      <w:b/>
                      <w:sz w:val="20"/>
                      <w:szCs w:val="20"/>
                    </w:rPr>
                    <w:t>TZL</w:t>
                  </w:r>
                </w:p>
              </w:tc>
              <w:tc>
                <w:tcPr>
                  <w:tcW w:w="800" w:type="dxa"/>
                  <w:tcBorders>
                    <w:top w:val="single" w:sz="3" w:space="0" w:color="000000"/>
                    <w:left w:val="single" w:sz="3" w:space="0" w:color="000000"/>
                    <w:bottom w:val="single" w:sz="3" w:space="0" w:color="000000"/>
                    <w:right w:val="single" w:sz="3" w:space="0" w:color="000000"/>
                  </w:tcBorders>
                  <w:vAlign w:val="center"/>
                </w:tcPr>
                <w:p w14:paraId="55CDFB3E" w14:textId="77777777" w:rsidR="00905DC2" w:rsidRPr="003549B4" w:rsidRDefault="00905DC2" w:rsidP="00905DC2">
                  <w:pPr>
                    <w:spacing w:after="0"/>
                    <w:ind w:left="26"/>
                    <w:jc w:val="center"/>
                    <w:rPr>
                      <w:rFonts w:ascii="Times New Roman" w:hAnsi="Times New Roman" w:cs="Times New Roman"/>
                      <w:sz w:val="20"/>
                      <w:szCs w:val="20"/>
                    </w:rPr>
                  </w:pPr>
                  <w:r w:rsidRPr="003549B4">
                    <w:rPr>
                      <w:rFonts w:ascii="Times New Roman" w:hAnsi="Times New Roman" w:cs="Times New Roman"/>
                      <w:b/>
                      <w:sz w:val="20"/>
                      <w:szCs w:val="20"/>
                    </w:rPr>
                    <w:t>SO</w:t>
                  </w:r>
                  <w:r w:rsidRPr="003549B4">
                    <w:rPr>
                      <w:rFonts w:ascii="Times New Roman" w:hAnsi="Times New Roman" w:cs="Times New Roman"/>
                      <w:b/>
                      <w:sz w:val="20"/>
                      <w:szCs w:val="20"/>
                      <w:vertAlign w:val="subscript"/>
                    </w:rPr>
                    <w:t>2</w:t>
                  </w:r>
                </w:p>
              </w:tc>
              <w:tc>
                <w:tcPr>
                  <w:tcW w:w="1191" w:type="dxa"/>
                  <w:tcBorders>
                    <w:top w:val="single" w:sz="3" w:space="0" w:color="000000"/>
                    <w:left w:val="single" w:sz="3" w:space="0" w:color="000000"/>
                    <w:bottom w:val="single" w:sz="3" w:space="0" w:color="000000"/>
                    <w:right w:val="single" w:sz="3" w:space="0" w:color="000000"/>
                  </w:tcBorders>
                  <w:vAlign w:val="center"/>
                </w:tcPr>
                <w:p w14:paraId="5A2C4BCB" w14:textId="77777777" w:rsidR="00905DC2" w:rsidRPr="003549B4" w:rsidRDefault="00905DC2" w:rsidP="00905DC2">
                  <w:pPr>
                    <w:spacing w:after="0"/>
                    <w:ind w:left="28"/>
                    <w:jc w:val="center"/>
                    <w:rPr>
                      <w:rFonts w:ascii="Times New Roman" w:hAnsi="Times New Roman" w:cs="Times New Roman"/>
                      <w:sz w:val="20"/>
                      <w:szCs w:val="20"/>
                    </w:rPr>
                  </w:pPr>
                  <w:r w:rsidRPr="003549B4">
                    <w:rPr>
                      <w:rFonts w:ascii="Times New Roman" w:hAnsi="Times New Roman" w:cs="Times New Roman"/>
                      <w:b/>
                      <w:sz w:val="20"/>
                      <w:szCs w:val="20"/>
                    </w:rPr>
                    <w:t>NO</w:t>
                  </w:r>
                  <w:r w:rsidRPr="003549B4">
                    <w:rPr>
                      <w:rFonts w:ascii="Times New Roman" w:hAnsi="Times New Roman" w:cs="Times New Roman"/>
                      <w:b/>
                      <w:sz w:val="20"/>
                      <w:szCs w:val="20"/>
                      <w:vertAlign w:val="subscript"/>
                    </w:rPr>
                    <w:t>X</w:t>
                  </w:r>
                </w:p>
              </w:tc>
              <w:tc>
                <w:tcPr>
                  <w:tcW w:w="668" w:type="dxa"/>
                  <w:tcBorders>
                    <w:top w:val="single" w:sz="3" w:space="0" w:color="000000"/>
                    <w:left w:val="single" w:sz="3" w:space="0" w:color="000000"/>
                    <w:bottom w:val="single" w:sz="3" w:space="0" w:color="000000"/>
                    <w:right w:val="single" w:sz="3" w:space="0" w:color="000000"/>
                  </w:tcBorders>
                  <w:vAlign w:val="center"/>
                </w:tcPr>
                <w:p w14:paraId="70649584" w14:textId="77777777" w:rsidR="00905DC2" w:rsidRPr="003549B4" w:rsidRDefault="00905DC2" w:rsidP="00905DC2">
                  <w:pPr>
                    <w:spacing w:after="0"/>
                    <w:ind w:left="21"/>
                    <w:jc w:val="center"/>
                    <w:rPr>
                      <w:rFonts w:ascii="Times New Roman" w:hAnsi="Times New Roman" w:cs="Times New Roman"/>
                      <w:sz w:val="20"/>
                      <w:szCs w:val="20"/>
                    </w:rPr>
                  </w:pPr>
                  <w:r w:rsidRPr="003549B4">
                    <w:rPr>
                      <w:rFonts w:ascii="Times New Roman" w:hAnsi="Times New Roman" w:cs="Times New Roman"/>
                      <w:b/>
                      <w:sz w:val="20"/>
                      <w:szCs w:val="20"/>
                    </w:rPr>
                    <w:t>CO</w:t>
                  </w:r>
                </w:p>
              </w:tc>
              <w:tc>
                <w:tcPr>
                  <w:tcW w:w="1000" w:type="dxa"/>
                  <w:tcBorders>
                    <w:top w:val="single" w:sz="3" w:space="0" w:color="000000"/>
                    <w:left w:val="single" w:sz="3" w:space="0" w:color="000000"/>
                    <w:bottom w:val="single" w:sz="3" w:space="0" w:color="000000"/>
                    <w:right w:val="single" w:sz="3" w:space="0" w:color="000000"/>
                  </w:tcBorders>
                  <w:vAlign w:val="center"/>
                </w:tcPr>
                <w:p w14:paraId="5DC8E2EF" w14:textId="77777777" w:rsidR="00905DC2" w:rsidRPr="003549B4" w:rsidRDefault="00905DC2" w:rsidP="00905DC2">
                  <w:pPr>
                    <w:spacing w:after="0"/>
                    <w:ind w:left="-91"/>
                    <w:jc w:val="center"/>
                    <w:rPr>
                      <w:rFonts w:ascii="Times New Roman" w:hAnsi="Times New Roman" w:cs="Times New Roman"/>
                      <w:sz w:val="20"/>
                      <w:szCs w:val="20"/>
                    </w:rPr>
                  </w:pPr>
                  <w:r w:rsidRPr="003549B4">
                    <w:rPr>
                      <w:rFonts w:ascii="Times New Roman" w:hAnsi="Times New Roman" w:cs="Times New Roman"/>
                      <w:b/>
                      <w:sz w:val="20"/>
                      <w:szCs w:val="20"/>
                    </w:rPr>
                    <w:t>Formaldehyd</w:t>
                  </w:r>
                </w:p>
              </w:tc>
            </w:tr>
            <w:tr w:rsidR="00905DC2" w:rsidRPr="003549B4" w14:paraId="7FB52B2C" w14:textId="77777777" w:rsidTr="00D53B67">
              <w:trPr>
                <w:trHeight w:val="223"/>
                <w:jc w:val="center"/>
              </w:trPr>
              <w:tc>
                <w:tcPr>
                  <w:tcW w:w="1324" w:type="dxa"/>
                  <w:tcBorders>
                    <w:top w:val="single" w:sz="3" w:space="0" w:color="000000"/>
                    <w:left w:val="single" w:sz="3" w:space="0" w:color="000000"/>
                    <w:bottom w:val="single" w:sz="3" w:space="0" w:color="000000"/>
                    <w:right w:val="single" w:sz="3" w:space="0" w:color="000000"/>
                  </w:tcBorders>
                </w:tcPr>
                <w:p w14:paraId="48B9D05B" w14:textId="77777777" w:rsidR="00905DC2" w:rsidRPr="003549B4" w:rsidRDefault="00905DC2" w:rsidP="00905DC2">
                  <w:pPr>
                    <w:spacing w:after="0"/>
                    <w:rPr>
                      <w:rFonts w:ascii="Times New Roman" w:hAnsi="Times New Roman" w:cs="Times New Roman"/>
                      <w:sz w:val="20"/>
                      <w:szCs w:val="20"/>
                    </w:rPr>
                  </w:pPr>
                  <w:r w:rsidRPr="003549B4">
                    <w:rPr>
                      <w:rFonts w:ascii="Times New Roman" w:hAnsi="Times New Roman" w:cs="Times New Roman"/>
                      <w:sz w:val="20"/>
                      <w:szCs w:val="20"/>
                    </w:rPr>
                    <w:t xml:space="preserve">Plynový olej </w:t>
                  </w:r>
                </w:p>
              </w:tc>
              <w:tc>
                <w:tcPr>
                  <w:tcW w:w="799" w:type="dxa"/>
                  <w:tcBorders>
                    <w:top w:val="single" w:sz="3" w:space="0" w:color="000000"/>
                    <w:left w:val="single" w:sz="3" w:space="0" w:color="000000"/>
                    <w:bottom w:val="single" w:sz="3" w:space="0" w:color="000000"/>
                    <w:right w:val="single" w:sz="3" w:space="0" w:color="000000"/>
                  </w:tcBorders>
                  <w:vAlign w:val="center"/>
                </w:tcPr>
                <w:p w14:paraId="1B7B08B4" w14:textId="77777777" w:rsidR="00905DC2" w:rsidRPr="003549B4" w:rsidRDefault="00905DC2" w:rsidP="00905DC2">
                  <w:pPr>
                    <w:spacing w:after="0"/>
                    <w:ind w:left="26"/>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5A09AC78" w14:textId="77777777" w:rsidR="00905DC2" w:rsidRPr="003549B4" w:rsidRDefault="00905DC2" w:rsidP="00905DC2">
                  <w:pPr>
                    <w:spacing w:after="0"/>
                    <w:ind w:left="23"/>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191" w:type="dxa"/>
                  <w:tcBorders>
                    <w:top w:val="single" w:sz="3" w:space="0" w:color="000000"/>
                    <w:left w:val="single" w:sz="3" w:space="0" w:color="000000"/>
                    <w:bottom w:val="single" w:sz="3" w:space="0" w:color="000000"/>
                    <w:right w:val="single" w:sz="3" w:space="0" w:color="000000"/>
                  </w:tcBorders>
                  <w:vAlign w:val="center"/>
                </w:tcPr>
                <w:p w14:paraId="402A5195" w14:textId="77777777" w:rsidR="00905DC2" w:rsidRPr="003549B4" w:rsidRDefault="00905DC2" w:rsidP="00905DC2">
                  <w:pPr>
                    <w:spacing w:after="0"/>
                    <w:ind w:left="-91"/>
                    <w:jc w:val="center"/>
                    <w:rPr>
                      <w:rFonts w:ascii="Times New Roman" w:hAnsi="Times New Roman" w:cs="Times New Roman"/>
                      <w:sz w:val="20"/>
                      <w:szCs w:val="20"/>
                    </w:rPr>
                  </w:pPr>
                  <w:r w:rsidRPr="003549B4">
                    <w:rPr>
                      <w:rFonts w:ascii="Times New Roman" w:hAnsi="Times New Roman" w:cs="Times New Roman"/>
                      <w:sz w:val="20"/>
                      <w:szCs w:val="20"/>
                    </w:rPr>
                    <w:t>190, 225</w:t>
                  </w:r>
                  <w:r w:rsidRPr="003549B4">
                    <w:rPr>
                      <w:rFonts w:ascii="Times New Roman" w:hAnsi="Times New Roman" w:cs="Times New Roman"/>
                      <w:sz w:val="20"/>
                      <w:szCs w:val="20"/>
                      <w:vertAlign w:val="superscript"/>
                    </w:rPr>
                    <w:t>1</w:t>
                  </w:r>
                  <w:r w:rsidRPr="003549B4">
                    <w:rPr>
                      <w:rFonts w:ascii="Times New Roman" w:hAnsi="Times New Roman" w:cs="Times New Roman"/>
                      <w:sz w:val="20"/>
                      <w:szCs w:val="20"/>
                    </w:rPr>
                    <w:t>)</w:t>
                  </w:r>
                </w:p>
              </w:tc>
              <w:tc>
                <w:tcPr>
                  <w:tcW w:w="668" w:type="dxa"/>
                  <w:tcBorders>
                    <w:top w:val="single" w:sz="3" w:space="0" w:color="000000"/>
                    <w:left w:val="single" w:sz="3" w:space="0" w:color="000000"/>
                    <w:bottom w:val="single" w:sz="3" w:space="0" w:color="000000"/>
                    <w:right w:val="single" w:sz="3" w:space="0" w:color="000000"/>
                  </w:tcBorders>
                  <w:vAlign w:val="center"/>
                </w:tcPr>
                <w:p w14:paraId="3288A0BD" w14:textId="77777777" w:rsidR="00905DC2" w:rsidRPr="003549B4" w:rsidRDefault="00905DC2" w:rsidP="00905DC2">
                  <w:pPr>
                    <w:spacing w:after="0"/>
                    <w:ind w:left="-91" w:right="-65"/>
                    <w:jc w:val="center"/>
                    <w:rPr>
                      <w:rFonts w:ascii="Times New Roman" w:hAnsi="Times New Roman" w:cs="Times New Roman"/>
                      <w:sz w:val="20"/>
                      <w:szCs w:val="20"/>
                    </w:rPr>
                  </w:pPr>
                  <w:r w:rsidRPr="003549B4">
                    <w:rPr>
                      <w:rFonts w:ascii="Times New Roman" w:hAnsi="Times New Roman" w:cs="Times New Roman"/>
                      <w:sz w:val="20"/>
                      <w:szCs w:val="20"/>
                    </w:rPr>
                    <w:t>250</w:t>
                  </w:r>
                </w:p>
              </w:tc>
              <w:tc>
                <w:tcPr>
                  <w:tcW w:w="1000" w:type="dxa"/>
                  <w:tcBorders>
                    <w:top w:val="single" w:sz="3" w:space="0" w:color="000000"/>
                    <w:left w:val="single" w:sz="3" w:space="0" w:color="000000"/>
                    <w:bottom w:val="single" w:sz="3" w:space="0" w:color="000000"/>
                    <w:right w:val="single" w:sz="3" w:space="0" w:color="000000"/>
                  </w:tcBorders>
                  <w:vAlign w:val="center"/>
                </w:tcPr>
                <w:p w14:paraId="3E8B43CF" w14:textId="77777777" w:rsidR="00905DC2" w:rsidRPr="003549B4" w:rsidRDefault="00905DC2" w:rsidP="00905DC2">
                  <w:pPr>
                    <w:spacing w:after="0"/>
                    <w:ind w:left="28"/>
                    <w:jc w:val="center"/>
                    <w:rPr>
                      <w:rFonts w:ascii="Times New Roman" w:hAnsi="Times New Roman" w:cs="Times New Roman"/>
                      <w:sz w:val="20"/>
                      <w:szCs w:val="20"/>
                    </w:rPr>
                  </w:pPr>
                </w:p>
              </w:tc>
            </w:tr>
            <w:tr w:rsidR="00905DC2" w:rsidRPr="003549B4" w14:paraId="2300035C" w14:textId="77777777" w:rsidTr="00D53B67">
              <w:trPr>
                <w:trHeight w:val="221"/>
                <w:jc w:val="center"/>
              </w:trPr>
              <w:tc>
                <w:tcPr>
                  <w:tcW w:w="1324" w:type="dxa"/>
                  <w:tcBorders>
                    <w:top w:val="single" w:sz="3" w:space="0" w:color="000000"/>
                    <w:left w:val="single" w:sz="3" w:space="0" w:color="000000"/>
                    <w:bottom w:val="single" w:sz="3" w:space="0" w:color="000000"/>
                    <w:right w:val="single" w:sz="3" w:space="0" w:color="000000"/>
                  </w:tcBorders>
                  <w:vAlign w:val="center"/>
                </w:tcPr>
                <w:p w14:paraId="6446220E" w14:textId="77777777" w:rsidR="00905DC2" w:rsidRPr="003549B4" w:rsidRDefault="00905DC2" w:rsidP="00905DC2">
                  <w:pPr>
                    <w:spacing w:after="0"/>
                    <w:rPr>
                      <w:rFonts w:ascii="Times New Roman" w:hAnsi="Times New Roman" w:cs="Times New Roman"/>
                      <w:sz w:val="20"/>
                      <w:szCs w:val="20"/>
                    </w:rPr>
                  </w:pPr>
                  <w:r w:rsidRPr="003549B4">
                    <w:rPr>
                      <w:rFonts w:ascii="Times New Roman" w:hAnsi="Times New Roman" w:cs="Times New Roman"/>
                      <w:sz w:val="20"/>
                      <w:szCs w:val="20"/>
                    </w:rPr>
                    <w:t xml:space="preserve">Iné kvapalné palivá </w:t>
                  </w:r>
                </w:p>
              </w:tc>
              <w:tc>
                <w:tcPr>
                  <w:tcW w:w="799" w:type="dxa"/>
                  <w:tcBorders>
                    <w:top w:val="single" w:sz="3" w:space="0" w:color="000000"/>
                    <w:left w:val="single" w:sz="3" w:space="0" w:color="000000"/>
                    <w:bottom w:val="single" w:sz="3" w:space="0" w:color="000000"/>
                    <w:right w:val="single" w:sz="3" w:space="0" w:color="000000"/>
                  </w:tcBorders>
                  <w:vAlign w:val="center"/>
                </w:tcPr>
                <w:p w14:paraId="719562A7" w14:textId="77777777" w:rsidR="00905DC2" w:rsidRPr="003549B4" w:rsidRDefault="00905DC2" w:rsidP="00905DC2">
                  <w:pPr>
                    <w:spacing w:after="0"/>
                    <w:ind w:left="27"/>
                    <w:jc w:val="center"/>
                    <w:rPr>
                      <w:rFonts w:ascii="Times New Roman" w:hAnsi="Times New Roman" w:cs="Times New Roman"/>
                      <w:sz w:val="20"/>
                      <w:szCs w:val="20"/>
                    </w:rPr>
                  </w:pPr>
                  <w:r w:rsidRPr="003549B4">
                    <w:rPr>
                      <w:rFonts w:ascii="Times New Roman" w:hAnsi="Times New Roman" w:cs="Times New Roman"/>
                      <w:sz w:val="20"/>
                      <w:szCs w:val="20"/>
                    </w:rPr>
                    <w:t>10, 20</w:t>
                  </w:r>
                  <w:r w:rsidRPr="003549B4">
                    <w:rPr>
                      <w:rFonts w:ascii="Times New Roman" w:hAnsi="Times New Roman" w:cs="Times New Roman"/>
                      <w:sz w:val="20"/>
                      <w:szCs w:val="20"/>
                      <w:vertAlign w:val="superscript"/>
                    </w:rPr>
                    <w:t>3</w:t>
                  </w:r>
                  <w:r w:rsidRPr="003549B4">
                    <w:rPr>
                      <w:rFonts w:ascii="Times New Roman" w:hAnsi="Times New Roman" w:cs="Times New Roman"/>
                      <w:sz w:val="20"/>
                      <w:szCs w:val="20"/>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0AF68C45" w14:textId="77777777" w:rsidR="00905DC2" w:rsidRPr="003549B4" w:rsidRDefault="00905DC2" w:rsidP="00905DC2">
                  <w:pPr>
                    <w:spacing w:after="0"/>
                    <w:ind w:left="26"/>
                    <w:jc w:val="center"/>
                    <w:rPr>
                      <w:rFonts w:ascii="Times New Roman" w:hAnsi="Times New Roman" w:cs="Times New Roman"/>
                      <w:sz w:val="20"/>
                      <w:szCs w:val="20"/>
                    </w:rPr>
                  </w:pPr>
                  <w:r w:rsidRPr="003549B4">
                    <w:rPr>
                      <w:rFonts w:ascii="Times New Roman" w:hAnsi="Times New Roman" w:cs="Times New Roman"/>
                      <w:sz w:val="20"/>
                      <w:szCs w:val="20"/>
                    </w:rPr>
                    <w:t>120</w:t>
                  </w:r>
                </w:p>
              </w:tc>
              <w:tc>
                <w:tcPr>
                  <w:tcW w:w="1191" w:type="dxa"/>
                  <w:tcBorders>
                    <w:top w:val="single" w:sz="3" w:space="0" w:color="000000"/>
                    <w:left w:val="single" w:sz="3" w:space="0" w:color="000000"/>
                    <w:bottom w:val="single" w:sz="3" w:space="0" w:color="000000"/>
                    <w:right w:val="single" w:sz="3" w:space="0" w:color="000000"/>
                  </w:tcBorders>
                  <w:vAlign w:val="center"/>
                </w:tcPr>
                <w:p w14:paraId="2F6FE040" w14:textId="77777777" w:rsidR="00905DC2" w:rsidRPr="003549B4" w:rsidRDefault="00905DC2" w:rsidP="00905DC2">
                  <w:pPr>
                    <w:spacing w:after="0"/>
                    <w:ind w:left="-91"/>
                    <w:jc w:val="center"/>
                    <w:rPr>
                      <w:rFonts w:ascii="Times New Roman" w:hAnsi="Times New Roman" w:cs="Times New Roman"/>
                      <w:sz w:val="20"/>
                      <w:szCs w:val="20"/>
                    </w:rPr>
                  </w:pPr>
                  <w:r w:rsidRPr="003549B4">
                    <w:rPr>
                      <w:rFonts w:ascii="Times New Roman" w:hAnsi="Times New Roman" w:cs="Times New Roman"/>
                      <w:sz w:val="20"/>
                      <w:szCs w:val="20"/>
                    </w:rPr>
                    <w:t>190, 225</w:t>
                  </w:r>
                  <w:r w:rsidRPr="003549B4">
                    <w:rPr>
                      <w:rFonts w:ascii="Times New Roman" w:hAnsi="Times New Roman" w:cs="Times New Roman"/>
                      <w:sz w:val="20"/>
                      <w:szCs w:val="20"/>
                      <w:vertAlign w:val="superscript"/>
                    </w:rPr>
                    <w:t>1</w:t>
                  </w:r>
                  <w:r w:rsidRPr="003549B4">
                    <w:rPr>
                      <w:rFonts w:ascii="Times New Roman" w:hAnsi="Times New Roman" w:cs="Times New Roman"/>
                      <w:sz w:val="20"/>
                      <w:szCs w:val="20"/>
                    </w:rPr>
                    <w:t>)</w:t>
                  </w:r>
                  <w:r w:rsidRPr="003549B4">
                    <w:rPr>
                      <w:rFonts w:ascii="Times New Roman" w:hAnsi="Times New Roman" w:cs="Times New Roman"/>
                      <w:sz w:val="20"/>
                      <w:szCs w:val="20"/>
                      <w:vertAlign w:val="superscript"/>
                    </w:rPr>
                    <w:t>4</w:t>
                  </w:r>
                  <w:r w:rsidRPr="003549B4">
                    <w:rPr>
                      <w:rFonts w:ascii="Times New Roman" w:hAnsi="Times New Roman" w:cs="Times New Roman"/>
                      <w:sz w:val="20"/>
                      <w:szCs w:val="20"/>
                    </w:rPr>
                    <w:t>)</w:t>
                  </w:r>
                </w:p>
              </w:tc>
              <w:tc>
                <w:tcPr>
                  <w:tcW w:w="668" w:type="dxa"/>
                  <w:tcBorders>
                    <w:top w:val="single" w:sz="3" w:space="0" w:color="000000"/>
                    <w:left w:val="single" w:sz="3" w:space="0" w:color="000000"/>
                    <w:bottom w:val="single" w:sz="3" w:space="0" w:color="000000"/>
                    <w:right w:val="single" w:sz="3" w:space="0" w:color="000000"/>
                  </w:tcBorders>
                  <w:vAlign w:val="center"/>
                </w:tcPr>
                <w:p w14:paraId="71FABF07" w14:textId="77777777" w:rsidR="00905DC2" w:rsidRPr="003549B4" w:rsidRDefault="00905DC2" w:rsidP="00905DC2">
                  <w:pPr>
                    <w:spacing w:after="0"/>
                    <w:ind w:left="-91" w:right="-65"/>
                    <w:jc w:val="center"/>
                    <w:rPr>
                      <w:rFonts w:ascii="Times New Roman" w:hAnsi="Times New Roman" w:cs="Times New Roman"/>
                      <w:sz w:val="20"/>
                      <w:szCs w:val="20"/>
                    </w:rPr>
                  </w:pPr>
                  <w:r w:rsidRPr="003549B4">
                    <w:rPr>
                      <w:rFonts w:ascii="Times New Roman" w:hAnsi="Times New Roman" w:cs="Times New Roman"/>
                      <w:sz w:val="20"/>
                      <w:szCs w:val="20"/>
                    </w:rPr>
                    <w:t>250</w:t>
                  </w:r>
                </w:p>
              </w:tc>
              <w:tc>
                <w:tcPr>
                  <w:tcW w:w="1000" w:type="dxa"/>
                  <w:tcBorders>
                    <w:top w:val="single" w:sz="3" w:space="0" w:color="000000"/>
                    <w:left w:val="single" w:sz="3" w:space="0" w:color="000000"/>
                    <w:bottom w:val="single" w:sz="3" w:space="0" w:color="000000"/>
                    <w:right w:val="single" w:sz="3" w:space="0" w:color="000000"/>
                  </w:tcBorders>
                  <w:vAlign w:val="center"/>
                </w:tcPr>
                <w:p w14:paraId="3B7F7032" w14:textId="77777777" w:rsidR="00905DC2" w:rsidRPr="003549B4" w:rsidRDefault="00905DC2" w:rsidP="00905DC2">
                  <w:pPr>
                    <w:spacing w:after="0"/>
                    <w:ind w:left="28"/>
                    <w:jc w:val="center"/>
                    <w:rPr>
                      <w:rFonts w:ascii="Times New Roman" w:hAnsi="Times New Roman" w:cs="Times New Roman"/>
                      <w:sz w:val="20"/>
                      <w:szCs w:val="20"/>
                    </w:rPr>
                  </w:pPr>
                </w:p>
              </w:tc>
            </w:tr>
            <w:tr w:rsidR="00905DC2" w:rsidRPr="003549B4" w14:paraId="371D4355" w14:textId="77777777" w:rsidTr="00D53B67">
              <w:trPr>
                <w:trHeight w:val="221"/>
                <w:jc w:val="center"/>
              </w:trPr>
              <w:tc>
                <w:tcPr>
                  <w:tcW w:w="1324" w:type="dxa"/>
                  <w:tcBorders>
                    <w:top w:val="single" w:sz="3" w:space="0" w:color="000000"/>
                    <w:left w:val="single" w:sz="3" w:space="0" w:color="000000"/>
                    <w:bottom w:val="single" w:sz="3" w:space="0" w:color="000000"/>
                    <w:right w:val="single" w:sz="3" w:space="0" w:color="000000"/>
                  </w:tcBorders>
                </w:tcPr>
                <w:p w14:paraId="528DA80D" w14:textId="77777777" w:rsidR="00905DC2" w:rsidRPr="003549B4" w:rsidRDefault="00905DC2" w:rsidP="00905DC2">
                  <w:pPr>
                    <w:spacing w:after="0"/>
                    <w:rPr>
                      <w:rFonts w:ascii="Times New Roman" w:hAnsi="Times New Roman" w:cs="Times New Roman"/>
                      <w:sz w:val="20"/>
                      <w:szCs w:val="20"/>
                    </w:rPr>
                  </w:pPr>
                  <w:r w:rsidRPr="003549B4">
                    <w:rPr>
                      <w:rFonts w:ascii="Times New Roman" w:hAnsi="Times New Roman" w:cs="Times New Roman"/>
                      <w:sz w:val="20"/>
                      <w:szCs w:val="20"/>
                    </w:rPr>
                    <w:t xml:space="preserve">ZPN </w:t>
                  </w:r>
                </w:p>
              </w:tc>
              <w:tc>
                <w:tcPr>
                  <w:tcW w:w="799" w:type="dxa"/>
                  <w:tcBorders>
                    <w:top w:val="single" w:sz="3" w:space="0" w:color="000000"/>
                    <w:left w:val="single" w:sz="3" w:space="0" w:color="000000"/>
                    <w:bottom w:val="single" w:sz="3" w:space="0" w:color="000000"/>
                    <w:right w:val="single" w:sz="3" w:space="0" w:color="000000"/>
                  </w:tcBorders>
                  <w:vAlign w:val="center"/>
                </w:tcPr>
                <w:p w14:paraId="1F74ED71" w14:textId="77777777" w:rsidR="00905DC2" w:rsidRPr="003549B4" w:rsidRDefault="00905DC2" w:rsidP="00905DC2">
                  <w:pPr>
                    <w:spacing w:after="0"/>
                    <w:ind w:left="26"/>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63C5BF0C" w14:textId="77777777" w:rsidR="00905DC2" w:rsidRPr="003549B4" w:rsidRDefault="00905DC2" w:rsidP="00905DC2">
                  <w:pPr>
                    <w:spacing w:after="0"/>
                    <w:ind w:left="23"/>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1191" w:type="dxa"/>
                  <w:tcBorders>
                    <w:top w:val="single" w:sz="3" w:space="0" w:color="000000"/>
                    <w:left w:val="single" w:sz="3" w:space="0" w:color="000000"/>
                    <w:bottom w:val="single" w:sz="3" w:space="0" w:color="000000"/>
                    <w:right w:val="single" w:sz="3" w:space="0" w:color="000000"/>
                  </w:tcBorders>
                  <w:vAlign w:val="center"/>
                </w:tcPr>
                <w:p w14:paraId="343F15A3" w14:textId="77777777" w:rsidR="00905DC2" w:rsidRPr="003549B4" w:rsidRDefault="00905DC2" w:rsidP="00905DC2">
                  <w:pPr>
                    <w:spacing w:after="0"/>
                    <w:ind w:left="-91"/>
                    <w:jc w:val="center"/>
                    <w:rPr>
                      <w:rFonts w:ascii="Times New Roman" w:hAnsi="Times New Roman" w:cs="Times New Roman"/>
                      <w:sz w:val="20"/>
                      <w:szCs w:val="20"/>
                    </w:rPr>
                  </w:pPr>
                  <w:r w:rsidRPr="003549B4">
                    <w:rPr>
                      <w:rFonts w:ascii="Times New Roman" w:hAnsi="Times New Roman" w:cs="Times New Roman"/>
                      <w:sz w:val="20"/>
                      <w:szCs w:val="20"/>
                    </w:rPr>
                    <w:t>95, 190</w:t>
                  </w:r>
                  <w:r w:rsidRPr="003549B4">
                    <w:rPr>
                      <w:rFonts w:ascii="Times New Roman" w:hAnsi="Times New Roman" w:cs="Times New Roman"/>
                      <w:sz w:val="20"/>
                      <w:szCs w:val="20"/>
                      <w:vertAlign w:val="superscript"/>
                    </w:rPr>
                    <w:t>5</w:t>
                  </w:r>
                  <w:r w:rsidRPr="003549B4">
                    <w:rPr>
                      <w:rFonts w:ascii="Times New Roman" w:hAnsi="Times New Roman" w:cs="Times New Roman"/>
                      <w:sz w:val="20"/>
                      <w:szCs w:val="20"/>
                    </w:rPr>
                    <w:t>)</w:t>
                  </w:r>
                </w:p>
              </w:tc>
              <w:tc>
                <w:tcPr>
                  <w:tcW w:w="668" w:type="dxa"/>
                  <w:tcBorders>
                    <w:top w:val="single" w:sz="3" w:space="0" w:color="000000"/>
                    <w:left w:val="single" w:sz="3" w:space="0" w:color="000000"/>
                    <w:bottom w:val="single" w:sz="3" w:space="0" w:color="000000"/>
                    <w:right w:val="single" w:sz="3" w:space="0" w:color="000000"/>
                  </w:tcBorders>
                  <w:vAlign w:val="center"/>
                </w:tcPr>
                <w:p w14:paraId="732DE5BA" w14:textId="77777777" w:rsidR="00905DC2" w:rsidRPr="003549B4" w:rsidRDefault="00905DC2" w:rsidP="00905DC2">
                  <w:pPr>
                    <w:spacing w:after="0"/>
                    <w:ind w:left="-91" w:right="-65"/>
                    <w:jc w:val="center"/>
                    <w:rPr>
                      <w:rFonts w:ascii="Times New Roman" w:hAnsi="Times New Roman" w:cs="Times New Roman"/>
                      <w:sz w:val="20"/>
                      <w:szCs w:val="20"/>
                    </w:rPr>
                  </w:pPr>
                  <w:r w:rsidRPr="003549B4">
                    <w:rPr>
                      <w:rFonts w:ascii="Times New Roman" w:hAnsi="Times New Roman" w:cs="Times New Roman"/>
                      <w:sz w:val="20"/>
                      <w:szCs w:val="20"/>
                    </w:rPr>
                    <w:t>250</w:t>
                  </w:r>
                </w:p>
              </w:tc>
              <w:tc>
                <w:tcPr>
                  <w:tcW w:w="1000" w:type="dxa"/>
                  <w:tcBorders>
                    <w:top w:val="single" w:sz="3" w:space="0" w:color="000000"/>
                    <w:left w:val="single" w:sz="3" w:space="0" w:color="000000"/>
                    <w:bottom w:val="single" w:sz="3" w:space="0" w:color="000000"/>
                    <w:right w:val="single" w:sz="3" w:space="0" w:color="000000"/>
                  </w:tcBorders>
                  <w:vAlign w:val="center"/>
                </w:tcPr>
                <w:p w14:paraId="42D316C4" w14:textId="77777777" w:rsidR="00905DC2" w:rsidRPr="003549B4" w:rsidRDefault="00905DC2" w:rsidP="00905DC2">
                  <w:pPr>
                    <w:spacing w:after="0"/>
                    <w:ind w:left="28"/>
                    <w:jc w:val="center"/>
                    <w:rPr>
                      <w:rFonts w:ascii="Times New Roman" w:hAnsi="Times New Roman" w:cs="Times New Roman"/>
                      <w:sz w:val="20"/>
                      <w:szCs w:val="20"/>
                    </w:rPr>
                  </w:pPr>
                </w:p>
              </w:tc>
            </w:tr>
            <w:tr w:rsidR="00905DC2" w:rsidRPr="003549B4" w14:paraId="487DB511" w14:textId="77777777" w:rsidTr="00D53B67">
              <w:trPr>
                <w:trHeight w:val="223"/>
                <w:jc w:val="center"/>
              </w:trPr>
              <w:tc>
                <w:tcPr>
                  <w:tcW w:w="1324" w:type="dxa"/>
                  <w:tcBorders>
                    <w:top w:val="single" w:sz="3" w:space="0" w:color="000000"/>
                    <w:left w:val="single" w:sz="3" w:space="0" w:color="000000"/>
                    <w:bottom w:val="single" w:sz="3" w:space="0" w:color="000000"/>
                    <w:right w:val="single" w:sz="3" w:space="0" w:color="000000"/>
                  </w:tcBorders>
                </w:tcPr>
                <w:p w14:paraId="78ACDD75" w14:textId="77777777" w:rsidR="00905DC2" w:rsidRPr="003549B4" w:rsidRDefault="00905DC2" w:rsidP="00905DC2">
                  <w:pPr>
                    <w:spacing w:after="0"/>
                    <w:rPr>
                      <w:rFonts w:ascii="Times New Roman" w:hAnsi="Times New Roman" w:cs="Times New Roman"/>
                      <w:sz w:val="20"/>
                      <w:szCs w:val="20"/>
                    </w:rPr>
                  </w:pPr>
                  <w:r w:rsidRPr="003549B4">
                    <w:rPr>
                      <w:rFonts w:ascii="Times New Roman" w:hAnsi="Times New Roman" w:cs="Times New Roman"/>
                      <w:sz w:val="20"/>
                      <w:szCs w:val="20"/>
                    </w:rPr>
                    <w:t xml:space="preserve">Iné plynné palivá </w:t>
                  </w:r>
                </w:p>
              </w:tc>
              <w:tc>
                <w:tcPr>
                  <w:tcW w:w="799" w:type="dxa"/>
                  <w:tcBorders>
                    <w:top w:val="single" w:sz="3" w:space="0" w:color="000000"/>
                    <w:left w:val="single" w:sz="3" w:space="0" w:color="000000"/>
                    <w:bottom w:val="single" w:sz="3" w:space="0" w:color="000000"/>
                    <w:right w:val="single" w:sz="3" w:space="0" w:color="000000"/>
                  </w:tcBorders>
                  <w:vAlign w:val="center"/>
                </w:tcPr>
                <w:p w14:paraId="1AB8B995" w14:textId="77777777" w:rsidR="00905DC2" w:rsidRPr="003549B4" w:rsidRDefault="00905DC2" w:rsidP="00905DC2">
                  <w:pPr>
                    <w:spacing w:after="0"/>
                    <w:ind w:left="26"/>
                    <w:jc w:val="center"/>
                    <w:rPr>
                      <w:rFonts w:ascii="Times New Roman" w:hAnsi="Times New Roman" w:cs="Times New Roman"/>
                      <w:sz w:val="20"/>
                      <w:szCs w:val="20"/>
                    </w:rPr>
                  </w:pPr>
                  <w:r w:rsidRPr="003549B4">
                    <w:rPr>
                      <w:rFonts w:ascii="Times New Roman" w:hAnsi="Times New Roman" w:cs="Times New Roman"/>
                      <w:sz w:val="20"/>
                      <w:szCs w:val="20"/>
                    </w:rPr>
                    <w:t>-</w:t>
                  </w:r>
                </w:p>
              </w:tc>
              <w:tc>
                <w:tcPr>
                  <w:tcW w:w="800" w:type="dxa"/>
                  <w:tcBorders>
                    <w:top w:val="single" w:sz="3" w:space="0" w:color="000000"/>
                    <w:left w:val="single" w:sz="3" w:space="0" w:color="000000"/>
                    <w:bottom w:val="single" w:sz="3" w:space="0" w:color="000000"/>
                    <w:right w:val="single" w:sz="3" w:space="0" w:color="000000"/>
                  </w:tcBorders>
                  <w:vAlign w:val="center"/>
                </w:tcPr>
                <w:p w14:paraId="3BB44825" w14:textId="77777777" w:rsidR="00905DC2" w:rsidRPr="003549B4" w:rsidRDefault="00905DC2" w:rsidP="00905DC2">
                  <w:pPr>
                    <w:spacing w:after="0"/>
                    <w:ind w:left="25"/>
                    <w:jc w:val="center"/>
                    <w:rPr>
                      <w:rFonts w:ascii="Times New Roman" w:hAnsi="Times New Roman" w:cs="Times New Roman"/>
                      <w:sz w:val="20"/>
                      <w:szCs w:val="20"/>
                    </w:rPr>
                  </w:pPr>
                  <w:r w:rsidRPr="003549B4">
                    <w:rPr>
                      <w:rFonts w:ascii="Times New Roman" w:hAnsi="Times New Roman" w:cs="Times New Roman"/>
                      <w:sz w:val="20"/>
                      <w:szCs w:val="20"/>
                    </w:rPr>
                    <w:t>15, 40</w:t>
                  </w:r>
                  <w:r w:rsidRPr="003549B4">
                    <w:rPr>
                      <w:rFonts w:ascii="Times New Roman" w:hAnsi="Times New Roman" w:cs="Times New Roman"/>
                      <w:sz w:val="20"/>
                      <w:szCs w:val="20"/>
                      <w:vertAlign w:val="superscript"/>
                    </w:rPr>
                    <w:t>2</w:t>
                  </w:r>
                  <w:r w:rsidRPr="003549B4">
                    <w:rPr>
                      <w:rFonts w:ascii="Times New Roman" w:hAnsi="Times New Roman" w:cs="Times New Roman"/>
                      <w:sz w:val="20"/>
                      <w:szCs w:val="20"/>
                    </w:rPr>
                    <w:t>)</w:t>
                  </w:r>
                </w:p>
              </w:tc>
              <w:tc>
                <w:tcPr>
                  <w:tcW w:w="1191" w:type="dxa"/>
                  <w:tcBorders>
                    <w:top w:val="single" w:sz="3" w:space="0" w:color="000000"/>
                    <w:left w:val="single" w:sz="3" w:space="0" w:color="000000"/>
                    <w:bottom w:val="single" w:sz="3" w:space="0" w:color="000000"/>
                    <w:right w:val="single" w:sz="3" w:space="0" w:color="000000"/>
                  </w:tcBorders>
                  <w:vAlign w:val="center"/>
                </w:tcPr>
                <w:p w14:paraId="0E408411" w14:textId="77777777" w:rsidR="00905DC2" w:rsidRPr="003549B4" w:rsidRDefault="00905DC2" w:rsidP="00905DC2">
                  <w:pPr>
                    <w:spacing w:after="0"/>
                    <w:ind w:left="-91"/>
                    <w:jc w:val="center"/>
                    <w:rPr>
                      <w:rFonts w:ascii="Times New Roman" w:hAnsi="Times New Roman" w:cs="Times New Roman"/>
                      <w:sz w:val="20"/>
                      <w:szCs w:val="20"/>
                    </w:rPr>
                  </w:pPr>
                  <w:r w:rsidRPr="003549B4">
                    <w:rPr>
                      <w:rFonts w:ascii="Times New Roman" w:hAnsi="Times New Roman" w:cs="Times New Roman"/>
                      <w:sz w:val="20"/>
                      <w:szCs w:val="20"/>
                    </w:rPr>
                    <w:t>190</w:t>
                  </w:r>
                </w:p>
              </w:tc>
              <w:tc>
                <w:tcPr>
                  <w:tcW w:w="668" w:type="dxa"/>
                  <w:tcBorders>
                    <w:top w:val="single" w:sz="3" w:space="0" w:color="000000"/>
                    <w:left w:val="single" w:sz="3" w:space="0" w:color="000000"/>
                    <w:bottom w:val="single" w:sz="3" w:space="0" w:color="000000"/>
                    <w:right w:val="single" w:sz="3" w:space="0" w:color="000000"/>
                  </w:tcBorders>
                  <w:vAlign w:val="center"/>
                </w:tcPr>
                <w:p w14:paraId="5C1744BC" w14:textId="77777777" w:rsidR="00905DC2" w:rsidRPr="003549B4" w:rsidRDefault="00905DC2" w:rsidP="00905DC2">
                  <w:pPr>
                    <w:spacing w:after="0"/>
                    <w:ind w:left="-91" w:right="-65"/>
                    <w:jc w:val="center"/>
                    <w:rPr>
                      <w:rFonts w:ascii="Times New Roman" w:hAnsi="Times New Roman" w:cs="Times New Roman"/>
                      <w:sz w:val="20"/>
                      <w:szCs w:val="20"/>
                    </w:rPr>
                  </w:pPr>
                  <w:r w:rsidRPr="003549B4">
                    <w:rPr>
                      <w:rFonts w:ascii="Times New Roman" w:hAnsi="Times New Roman" w:cs="Times New Roman"/>
                      <w:sz w:val="20"/>
                      <w:szCs w:val="20"/>
                    </w:rPr>
                    <w:t>250</w:t>
                  </w:r>
                </w:p>
              </w:tc>
              <w:tc>
                <w:tcPr>
                  <w:tcW w:w="1000" w:type="dxa"/>
                  <w:tcBorders>
                    <w:top w:val="single" w:sz="3" w:space="0" w:color="000000"/>
                    <w:left w:val="single" w:sz="3" w:space="0" w:color="000000"/>
                    <w:bottom w:val="single" w:sz="3" w:space="0" w:color="000000"/>
                    <w:right w:val="single" w:sz="3" w:space="0" w:color="000000"/>
                  </w:tcBorders>
                  <w:vAlign w:val="center"/>
                </w:tcPr>
                <w:p w14:paraId="03B4C1DC" w14:textId="77777777" w:rsidR="00905DC2" w:rsidRPr="003549B4" w:rsidRDefault="00905DC2" w:rsidP="00905DC2">
                  <w:pPr>
                    <w:spacing w:after="0"/>
                    <w:ind w:left="28"/>
                    <w:jc w:val="center"/>
                    <w:rPr>
                      <w:rFonts w:ascii="Times New Roman" w:hAnsi="Times New Roman" w:cs="Times New Roman"/>
                      <w:sz w:val="20"/>
                      <w:szCs w:val="20"/>
                    </w:rPr>
                  </w:pPr>
                  <w:r w:rsidRPr="003549B4">
                    <w:rPr>
                      <w:rFonts w:ascii="Times New Roman" w:hAnsi="Times New Roman" w:cs="Times New Roman"/>
                      <w:sz w:val="20"/>
                      <w:szCs w:val="20"/>
                    </w:rPr>
                    <w:t>25</w:t>
                  </w:r>
                  <w:r w:rsidRPr="003549B4">
                    <w:rPr>
                      <w:rFonts w:ascii="Times New Roman" w:hAnsi="Times New Roman" w:cs="Times New Roman"/>
                      <w:sz w:val="20"/>
                      <w:szCs w:val="20"/>
                      <w:vertAlign w:val="superscript"/>
                    </w:rPr>
                    <w:t>2</w:t>
                  </w:r>
                  <w:r w:rsidRPr="003549B4">
                    <w:rPr>
                      <w:rFonts w:ascii="Times New Roman" w:hAnsi="Times New Roman" w:cs="Times New Roman"/>
                      <w:sz w:val="20"/>
                      <w:szCs w:val="20"/>
                    </w:rPr>
                    <w:t>)</w:t>
                  </w:r>
                </w:p>
              </w:tc>
            </w:tr>
          </w:tbl>
          <w:p w14:paraId="19982418" w14:textId="77777777" w:rsidR="00905DC2" w:rsidRPr="003549B4" w:rsidRDefault="00905DC2" w:rsidP="00905DC2">
            <w:pPr>
              <w:spacing w:after="28" w:line="247" w:lineRule="auto"/>
              <w:ind w:left="284" w:right="770" w:hanging="284"/>
              <w:jc w:val="both"/>
              <w:rPr>
                <w:rFonts w:ascii="Times New Roman" w:hAnsi="Times New Roman" w:cs="Times New Roman"/>
                <w:sz w:val="20"/>
                <w:szCs w:val="20"/>
              </w:rPr>
            </w:pPr>
            <w:r w:rsidRPr="003549B4">
              <w:rPr>
                <w:rFonts w:ascii="Times New Roman" w:hAnsi="Times New Roman" w:cs="Times New Roman"/>
                <w:sz w:val="20"/>
                <w:szCs w:val="20"/>
              </w:rPr>
              <w:t xml:space="preserve">RPM – počet otáčok za minútu </w:t>
            </w:r>
          </w:p>
          <w:p w14:paraId="7CAD7B2A" w14:textId="77777777" w:rsidR="00905DC2" w:rsidRPr="003549B4" w:rsidRDefault="00905DC2" w:rsidP="00905DC2">
            <w:pPr>
              <w:numPr>
                <w:ilvl w:val="0"/>
                <w:numId w:val="16"/>
              </w:numPr>
              <w:spacing w:after="29" w:line="247" w:lineRule="auto"/>
              <w:ind w:left="284" w:right="770" w:hanging="239"/>
              <w:jc w:val="both"/>
              <w:rPr>
                <w:rFonts w:ascii="Times New Roman" w:hAnsi="Times New Roman" w:cs="Times New Roman"/>
                <w:sz w:val="20"/>
                <w:szCs w:val="20"/>
              </w:rPr>
            </w:pPr>
            <w:r w:rsidRPr="003549B4">
              <w:rPr>
                <w:rFonts w:ascii="Times New Roman" w:hAnsi="Times New Roman" w:cs="Times New Roman"/>
                <w:sz w:val="20"/>
                <w:szCs w:val="20"/>
              </w:rPr>
              <w:t xml:space="preserve">Platí pre dvojpalivové motory v kvapalnom režime. </w:t>
            </w:r>
          </w:p>
          <w:p w14:paraId="265B0148" w14:textId="77777777" w:rsidR="00905DC2" w:rsidRPr="003549B4" w:rsidRDefault="00905DC2" w:rsidP="00905DC2">
            <w:pPr>
              <w:numPr>
                <w:ilvl w:val="0"/>
                <w:numId w:val="16"/>
              </w:numPr>
              <w:spacing w:after="28" w:line="247" w:lineRule="auto"/>
              <w:ind w:left="284" w:right="770" w:hanging="239"/>
              <w:jc w:val="both"/>
              <w:rPr>
                <w:rFonts w:ascii="Times New Roman" w:hAnsi="Times New Roman" w:cs="Times New Roman"/>
                <w:sz w:val="20"/>
                <w:szCs w:val="20"/>
              </w:rPr>
            </w:pPr>
            <w:r w:rsidRPr="003549B4">
              <w:rPr>
                <w:rFonts w:ascii="Times New Roman" w:hAnsi="Times New Roman" w:cs="Times New Roman"/>
                <w:sz w:val="20"/>
                <w:szCs w:val="20"/>
              </w:rPr>
              <w:t xml:space="preserve">Platí pre spaľovanie bioplynu. </w:t>
            </w:r>
          </w:p>
          <w:p w14:paraId="0C4CE6EC" w14:textId="77777777" w:rsidR="00905DC2" w:rsidRPr="003549B4" w:rsidRDefault="00905DC2" w:rsidP="00905DC2">
            <w:pPr>
              <w:numPr>
                <w:ilvl w:val="0"/>
                <w:numId w:val="16"/>
              </w:numPr>
              <w:spacing w:after="0" w:line="259" w:lineRule="auto"/>
              <w:ind w:left="284" w:right="770" w:hanging="239"/>
              <w:jc w:val="both"/>
              <w:rPr>
                <w:rFonts w:ascii="Times New Roman" w:hAnsi="Times New Roman" w:cs="Times New Roman"/>
                <w:sz w:val="20"/>
                <w:szCs w:val="20"/>
              </w:rPr>
            </w:pPr>
            <w:r w:rsidRPr="003549B4">
              <w:rPr>
                <w:rFonts w:ascii="Times New Roman" w:hAnsi="Times New Roman" w:cs="Times New Roman"/>
                <w:sz w:val="20"/>
                <w:szCs w:val="20"/>
              </w:rPr>
              <w:t xml:space="preserve">Platí pre zariadenia s MTP ≤ 5 MW. </w:t>
            </w:r>
          </w:p>
          <w:p w14:paraId="7D43B54F" w14:textId="77777777" w:rsidR="00905DC2" w:rsidRPr="003549B4" w:rsidRDefault="00905DC2" w:rsidP="00905DC2">
            <w:pPr>
              <w:numPr>
                <w:ilvl w:val="0"/>
                <w:numId w:val="16"/>
              </w:numPr>
              <w:spacing w:after="28" w:line="247" w:lineRule="auto"/>
              <w:ind w:left="284" w:right="770" w:hanging="239"/>
              <w:jc w:val="both"/>
              <w:rPr>
                <w:rFonts w:ascii="Times New Roman" w:hAnsi="Times New Roman" w:cs="Times New Roman"/>
                <w:sz w:val="20"/>
                <w:szCs w:val="20"/>
              </w:rPr>
            </w:pPr>
            <w:r w:rsidRPr="003549B4">
              <w:rPr>
                <w:rFonts w:ascii="Times New Roman" w:hAnsi="Times New Roman" w:cs="Times New Roman"/>
                <w:sz w:val="20"/>
                <w:szCs w:val="20"/>
              </w:rPr>
              <w:t xml:space="preserve">Platí pre dieselové motory s celkovým MTP ≤ 20 MW s RPM ≤ 1 200 ot/min.  </w:t>
            </w:r>
          </w:p>
          <w:p w14:paraId="298FA624" w14:textId="77777777" w:rsidR="00905DC2" w:rsidRPr="003549B4" w:rsidRDefault="00905DC2" w:rsidP="00905DC2">
            <w:pPr>
              <w:numPr>
                <w:ilvl w:val="0"/>
                <w:numId w:val="16"/>
              </w:numPr>
              <w:spacing w:after="5" w:line="247" w:lineRule="auto"/>
              <w:ind w:left="284" w:right="770" w:hanging="284"/>
              <w:jc w:val="both"/>
              <w:rPr>
                <w:rFonts w:ascii="Times New Roman" w:hAnsi="Times New Roman" w:cs="Times New Roman"/>
                <w:sz w:val="20"/>
                <w:szCs w:val="20"/>
              </w:rPr>
            </w:pPr>
            <w:r w:rsidRPr="003549B4">
              <w:rPr>
                <w:rFonts w:ascii="Times New Roman" w:hAnsi="Times New Roman" w:cs="Times New Roman"/>
                <w:sz w:val="20"/>
                <w:szCs w:val="20"/>
              </w:rPr>
              <w:t>Platí pre dvojpalivové motory v plynnom režime.</w:t>
            </w:r>
          </w:p>
          <w:p w14:paraId="06E57219" w14:textId="77777777" w:rsidR="00905DC2" w:rsidRPr="003549B4" w:rsidRDefault="00905DC2" w:rsidP="00905DC2">
            <w:pPr>
              <w:spacing w:before="120" w:after="0" w:line="240" w:lineRule="auto"/>
              <w:ind w:left="284" w:hanging="284"/>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2B56D358" w14:textId="0394B8EE"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3CF69B87"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175B57FC"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7361B973"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Príloha 3</w:t>
            </w:r>
          </w:p>
        </w:tc>
        <w:tc>
          <w:tcPr>
            <w:tcW w:w="6287" w:type="dxa"/>
            <w:tcBorders>
              <w:top w:val="single" w:sz="4" w:space="0" w:color="auto"/>
              <w:bottom w:val="single" w:sz="4" w:space="0" w:color="auto"/>
            </w:tcBorders>
            <w:shd w:val="clear" w:color="auto" w:fill="auto"/>
          </w:tcPr>
          <w:p w14:paraId="07146E10"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Monitorovanie emisií a posúdenie dosiahnutia súladu </w:t>
            </w:r>
          </w:p>
          <w:p w14:paraId="35CF03E6" w14:textId="77777777" w:rsidR="00905DC2" w:rsidRPr="003549B4" w:rsidRDefault="00905DC2" w:rsidP="00905DC2">
            <w:pPr>
              <w:spacing w:after="0" w:line="240" w:lineRule="auto"/>
              <w:rPr>
                <w:rFonts w:ascii="Times New Roman" w:hAnsi="Times New Roman" w:cs="Times New Roman"/>
                <w:sz w:val="20"/>
                <w:szCs w:val="20"/>
              </w:rPr>
            </w:pPr>
          </w:p>
        </w:tc>
        <w:tc>
          <w:tcPr>
            <w:tcW w:w="433" w:type="dxa"/>
            <w:tcBorders>
              <w:top w:val="single" w:sz="4" w:space="0" w:color="auto"/>
              <w:bottom w:val="single" w:sz="4" w:space="0" w:color="auto"/>
            </w:tcBorders>
            <w:shd w:val="clear" w:color="auto" w:fill="auto"/>
          </w:tcPr>
          <w:p w14:paraId="61D56F36" w14:textId="77777777" w:rsidR="00905DC2" w:rsidRPr="003549B4" w:rsidRDefault="00905DC2" w:rsidP="00905DC2">
            <w:pPr>
              <w:spacing w:before="120" w:after="0" w:line="240" w:lineRule="auto"/>
              <w:rPr>
                <w:rFonts w:ascii="Times New Roman" w:hAnsi="Times New Roman" w:cs="Times New Roman"/>
                <w:sz w:val="20"/>
                <w:szCs w:val="20"/>
              </w:rPr>
            </w:pPr>
          </w:p>
        </w:tc>
        <w:tc>
          <w:tcPr>
            <w:tcW w:w="572" w:type="dxa"/>
            <w:tcBorders>
              <w:top w:val="single" w:sz="4" w:space="0" w:color="auto"/>
              <w:bottom w:val="single" w:sz="4" w:space="0" w:color="auto"/>
            </w:tcBorders>
            <w:shd w:val="clear" w:color="auto" w:fill="auto"/>
          </w:tcPr>
          <w:p w14:paraId="54185098" w14:textId="77777777" w:rsidR="00905DC2" w:rsidRPr="003549B4" w:rsidRDefault="00905DC2" w:rsidP="00F17024">
            <w:pPr>
              <w:spacing w:after="0" w:line="240" w:lineRule="auto"/>
              <w:ind w:right="-108"/>
              <w:rPr>
                <w:rFonts w:ascii="Times New Roman" w:hAnsi="Times New Roman" w:cs="Times New Roman"/>
                <w:sz w:val="20"/>
                <w:szCs w:val="20"/>
              </w:rPr>
            </w:pPr>
          </w:p>
        </w:tc>
        <w:tc>
          <w:tcPr>
            <w:tcW w:w="569" w:type="dxa"/>
            <w:tcBorders>
              <w:top w:val="single" w:sz="4" w:space="0" w:color="auto"/>
              <w:bottom w:val="single" w:sz="4" w:space="0" w:color="auto"/>
            </w:tcBorders>
            <w:shd w:val="clear" w:color="auto" w:fill="auto"/>
          </w:tcPr>
          <w:p w14:paraId="43D8B93A"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tcBorders>
              <w:top w:val="single" w:sz="4" w:space="0" w:color="auto"/>
              <w:bottom w:val="single" w:sz="4" w:space="0" w:color="auto"/>
            </w:tcBorders>
            <w:shd w:val="clear" w:color="auto" w:fill="auto"/>
            <w:vAlign w:val="center"/>
          </w:tcPr>
          <w:p w14:paraId="6C46B006" w14:textId="77777777" w:rsidR="00905DC2" w:rsidRPr="003549B4" w:rsidRDefault="00905DC2" w:rsidP="00905DC2">
            <w:pPr>
              <w:tabs>
                <w:tab w:val="left" w:pos="567"/>
              </w:tabs>
              <w:spacing w:after="0" w:line="22" w:lineRule="atLeast"/>
              <w:rPr>
                <w:rFonts w:ascii="Times New Roman" w:hAnsi="Times New Roman" w:cs="Times New Roman"/>
                <w:sz w:val="20"/>
                <w:szCs w:val="20"/>
              </w:rPr>
            </w:pPr>
          </w:p>
        </w:tc>
        <w:tc>
          <w:tcPr>
            <w:tcW w:w="429" w:type="dxa"/>
            <w:tcBorders>
              <w:top w:val="single" w:sz="4" w:space="0" w:color="auto"/>
              <w:bottom w:val="single" w:sz="4" w:space="0" w:color="auto"/>
            </w:tcBorders>
            <w:shd w:val="clear" w:color="auto" w:fill="auto"/>
            <w:vAlign w:val="center"/>
          </w:tcPr>
          <w:p w14:paraId="6EDBBABB" w14:textId="77777777" w:rsidR="00905DC2" w:rsidRPr="003549B4" w:rsidRDefault="00905DC2" w:rsidP="00905DC2">
            <w:pPr>
              <w:spacing w:after="0" w:line="240" w:lineRule="auto"/>
              <w:rPr>
                <w:rFonts w:ascii="Times New Roman" w:hAnsi="Times New Roman" w:cs="Times New Roman"/>
                <w:sz w:val="20"/>
                <w:szCs w:val="20"/>
              </w:rPr>
            </w:pPr>
          </w:p>
        </w:tc>
        <w:tc>
          <w:tcPr>
            <w:tcW w:w="660" w:type="dxa"/>
            <w:tcBorders>
              <w:top w:val="single" w:sz="4" w:space="0" w:color="auto"/>
              <w:bottom w:val="single" w:sz="4" w:space="0" w:color="auto"/>
            </w:tcBorders>
            <w:shd w:val="clear" w:color="auto" w:fill="auto"/>
            <w:vAlign w:val="center"/>
          </w:tcPr>
          <w:p w14:paraId="7E978F24"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6428E3B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264B146C"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Časť 1</w:t>
            </w:r>
          </w:p>
        </w:tc>
        <w:tc>
          <w:tcPr>
            <w:tcW w:w="6287" w:type="dxa"/>
            <w:tcBorders>
              <w:top w:val="single" w:sz="4" w:space="0" w:color="auto"/>
              <w:bottom w:val="single" w:sz="4" w:space="0" w:color="auto"/>
            </w:tcBorders>
            <w:shd w:val="clear" w:color="auto" w:fill="auto"/>
          </w:tcPr>
          <w:p w14:paraId="295B3DB7"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Monitorovanie emisií zo strany prevádzkovateľa </w:t>
            </w:r>
          </w:p>
        </w:tc>
        <w:tc>
          <w:tcPr>
            <w:tcW w:w="433" w:type="dxa"/>
            <w:tcBorders>
              <w:top w:val="single" w:sz="4" w:space="0" w:color="auto"/>
              <w:bottom w:val="single" w:sz="4" w:space="0" w:color="auto"/>
            </w:tcBorders>
            <w:shd w:val="clear" w:color="auto" w:fill="auto"/>
          </w:tcPr>
          <w:p w14:paraId="2C5B5E16" w14:textId="77777777" w:rsidR="00905DC2" w:rsidRPr="003549B4" w:rsidRDefault="00905DC2" w:rsidP="00905DC2">
            <w:pPr>
              <w:spacing w:before="120" w:after="0" w:line="240" w:lineRule="auto"/>
              <w:rPr>
                <w:rFonts w:ascii="Times New Roman" w:hAnsi="Times New Roman" w:cs="Times New Roman"/>
                <w:sz w:val="20"/>
                <w:szCs w:val="20"/>
              </w:rPr>
            </w:pPr>
          </w:p>
        </w:tc>
        <w:tc>
          <w:tcPr>
            <w:tcW w:w="572" w:type="dxa"/>
            <w:tcBorders>
              <w:top w:val="single" w:sz="4" w:space="0" w:color="auto"/>
              <w:bottom w:val="single" w:sz="4" w:space="0" w:color="auto"/>
            </w:tcBorders>
            <w:shd w:val="clear" w:color="auto" w:fill="auto"/>
          </w:tcPr>
          <w:p w14:paraId="48354C35" w14:textId="77777777" w:rsidR="00905DC2" w:rsidRPr="003549B4" w:rsidRDefault="00905DC2" w:rsidP="00F17024">
            <w:pPr>
              <w:spacing w:after="0" w:line="240" w:lineRule="auto"/>
              <w:ind w:right="-108"/>
              <w:rPr>
                <w:rFonts w:ascii="Times New Roman" w:hAnsi="Times New Roman" w:cs="Times New Roman"/>
                <w:sz w:val="20"/>
                <w:szCs w:val="20"/>
              </w:rPr>
            </w:pPr>
          </w:p>
        </w:tc>
        <w:tc>
          <w:tcPr>
            <w:tcW w:w="569" w:type="dxa"/>
            <w:tcBorders>
              <w:top w:val="single" w:sz="4" w:space="0" w:color="auto"/>
              <w:bottom w:val="single" w:sz="4" w:space="0" w:color="auto"/>
            </w:tcBorders>
            <w:shd w:val="clear" w:color="auto" w:fill="auto"/>
          </w:tcPr>
          <w:p w14:paraId="3FB95B68"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tcBorders>
              <w:top w:val="single" w:sz="4" w:space="0" w:color="auto"/>
              <w:bottom w:val="single" w:sz="4" w:space="0" w:color="auto"/>
            </w:tcBorders>
            <w:shd w:val="clear" w:color="auto" w:fill="auto"/>
            <w:vAlign w:val="center"/>
          </w:tcPr>
          <w:p w14:paraId="44F46991" w14:textId="77777777" w:rsidR="00905DC2" w:rsidRPr="003549B4" w:rsidRDefault="00905DC2" w:rsidP="00905DC2">
            <w:pPr>
              <w:tabs>
                <w:tab w:val="left" w:pos="567"/>
              </w:tabs>
              <w:spacing w:after="0" w:line="22" w:lineRule="atLeast"/>
              <w:rPr>
                <w:rFonts w:ascii="Times New Roman" w:hAnsi="Times New Roman" w:cs="Times New Roman"/>
                <w:sz w:val="20"/>
                <w:szCs w:val="20"/>
              </w:rPr>
            </w:pPr>
          </w:p>
        </w:tc>
        <w:tc>
          <w:tcPr>
            <w:tcW w:w="429" w:type="dxa"/>
            <w:tcBorders>
              <w:top w:val="single" w:sz="4" w:space="0" w:color="auto"/>
              <w:bottom w:val="single" w:sz="4" w:space="0" w:color="auto"/>
            </w:tcBorders>
            <w:shd w:val="clear" w:color="auto" w:fill="auto"/>
            <w:vAlign w:val="center"/>
          </w:tcPr>
          <w:p w14:paraId="6F82AFC6" w14:textId="77777777" w:rsidR="00905DC2" w:rsidRPr="003549B4" w:rsidRDefault="00905DC2" w:rsidP="00905DC2">
            <w:pPr>
              <w:spacing w:after="0" w:line="240" w:lineRule="auto"/>
              <w:rPr>
                <w:rFonts w:ascii="Times New Roman" w:hAnsi="Times New Roman" w:cs="Times New Roman"/>
                <w:sz w:val="20"/>
                <w:szCs w:val="20"/>
              </w:rPr>
            </w:pPr>
          </w:p>
        </w:tc>
        <w:tc>
          <w:tcPr>
            <w:tcW w:w="660" w:type="dxa"/>
            <w:tcBorders>
              <w:top w:val="single" w:sz="4" w:space="0" w:color="auto"/>
              <w:bottom w:val="single" w:sz="4" w:space="0" w:color="auto"/>
            </w:tcBorders>
            <w:shd w:val="clear" w:color="auto" w:fill="auto"/>
            <w:vAlign w:val="center"/>
          </w:tcPr>
          <w:p w14:paraId="039E1F71"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5D84F5C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0FB540D2"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O1</w:t>
            </w:r>
          </w:p>
        </w:tc>
        <w:tc>
          <w:tcPr>
            <w:tcW w:w="6287" w:type="dxa"/>
            <w:tcBorders>
              <w:top w:val="single" w:sz="4" w:space="0" w:color="auto"/>
            </w:tcBorders>
            <w:shd w:val="clear" w:color="auto" w:fill="auto"/>
          </w:tcPr>
          <w:p w14:paraId="3784817F"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1. Pravidelné merania sa vyžadujú prinajmenšom: </w:t>
            </w:r>
          </w:p>
          <w:p w14:paraId="7168AA5E"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každý rok v prípade stredne veľkých spaľovacích zariadení s menovitým tepelným príkonom väčším ako 20 MW.</w:t>
            </w:r>
          </w:p>
          <w:p w14:paraId="575CD20E"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 každé tri roky v prípade stredne veľkých spaľovacích zariadení s menovitým tepelným príkonom rovnajúcim sa alebo väčším ako 1 MW a menším alebo rovnajúcim sa 20 MW, </w:t>
            </w:r>
          </w:p>
        </w:tc>
        <w:tc>
          <w:tcPr>
            <w:tcW w:w="433" w:type="dxa"/>
            <w:tcBorders>
              <w:top w:val="single" w:sz="4" w:space="0" w:color="auto"/>
            </w:tcBorders>
            <w:shd w:val="clear" w:color="auto" w:fill="auto"/>
          </w:tcPr>
          <w:p w14:paraId="1EF3514F"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Borders>
              <w:top w:val="single" w:sz="4" w:space="0" w:color="auto"/>
            </w:tcBorders>
            <w:shd w:val="clear" w:color="auto" w:fill="auto"/>
          </w:tcPr>
          <w:p w14:paraId="7782FE97"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NV2</w:t>
            </w:r>
          </w:p>
          <w:p w14:paraId="776DDE37"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Borders>
              <w:top w:val="single" w:sz="4" w:space="0" w:color="auto"/>
            </w:tcBorders>
            <w:shd w:val="clear" w:color="auto" w:fill="auto"/>
          </w:tcPr>
          <w:p w14:paraId="4CF2CB75"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19741B80"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164FC8BB"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Pb</w:t>
            </w:r>
            <w:r w:rsidR="00F319FF" w:rsidRPr="003549B4">
              <w:rPr>
                <w:rFonts w:ascii="Times New Roman" w:hAnsi="Times New Roman" w:cs="Times New Roman"/>
                <w:sz w:val="20"/>
                <w:szCs w:val="20"/>
              </w:rPr>
              <w:t>)</w:t>
            </w:r>
          </w:p>
          <w:p w14:paraId="0DD46F80" w14:textId="77777777" w:rsidR="00905DC2" w:rsidRPr="003549B4" w:rsidRDefault="00F319FF"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bod</w:t>
            </w:r>
            <w:r w:rsidR="00905DC2" w:rsidRPr="003549B4">
              <w:rPr>
                <w:rFonts w:ascii="Times New Roman" w:hAnsi="Times New Roman" w:cs="Times New Roman"/>
                <w:sz w:val="20"/>
                <w:szCs w:val="20"/>
              </w:rPr>
              <w:t>2</w:t>
            </w:r>
            <w:r w:rsidRPr="003549B4">
              <w:rPr>
                <w:rFonts w:ascii="Times New Roman" w:hAnsi="Times New Roman" w:cs="Times New Roman"/>
                <w:sz w:val="20"/>
                <w:szCs w:val="20"/>
              </w:rPr>
              <w:t>,</w:t>
            </w:r>
          </w:p>
          <w:p w14:paraId="29C63281"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Pc</w:t>
            </w:r>
            <w:r w:rsidR="00F319FF" w:rsidRPr="003549B4">
              <w:rPr>
                <w:rFonts w:ascii="Times New Roman" w:hAnsi="Times New Roman" w:cs="Times New Roman"/>
                <w:sz w:val="20"/>
                <w:szCs w:val="20"/>
              </w:rPr>
              <w:t>)</w:t>
            </w:r>
          </w:p>
          <w:p w14:paraId="338C50C3" w14:textId="77777777" w:rsidR="00905DC2" w:rsidRPr="003549B4" w:rsidRDefault="00F319FF"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bod</w:t>
            </w:r>
            <w:r w:rsidR="00905DC2" w:rsidRPr="003549B4">
              <w:rPr>
                <w:rFonts w:ascii="Times New Roman" w:hAnsi="Times New Roman" w:cs="Times New Roman"/>
                <w:sz w:val="20"/>
                <w:szCs w:val="20"/>
              </w:rPr>
              <w:t>3</w:t>
            </w:r>
          </w:p>
        </w:tc>
        <w:tc>
          <w:tcPr>
            <w:tcW w:w="6006" w:type="dxa"/>
            <w:tcBorders>
              <w:top w:val="single" w:sz="4" w:space="0" w:color="auto"/>
            </w:tcBorders>
            <w:shd w:val="clear" w:color="auto" w:fill="auto"/>
          </w:tcPr>
          <w:p w14:paraId="290310C6"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(5)</w:t>
            </w:r>
            <w:r w:rsidRPr="003549B4">
              <w:rPr>
                <w:rFonts w:ascii="Times New Roman" w:hAnsi="Times New Roman" w:cs="Times New Roman"/>
                <w:sz w:val="20"/>
                <w:szCs w:val="20"/>
              </w:rPr>
              <w:tab/>
              <w:t>Periodickým meraním sa zisťujú údaje o dodržaní emisných limitov v odpadových plynoch pre znečisťujúce látky, pre ktoré je ustanovený alebo určený emisný limit podľa § 34 ods. 3 písm. a) zákona, pre celkovú ortuť podľa písmena b) prvého bodu a pre oxid uhoľnatý pre všetky spaľovacie zariadenia, najmenej raz za</w:t>
            </w:r>
          </w:p>
          <w:p w14:paraId="75A73DCA"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b)</w:t>
            </w:r>
            <w:r w:rsidRPr="003549B4">
              <w:rPr>
                <w:rFonts w:ascii="Times New Roman" w:hAnsi="Times New Roman" w:cs="Times New Roman"/>
                <w:sz w:val="20"/>
                <w:szCs w:val="20"/>
              </w:rPr>
              <w:tab/>
              <w:t>12 kalendárnych mesiacov, ak ide o</w:t>
            </w:r>
          </w:p>
          <w:p w14:paraId="2BFA61A0"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2. väčšie stredné spaľovacie zariadenie, ktorého celkový menovitý tepelný príkon je väčší ako 20 MW,</w:t>
            </w:r>
          </w:p>
          <w:p w14:paraId="3F7FF8B0"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c)</w:t>
            </w:r>
            <w:r w:rsidRPr="003549B4">
              <w:rPr>
                <w:rFonts w:ascii="Times New Roman" w:hAnsi="Times New Roman" w:cs="Times New Roman"/>
                <w:sz w:val="20"/>
                <w:szCs w:val="20"/>
              </w:rPr>
              <w:tab/>
              <w:t>tri kalendárne roky, ak ide o spaľovacie zariadenie, ktorého celkový menovitý tepelný príkon sa rovná alebo je väčší ako</w:t>
            </w:r>
          </w:p>
          <w:p w14:paraId="2B744F4E" w14:textId="77777777" w:rsidR="00905DC2" w:rsidRPr="003549B4" w:rsidRDefault="00905DC2" w:rsidP="00F319FF">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lastRenderedPageBreak/>
              <w:t>3. 1 MW a menší alebo sa rovná 20 MW,</w:t>
            </w:r>
          </w:p>
        </w:tc>
        <w:tc>
          <w:tcPr>
            <w:tcW w:w="429" w:type="dxa"/>
            <w:tcBorders>
              <w:top w:val="single" w:sz="4" w:space="0" w:color="auto"/>
              <w:bottom w:val="single" w:sz="4" w:space="0" w:color="auto"/>
            </w:tcBorders>
            <w:shd w:val="clear" w:color="auto" w:fill="auto"/>
            <w:vAlign w:val="center"/>
          </w:tcPr>
          <w:p w14:paraId="2813353C"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shd w:val="clear" w:color="auto" w:fill="auto"/>
            <w:vAlign w:val="center"/>
          </w:tcPr>
          <w:p w14:paraId="03EE06BB"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6C0545C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50D65FFC"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O2</w:t>
            </w:r>
          </w:p>
        </w:tc>
        <w:tc>
          <w:tcPr>
            <w:tcW w:w="6287" w:type="dxa"/>
            <w:shd w:val="clear" w:color="auto" w:fill="auto"/>
          </w:tcPr>
          <w:p w14:paraId="4B2D2E52"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2. Ako alternatíva frekvencií opakovaní uvedených v bode 1, môžu byť v prípade stredne veľkých spaľovacích zariadení, na ktoré sa vzťahuje </w:t>
            </w:r>
            <w:r w:rsidRPr="003549B4">
              <w:rPr>
                <w:rFonts w:ascii="Times New Roman" w:hAnsi="Times New Roman" w:cs="Times New Roman"/>
                <w:sz w:val="20"/>
                <w:szCs w:val="20"/>
                <w:u w:val="single"/>
              </w:rPr>
              <w:t>článok 6 ods. 3</w:t>
            </w:r>
            <w:r w:rsidRPr="003549B4">
              <w:rPr>
                <w:rFonts w:ascii="Times New Roman" w:hAnsi="Times New Roman" w:cs="Times New Roman"/>
                <w:sz w:val="20"/>
                <w:szCs w:val="20"/>
              </w:rPr>
              <w:t xml:space="preserve"> alebo </w:t>
            </w:r>
            <w:r w:rsidRPr="003549B4">
              <w:rPr>
                <w:rFonts w:ascii="Times New Roman" w:hAnsi="Times New Roman" w:cs="Times New Roman"/>
                <w:sz w:val="20"/>
                <w:szCs w:val="20"/>
                <w:u w:val="single"/>
              </w:rPr>
              <w:t>článok 6 ods. 8</w:t>
            </w:r>
            <w:r w:rsidRPr="003549B4">
              <w:rPr>
                <w:rFonts w:ascii="Times New Roman" w:hAnsi="Times New Roman" w:cs="Times New Roman"/>
                <w:sz w:val="20"/>
                <w:szCs w:val="20"/>
              </w:rPr>
              <w:t xml:space="preserve">, vyžadované pravidelné merania minimálne vždy po uplynutí tohto počtu prevádzkových hodín: </w:t>
            </w:r>
          </w:p>
          <w:p w14:paraId="1F56EF96"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 trojnásobok maximálneho priemerného počtu prevádzkových hodín za rok, ktorý sa použije podľa článku 6 ods. 3 alebo článku 6 ods. 8 v prípade stredne veľkých spaľovacích zariadení s menovitým tepelným príkonom rovnajúcim sa alebo väčším ako 1 MW a menším alebo rovnajúcim sa 20 MW, </w:t>
            </w:r>
          </w:p>
          <w:p w14:paraId="65320144"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 maximálny priemerný počet prevádzkových hodín za rok, ktorý sa použije podľa článku 6 ods. 3 alebo článku 6 ods. 8 v prípade stredne veľkých spaľovacích zariadení s menovitým tepelným príkonom väčším ako 20 MW. </w:t>
            </w:r>
          </w:p>
          <w:p w14:paraId="4A677B3F"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Frekvencia pravidelných meraní nesmie byť nikdy nižšia ako raz za päť rokov.</w:t>
            </w:r>
          </w:p>
        </w:tc>
        <w:tc>
          <w:tcPr>
            <w:tcW w:w="433" w:type="dxa"/>
            <w:shd w:val="clear" w:color="auto" w:fill="auto"/>
          </w:tcPr>
          <w:p w14:paraId="7EF00F27"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O</w:t>
            </w:r>
          </w:p>
        </w:tc>
        <w:tc>
          <w:tcPr>
            <w:tcW w:w="572" w:type="dxa"/>
            <w:shd w:val="clear" w:color="auto" w:fill="auto"/>
          </w:tcPr>
          <w:p w14:paraId="5A824141"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NV2</w:t>
            </w:r>
          </w:p>
          <w:p w14:paraId="520E3EA4"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0786063A"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3BA9A115"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O8</w:t>
            </w:r>
          </w:p>
          <w:p w14:paraId="75957D70"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02FA3797"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(8)</w:t>
            </w:r>
            <w:r w:rsidRPr="003549B4">
              <w:rPr>
                <w:rFonts w:ascii="Times New Roman" w:hAnsi="Times New Roman" w:cs="Times New Roman"/>
                <w:sz w:val="20"/>
                <w:szCs w:val="20"/>
              </w:rPr>
              <w:tab/>
              <w:t>Údaje o dodržaní určených emisných limitov v odpadových plynoch z občasného väčšieho stredného spaľovacieho zariadenia sa zisťujú periodickým meraním najmenej jedenkrát za päť rokov, ak kratší interval nie je určený v povolení, vždy však po uplynutí nasledujúceho počtu prevádzkových hodín</w:t>
            </w:r>
          </w:p>
          <w:p w14:paraId="54333FBF"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a)</w:t>
            </w:r>
            <w:r w:rsidRPr="003549B4">
              <w:rPr>
                <w:rFonts w:ascii="Times New Roman" w:hAnsi="Times New Roman" w:cs="Times New Roman"/>
                <w:sz w:val="20"/>
                <w:szCs w:val="20"/>
              </w:rPr>
              <w:tab/>
              <w:t>trojnásobok maximálneho priemerného počtu prevádzkových hodín za rok podľa odsekov 9 a 10, ak ide o občasné väčšie stredné spaľovacie zariadenie, ktorého celkový menovitý tepelný príkon je 1 MW alebo väčší a menší alebo rovný 20 MW,</w:t>
            </w:r>
          </w:p>
          <w:p w14:paraId="4D215C74"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b)</w:t>
            </w:r>
            <w:r w:rsidRPr="003549B4">
              <w:rPr>
                <w:rFonts w:ascii="Times New Roman" w:hAnsi="Times New Roman" w:cs="Times New Roman"/>
                <w:sz w:val="20"/>
                <w:szCs w:val="20"/>
              </w:rPr>
              <w:tab/>
              <w:t>maximálny priemerný počet prevádzkových hodín za rok podľa odsekov 9 a 10, ak ide o občasné väčšie stredné spaľovacie zariadenie, ktorého celkový menovitý tepelný príkon je väčší ako 20 MW a menší ako 50 MW.</w:t>
            </w:r>
          </w:p>
        </w:tc>
        <w:tc>
          <w:tcPr>
            <w:tcW w:w="429" w:type="dxa"/>
            <w:tcBorders>
              <w:top w:val="single" w:sz="4" w:space="0" w:color="auto"/>
              <w:bottom w:val="single" w:sz="4" w:space="0" w:color="auto"/>
            </w:tcBorders>
            <w:shd w:val="clear" w:color="auto" w:fill="auto"/>
            <w:vAlign w:val="center"/>
          </w:tcPr>
          <w:p w14:paraId="13E4A55C"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shd w:val="clear" w:color="auto" w:fill="auto"/>
            <w:vAlign w:val="center"/>
          </w:tcPr>
          <w:p w14:paraId="45A87E62"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15FD3B9F"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2152A468"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O3</w:t>
            </w:r>
          </w:p>
        </w:tc>
        <w:tc>
          <w:tcPr>
            <w:tcW w:w="6287" w:type="dxa"/>
            <w:shd w:val="clear" w:color="auto" w:fill="auto"/>
          </w:tcPr>
          <w:p w14:paraId="7A79FDC6"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3. Merania sa vyžadujú iba v prípade: </w:t>
            </w:r>
          </w:p>
          <w:p w14:paraId="35098686"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a) znečisťujúcich látok, pre ktoré je stanovený emisný limit v tejto smernici pre príslušné zariadenie; </w:t>
            </w:r>
          </w:p>
          <w:p w14:paraId="497A843E"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b) CO v prípade všetkých zariadení.</w:t>
            </w:r>
          </w:p>
        </w:tc>
        <w:tc>
          <w:tcPr>
            <w:tcW w:w="433" w:type="dxa"/>
            <w:shd w:val="clear" w:color="auto" w:fill="auto"/>
          </w:tcPr>
          <w:p w14:paraId="7C3015E3"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shd w:val="clear" w:color="auto" w:fill="auto"/>
          </w:tcPr>
          <w:p w14:paraId="5BC49DB9"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NV2</w:t>
            </w:r>
          </w:p>
          <w:p w14:paraId="20E3B094"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59F9E698"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63104456"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021A7F66"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4D960B99"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(5)</w:t>
            </w:r>
            <w:r w:rsidRPr="003549B4">
              <w:rPr>
                <w:rFonts w:ascii="Times New Roman" w:hAnsi="Times New Roman" w:cs="Times New Roman"/>
                <w:sz w:val="20"/>
                <w:szCs w:val="20"/>
              </w:rPr>
              <w:tab/>
              <w:t>Periodickým meraním sa zisťujú údaje o dodržaní emisných limitov v odpadových plynoch pre znečisťujúce látky, pre ktoré je ustanovený alebo určený emisný limit podľa § 34 ods. 3 písm. a) zákona, pre celkovú ortuť podľa písmena b) prvého bodu a pre oxid uhoľnatý pre všetky spaľovacie zariadenia,</w:t>
            </w:r>
          </w:p>
        </w:tc>
        <w:tc>
          <w:tcPr>
            <w:tcW w:w="429" w:type="dxa"/>
            <w:tcBorders>
              <w:top w:val="single" w:sz="4" w:space="0" w:color="auto"/>
              <w:bottom w:val="single" w:sz="4" w:space="0" w:color="auto"/>
            </w:tcBorders>
            <w:shd w:val="clear" w:color="auto" w:fill="auto"/>
            <w:vAlign w:val="center"/>
          </w:tcPr>
          <w:p w14:paraId="1047D87C"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shd w:val="clear" w:color="auto" w:fill="auto"/>
            <w:vAlign w:val="center"/>
          </w:tcPr>
          <w:p w14:paraId="2F48C6BE"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65E521E7"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2EE4F903"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O4</w:t>
            </w:r>
          </w:p>
        </w:tc>
        <w:tc>
          <w:tcPr>
            <w:tcW w:w="6287" w:type="dxa"/>
            <w:shd w:val="clear" w:color="auto" w:fill="auto"/>
          </w:tcPr>
          <w:p w14:paraId="2131AF0D"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4. Prvé merania sa vykonajú do štyroch mesiacov po udelení povolenia alebo registrácii zariadenia alebo po dátume začatia prevádzky podľa toho, čo nastane neskôr.</w:t>
            </w:r>
          </w:p>
        </w:tc>
        <w:tc>
          <w:tcPr>
            <w:tcW w:w="433" w:type="dxa"/>
            <w:shd w:val="clear" w:color="auto" w:fill="auto"/>
          </w:tcPr>
          <w:p w14:paraId="0A1539BA"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shd w:val="clear" w:color="auto" w:fill="auto"/>
          </w:tcPr>
          <w:p w14:paraId="6B544A4B"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NV2</w:t>
            </w:r>
          </w:p>
          <w:p w14:paraId="1BB30227"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3D666304"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1BF169EC"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O11</w:t>
            </w:r>
          </w:p>
          <w:p w14:paraId="17793191"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1F6F4F4F"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(11)</w:t>
            </w:r>
            <w:r w:rsidRPr="003549B4">
              <w:rPr>
                <w:rFonts w:ascii="Times New Roman" w:hAnsi="Times New Roman" w:cs="Times New Roman"/>
                <w:sz w:val="20"/>
                <w:szCs w:val="20"/>
              </w:rPr>
              <w:tab/>
              <w:t>Ak ide o uvádzanie nového väčšieho stredného spaľovacieho zariadenia do prevádzky podľa § 4 ods. 1 písm. a) alebo o uvádzanie jestvujúceho väčšieho stredného spaľovacieho zariadenia do prevádzky po jeho zmene podľa § 4 ods. 1 písm. b), prvé merania sa vykonajú do štyroch mesiacov po vydaní povolenia alebo po dátume začatia prevádzky podľa toho, čo nastane neskôr.</w:t>
            </w:r>
          </w:p>
        </w:tc>
        <w:tc>
          <w:tcPr>
            <w:tcW w:w="429" w:type="dxa"/>
            <w:tcBorders>
              <w:top w:val="single" w:sz="4" w:space="0" w:color="auto"/>
              <w:bottom w:val="single" w:sz="4" w:space="0" w:color="auto"/>
            </w:tcBorders>
            <w:shd w:val="clear" w:color="auto" w:fill="auto"/>
            <w:vAlign w:val="center"/>
          </w:tcPr>
          <w:p w14:paraId="0C42560E"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shd w:val="clear" w:color="auto" w:fill="auto"/>
            <w:vAlign w:val="center"/>
          </w:tcPr>
          <w:p w14:paraId="67EC0E15"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75588D70"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225298CD"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O5</w:t>
            </w:r>
          </w:p>
        </w:tc>
        <w:tc>
          <w:tcPr>
            <w:tcW w:w="6287" w:type="dxa"/>
            <w:shd w:val="clear" w:color="auto" w:fill="auto"/>
          </w:tcPr>
          <w:p w14:paraId="55BCA9F1"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5. Ako alternatívu meraní uvedených v bodoch 1, 2 a v bode 3 písm. a) týkajúcich sa SO2 možno na určovanie emisií SO2 používať iné postupy, ktoré sú overené a schválené príslušným orgánom.</w:t>
            </w:r>
          </w:p>
        </w:tc>
        <w:tc>
          <w:tcPr>
            <w:tcW w:w="433" w:type="dxa"/>
            <w:shd w:val="clear" w:color="auto" w:fill="auto"/>
          </w:tcPr>
          <w:p w14:paraId="41D0689A" w14:textId="77777777" w:rsidR="00905DC2" w:rsidRPr="003549B4" w:rsidRDefault="00F35508"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D</w:t>
            </w:r>
          </w:p>
        </w:tc>
        <w:tc>
          <w:tcPr>
            <w:tcW w:w="572" w:type="dxa"/>
            <w:shd w:val="clear" w:color="auto" w:fill="auto"/>
          </w:tcPr>
          <w:p w14:paraId="7349C4EB"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NV2</w:t>
            </w:r>
          </w:p>
          <w:p w14:paraId="70145791"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57703A9A"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07851990"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O6</w:t>
            </w:r>
          </w:p>
          <w:p w14:paraId="18326735"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Pa)</w:t>
            </w:r>
          </w:p>
          <w:p w14:paraId="60AE1114"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10D20848"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(6)</w:t>
            </w:r>
            <w:r w:rsidRPr="003549B4">
              <w:rPr>
                <w:rFonts w:ascii="Times New Roman" w:hAnsi="Times New Roman" w:cs="Times New Roman"/>
                <w:sz w:val="20"/>
                <w:szCs w:val="20"/>
              </w:rPr>
              <w:tab/>
              <w:t>Periodické meranie údajov o dodržaní emisného limitu možno nahradiť overeným a schváleným technickým výpočtom, ktorý je odborne posúdený podľa § 57 zákona, ak sa preukáže, že najvyššia hodnota emisnej veličiny počas ustálenej prevádzky v súlade s povolením vrátane prihliadnutia na predpoklady podľa § 11 ods. 7 a na požiadavky na alternatívne metódy merania pri technickom výpočte podľa odseku 14 nemôže byť vyššia ako hodnota určeného emisného limitu, ak ide o</w:t>
            </w:r>
          </w:p>
          <w:p w14:paraId="649467BA"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a)</w:t>
            </w:r>
            <w:r w:rsidRPr="003549B4">
              <w:rPr>
                <w:rFonts w:ascii="Times New Roman" w:hAnsi="Times New Roman" w:cs="Times New Roman"/>
                <w:sz w:val="20"/>
                <w:szCs w:val="20"/>
              </w:rPr>
              <w:tab/>
              <w:t>oxid siričitý,</w:t>
            </w:r>
          </w:p>
        </w:tc>
        <w:tc>
          <w:tcPr>
            <w:tcW w:w="429" w:type="dxa"/>
            <w:tcBorders>
              <w:top w:val="single" w:sz="4" w:space="0" w:color="auto"/>
              <w:bottom w:val="single" w:sz="4" w:space="0" w:color="auto"/>
            </w:tcBorders>
            <w:shd w:val="clear" w:color="auto" w:fill="auto"/>
            <w:vAlign w:val="center"/>
          </w:tcPr>
          <w:p w14:paraId="2C5C45E7"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shd w:val="clear" w:color="auto" w:fill="auto"/>
            <w:vAlign w:val="center"/>
          </w:tcPr>
          <w:p w14:paraId="6AF28801"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14EAAC3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61370449"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O6</w:t>
            </w:r>
          </w:p>
        </w:tc>
        <w:tc>
          <w:tcPr>
            <w:tcW w:w="6287" w:type="dxa"/>
            <w:shd w:val="clear" w:color="auto" w:fill="auto"/>
          </w:tcPr>
          <w:p w14:paraId="16AC5570" w14:textId="77777777" w:rsidR="00905DC2" w:rsidRPr="003549B4" w:rsidRDefault="00905DC2" w:rsidP="00F319FF">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6. Členské štáty môžu ako alternatívu k pravidelným meraniam uvedeným v bode 1 vyžadovať kontinuálne merania. V prípade kontinuál</w:t>
            </w:r>
            <w:r w:rsidR="00F319FF" w:rsidRPr="003549B4">
              <w:rPr>
                <w:rFonts w:ascii="Times New Roman" w:hAnsi="Times New Roman" w:cs="Times New Roman"/>
                <w:sz w:val="20"/>
                <w:szCs w:val="20"/>
              </w:rPr>
              <w:t>nych meraní podliehajú automatizov</w:t>
            </w:r>
            <w:r w:rsidRPr="003549B4">
              <w:rPr>
                <w:rFonts w:ascii="Times New Roman" w:hAnsi="Times New Roman" w:cs="Times New Roman"/>
                <w:sz w:val="20"/>
                <w:szCs w:val="20"/>
              </w:rPr>
              <w:t xml:space="preserve">ané systémy merania kontrole prostredníctvom </w:t>
            </w:r>
            <w:r w:rsidRPr="003549B4">
              <w:rPr>
                <w:rFonts w:ascii="Times New Roman" w:hAnsi="Times New Roman" w:cs="Times New Roman"/>
                <w:sz w:val="20"/>
                <w:szCs w:val="20"/>
              </w:rPr>
              <w:lastRenderedPageBreak/>
              <w:t>paralelných meraní referenčnými metódami najmenej raz ročne a prevádzkovateľ o výsledkoch týchto kontrol informuje príslušný orgán.</w:t>
            </w:r>
          </w:p>
        </w:tc>
        <w:tc>
          <w:tcPr>
            <w:tcW w:w="433" w:type="dxa"/>
            <w:shd w:val="clear" w:color="auto" w:fill="auto"/>
          </w:tcPr>
          <w:p w14:paraId="6C567942" w14:textId="77777777" w:rsidR="00905DC2" w:rsidRPr="003549B4" w:rsidRDefault="00F35508"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D</w:t>
            </w:r>
          </w:p>
        </w:tc>
        <w:tc>
          <w:tcPr>
            <w:tcW w:w="572" w:type="dxa"/>
            <w:shd w:val="clear" w:color="auto" w:fill="auto"/>
          </w:tcPr>
          <w:p w14:paraId="4C76D56F"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NV2</w:t>
            </w:r>
          </w:p>
          <w:p w14:paraId="05E6D1EE"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03103955"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20742941"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O13</w:t>
            </w:r>
          </w:p>
          <w:p w14:paraId="235F5F03"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p w14:paraId="1CCCA9A5"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shd w:val="clear" w:color="auto" w:fill="auto"/>
          </w:tcPr>
          <w:p w14:paraId="7294D137"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lastRenderedPageBreak/>
              <w:t>(13)</w:t>
            </w:r>
            <w:r w:rsidRPr="003549B4">
              <w:rPr>
                <w:rFonts w:ascii="Times New Roman" w:hAnsi="Times New Roman" w:cs="Times New Roman"/>
                <w:sz w:val="20"/>
                <w:szCs w:val="20"/>
              </w:rPr>
              <w:tab/>
              <w:t xml:space="preserve">Zisťovať údaje o dodržaní určeného emisného limitu a množstva emisie kontinuálnym meraním môže prevádzkovateľ spaľovacieho zariadenia, aj keď to odsek 1 neustanovuje; podmienkou je </w:t>
            </w:r>
            <w:r w:rsidRPr="003549B4">
              <w:rPr>
                <w:rFonts w:ascii="Times New Roman" w:hAnsi="Times New Roman" w:cs="Times New Roman"/>
                <w:sz w:val="20"/>
                <w:szCs w:val="20"/>
              </w:rPr>
              <w:lastRenderedPageBreak/>
              <w:t>preukázanie splnenia požiadaviek na automatizovaný merací systém emisií podľa odseku 4, § 7 ods. 2 až 13 a jeho kontrola podľa § 14 vrátane kontroly prostredníctvom paralelných meraní referenčnými metódami najmenej raz ročne a predloženia správy podľa § 2 ods. 6.</w:t>
            </w:r>
          </w:p>
        </w:tc>
        <w:tc>
          <w:tcPr>
            <w:tcW w:w="429" w:type="dxa"/>
            <w:tcBorders>
              <w:top w:val="single" w:sz="4" w:space="0" w:color="auto"/>
              <w:bottom w:val="single" w:sz="4" w:space="0" w:color="auto"/>
            </w:tcBorders>
            <w:shd w:val="clear" w:color="auto" w:fill="auto"/>
            <w:vAlign w:val="center"/>
          </w:tcPr>
          <w:p w14:paraId="522B269D"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shd w:val="clear" w:color="auto" w:fill="auto"/>
            <w:vAlign w:val="center"/>
          </w:tcPr>
          <w:p w14:paraId="5C7523C9"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4440898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shd w:val="clear" w:color="auto" w:fill="auto"/>
          </w:tcPr>
          <w:p w14:paraId="09DC82EF"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O7</w:t>
            </w:r>
          </w:p>
        </w:tc>
        <w:tc>
          <w:tcPr>
            <w:tcW w:w="6287" w:type="dxa"/>
            <w:shd w:val="clear" w:color="auto" w:fill="auto"/>
          </w:tcPr>
          <w:p w14:paraId="6B97C7F7"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7. Odbery vzoriek a analýza znečisťujúcich látok a merania prevádzkových parametrov, ako aj prípadné alternatívne merania, ako sa uvádza v bodoch 5 a 6, sú založené na metódach umožňujúcich spoľahlivé, reprezentatívne a porovnateľné výsledky. </w:t>
            </w:r>
          </w:p>
          <w:p w14:paraId="38DF30F6"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Predpokladá sa, že túto požiadavku spĺňajú metó</w:t>
            </w:r>
            <w:r w:rsidR="00F319FF" w:rsidRPr="003549B4">
              <w:rPr>
                <w:rFonts w:ascii="Times New Roman" w:hAnsi="Times New Roman" w:cs="Times New Roman"/>
                <w:sz w:val="20"/>
                <w:szCs w:val="20"/>
              </w:rPr>
              <w:t>dy, ktoré sú v súlade s harmonizov</w:t>
            </w:r>
            <w:r w:rsidRPr="003549B4">
              <w:rPr>
                <w:rFonts w:ascii="Times New Roman" w:hAnsi="Times New Roman" w:cs="Times New Roman"/>
                <w:sz w:val="20"/>
                <w:szCs w:val="20"/>
              </w:rPr>
              <w:t xml:space="preserve">anými normami EN. </w:t>
            </w:r>
          </w:p>
          <w:p w14:paraId="65662C4D" w14:textId="77777777" w:rsidR="00905DC2" w:rsidRPr="003549B4" w:rsidRDefault="00905DC2" w:rsidP="00905DC2">
            <w:pPr>
              <w:spacing w:before="120" w:after="0" w:line="240" w:lineRule="auto"/>
              <w:rPr>
                <w:rFonts w:ascii="Times New Roman" w:hAnsi="Times New Roman" w:cs="Times New Roman"/>
                <w:sz w:val="20"/>
                <w:szCs w:val="20"/>
              </w:rPr>
            </w:pPr>
          </w:p>
          <w:p w14:paraId="1BBE6522" w14:textId="77777777" w:rsidR="00905DC2" w:rsidRPr="003549B4" w:rsidRDefault="00905DC2" w:rsidP="00905DC2">
            <w:pPr>
              <w:spacing w:before="120" w:after="0" w:line="240" w:lineRule="auto"/>
              <w:rPr>
                <w:rFonts w:ascii="Times New Roman" w:hAnsi="Times New Roman" w:cs="Times New Roman"/>
                <w:sz w:val="20"/>
                <w:szCs w:val="20"/>
              </w:rPr>
            </w:pPr>
          </w:p>
          <w:p w14:paraId="723A970D" w14:textId="77777777" w:rsidR="00905DC2" w:rsidRPr="003549B4" w:rsidRDefault="00905DC2" w:rsidP="00905DC2">
            <w:pPr>
              <w:spacing w:before="120" w:after="0" w:line="240" w:lineRule="auto"/>
              <w:rPr>
                <w:rFonts w:ascii="Times New Roman" w:hAnsi="Times New Roman" w:cs="Times New Roman"/>
                <w:sz w:val="20"/>
                <w:szCs w:val="20"/>
              </w:rPr>
            </w:pPr>
          </w:p>
          <w:p w14:paraId="4CC1B56C" w14:textId="77777777" w:rsidR="00905DC2" w:rsidRPr="003549B4" w:rsidRDefault="00905DC2" w:rsidP="00905DC2">
            <w:pPr>
              <w:spacing w:before="120" w:after="0" w:line="240" w:lineRule="auto"/>
              <w:rPr>
                <w:rFonts w:ascii="Times New Roman" w:hAnsi="Times New Roman" w:cs="Times New Roman"/>
                <w:sz w:val="20"/>
                <w:szCs w:val="20"/>
              </w:rPr>
            </w:pPr>
          </w:p>
          <w:p w14:paraId="3E59D90F" w14:textId="77777777" w:rsidR="00905DC2" w:rsidRPr="003549B4" w:rsidRDefault="00905DC2" w:rsidP="00905DC2">
            <w:pPr>
              <w:spacing w:before="120" w:after="0" w:line="240" w:lineRule="auto"/>
              <w:rPr>
                <w:rFonts w:ascii="Times New Roman" w:hAnsi="Times New Roman" w:cs="Times New Roman"/>
                <w:sz w:val="20"/>
                <w:szCs w:val="20"/>
              </w:rPr>
            </w:pPr>
          </w:p>
          <w:p w14:paraId="17E8F2B6" w14:textId="77777777" w:rsidR="00905DC2" w:rsidRPr="003549B4" w:rsidRDefault="00905DC2" w:rsidP="00905DC2">
            <w:pPr>
              <w:spacing w:before="120" w:after="0" w:line="240" w:lineRule="auto"/>
              <w:rPr>
                <w:rFonts w:ascii="Times New Roman" w:hAnsi="Times New Roman" w:cs="Times New Roman"/>
                <w:sz w:val="20"/>
                <w:szCs w:val="20"/>
              </w:rPr>
            </w:pPr>
          </w:p>
          <w:p w14:paraId="5EB3F6EC" w14:textId="77777777" w:rsidR="00905DC2" w:rsidRPr="003549B4" w:rsidRDefault="00905DC2" w:rsidP="00905DC2">
            <w:pPr>
              <w:spacing w:before="120" w:after="0" w:line="240" w:lineRule="auto"/>
              <w:rPr>
                <w:rFonts w:ascii="Times New Roman" w:hAnsi="Times New Roman" w:cs="Times New Roman"/>
                <w:sz w:val="20"/>
                <w:szCs w:val="20"/>
              </w:rPr>
            </w:pPr>
          </w:p>
          <w:p w14:paraId="3914AE86" w14:textId="77777777" w:rsidR="00905DC2" w:rsidRPr="003549B4" w:rsidRDefault="00905DC2" w:rsidP="00905DC2">
            <w:pPr>
              <w:spacing w:before="120" w:after="0" w:line="240" w:lineRule="auto"/>
              <w:rPr>
                <w:rFonts w:ascii="Times New Roman" w:hAnsi="Times New Roman" w:cs="Times New Roman"/>
                <w:sz w:val="20"/>
                <w:szCs w:val="20"/>
              </w:rPr>
            </w:pPr>
          </w:p>
          <w:p w14:paraId="69782F02" w14:textId="77777777" w:rsidR="00905DC2" w:rsidRPr="003549B4" w:rsidRDefault="00905DC2" w:rsidP="00905DC2">
            <w:pPr>
              <w:spacing w:before="120" w:after="0" w:line="240" w:lineRule="auto"/>
              <w:rPr>
                <w:rFonts w:ascii="Times New Roman" w:hAnsi="Times New Roman" w:cs="Times New Roman"/>
                <w:sz w:val="20"/>
                <w:szCs w:val="20"/>
              </w:rPr>
            </w:pPr>
          </w:p>
          <w:p w14:paraId="42B041E2"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 xml:space="preserve">Počas každého merania musí zariadenie fungovať v stabilných podmienkach a byť zaťažené reprezentatívne a rovnomerne. </w:t>
            </w:r>
          </w:p>
          <w:p w14:paraId="7EDC52FD"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V tejto súvislosti sa doba nábehu a odstavovania nezapočítavajú.</w:t>
            </w:r>
          </w:p>
        </w:tc>
        <w:tc>
          <w:tcPr>
            <w:tcW w:w="433" w:type="dxa"/>
            <w:shd w:val="clear" w:color="auto" w:fill="auto"/>
          </w:tcPr>
          <w:p w14:paraId="6568B695"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shd w:val="clear" w:color="auto" w:fill="auto"/>
          </w:tcPr>
          <w:p w14:paraId="7D3169F0"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NV2</w:t>
            </w:r>
          </w:p>
          <w:p w14:paraId="6BBA0708"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shd w:val="clear" w:color="auto" w:fill="auto"/>
          </w:tcPr>
          <w:p w14:paraId="5AACBF02"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§8</w:t>
            </w:r>
          </w:p>
          <w:p w14:paraId="3028885E"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O13</w:t>
            </w:r>
          </w:p>
          <w:p w14:paraId="1E04536B"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p w14:paraId="2700FE79"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p w14:paraId="6C2F302F"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§15</w:t>
            </w:r>
          </w:p>
          <w:p w14:paraId="69587F2C"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03139DD2"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p w14:paraId="229A24CF"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O3</w:t>
            </w:r>
          </w:p>
          <w:p w14:paraId="0E82D06D"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p w14:paraId="4B82AB0E"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p w14:paraId="6EE92089"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p w14:paraId="0092098E"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p w14:paraId="7D8541B5"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 8</w:t>
            </w:r>
          </w:p>
          <w:p w14:paraId="7C36B4A3"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O12</w:t>
            </w:r>
          </w:p>
        </w:tc>
        <w:tc>
          <w:tcPr>
            <w:tcW w:w="6006" w:type="dxa"/>
            <w:shd w:val="clear" w:color="auto" w:fill="auto"/>
          </w:tcPr>
          <w:p w14:paraId="59BCCE92"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(14)</w:t>
            </w:r>
            <w:r w:rsidRPr="003549B4">
              <w:rPr>
                <w:rFonts w:ascii="Times New Roman" w:hAnsi="Times New Roman" w:cs="Times New Roman"/>
                <w:sz w:val="20"/>
                <w:szCs w:val="20"/>
              </w:rPr>
              <w:tab/>
              <w:t>Odbery vzoriek, analýzy príslušných znečisťujúcich látok, merania prevádzkových parametrov a alternatívne metódy merania pri technickom výpočte podľa odseku 6 musia byť založené na metódach, ktoré umožňujú spoľahlivé, reprezentatívne a porovnateľné výsledky podľa § 15 ods.1 až 3.</w:t>
            </w:r>
          </w:p>
          <w:p w14:paraId="3B4D8C88" w14:textId="77777777" w:rsidR="00905DC2" w:rsidRPr="003549B4" w:rsidRDefault="00905DC2" w:rsidP="00905DC2">
            <w:pPr>
              <w:spacing w:after="0" w:line="240" w:lineRule="auto"/>
              <w:ind w:left="168" w:hanging="168"/>
              <w:rPr>
                <w:rFonts w:ascii="Times New Roman" w:hAnsi="Times New Roman" w:cs="Times New Roman"/>
                <w:sz w:val="20"/>
                <w:szCs w:val="20"/>
              </w:rPr>
            </w:pPr>
          </w:p>
          <w:p w14:paraId="291520EA" w14:textId="77777777" w:rsidR="00905DC2" w:rsidRPr="003549B4" w:rsidRDefault="00905DC2" w:rsidP="00905DC2">
            <w:pPr>
              <w:spacing w:after="0" w:line="240" w:lineRule="auto"/>
              <w:ind w:left="168" w:hanging="168"/>
              <w:rPr>
                <w:rFonts w:ascii="Times New Roman" w:hAnsi="Times New Roman" w:cs="Times New Roman"/>
                <w:sz w:val="20"/>
                <w:szCs w:val="20"/>
              </w:rPr>
            </w:pPr>
            <w:r w:rsidRPr="003549B4">
              <w:rPr>
                <w:rFonts w:ascii="Times New Roman" w:hAnsi="Times New Roman" w:cs="Times New Roman"/>
                <w:sz w:val="20"/>
                <w:szCs w:val="20"/>
              </w:rPr>
              <w:t>(1)</w:t>
            </w:r>
            <w:r w:rsidRPr="003549B4">
              <w:rPr>
                <w:rFonts w:ascii="Times New Roman" w:hAnsi="Times New Roman" w:cs="Times New Roman"/>
                <w:sz w:val="20"/>
                <w:szCs w:val="20"/>
              </w:rPr>
              <w:tab/>
              <w:t xml:space="preserve">Metódy a metodiky monitorovania podľa § 2 až 14 musia umožňovať zistenie spoľahlivých, reprezentatívnych, porovnateľných a vedecky odôvodnených hodnôt v súlade so súčasným stavom vedeckého poznania a techniky. </w:t>
            </w:r>
          </w:p>
          <w:p w14:paraId="2A9C6CE1" w14:textId="77777777" w:rsidR="00905DC2" w:rsidRPr="003549B4" w:rsidRDefault="00905DC2" w:rsidP="00905DC2">
            <w:pPr>
              <w:spacing w:after="0" w:line="240" w:lineRule="auto"/>
              <w:ind w:left="168" w:hanging="168"/>
              <w:rPr>
                <w:rFonts w:ascii="Times New Roman" w:hAnsi="Times New Roman" w:cs="Times New Roman"/>
                <w:sz w:val="20"/>
                <w:szCs w:val="20"/>
              </w:rPr>
            </w:pPr>
            <w:r w:rsidRPr="003549B4">
              <w:rPr>
                <w:rFonts w:ascii="Times New Roman" w:hAnsi="Times New Roman" w:cs="Times New Roman"/>
                <w:sz w:val="20"/>
                <w:szCs w:val="20"/>
              </w:rPr>
              <w:t>(2)</w:t>
            </w:r>
            <w:r w:rsidRPr="003549B4">
              <w:rPr>
                <w:rFonts w:ascii="Times New Roman" w:hAnsi="Times New Roman" w:cs="Times New Roman"/>
                <w:sz w:val="20"/>
                <w:szCs w:val="20"/>
              </w:rPr>
              <w:tab/>
              <w:t>Predpokladá sa, že požiadavky podľa odseku 1 spĺňajú metódy, ktoré sú v súlade s harmonizovanými technickými normami. )</w:t>
            </w:r>
          </w:p>
          <w:p w14:paraId="4E09AC3C" w14:textId="77777777" w:rsidR="00905DC2" w:rsidRPr="003549B4" w:rsidRDefault="00905DC2" w:rsidP="00905DC2">
            <w:pPr>
              <w:spacing w:after="0" w:line="240" w:lineRule="auto"/>
              <w:ind w:left="168" w:hanging="168"/>
              <w:rPr>
                <w:rFonts w:ascii="Times New Roman" w:hAnsi="Times New Roman" w:cs="Times New Roman"/>
                <w:sz w:val="20"/>
                <w:szCs w:val="20"/>
              </w:rPr>
            </w:pPr>
            <w:r w:rsidRPr="003549B4">
              <w:rPr>
                <w:rFonts w:ascii="Times New Roman" w:hAnsi="Times New Roman" w:cs="Times New Roman"/>
                <w:sz w:val="20"/>
                <w:szCs w:val="20"/>
              </w:rPr>
              <w:t>(3)</w:t>
            </w:r>
            <w:r w:rsidRPr="003549B4">
              <w:rPr>
                <w:rFonts w:ascii="Times New Roman" w:hAnsi="Times New Roman" w:cs="Times New Roman"/>
                <w:sz w:val="20"/>
                <w:szCs w:val="20"/>
              </w:rPr>
              <w:tab/>
              <w:t>Ak harmonizované technické normy podľa odseku 2 nie sú k dispozícii, predpokladá sa, že požiadavky podľa odseku 1 spĺňajú metódy podľa európskych noriem, medzinárodných noriem, slovenských technických noriem alebo iných národných technických noriem, ktorými sa zabezpečia údaje rovnakej odbornej kvality</w:t>
            </w:r>
          </w:p>
          <w:p w14:paraId="642151FC"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p>
          <w:p w14:paraId="6D5328BB"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(12)</w:t>
            </w:r>
            <w:r w:rsidRPr="003549B4">
              <w:rPr>
                <w:rFonts w:ascii="Times New Roman" w:hAnsi="Times New Roman" w:cs="Times New Roman"/>
                <w:sz w:val="20"/>
                <w:szCs w:val="20"/>
              </w:rPr>
              <w:tab/>
              <w:t>Spaľovacie zariadenie musí byť počas každého diskontinuálneho merania prevádzkované v stabilnom režime a zaťažené reprezentatívne a rovnomerne; čas nábehu a čas odstavovania sa v tejto súvislosti do času diskontinuálneho merania nezapočítavajú. Ak ide o viacpalivové spaľovacie zariadenie, meranie sa vykonáva v čase spaľovania paliva alebo zmesi palív, pre ktoré sa pravdepodobne dosiahne najvyššia úroveň emisií, a v čase, ktorý zodpovedá bežným prevádzkovým podmienkam. Podmienky diskontinuálneho merania podľa § 6 ods. 4 až 7 sa v týchto súvislostiach uplatňujú podľa svojho významu.</w:t>
            </w:r>
          </w:p>
        </w:tc>
        <w:tc>
          <w:tcPr>
            <w:tcW w:w="429" w:type="dxa"/>
            <w:tcBorders>
              <w:top w:val="single" w:sz="4" w:space="0" w:color="auto"/>
              <w:bottom w:val="single" w:sz="4" w:space="0" w:color="auto"/>
            </w:tcBorders>
            <w:shd w:val="clear" w:color="auto" w:fill="auto"/>
            <w:vAlign w:val="center"/>
          </w:tcPr>
          <w:p w14:paraId="2A4E7543"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shd w:val="clear" w:color="auto" w:fill="auto"/>
            <w:vAlign w:val="center"/>
          </w:tcPr>
          <w:p w14:paraId="1EF55166"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06B0AB16"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7AE8C0DA"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Časť 2</w:t>
            </w:r>
          </w:p>
        </w:tc>
        <w:tc>
          <w:tcPr>
            <w:tcW w:w="6287" w:type="dxa"/>
          </w:tcPr>
          <w:p w14:paraId="4E3B6FF8"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Posúdenie dosiahnutia súladu</w:t>
            </w:r>
          </w:p>
        </w:tc>
        <w:tc>
          <w:tcPr>
            <w:tcW w:w="433" w:type="dxa"/>
          </w:tcPr>
          <w:p w14:paraId="594351D6" w14:textId="77777777" w:rsidR="00905DC2" w:rsidRPr="003549B4" w:rsidRDefault="00905DC2" w:rsidP="00905DC2">
            <w:pPr>
              <w:spacing w:after="0" w:line="240" w:lineRule="auto"/>
              <w:rPr>
                <w:rFonts w:ascii="Times New Roman" w:hAnsi="Times New Roman" w:cs="Times New Roman"/>
                <w:sz w:val="20"/>
                <w:szCs w:val="20"/>
              </w:rPr>
            </w:pPr>
          </w:p>
        </w:tc>
        <w:tc>
          <w:tcPr>
            <w:tcW w:w="572" w:type="dxa"/>
          </w:tcPr>
          <w:p w14:paraId="06A7694B" w14:textId="77777777" w:rsidR="00905DC2" w:rsidRPr="003549B4" w:rsidRDefault="00905DC2" w:rsidP="00F17024">
            <w:pPr>
              <w:spacing w:after="0" w:line="240" w:lineRule="auto"/>
              <w:ind w:right="-108"/>
              <w:rPr>
                <w:rFonts w:ascii="Times New Roman" w:hAnsi="Times New Roman" w:cs="Times New Roman"/>
                <w:sz w:val="20"/>
                <w:szCs w:val="20"/>
              </w:rPr>
            </w:pPr>
          </w:p>
        </w:tc>
        <w:tc>
          <w:tcPr>
            <w:tcW w:w="569" w:type="dxa"/>
          </w:tcPr>
          <w:p w14:paraId="5F7F20F6" w14:textId="77777777" w:rsidR="00905DC2" w:rsidRPr="003549B4" w:rsidRDefault="00905DC2" w:rsidP="00F17024">
            <w:pPr>
              <w:spacing w:after="0" w:line="240" w:lineRule="auto"/>
              <w:ind w:left="14" w:right="-9" w:hanging="29"/>
              <w:rPr>
                <w:rFonts w:ascii="Times New Roman" w:hAnsi="Times New Roman" w:cs="Times New Roman"/>
                <w:sz w:val="20"/>
                <w:szCs w:val="20"/>
              </w:rPr>
            </w:pPr>
          </w:p>
        </w:tc>
        <w:tc>
          <w:tcPr>
            <w:tcW w:w="6006" w:type="dxa"/>
            <w:vAlign w:val="center"/>
          </w:tcPr>
          <w:p w14:paraId="2B20587B" w14:textId="77777777" w:rsidR="00905DC2" w:rsidRPr="003549B4" w:rsidRDefault="00905DC2" w:rsidP="00905DC2">
            <w:pPr>
              <w:spacing w:after="0" w:line="240" w:lineRule="auto"/>
              <w:rPr>
                <w:rFonts w:ascii="Times New Roman" w:hAnsi="Times New Roman" w:cs="Times New Roman"/>
                <w:sz w:val="20"/>
                <w:szCs w:val="20"/>
              </w:rPr>
            </w:pPr>
          </w:p>
        </w:tc>
        <w:tc>
          <w:tcPr>
            <w:tcW w:w="429" w:type="dxa"/>
            <w:tcBorders>
              <w:top w:val="single" w:sz="4" w:space="0" w:color="auto"/>
              <w:bottom w:val="single" w:sz="4" w:space="0" w:color="auto"/>
            </w:tcBorders>
            <w:vAlign w:val="center"/>
          </w:tcPr>
          <w:p w14:paraId="12EF3BBB" w14:textId="77777777" w:rsidR="00905DC2" w:rsidRPr="003549B4" w:rsidRDefault="00905DC2" w:rsidP="00905DC2">
            <w:pPr>
              <w:spacing w:after="0" w:line="240" w:lineRule="auto"/>
              <w:rPr>
                <w:rFonts w:ascii="Times New Roman" w:hAnsi="Times New Roman" w:cs="Times New Roman"/>
                <w:sz w:val="20"/>
                <w:szCs w:val="20"/>
              </w:rPr>
            </w:pPr>
          </w:p>
        </w:tc>
        <w:tc>
          <w:tcPr>
            <w:tcW w:w="660" w:type="dxa"/>
            <w:tcBorders>
              <w:top w:val="single" w:sz="4" w:space="0" w:color="auto"/>
              <w:bottom w:val="single" w:sz="4" w:space="0" w:color="auto"/>
            </w:tcBorders>
            <w:vAlign w:val="center"/>
          </w:tcPr>
          <w:p w14:paraId="7ED32EA0"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451DAA5B"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42A02151"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 1</w:t>
            </w:r>
          </w:p>
        </w:tc>
        <w:tc>
          <w:tcPr>
            <w:tcW w:w="6287" w:type="dxa"/>
          </w:tcPr>
          <w:p w14:paraId="142AEE5B"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1. V prípade pravidelných meraní sa emisné limity uvedené v článku 6 považujú za dodržané, ak výsledky každej série meraní alebo iných postupov definovaných a určených v súlade s pravidlami stanovenými príslušným orgánom nepresahujú príslušnú hodnotu emisného limitu.</w:t>
            </w:r>
          </w:p>
        </w:tc>
        <w:tc>
          <w:tcPr>
            <w:tcW w:w="433" w:type="dxa"/>
          </w:tcPr>
          <w:p w14:paraId="4E06C8F0"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75577BA5"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382F6EB0"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0EB6389F"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§20</w:t>
            </w:r>
          </w:p>
          <w:p w14:paraId="7FA6E7B3"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O2</w:t>
            </w:r>
          </w:p>
          <w:p w14:paraId="4113CA38"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tcPr>
          <w:p w14:paraId="2F419A7D" w14:textId="77777777" w:rsidR="00905DC2" w:rsidRPr="003549B4" w:rsidRDefault="00905DC2" w:rsidP="00905DC2">
            <w:pPr>
              <w:spacing w:after="0" w:line="261" w:lineRule="auto"/>
              <w:ind w:left="-15" w:firstLine="15"/>
              <w:jc w:val="both"/>
              <w:rPr>
                <w:rFonts w:ascii="Times New Roman" w:hAnsi="Times New Roman" w:cs="Times New Roman"/>
                <w:sz w:val="20"/>
                <w:szCs w:val="20"/>
              </w:rPr>
            </w:pPr>
            <w:r w:rsidRPr="003549B4">
              <w:rPr>
                <w:rFonts w:ascii="Times New Roman" w:hAnsi="Times New Roman" w:cs="Times New Roman"/>
                <w:sz w:val="20"/>
                <w:szCs w:val="20"/>
              </w:rPr>
              <w:t>(2) Emisný limit sa pri oprávnenom diskontinuálnom meraní (ďalej len „diskontinuálne meranie“) alebo technickom výpočte</w:t>
            </w:r>
            <w:r w:rsidR="00FF7449" w:rsidRPr="003549B4">
              <w:rPr>
                <w:rFonts w:ascii="Times New Roman" w:hAnsi="Times New Roman" w:cs="Times New Roman"/>
                <w:sz w:val="20"/>
                <w:szCs w:val="20"/>
                <w:vertAlign w:val="superscript"/>
              </w:rPr>
              <w:t>8</w:t>
            </w:r>
            <w:r w:rsidRPr="003549B4">
              <w:rPr>
                <w:rFonts w:ascii="Times New Roman" w:hAnsi="Times New Roman" w:cs="Times New Roman"/>
                <w:sz w:val="20"/>
                <w:szCs w:val="20"/>
              </w:rPr>
              <w:t>) považuje za dodržaný, ak</w:t>
            </w:r>
          </w:p>
          <w:p w14:paraId="02D08694" w14:textId="77777777" w:rsidR="00905DC2" w:rsidRPr="003549B4" w:rsidRDefault="00905DC2" w:rsidP="00905DC2">
            <w:pPr>
              <w:pStyle w:val="Normln"/>
              <w:numPr>
                <w:ilvl w:val="0"/>
                <w:numId w:val="18"/>
              </w:numPr>
              <w:ind w:left="317" w:hanging="317"/>
              <w:rPr>
                <w:rFonts w:eastAsia="Calibri"/>
                <w:sz w:val="20"/>
                <w:lang w:val="sk-SK" w:eastAsia="en-US"/>
              </w:rPr>
            </w:pPr>
            <w:r w:rsidRPr="003549B4">
              <w:rPr>
                <w:rFonts w:eastAsia="Calibri"/>
                <w:sz w:val="20"/>
                <w:lang w:val="sk-SK" w:eastAsia="en-US"/>
              </w:rPr>
              <w:t>žiadna hodnota v každej sérii jednotlivých meraní alebo výsledok technického výpočtu podľa postupu a podmienok schválených v povolení neprekročí hodnotu emisného limitu,</w:t>
            </w:r>
          </w:p>
          <w:p w14:paraId="14C79517" w14:textId="77777777" w:rsidR="00905DC2" w:rsidRPr="003549B4" w:rsidRDefault="00905DC2" w:rsidP="00905DC2">
            <w:pPr>
              <w:pStyle w:val="Normln"/>
              <w:numPr>
                <w:ilvl w:val="0"/>
                <w:numId w:val="18"/>
              </w:numPr>
              <w:ind w:left="317" w:hanging="317"/>
              <w:rPr>
                <w:rFonts w:eastAsia="Calibri"/>
                <w:sz w:val="20"/>
                <w:lang w:val="sk-SK" w:eastAsia="en-US"/>
              </w:rPr>
            </w:pPr>
            <w:r w:rsidRPr="003549B4">
              <w:rPr>
                <w:rFonts w:eastAsia="Calibri"/>
                <w:sz w:val="20"/>
                <w:lang w:val="sk-SK" w:eastAsia="en-US"/>
              </w:rPr>
              <w:t>ide o stupeň odsírenia, žiadna jednotlivá hodnota nie je nižšia ako hodnota stupňa odsírenia.</w:t>
            </w:r>
          </w:p>
          <w:p w14:paraId="47AF451C" w14:textId="77777777" w:rsidR="00FF7449" w:rsidRPr="003549B4" w:rsidRDefault="00FF7449" w:rsidP="00FF7449">
            <w:pPr>
              <w:pStyle w:val="Normln"/>
              <w:rPr>
                <w:rFonts w:eastAsia="Calibri"/>
                <w:sz w:val="20"/>
                <w:lang w:val="sk-SK" w:eastAsia="en-US"/>
              </w:rPr>
            </w:pPr>
          </w:p>
          <w:p w14:paraId="29FB2508" w14:textId="77777777" w:rsidR="00FF7449" w:rsidRPr="003549B4" w:rsidRDefault="00FF7449" w:rsidP="00FF7449">
            <w:pPr>
              <w:pStyle w:val="Textpoznmkypodiarou"/>
              <w:jc w:val="both"/>
              <w:rPr>
                <w:rFonts w:eastAsia="Calibri"/>
                <w:lang w:eastAsia="en-US"/>
              </w:rPr>
            </w:pPr>
            <w:r w:rsidRPr="003549B4">
              <w:rPr>
                <w:rFonts w:eastAsia="Calibri"/>
                <w:vertAlign w:val="superscript"/>
                <w:lang w:eastAsia="en-US"/>
              </w:rPr>
              <w:lastRenderedPageBreak/>
              <w:t>8</w:t>
            </w:r>
            <w:r w:rsidRPr="003549B4">
              <w:rPr>
                <w:rFonts w:eastAsia="Calibri"/>
                <w:lang w:eastAsia="en-US"/>
              </w:rPr>
              <w:t>) § XXX vyhlášky Ministerstva životného prostredia Slovenskej republiky č. XXX.../2022 Z. z. o monitorovaní emisií zo stacionárnych zdrojov znečisťovania ovzdušia a kvality ovzdušia v ich okolí</w:t>
            </w:r>
          </w:p>
        </w:tc>
        <w:tc>
          <w:tcPr>
            <w:tcW w:w="429" w:type="dxa"/>
            <w:tcBorders>
              <w:top w:val="single" w:sz="4" w:space="0" w:color="auto"/>
              <w:bottom w:val="single" w:sz="4" w:space="0" w:color="auto"/>
            </w:tcBorders>
            <w:vAlign w:val="center"/>
          </w:tcPr>
          <w:p w14:paraId="22C85FED" w14:textId="7B873136"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Ú</w:t>
            </w:r>
          </w:p>
        </w:tc>
        <w:tc>
          <w:tcPr>
            <w:tcW w:w="660" w:type="dxa"/>
            <w:tcBorders>
              <w:top w:val="single" w:sz="4" w:space="0" w:color="auto"/>
              <w:bottom w:val="single" w:sz="4" w:space="0" w:color="auto"/>
            </w:tcBorders>
            <w:vAlign w:val="center"/>
          </w:tcPr>
          <w:p w14:paraId="7C14CD87"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69354EE1"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bottom w:val="single" w:sz="4" w:space="0" w:color="auto"/>
            </w:tcBorders>
          </w:tcPr>
          <w:p w14:paraId="1E1D37B5"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lastRenderedPageBreak/>
              <w:t>O 2</w:t>
            </w:r>
          </w:p>
        </w:tc>
        <w:tc>
          <w:tcPr>
            <w:tcW w:w="6287" w:type="dxa"/>
          </w:tcPr>
          <w:p w14:paraId="61EEDBA4"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2. V prípade kontinuálnych meraní sa súlad s emisnými limitmi uvedenými v článku 6 posudzuje tak, ako je uvedené v bode 1 časti 4 prílohy V k smernici 2010/75/EÚ. Validované priemerné hodnoty sa určujú podľa bodov 9 a 10 časti 3 prílohy V k smernici 2010/75/EÚ.</w:t>
            </w:r>
          </w:p>
        </w:tc>
        <w:tc>
          <w:tcPr>
            <w:tcW w:w="433" w:type="dxa"/>
          </w:tcPr>
          <w:p w14:paraId="236D07F5"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28D712A1"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5DF26F0C"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389B00EB"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§20</w:t>
            </w:r>
          </w:p>
          <w:p w14:paraId="2D7EFDE1"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O1</w:t>
            </w:r>
          </w:p>
          <w:p w14:paraId="7BDE77A7"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tcPr>
          <w:p w14:paraId="20A1367C" w14:textId="77777777" w:rsidR="00905DC2" w:rsidRPr="003549B4" w:rsidRDefault="00905DC2" w:rsidP="00905DC2">
            <w:pPr>
              <w:spacing w:after="0" w:line="261" w:lineRule="auto"/>
              <w:ind w:left="-15" w:firstLine="15"/>
              <w:jc w:val="both"/>
              <w:rPr>
                <w:rFonts w:ascii="Times New Roman" w:hAnsi="Times New Roman" w:cs="Times New Roman"/>
                <w:sz w:val="20"/>
                <w:szCs w:val="20"/>
              </w:rPr>
            </w:pPr>
            <w:r w:rsidRPr="003549B4">
              <w:rPr>
                <w:rFonts w:ascii="Times New Roman" w:hAnsi="Times New Roman" w:cs="Times New Roman"/>
                <w:sz w:val="20"/>
                <w:szCs w:val="20"/>
              </w:rPr>
              <w:t>(1) Emisný limit pre spaľovacie zariadenie sa pri kontinuálnom meraní považuje za dodržaný, ak z vyhodnotenia výsledkov meraní za skutočný čas prevádzky počas kalendárneho roka vyplynie, že:</w:t>
            </w:r>
          </w:p>
          <w:p w14:paraId="63B3ED6A" w14:textId="77777777" w:rsidR="00905DC2" w:rsidRPr="003549B4" w:rsidRDefault="00D809A7" w:rsidP="00D809A7">
            <w:pPr>
              <w:pStyle w:val="Normln"/>
              <w:rPr>
                <w:rFonts w:eastAsia="Calibri"/>
                <w:sz w:val="20"/>
                <w:lang w:val="sk-SK" w:eastAsia="en-US"/>
              </w:rPr>
            </w:pPr>
            <w:r w:rsidRPr="003549B4">
              <w:rPr>
                <w:rFonts w:eastAsia="Calibri"/>
                <w:sz w:val="20"/>
                <w:lang w:val="sk-SK" w:eastAsia="en-US"/>
              </w:rPr>
              <w:t xml:space="preserve">a) </w:t>
            </w:r>
            <w:r w:rsidR="00905DC2" w:rsidRPr="003549B4">
              <w:rPr>
                <w:rFonts w:eastAsia="Calibri"/>
                <w:sz w:val="20"/>
                <w:lang w:val="sk-SK" w:eastAsia="en-US"/>
              </w:rPr>
              <w:t>ak ide o jestvujúce zariadenie pri uplatňovaní emisných limitov podľa § 10 ods. 2, nové zariadenie, alebo ak ide o spaľovacie zariadenie podľa § 10 ods. 6 a 7 alebo väčšie stredné spaľovacie zariadenie</w:t>
            </w:r>
          </w:p>
          <w:p w14:paraId="08A7E875" w14:textId="77777777" w:rsidR="00905DC2" w:rsidRPr="003549B4" w:rsidRDefault="00905DC2" w:rsidP="00905DC2">
            <w:pPr>
              <w:numPr>
                <w:ilvl w:val="1"/>
                <w:numId w:val="19"/>
              </w:numPr>
              <w:spacing w:after="0" w:line="261" w:lineRule="auto"/>
              <w:ind w:left="289" w:hanging="289"/>
              <w:jc w:val="both"/>
              <w:rPr>
                <w:rFonts w:ascii="Times New Roman" w:hAnsi="Times New Roman" w:cs="Times New Roman"/>
                <w:noProof/>
                <w:sz w:val="20"/>
                <w:szCs w:val="20"/>
              </w:rPr>
            </w:pPr>
            <w:r w:rsidRPr="003549B4">
              <w:rPr>
                <w:rFonts w:ascii="Times New Roman" w:hAnsi="Times New Roman" w:cs="Times New Roman"/>
                <w:noProof/>
                <w:sz w:val="20"/>
                <w:szCs w:val="20"/>
              </w:rPr>
              <w:t>žiadna validovaná priemerná mesačná hodnota neprekročí hodnotu emisného limitu,</w:t>
            </w:r>
          </w:p>
          <w:p w14:paraId="2C8D8807" w14:textId="77777777" w:rsidR="00905DC2" w:rsidRPr="003549B4" w:rsidRDefault="00905DC2" w:rsidP="00905DC2">
            <w:pPr>
              <w:numPr>
                <w:ilvl w:val="1"/>
                <w:numId w:val="19"/>
              </w:numPr>
              <w:spacing w:after="0" w:line="261" w:lineRule="auto"/>
              <w:ind w:left="289" w:hanging="289"/>
              <w:jc w:val="both"/>
              <w:rPr>
                <w:rFonts w:ascii="Times New Roman" w:hAnsi="Times New Roman" w:cs="Times New Roman"/>
                <w:noProof/>
                <w:sz w:val="20"/>
                <w:szCs w:val="20"/>
              </w:rPr>
            </w:pPr>
            <w:r w:rsidRPr="003549B4">
              <w:rPr>
                <w:rFonts w:ascii="Times New Roman" w:hAnsi="Times New Roman" w:cs="Times New Roman"/>
                <w:noProof/>
                <w:sz w:val="20"/>
                <w:szCs w:val="20"/>
              </w:rPr>
              <w:t>žiadna validovaná priemerná denná hodnota neprekročí 1,1-násobok hodnoty emisného limitu,</w:t>
            </w:r>
          </w:p>
          <w:p w14:paraId="4CA83EDF" w14:textId="77777777" w:rsidR="00905DC2" w:rsidRPr="003549B4" w:rsidRDefault="00905DC2" w:rsidP="00905DC2">
            <w:pPr>
              <w:numPr>
                <w:ilvl w:val="1"/>
                <w:numId w:val="19"/>
              </w:numPr>
              <w:spacing w:after="0" w:line="261" w:lineRule="auto"/>
              <w:ind w:left="289" w:hanging="289"/>
              <w:jc w:val="both"/>
              <w:rPr>
                <w:rFonts w:ascii="Times New Roman" w:hAnsi="Times New Roman" w:cs="Times New Roman"/>
                <w:noProof/>
                <w:sz w:val="20"/>
                <w:szCs w:val="20"/>
              </w:rPr>
            </w:pPr>
            <w:r w:rsidRPr="003549B4">
              <w:rPr>
                <w:rFonts w:ascii="Times New Roman" w:hAnsi="Times New Roman" w:cs="Times New Roman"/>
                <w:noProof/>
                <w:sz w:val="20"/>
                <w:szCs w:val="20"/>
              </w:rPr>
              <w:t>ak ide o zariadenie zložené výlučne z kotlov spaľujúcich uhlie s menovitými tepelnými príkonmi nižšími ako 50 MW, žiadna validovaná priemerná denná hodnota neprekročí 1,5-násobok hodnoty emisného limitu,</w:t>
            </w:r>
          </w:p>
          <w:p w14:paraId="6D80D20B" w14:textId="77777777" w:rsidR="00905DC2" w:rsidRPr="003549B4" w:rsidRDefault="00905DC2" w:rsidP="00905DC2">
            <w:pPr>
              <w:numPr>
                <w:ilvl w:val="1"/>
                <w:numId w:val="19"/>
              </w:numPr>
              <w:spacing w:after="0" w:line="261" w:lineRule="auto"/>
              <w:ind w:left="289" w:hanging="289"/>
              <w:jc w:val="both"/>
              <w:rPr>
                <w:rFonts w:ascii="Times New Roman" w:hAnsi="Times New Roman" w:cs="Times New Roman"/>
                <w:noProof/>
                <w:sz w:val="20"/>
                <w:szCs w:val="20"/>
              </w:rPr>
            </w:pPr>
            <w:r w:rsidRPr="003549B4">
              <w:rPr>
                <w:rFonts w:ascii="Times New Roman" w:hAnsi="Times New Roman" w:cs="Times New Roman"/>
                <w:noProof/>
                <w:sz w:val="20"/>
                <w:szCs w:val="20"/>
              </w:rPr>
              <w:t>najmenej 95 % zo všetkých validovaných hodinových priemerných hodnôt za rok neprekročí dvojnásobok hodnoty emisného limitu,</w:t>
            </w:r>
          </w:p>
          <w:p w14:paraId="0206D275" w14:textId="77777777" w:rsidR="00905DC2" w:rsidRPr="003549B4" w:rsidRDefault="00905DC2" w:rsidP="00905DC2">
            <w:pPr>
              <w:numPr>
                <w:ilvl w:val="1"/>
                <w:numId w:val="19"/>
              </w:numPr>
              <w:spacing w:after="0" w:line="261" w:lineRule="auto"/>
              <w:ind w:left="289" w:hanging="289"/>
              <w:jc w:val="both"/>
              <w:rPr>
                <w:rFonts w:ascii="Times New Roman" w:hAnsi="Times New Roman" w:cs="Times New Roman"/>
                <w:sz w:val="20"/>
                <w:szCs w:val="20"/>
              </w:rPr>
            </w:pPr>
            <w:r w:rsidRPr="003549B4">
              <w:rPr>
                <w:rFonts w:ascii="Times New Roman" w:hAnsi="Times New Roman" w:cs="Times New Roman"/>
                <w:noProof/>
                <w:sz w:val="20"/>
                <w:szCs w:val="20"/>
              </w:rPr>
              <w:t>žiadna priemerná hodnota za kalendárny mesiac alebo žiadna priemerná hodnota za prevádzkový mesiac nie je nižšia ako hodnota stupňa odsírenia.</w:t>
            </w:r>
          </w:p>
        </w:tc>
        <w:tc>
          <w:tcPr>
            <w:tcW w:w="429" w:type="dxa"/>
            <w:tcBorders>
              <w:top w:val="single" w:sz="4" w:space="0" w:color="auto"/>
              <w:bottom w:val="single" w:sz="4" w:space="0" w:color="auto"/>
            </w:tcBorders>
            <w:vAlign w:val="center"/>
          </w:tcPr>
          <w:p w14:paraId="5AC479B1" w14:textId="46FFEC62"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p>
        </w:tc>
        <w:tc>
          <w:tcPr>
            <w:tcW w:w="660" w:type="dxa"/>
            <w:tcBorders>
              <w:top w:val="single" w:sz="4" w:space="0" w:color="auto"/>
              <w:bottom w:val="single" w:sz="4" w:space="0" w:color="auto"/>
            </w:tcBorders>
            <w:vAlign w:val="center"/>
          </w:tcPr>
          <w:p w14:paraId="3E7D5511" w14:textId="77777777" w:rsidR="00905DC2" w:rsidRPr="003549B4" w:rsidRDefault="00905DC2" w:rsidP="00905DC2">
            <w:pPr>
              <w:spacing w:after="0" w:line="240" w:lineRule="auto"/>
              <w:rPr>
                <w:rFonts w:ascii="Times New Roman" w:hAnsi="Times New Roman" w:cs="Times New Roman"/>
                <w:sz w:val="20"/>
                <w:szCs w:val="20"/>
              </w:rPr>
            </w:pPr>
          </w:p>
        </w:tc>
      </w:tr>
      <w:tr w:rsidR="00557F90" w:rsidRPr="003549B4" w14:paraId="61BB3D6A" w14:textId="77777777" w:rsidTr="00353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jc w:val="center"/>
        </w:trPr>
        <w:tc>
          <w:tcPr>
            <w:tcW w:w="565" w:type="dxa"/>
            <w:tcBorders>
              <w:top w:val="single" w:sz="4" w:space="0" w:color="auto"/>
            </w:tcBorders>
          </w:tcPr>
          <w:p w14:paraId="3D20088C" w14:textId="77777777" w:rsidR="00905DC2" w:rsidRPr="003549B4" w:rsidRDefault="00905DC2"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O 3</w:t>
            </w:r>
          </w:p>
        </w:tc>
        <w:tc>
          <w:tcPr>
            <w:tcW w:w="6287" w:type="dxa"/>
          </w:tcPr>
          <w:p w14:paraId="10F4B18A"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3. Na účely výpočtu priemerných hodnôt emisií sa neberú do úvahy hodnoty namerané počas období uvedených v článku 6 ods. 11 a v článku 6 ods. 12, ako aj počas doby nábehu a odstavovania.</w:t>
            </w:r>
          </w:p>
        </w:tc>
        <w:tc>
          <w:tcPr>
            <w:tcW w:w="433" w:type="dxa"/>
          </w:tcPr>
          <w:p w14:paraId="164BA3F9" w14:textId="77777777" w:rsidR="00905DC2" w:rsidRPr="003549B4" w:rsidRDefault="00905DC2" w:rsidP="00905DC2">
            <w:pPr>
              <w:spacing w:before="120" w:after="0" w:line="240" w:lineRule="auto"/>
              <w:rPr>
                <w:rFonts w:ascii="Times New Roman" w:hAnsi="Times New Roman" w:cs="Times New Roman"/>
                <w:sz w:val="20"/>
                <w:szCs w:val="20"/>
              </w:rPr>
            </w:pPr>
            <w:r w:rsidRPr="003549B4">
              <w:rPr>
                <w:rFonts w:ascii="Times New Roman" w:hAnsi="Times New Roman" w:cs="Times New Roman"/>
                <w:sz w:val="20"/>
                <w:szCs w:val="20"/>
              </w:rPr>
              <w:t>N</w:t>
            </w:r>
          </w:p>
        </w:tc>
        <w:tc>
          <w:tcPr>
            <w:tcW w:w="572" w:type="dxa"/>
          </w:tcPr>
          <w:p w14:paraId="6EDE3AB5" w14:textId="77777777" w:rsidR="00905DC2" w:rsidRPr="003549B4" w:rsidRDefault="00905DC2" w:rsidP="00F17024">
            <w:pPr>
              <w:spacing w:before="120" w:after="0" w:line="240" w:lineRule="auto"/>
              <w:ind w:right="-108"/>
              <w:rPr>
                <w:rFonts w:ascii="Times New Roman" w:hAnsi="Times New Roman" w:cs="Times New Roman"/>
                <w:sz w:val="20"/>
                <w:szCs w:val="20"/>
              </w:rPr>
            </w:pPr>
            <w:r w:rsidRPr="003549B4">
              <w:rPr>
                <w:rFonts w:ascii="Times New Roman" w:hAnsi="Times New Roman" w:cs="Times New Roman"/>
                <w:sz w:val="20"/>
                <w:szCs w:val="20"/>
              </w:rPr>
              <w:t>NV1</w:t>
            </w:r>
          </w:p>
          <w:p w14:paraId="5E7F14E2" w14:textId="77777777" w:rsidR="00905DC2" w:rsidRPr="003549B4" w:rsidRDefault="00905DC2" w:rsidP="00F17024">
            <w:pPr>
              <w:spacing w:before="120" w:after="0" w:line="240" w:lineRule="auto"/>
              <w:ind w:right="-108"/>
              <w:rPr>
                <w:rFonts w:ascii="Times New Roman" w:hAnsi="Times New Roman" w:cs="Times New Roman"/>
                <w:sz w:val="20"/>
                <w:szCs w:val="20"/>
              </w:rPr>
            </w:pPr>
          </w:p>
        </w:tc>
        <w:tc>
          <w:tcPr>
            <w:tcW w:w="569" w:type="dxa"/>
          </w:tcPr>
          <w:p w14:paraId="4C5107EE"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§20</w:t>
            </w:r>
          </w:p>
          <w:p w14:paraId="5BAA0987"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r w:rsidRPr="003549B4">
              <w:rPr>
                <w:rFonts w:ascii="Times New Roman" w:hAnsi="Times New Roman" w:cs="Times New Roman"/>
                <w:sz w:val="20"/>
                <w:szCs w:val="20"/>
              </w:rPr>
              <w:t>O5</w:t>
            </w:r>
          </w:p>
          <w:p w14:paraId="253C789B" w14:textId="77777777" w:rsidR="00905DC2" w:rsidRPr="003549B4" w:rsidRDefault="00905DC2" w:rsidP="00F17024">
            <w:pPr>
              <w:spacing w:before="120" w:after="0" w:line="240" w:lineRule="auto"/>
              <w:ind w:left="14" w:right="-9" w:hanging="29"/>
              <w:rPr>
                <w:rFonts w:ascii="Times New Roman" w:hAnsi="Times New Roman" w:cs="Times New Roman"/>
                <w:sz w:val="20"/>
                <w:szCs w:val="20"/>
              </w:rPr>
            </w:pPr>
          </w:p>
        </w:tc>
        <w:tc>
          <w:tcPr>
            <w:tcW w:w="6006" w:type="dxa"/>
          </w:tcPr>
          <w:p w14:paraId="1BEB8FC1"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(5) Dodržanie emisného limitu pre spaľovacie zariadenie sa hodnotí počas skutočnej prevádzky okrem</w:t>
            </w:r>
          </w:p>
          <w:p w14:paraId="36F6907E" w14:textId="77777777" w:rsidR="00905DC2" w:rsidRPr="003549B4" w:rsidRDefault="00905DC2" w:rsidP="00905DC2">
            <w:pPr>
              <w:spacing w:before="120" w:after="0" w:line="240" w:lineRule="auto"/>
              <w:ind w:left="142" w:hanging="142"/>
              <w:rPr>
                <w:rFonts w:ascii="Times New Roman" w:hAnsi="Times New Roman" w:cs="Times New Roman"/>
                <w:sz w:val="20"/>
                <w:szCs w:val="20"/>
              </w:rPr>
            </w:pPr>
            <w:r w:rsidRPr="003549B4">
              <w:rPr>
                <w:rFonts w:ascii="Times New Roman" w:hAnsi="Times New Roman" w:cs="Times New Roman"/>
                <w:sz w:val="20"/>
                <w:szCs w:val="20"/>
              </w:rPr>
              <w:t>b) nábehu a odstavovania vymedzeného v tomto rozsahu:</w:t>
            </w:r>
          </w:p>
          <w:p w14:paraId="2C120026" w14:textId="77777777" w:rsidR="00905DC2" w:rsidRPr="003549B4" w:rsidRDefault="00905DC2" w:rsidP="00905DC2">
            <w:pPr>
              <w:spacing w:after="99" w:line="261" w:lineRule="auto"/>
              <w:ind w:left="283"/>
              <w:jc w:val="both"/>
              <w:rPr>
                <w:rFonts w:ascii="Times New Roman" w:hAnsi="Times New Roman" w:cs="Times New Roman"/>
                <w:sz w:val="20"/>
                <w:szCs w:val="20"/>
              </w:rPr>
            </w:pPr>
            <w:r w:rsidRPr="003549B4">
              <w:rPr>
                <w:rFonts w:ascii="Times New Roman" w:hAnsi="Times New Roman" w:cs="Times New Roman"/>
                <w:sz w:val="20"/>
                <w:szCs w:val="20"/>
              </w:rPr>
              <w:t>2. ak ide o väčšie stredné spaľovacie zariadenia, počas celého nábehu a odstavovania, pričom treba zabezpečiť, aby čas nábehu a odstavovania bol čo najkratší.</w:t>
            </w:r>
          </w:p>
          <w:p w14:paraId="499C8B7E" w14:textId="77777777" w:rsidR="00905DC2" w:rsidRPr="003549B4" w:rsidRDefault="00905DC2" w:rsidP="00905DC2">
            <w:pPr>
              <w:spacing w:before="120" w:after="0" w:line="240" w:lineRule="auto"/>
              <w:rPr>
                <w:rFonts w:ascii="Times New Roman" w:hAnsi="Times New Roman" w:cs="Times New Roman"/>
                <w:sz w:val="20"/>
                <w:szCs w:val="20"/>
              </w:rPr>
            </w:pPr>
          </w:p>
        </w:tc>
        <w:tc>
          <w:tcPr>
            <w:tcW w:w="429" w:type="dxa"/>
            <w:tcBorders>
              <w:top w:val="single" w:sz="4" w:space="0" w:color="auto"/>
            </w:tcBorders>
            <w:vAlign w:val="center"/>
          </w:tcPr>
          <w:p w14:paraId="15A04AE0" w14:textId="769CAE19" w:rsidR="00905DC2" w:rsidRPr="003549B4" w:rsidRDefault="00717ED3" w:rsidP="00905DC2">
            <w:pPr>
              <w:spacing w:after="0" w:line="240" w:lineRule="auto"/>
              <w:rPr>
                <w:rFonts w:ascii="Times New Roman" w:hAnsi="Times New Roman" w:cs="Times New Roman"/>
                <w:sz w:val="20"/>
                <w:szCs w:val="20"/>
              </w:rPr>
            </w:pPr>
            <w:r w:rsidRPr="003549B4">
              <w:rPr>
                <w:rFonts w:ascii="Times New Roman" w:hAnsi="Times New Roman" w:cs="Times New Roman"/>
                <w:sz w:val="20"/>
                <w:szCs w:val="20"/>
              </w:rPr>
              <w:t>Ú</w:t>
            </w:r>
            <w:bookmarkStart w:id="0" w:name="_GoBack"/>
            <w:bookmarkEnd w:id="0"/>
          </w:p>
        </w:tc>
        <w:tc>
          <w:tcPr>
            <w:tcW w:w="660" w:type="dxa"/>
            <w:tcBorders>
              <w:top w:val="single" w:sz="4" w:space="0" w:color="auto"/>
            </w:tcBorders>
            <w:vAlign w:val="center"/>
          </w:tcPr>
          <w:p w14:paraId="41652EA5" w14:textId="77777777" w:rsidR="00905DC2" w:rsidRPr="003549B4" w:rsidRDefault="00905DC2" w:rsidP="00905DC2">
            <w:pPr>
              <w:spacing w:after="0" w:line="240" w:lineRule="auto"/>
              <w:rPr>
                <w:rFonts w:ascii="Times New Roman" w:hAnsi="Times New Roman" w:cs="Times New Roman"/>
                <w:sz w:val="20"/>
                <w:szCs w:val="20"/>
              </w:rPr>
            </w:pPr>
          </w:p>
        </w:tc>
      </w:tr>
    </w:tbl>
    <w:p w14:paraId="673004AA" w14:textId="77777777" w:rsidR="00B20392" w:rsidRPr="003549B4" w:rsidRDefault="00B20392" w:rsidP="00813B05"/>
    <w:sectPr w:rsidR="00B20392" w:rsidRPr="003549B4" w:rsidSect="006137D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5C2BA" w14:textId="77777777" w:rsidR="00287BC8" w:rsidRDefault="00287BC8" w:rsidP="00B46C2A">
      <w:pPr>
        <w:spacing w:after="0" w:line="240" w:lineRule="auto"/>
      </w:pPr>
      <w:r>
        <w:separator/>
      </w:r>
    </w:p>
  </w:endnote>
  <w:endnote w:type="continuationSeparator" w:id="0">
    <w:p w14:paraId="4974C1D2" w14:textId="77777777" w:rsidR="00287BC8" w:rsidRDefault="00287BC8" w:rsidP="00B4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DDFF" w14:textId="77777777" w:rsidR="00287BC8" w:rsidRDefault="00287BC8" w:rsidP="00B46C2A">
      <w:pPr>
        <w:spacing w:after="0" w:line="240" w:lineRule="auto"/>
      </w:pPr>
      <w:r>
        <w:separator/>
      </w:r>
    </w:p>
  </w:footnote>
  <w:footnote w:type="continuationSeparator" w:id="0">
    <w:p w14:paraId="0C3DC5E7" w14:textId="77777777" w:rsidR="00287BC8" w:rsidRDefault="00287BC8" w:rsidP="00B46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D301F"/>
    <w:multiLevelType w:val="multilevel"/>
    <w:tmpl w:val="932D301F"/>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CBB620EE"/>
    <w:multiLevelType w:val="multilevel"/>
    <w:tmpl w:val="CBB620EE"/>
    <w:lvl w:ilvl="0">
      <w:start w:val="1"/>
      <w:numFmt w:val="decimal"/>
      <w:lvlText w:val="(%1)"/>
      <w:lvlJc w:val="left"/>
      <w:pPr>
        <w:ind w:left="1211" w:hanging="360"/>
      </w:pPr>
      <w:rPr>
        <w:rFonts w:hint="default"/>
        <w:color w:val="000000"/>
      </w:rPr>
    </w:lvl>
    <w:lvl w:ilvl="1">
      <w:start w:val="1"/>
      <w:numFmt w:val="lowerLetter"/>
      <w:lvlText w:val="%2)"/>
      <w:lvlJc w:val="left"/>
      <w:pPr>
        <w:ind w:left="360"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D67C3DCA"/>
    <w:multiLevelType w:val="multilevel"/>
    <w:tmpl w:val="D67C3D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F7BF0B21"/>
    <w:multiLevelType w:val="multilevel"/>
    <w:tmpl w:val="F7BF0B21"/>
    <w:lvl w:ilvl="0">
      <w:start w:val="1"/>
      <w:numFmt w:val="decimal"/>
      <w:lvlText w:val="(%1)"/>
      <w:lvlJc w:val="left"/>
      <w:pPr>
        <w:ind w:left="0" w:firstLine="720"/>
      </w:pPr>
      <w:rPr>
        <w:rFonts w:hint="default"/>
        <w:sz w:val="24"/>
        <w:szCs w:val="20"/>
      </w:rPr>
    </w:lvl>
    <w:lvl w:ilvl="1">
      <w:start w:val="1"/>
      <w:numFmt w:val="decimal"/>
      <w:pStyle w:val="odsek"/>
      <w:lvlText w:val="(%2)"/>
      <w:lvlJc w:val="left"/>
      <w:pPr>
        <w:ind w:left="0" w:firstLine="0"/>
      </w:pPr>
      <w:rPr>
        <w:rFonts w:hint="default"/>
        <w:sz w:val="24"/>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4" w15:restartNumberingAfterBreak="0">
    <w:nsid w:val="FB2E3233"/>
    <w:multiLevelType w:val="multilevel"/>
    <w:tmpl w:val="ADECEA90"/>
    <w:lvl w:ilvl="0">
      <w:start w:val="1"/>
      <w:numFmt w:val="decimal"/>
      <w:pStyle w:val="tl1"/>
      <w:lvlText w:val="(%1)"/>
      <w:lvlJc w:val="left"/>
      <w:pPr>
        <w:ind w:left="1495" w:hanging="360"/>
      </w:pPr>
      <w:rPr>
        <w:rFonts w:hint="default"/>
        <w:strike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1B7496"/>
    <w:multiLevelType w:val="hybridMultilevel"/>
    <w:tmpl w:val="CB82E14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9F755C"/>
    <w:multiLevelType w:val="hybridMultilevel"/>
    <w:tmpl w:val="2CDEA6DC"/>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54777A"/>
    <w:multiLevelType w:val="multilevel"/>
    <w:tmpl w:val="0654777A"/>
    <w:lvl w:ilvl="0">
      <w:start w:val="1"/>
      <w:numFmt w:val="decimal"/>
      <w:lvlText w:val="(%1)"/>
      <w:lvlJc w:val="left"/>
      <w:pPr>
        <w:ind w:left="1352" w:hanging="360"/>
      </w:pPr>
      <w:rPr>
        <w:rFonts w:hint="default"/>
        <w:sz w:val="24"/>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8" w15:restartNumberingAfterBreak="0">
    <w:nsid w:val="07FE57CE"/>
    <w:multiLevelType w:val="hybridMultilevel"/>
    <w:tmpl w:val="8B12D46E"/>
    <w:lvl w:ilvl="0" w:tplc="3BEC1EFA">
      <w:start w:val="1"/>
      <w:numFmt w:val="decimal"/>
      <w:lvlText w:val="%1)"/>
      <w:lvlJc w:val="left"/>
      <w:pPr>
        <w:ind w:left="12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4DCD19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70C14B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9FC1D6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57C996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DBC8BB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6C65CA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39C6B3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A5CE37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0A837296"/>
    <w:multiLevelType w:val="hybridMultilevel"/>
    <w:tmpl w:val="440843BC"/>
    <w:lvl w:ilvl="0" w:tplc="D2F6BF94">
      <w:start w:val="1"/>
      <w:numFmt w:val="lowerLetter"/>
      <w:lvlText w:val="%1)"/>
      <w:lvlJc w:val="left"/>
      <w:pPr>
        <w:ind w:left="28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FA04108">
      <w:start w:val="3"/>
      <w:numFmt w:val="decimal"/>
      <w:lvlText w:val="(%2)"/>
      <w:lvlJc w:val="left"/>
      <w:pPr>
        <w:ind w:left="7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5BC35D6">
      <w:start w:val="1"/>
      <w:numFmt w:val="lowerRoman"/>
      <w:lvlText w:val="%3"/>
      <w:lvlJc w:val="left"/>
      <w:pPr>
        <w:ind w:left="13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A31E3F30">
      <w:start w:val="1"/>
      <w:numFmt w:val="decimal"/>
      <w:lvlText w:val="%4"/>
      <w:lvlJc w:val="left"/>
      <w:pPr>
        <w:ind w:left="20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E7A4A2E">
      <w:start w:val="1"/>
      <w:numFmt w:val="lowerLetter"/>
      <w:lvlText w:val="%5"/>
      <w:lvlJc w:val="left"/>
      <w:pPr>
        <w:ind w:left="274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3E688F1E">
      <w:start w:val="1"/>
      <w:numFmt w:val="lowerRoman"/>
      <w:lvlText w:val="%6"/>
      <w:lvlJc w:val="left"/>
      <w:pPr>
        <w:ind w:left="346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0809FB8">
      <w:start w:val="1"/>
      <w:numFmt w:val="decimal"/>
      <w:lvlText w:val="%7"/>
      <w:lvlJc w:val="left"/>
      <w:pPr>
        <w:ind w:left="418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F2343454">
      <w:start w:val="1"/>
      <w:numFmt w:val="lowerLetter"/>
      <w:lvlText w:val="%8"/>
      <w:lvlJc w:val="left"/>
      <w:pPr>
        <w:ind w:left="490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AD26534">
      <w:start w:val="1"/>
      <w:numFmt w:val="lowerRoman"/>
      <w:lvlText w:val="%9"/>
      <w:lvlJc w:val="left"/>
      <w:pPr>
        <w:ind w:left="562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0BF90803"/>
    <w:multiLevelType w:val="hybridMultilevel"/>
    <w:tmpl w:val="3A1EFA56"/>
    <w:lvl w:ilvl="0" w:tplc="4A9828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782278">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721A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9014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8213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04E5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D46C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AAAF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6854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0A356D"/>
    <w:multiLevelType w:val="hybridMultilevel"/>
    <w:tmpl w:val="B14C1D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3B7BBA"/>
    <w:multiLevelType w:val="multilevel"/>
    <w:tmpl w:val="0F3B7BBA"/>
    <w:lvl w:ilvl="0">
      <w:start w:val="1"/>
      <w:numFmt w:val="decimal"/>
      <w:lvlText w:val="(%1)"/>
      <w:lvlJc w:val="left"/>
      <w:pPr>
        <w:ind w:left="0" w:firstLine="720"/>
      </w:pPr>
      <w:rPr>
        <w:strike w:val="0"/>
        <w:sz w:val="24"/>
        <w:szCs w:val="20"/>
      </w:rPr>
    </w:lvl>
    <w:lvl w:ilvl="1">
      <w:start w:val="1"/>
      <w:numFmt w:val="lowerLetter"/>
      <w:lvlText w:val="%2)"/>
      <w:lvlJc w:val="left"/>
      <w:pPr>
        <w:ind w:left="142" w:firstLine="0"/>
      </w:pPr>
      <w:rPr>
        <w:rFonts w:hint="default"/>
        <w:strike w:val="0"/>
        <w:d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 w15:restartNumberingAfterBreak="0">
    <w:nsid w:val="20D3783C"/>
    <w:multiLevelType w:val="hybridMultilevel"/>
    <w:tmpl w:val="EE68BA2C"/>
    <w:lvl w:ilvl="0" w:tplc="B6D48D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34B25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D23B7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26A2A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AEE33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CEFE8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DED5E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BC66C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8A3BD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2C052E0"/>
    <w:multiLevelType w:val="hybridMultilevel"/>
    <w:tmpl w:val="5A7A53EA"/>
    <w:lvl w:ilvl="0" w:tplc="8CA647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A6E79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F2D3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0446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B42D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F675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6228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48FB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9698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202333"/>
    <w:multiLevelType w:val="hybridMultilevel"/>
    <w:tmpl w:val="3C76E8D8"/>
    <w:lvl w:ilvl="0" w:tplc="7C6A8C6A">
      <w:start w:val="1"/>
      <w:numFmt w:val="lowerRoman"/>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7F8BF73"/>
    <w:multiLevelType w:val="multilevel"/>
    <w:tmpl w:val="27F8BF7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8ED339F"/>
    <w:multiLevelType w:val="hybridMultilevel"/>
    <w:tmpl w:val="95CE9B7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8FC06F1"/>
    <w:multiLevelType w:val="hybridMultilevel"/>
    <w:tmpl w:val="F7D6527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94B635B"/>
    <w:multiLevelType w:val="hybridMultilevel"/>
    <w:tmpl w:val="D20A5856"/>
    <w:lvl w:ilvl="0" w:tplc="4A563A16">
      <w:start w:val="1"/>
      <w:numFmt w:val="decimal"/>
      <w:lvlText w:val="%1)"/>
      <w:lvlJc w:val="left"/>
      <w:pPr>
        <w:ind w:left="12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910238C">
      <w:start w:val="1"/>
      <w:numFmt w:val="lowerLetter"/>
      <w:lvlText w:val="%2)"/>
      <w:lvlJc w:val="left"/>
      <w:pPr>
        <w:ind w:left="15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6858B8">
      <w:start w:val="1"/>
      <w:numFmt w:val="lowerRoman"/>
      <w:lvlText w:val="%3"/>
      <w:lvlJc w:val="left"/>
      <w:pPr>
        <w:ind w:left="15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9D2CE4C">
      <w:start w:val="1"/>
      <w:numFmt w:val="decimal"/>
      <w:lvlText w:val="%4"/>
      <w:lvlJc w:val="left"/>
      <w:pPr>
        <w:ind w:left="22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4F40BA2">
      <w:start w:val="1"/>
      <w:numFmt w:val="lowerLetter"/>
      <w:lvlText w:val="%5"/>
      <w:lvlJc w:val="left"/>
      <w:pPr>
        <w:ind w:left="29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A58844A">
      <w:start w:val="1"/>
      <w:numFmt w:val="lowerRoman"/>
      <w:lvlText w:val="%6"/>
      <w:lvlJc w:val="left"/>
      <w:pPr>
        <w:ind w:left="37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A1A7C66">
      <w:start w:val="1"/>
      <w:numFmt w:val="decimal"/>
      <w:lvlText w:val="%7"/>
      <w:lvlJc w:val="left"/>
      <w:pPr>
        <w:ind w:left="44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3726C7C">
      <w:start w:val="1"/>
      <w:numFmt w:val="lowerLetter"/>
      <w:lvlText w:val="%8"/>
      <w:lvlJc w:val="left"/>
      <w:pPr>
        <w:ind w:left="51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5FAE386">
      <w:start w:val="1"/>
      <w:numFmt w:val="lowerRoman"/>
      <w:lvlText w:val="%9"/>
      <w:lvlJc w:val="left"/>
      <w:pPr>
        <w:ind w:left="58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2EC331D0"/>
    <w:multiLevelType w:val="hybridMultilevel"/>
    <w:tmpl w:val="CB82E14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E493CED"/>
    <w:multiLevelType w:val="hybridMultilevel"/>
    <w:tmpl w:val="23943210"/>
    <w:lvl w:ilvl="0" w:tplc="E6282E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188D9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967F9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FAF7A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CAAAF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7268F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3C7C7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B4E2E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E2C64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FD157A5"/>
    <w:multiLevelType w:val="hybridMultilevel"/>
    <w:tmpl w:val="2DFEBDC2"/>
    <w:lvl w:ilvl="0" w:tplc="308CD1F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F364AD"/>
    <w:multiLevelType w:val="hybridMultilevel"/>
    <w:tmpl w:val="01A0A7A8"/>
    <w:lvl w:ilvl="0" w:tplc="0F64C72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E3608B"/>
    <w:multiLevelType w:val="hybridMultilevel"/>
    <w:tmpl w:val="195AF1D8"/>
    <w:lvl w:ilvl="0" w:tplc="9022DD44">
      <w:start w:val="1"/>
      <w:numFmt w:val="lowerLetter"/>
      <w:lvlText w:val="%1)"/>
      <w:lvlJc w:val="left"/>
      <w:pPr>
        <w:ind w:left="2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5EC279E">
      <w:start w:val="1"/>
      <w:numFmt w:val="decimal"/>
      <w:lvlText w:val="%2."/>
      <w:lvlJc w:val="left"/>
      <w:pPr>
        <w:ind w:left="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F0C035A">
      <w:start w:val="1"/>
      <w:numFmt w:val="lowerRoman"/>
      <w:lvlText w:val="%3"/>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B7A71B0">
      <w:start w:val="1"/>
      <w:numFmt w:val="decimal"/>
      <w:lvlText w:val="%4"/>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C8F960">
      <w:start w:val="1"/>
      <w:numFmt w:val="lowerLetter"/>
      <w:lvlText w:val="%5"/>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B2CC014">
      <w:start w:val="1"/>
      <w:numFmt w:val="lowerRoman"/>
      <w:lvlText w:val="%6"/>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E6E1878">
      <w:start w:val="1"/>
      <w:numFmt w:val="decimal"/>
      <w:lvlText w:val="%7"/>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8083182">
      <w:start w:val="1"/>
      <w:numFmt w:val="lowerLetter"/>
      <w:lvlText w:val="%8"/>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6F8F410">
      <w:start w:val="1"/>
      <w:numFmt w:val="lowerRoman"/>
      <w:lvlText w:val="%9"/>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657B73F4"/>
    <w:multiLevelType w:val="hybridMultilevel"/>
    <w:tmpl w:val="32C891B4"/>
    <w:lvl w:ilvl="0" w:tplc="17A8E4A4">
      <w:start w:val="1"/>
      <w:numFmt w:val="decimal"/>
      <w:lvlText w:val="%1)"/>
      <w:lvlJc w:val="left"/>
      <w:pPr>
        <w:ind w:left="15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9C64D68">
      <w:start w:val="1"/>
      <w:numFmt w:val="lowerLetter"/>
      <w:lvlText w:val="%2"/>
      <w:lvlJc w:val="left"/>
      <w:pPr>
        <w:ind w:left="13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081C0E">
      <w:start w:val="1"/>
      <w:numFmt w:val="lowerRoman"/>
      <w:lvlText w:val="%3"/>
      <w:lvlJc w:val="left"/>
      <w:pPr>
        <w:ind w:left="2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BFE0D16">
      <w:start w:val="1"/>
      <w:numFmt w:val="decimal"/>
      <w:lvlText w:val="%4"/>
      <w:lvlJc w:val="left"/>
      <w:pPr>
        <w:ind w:left="28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538A962">
      <w:start w:val="1"/>
      <w:numFmt w:val="lowerLetter"/>
      <w:lvlText w:val="%5"/>
      <w:lvlJc w:val="left"/>
      <w:pPr>
        <w:ind w:left="35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BF0662C">
      <w:start w:val="1"/>
      <w:numFmt w:val="lowerRoman"/>
      <w:lvlText w:val="%6"/>
      <w:lvlJc w:val="left"/>
      <w:pPr>
        <w:ind w:left="42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598F146">
      <w:start w:val="1"/>
      <w:numFmt w:val="decimal"/>
      <w:lvlText w:val="%7"/>
      <w:lvlJc w:val="left"/>
      <w:pPr>
        <w:ind w:left="49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C2AF200">
      <w:start w:val="1"/>
      <w:numFmt w:val="lowerLetter"/>
      <w:lvlText w:val="%8"/>
      <w:lvlJc w:val="left"/>
      <w:pPr>
        <w:ind w:left="57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F84DA30">
      <w:start w:val="1"/>
      <w:numFmt w:val="lowerRoman"/>
      <w:lvlText w:val="%9"/>
      <w:lvlJc w:val="left"/>
      <w:pPr>
        <w:ind w:left="64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6BE04C3E"/>
    <w:multiLevelType w:val="hybridMultilevel"/>
    <w:tmpl w:val="60065FE4"/>
    <w:lvl w:ilvl="0" w:tplc="0980DF7A">
      <w:start w:val="1"/>
      <w:numFmt w:val="decimal"/>
      <w:lvlText w:val="%1)"/>
      <w:lvlJc w:val="left"/>
      <w:pPr>
        <w:ind w:left="94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B580A8E">
      <w:start w:val="1"/>
      <w:numFmt w:val="lowerLetter"/>
      <w:lvlText w:val="%2"/>
      <w:lvlJc w:val="left"/>
      <w:pPr>
        <w:ind w:left="80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992E056">
      <w:start w:val="1"/>
      <w:numFmt w:val="lowerRoman"/>
      <w:lvlText w:val="%3"/>
      <w:lvlJc w:val="left"/>
      <w:pPr>
        <w:ind w:left="15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45209A2">
      <w:start w:val="1"/>
      <w:numFmt w:val="decimal"/>
      <w:lvlText w:val="%4"/>
      <w:lvlJc w:val="left"/>
      <w:pPr>
        <w:ind w:left="22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FCC21B8">
      <w:start w:val="1"/>
      <w:numFmt w:val="lowerLetter"/>
      <w:lvlText w:val="%5"/>
      <w:lvlJc w:val="left"/>
      <w:pPr>
        <w:ind w:left="296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B826290">
      <w:start w:val="1"/>
      <w:numFmt w:val="lowerRoman"/>
      <w:lvlText w:val="%6"/>
      <w:lvlJc w:val="left"/>
      <w:pPr>
        <w:ind w:left="368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B8E146C">
      <w:start w:val="1"/>
      <w:numFmt w:val="decimal"/>
      <w:lvlText w:val="%7"/>
      <w:lvlJc w:val="left"/>
      <w:pPr>
        <w:ind w:left="440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026D89A">
      <w:start w:val="1"/>
      <w:numFmt w:val="lowerLetter"/>
      <w:lvlText w:val="%8"/>
      <w:lvlJc w:val="left"/>
      <w:pPr>
        <w:ind w:left="51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A629850">
      <w:start w:val="1"/>
      <w:numFmt w:val="lowerRoman"/>
      <w:lvlText w:val="%9"/>
      <w:lvlJc w:val="left"/>
      <w:pPr>
        <w:ind w:left="58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6BF32627"/>
    <w:multiLevelType w:val="hybridMultilevel"/>
    <w:tmpl w:val="A378B53A"/>
    <w:lvl w:ilvl="0" w:tplc="938A9984">
      <w:start w:val="1"/>
      <w:numFmt w:val="lowerLetter"/>
      <w:lvlText w:val="%1)"/>
      <w:lvlJc w:val="left"/>
      <w:pPr>
        <w:ind w:left="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74C5108">
      <w:start w:val="1"/>
      <w:numFmt w:val="decimal"/>
      <w:lvlText w:val="%2."/>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583DCE">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48B32">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EAB782">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68FD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A567A">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A8CD26">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18E52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F6B1EA4"/>
    <w:multiLevelType w:val="hybridMultilevel"/>
    <w:tmpl w:val="A77486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6BAD73E"/>
    <w:multiLevelType w:val="multilevel"/>
    <w:tmpl w:val="76BAD73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61197C"/>
    <w:multiLevelType w:val="multilevel"/>
    <w:tmpl w:val="05A8586C"/>
    <w:lvl w:ilvl="0">
      <w:start w:val="1"/>
      <w:numFmt w:val="decimal"/>
      <w:lvlText w:val="(%1)"/>
      <w:lvlJc w:val="left"/>
      <w:pPr>
        <w:ind w:left="0" w:firstLine="720"/>
      </w:pPr>
      <w:rPr>
        <w:strike w:val="0"/>
        <w:color w:val="00B050"/>
        <w:sz w:val="20"/>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1" w15:restartNumberingAfterBreak="0">
    <w:nsid w:val="7BB22685"/>
    <w:multiLevelType w:val="hybridMultilevel"/>
    <w:tmpl w:val="E8C42AA4"/>
    <w:lvl w:ilvl="0" w:tplc="23CA67A8">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4C5108">
      <w:start w:val="1"/>
      <w:numFmt w:val="decimal"/>
      <w:lvlText w:val="%2."/>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583DCE">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48B32">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EAB782">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68FD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A567A">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A8CD26">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18E52C">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DE6D1DE"/>
    <w:multiLevelType w:val="multilevel"/>
    <w:tmpl w:val="7DE6D1DE"/>
    <w:lvl w:ilvl="0">
      <w:start w:val="1"/>
      <w:numFmt w:val="decimal"/>
      <w:pStyle w:val="tl3"/>
      <w:lvlText w:val="(%1)"/>
      <w:lvlJc w:val="left"/>
      <w:pPr>
        <w:ind w:left="2345" w:hanging="360"/>
      </w:pPr>
      <w:rPr>
        <w:rFonts w:hint="default"/>
        <w:sz w:val="24"/>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93F783"/>
    <w:multiLevelType w:val="multilevel"/>
    <w:tmpl w:val="7F93F783"/>
    <w:lvl w:ilvl="0">
      <w:start w:val="1"/>
      <w:numFmt w:val="decimal"/>
      <w:lvlText w:val="(%1)"/>
      <w:lvlJc w:val="left"/>
      <w:pPr>
        <w:ind w:left="273" w:firstLine="720"/>
      </w:pPr>
      <w:rPr>
        <w:color w:val="000000" w:themeColor="text1"/>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2"/>
  </w:num>
  <w:num w:numId="5">
    <w:abstractNumId w:val="32"/>
  </w:num>
  <w:num w:numId="6">
    <w:abstractNumId w:val="15"/>
  </w:num>
  <w:num w:numId="7">
    <w:abstractNumId w:val="11"/>
  </w:num>
  <w:num w:numId="8">
    <w:abstractNumId w:val="28"/>
  </w:num>
  <w:num w:numId="9">
    <w:abstractNumId w:val="31"/>
  </w:num>
  <w:num w:numId="10">
    <w:abstractNumId w:val="27"/>
  </w:num>
  <w:num w:numId="11">
    <w:abstractNumId w:val="14"/>
  </w:num>
  <w:num w:numId="12">
    <w:abstractNumId w:val="26"/>
  </w:num>
  <w:num w:numId="13">
    <w:abstractNumId w:val="19"/>
  </w:num>
  <w:num w:numId="14">
    <w:abstractNumId w:val="25"/>
  </w:num>
  <w:num w:numId="15">
    <w:abstractNumId w:val="24"/>
  </w:num>
  <w:num w:numId="16">
    <w:abstractNumId w:val="8"/>
  </w:num>
  <w:num w:numId="17">
    <w:abstractNumId w:val="10"/>
  </w:num>
  <w:num w:numId="18">
    <w:abstractNumId w:val="23"/>
  </w:num>
  <w:num w:numId="19">
    <w:abstractNumId w:val="13"/>
  </w:num>
  <w:num w:numId="20">
    <w:abstractNumId w:val="21"/>
  </w:num>
  <w:num w:numId="21">
    <w:abstractNumId w:val="18"/>
  </w:num>
  <w:num w:numId="22">
    <w:abstractNumId w:val="5"/>
  </w:num>
  <w:num w:numId="23">
    <w:abstractNumId w:val="20"/>
  </w:num>
  <w:num w:numId="24">
    <w:abstractNumId w:val="12"/>
  </w:num>
  <w:num w:numId="25">
    <w:abstractNumId w:val="29"/>
  </w:num>
  <w:num w:numId="26">
    <w:abstractNumId w:val="30"/>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0"/>
  </w:num>
  <w:num w:numId="31">
    <w:abstractNumId w:val="33"/>
  </w:num>
  <w:num w:numId="32">
    <w:abstractNumId w:val="7"/>
  </w:num>
  <w:num w:numId="33">
    <w:abstractNumId w:val="22"/>
  </w:num>
  <w:num w:numId="34">
    <w:abstractNumId w:val="3"/>
  </w:num>
  <w:num w:numId="35">
    <w:abstractNumId w:val="16"/>
  </w:num>
  <w:num w:numId="3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39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08"/>
    <w:rsid w:val="00005C03"/>
    <w:rsid w:val="00021CA2"/>
    <w:rsid w:val="000229A5"/>
    <w:rsid w:val="00033DC4"/>
    <w:rsid w:val="00043B7A"/>
    <w:rsid w:val="00045DB6"/>
    <w:rsid w:val="000478AD"/>
    <w:rsid w:val="000505B7"/>
    <w:rsid w:val="000516A6"/>
    <w:rsid w:val="0006500A"/>
    <w:rsid w:val="00074C83"/>
    <w:rsid w:val="00075D81"/>
    <w:rsid w:val="00080738"/>
    <w:rsid w:val="0008749A"/>
    <w:rsid w:val="000969C6"/>
    <w:rsid w:val="000A426B"/>
    <w:rsid w:val="000B5731"/>
    <w:rsid w:val="000C167F"/>
    <w:rsid w:val="000C4B7B"/>
    <w:rsid w:val="000D519E"/>
    <w:rsid w:val="000E363C"/>
    <w:rsid w:val="000E430F"/>
    <w:rsid w:val="000F22A7"/>
    <w:rsid w:val="000F5D9B"/>
    <w:rsid w:val="001002AD"/>
    <w:rsid w:val="00115537"/>
    <w:rsid w:val="0013600A"/>
    <w:rsid w:val="00137B61"/>
    <w:rsid w:val="0014620B"/>
    <w:rsid w:val="001546B6"/>
    <w:rsid w:val="00154923"/>
    <w:rsid w:val="0015602D"/>
    <w:rsid w:val="00165BD8"/>
    <w:rsid w:val="00166D22"/>
    <w:rsid w:val="00183247"/>
    <w:rsid w:val="00192CC0"/>
    <w:rsid w:val="001938F7"/>
    <w:rsid w:val="00194220"/>
    <w:rsid w:val="001948F9"/>
    <w:rsid w:val="001B1D25"/>
    <w:rsid w:val="001B3A5A"/>
    <w:rsid w:val="001C3081"/>
    <w:rsid w:val="001C37B0"/>
    <w:rsid w:val="001C7843"/>
    <w:rsid w:val="001D0587"/>
    <w:rsid w:val="001D2DBC"/>
    <w:rsid w:val="001E0732"/>
    <w:rsid w:val="001E0DAF"/>
    <w:rsid w:val="001E2557"/>
    <w:rsid w:val="001F0389"/>
    <w:rsid w:val="001F1F78"/>
    <w:rsid w:val="001F4E01"/>
    <w:rsid w:val="002014E6"/>
    <w:rsid w:val="0021001A"/>
    <w:rsid w:val="00215280"/>
    <w:rsid w:val="0021709C"/>
    <w:rsid w:val="00221ECD"/>
    <w:rsid w:val="00223E99"/>
    <w:rsid w:val="00250D32"/>
    <w:rsid w:val="002524C4"/>
    <w:rsid w:val="00253223"/>
    <w:rsid w:val="00256383"/>
    <w:rsid w:val="0026479D"/>
    <w:rsid w:val="00267410"/>
    <w:rsid w:val="002761D6"/>
    <w:rsid w:val="0027667F"/>
    <w:rsid w:val="0028671E"/>
    <w:rsid w:val="00287BC8"/>
    <w:rsid w:val="002910A5"/>
    <w:rsid w:val="002941B0"/>
    <w:rsid w:val="002A6196"/>
    <w:rsid w:val="002D4108"/>
    <w:rsid w:val="002D54BC"/>
    <w:rsid w:val="002D778B"/>
    <w:rsid w:val="002E6F07"/>
    <w:rsid w:val="002F1F73"/>
    <w:rsid w:val="002F6E6E"/>
    <w:rsid w:val="00304DFB"/>
    <w:rsid w:val="00305D7A"/>
    <w:rsid w:val="003065D6"/>
    <w:rsid w:val="00316F8F"/>
    <w:rsid w:val="0032005D"/>
    <w:rsid w:val="003315C8"/>
    <w:rsid w:val="00333D95"/>
    <w:rsid w:val="003417A9"/>
    <w:rsid w:val="00350F06"/>
    <w:rsid w:val="00353E37"/>
    <w:rsid w:val="003549B4"/>
    <w:rsid w:val="00380EB5"/>
    <w:rsid w:val="0038164A"/>
    <w:rsid w:val="00383ACF"/>
    <w:rsid w:val="00390EF9"/>
    <w:rsid w:val="00397C00"/>
    <w:rsid w:val="003A1682"/>
    <w:rsid w:val="003A7D48"/>
    <w:rsid w:val="003B0444"/>
    <w:rsid w:val="003C6CB0"/>
    <w:rsid w:val="003D7651"/>
    <w:rsid w:val="003E6BC7"/>
    <w:rsid w:val="003F1796"/>
    <w:rsid w:val="003F5FB5"/>
    <w:rsid w:val="003F7940"/>
    <w:rsid w:val="00412347"/>
    <w:rsid w:val="00413B6F"/>
    <w:rsid w:val="0044328A"/>
    <w:rsid w:val="00447A05"/>
    <w:rsid w:val="004500B8"/>
    <w:rsid w:val="004554FA"/>
    <w:rsid w:val="00456A40"/>
    <w:rsid w:val="00457A7D"/>
    <w:rsid w:val="00464474"/>
    <w:rsid w:val="00466AD1"/>
    <w:rsid w:val="00467193"/>
    <w:rsid w:val="004824CE"/>
    <w:rsid w:val="00483FA7"/>
    <w:rsid w:val="004916ED"/>
    <w:rsid w:val="00495332"/>
    <w:rsid w:val="00497B82"/>
    <w:rsid w:val="004A0787"/>
    <w:rsid w:val="004A6324"/>
    <w:rsid w:val="004B097A"/>
    <w:rsid w:val="004B4E4E"/>
    <w:rsid w:val="004C19DF"/>
    <w:rsid w:val="004C267C"/>
    <w:rsid w:val="004C3784"/>
    <w:rsid w:val="004D3354"/>
    <w:rsid w:val="004F4932"/>
    <w:rsid w:val="00502CB9"/>
    <w:rsid w:val="00504E6D"/>
    <w:rsid w:val="00510D0E"/>
    <w:rsid w:val="00513891"/>
    <w:rsid w:val="00514242"/>
    <w:rsid w:val="00516913"/>
    <w:rsid w:val="00525930"/>
    <w:rsid w:val="00531B9E"/>
    <w:rsid w:val="00535191"/>
    <w:rsid w:val="0053748B"/>
    <w:rsid w:val="005549E9"/>
    <w:rsid w:val="00557F90"/>
    <w:rsid w:val="00561C4A"/>
    <w:rsid w:val="00565E6C"/>
    <w:rsid w:val="00574B4B"/>
    <w:rsid w:val="00591283"/>
    <w:rsid w:val="00592C5D"/>
    <w:rsid w:val="00594758"/>
    <w:rsid w:val="00597CA6"/>
    <w:rsid w:val="005A2C43"/>
    <w:rsid w:val="005A4AB8"/>
    <w:rsid w:val="005B3643"/>
    <w:rsid w:val="005B3A96"/>
    <w:rsid w:val="005C4A42"/>
    <w:rsid w:val="005C5E02"/>
    <w:rsid w:val="005D3E8B"/>
    <w:rsid w:val="005D52A1"/>
    <w:rsid w:val="005E27DB"/>
    <w:rsid w:val="005E3142"/>
    <w:rsid w:val="005F345C"/>
    <w:rsid w:val="005F4A5B"/>
    <w:rsid w:val="005F5B53"/>
    <w:rsid w:val="0060340C"/>
    <w:rsid w:val="00603CC4"/>
    <w:rsid w:val="006042C6"/>
    <w:rsid w:val="00610537"/>
    <w:rsid w:val="0061203F"/>
    <w:rsid w:val="006137DE"/>
    <w:rsid w:val="00634CB4"/>
    <w:rsid w:val="00635391"/>
    <w:rsid w:val="006434C7"/>
    <w:rsid w:val="006568DE"/>
    <w:rsid w:val="0067046E"/>
    <w:rsid w:val="00670CE1"/>
    <w:rsid w:val="006729DE"/>
    <w:rsid w:val="00674298"/>
    <w:rsid w:val="00677433"/>
    <w:rsid w:val="006812D5"/>
    <w:rsid w:val="0068391F"/>
    <w:rsid w:val="006A0F3C"/>
    <w:rsid w:val="006A1C36"/>
    <w:rsid w:val="006A7F1E"/>
    <w:rsid w:val="006B0040"/>
    <w:rsid w:val="006B05E9"/>
    <w:rsid w:val="006C2E31"/>
    <w:rsid w:val="006C4E3C"/>
    <w:rsid w:val="006D604A"/>
    <w:rsid w:val="006E05BC"/>
    <w:rsid w:val="006E381A"/>
    <w:rsid w:val="006E65C5"/>
    <w:rsid w:val="00700B0E"/>
    <w:rsid w:val="00702206"/>
    <w:rsid w:val="00702288"/>
    <w:rsid w:val="00705690"/>
    <w:rsid w:val="00710762"/>
    <w:rsid w:val="00717ED3"/>
    <w:rsid w:val="00721F88"/>
    <w:rsid w:val="007368A9"/>
    <w:rsid w:val="00744FE9"/>
    <w:rsid w:val="0074550D"/>
    <w:rsid w:val="0074553C"/>
    <w:rsid w:val="00747803"/>
    <w:rsid w:val="00751905"/>
    <w:rsid w:val="00751FA7"/>
    <w:rsid w:val="00752715"/>
    <w:rsid w:val="0075380B"/>
    <w:rsid w:val="0075439B"/>
    <w:rsid w:val="00756385"/>
    <w:rsid w:val="00763237"/>
    <w:rsid w:val="00780D48"/>
    <w:rsid w:val="0079424E"/>
    <w:rsid w:val="007B11F4"/>
    <w:rsid w:val="007B7110"/>
    <w:rsid w:val="007C3C76"/>
    <w:rsid w:val="007D65D8"/>
    <w:rsid w:val="007D7E3B"/>
    <w:rsid w:val="00803FDC"/>
    <w:rsid w:val="00805B62"/>
    <w:rsid w:val="00813733"/>
    <w:rsid w:val="00813B05"/>
    <w:rsid w:val="008147DE"/>
    <w:rsid w:val="008177DC"/>
    <w:rsid w:val="008179D3"/>
    <w:rsid w:val="008227C5"/>
    <w:rsid w:val="00824651"/>
    <w:rsid w:val="00827C63"/>
    <w:rsid w:val="008306AE"/>
    <w:rsid w:val="00836F70"/>
    <w:rsid w:val="00837565"/>
    <w:rsid w:val="008418AF"/>
    <w:rsid w:val="0084575F"/>
    <w:rsid w:val="00850D24"/>
    <w:rsid w:val="0085178D"/>
    <w:rsid w:val="00857104"/>
    <w:rsid w:val="008668ED"/>
    <w:rsid w:val="00867804"/>
    <w:rsid w:val="00881646"/>
    <w:rsid w:val="00881FEB"/>
    <w:rsid w:val="0089256B"/>
    <w:rsid w:val="00892ABA"/>
    <w:rsid w:val="00893841"/>
    <w:rsid w:val="008A0B57"/>
    <w:rsid w:val="008A54FC"/>
    <w:rsid w:val="008A7D67"/>
    <w:rsid w:val="008B212F"/>
    <w:rsid w:val="008B2457"/>
    <w:rsid w:val="008C67AA"/>
    <w:rsid w:val="008D0C3A"/>
    <w:rsid w:val="008D3624"/>
    <w:rsid w:val="008D38B6"/>
    <w:rsid w:val="008D68A3"/>
    <w:rsid w:val="008E3F38"/>
    <w:rsid w:val="008F04C1"/>
    <w:rsid w:val="008F20B8"/>
    <w:rsid w:val="008F374E"/>
    <w:rsid w:val="008F3AC2"/>
    <w:rsid w:val="00905DA9"/>
    <w:rsid w:val="00905DC2"/>
    <w:rsid w:val="00912CE1"/>
    <w:rsid w:val="0091495B"/>
    <w:rsid w:val="009171C4"/>
    <w:rsid w:val="009177B4"/>
    <w:rsid w:val="009232DD"/>
    <w:rsid w:val="009270ED"/>
    <w:rsid w:val="00935CA3"/>
    <w:rsid w:val="00936D14"/>
    <w:rsid w:val="00945A32"/>
    <w:rsid w:val="009523DB"/>
    <w:rsid w:val="009545A5"/>
    <w:rsid w:val="00954DD5"/>
    <w:rsid w:val="00960471"/>
    <w:rsid w:val="009624D2"/>
    <w:rsid w:val="0096525A"/>
    <w:rsid w:val="00984384"/>
    <w:rsid w:val="0098502A"/>
    <w:rsid w:val="00993F36"/>
    <w:rsid w:val="009A685B"/>
    <w:rsid w:val="009B1CDE"/>
    <w:rsid w:val="009B5A9C"/>
    <w:rsid w:val="009B7F3A"/>
    <w:rsid w:val="009C45D4"/>
    <w:rsid w:val="009C54FB"/>
    <w:rsid w:val="009D7AF1"/>
    <w:rsid w:val="00A15CA5"/>
    <w:rsid w:val="00A23214"/>
    <w:rsid w:val="00A232B6"/>
    <w:rsid w:val="00A2402A"/>
    <w:rsid w:val="00A344BF"/>
    <w:rsid w:val="00A344D7"/>
    <w:rsid w:val="00A462AA"/>
    <w:rsid w:val="00A46AD9"/>
    <w:rsid w:val="00A506EC"/>
    <w:rsid w:val="00A602C0"/>
    <w:rsid w:val="00A67DD3"/>
    <w:rsid w:val="00A67F8D"/>
    <w:rsid w:val="00A71784"/>
    <w:rsid w:val="00A83B8E"/>
    <w:rsid w:val="00A901B0"/>
    <w:rsid w:val="00A91825"/>
    <w:rsid w:val="00A91BF9"/>
    <w:rsid w:val="00A969D8"/>
    <w:rsid w:val="00AA06CE"/>
    <w:rsid w:val="00AA667D"/>
    <w:rsid w:val="00AB129D"/>
    <w:rsid w:val="00AC46DF"/>
    <w:rsid w:val="00AC5544"/>
    <w:rsid w:val="00AC6F84"/>
    <w:rsid w:val="00AD2675"/>
    <w:rsid w:val="00AE1D13"/>
    <w:rsid w:val="00AF196A"/>
    <w:rsid w:val="00AF21E7"/>
    <w:rsid w:val="00B04584"/>
    <w:rsid w:val="00B05545"/>
    <w:rsid w:val="00B12E56"/>
    <w:rsid w:val="00B17386"/>
    <w:rsid w:val="00B1739F"/>
    <w:rsid w:val="00B20392"/>
    <w:rsid w:val="00B218CA"/>
    <w:rsid w:val="00B3153A"/>
    <w:rsid w:val="00B32293"/>
    <w:rsid w:val="00B40A88"/>
    <w:rsid w:val="00B44638"/>
    <w:rsid w:val="00B46C2A"/>
    <w:rsid w:val="00B53E45"/>
    <w:rsid w:val="00B63AF0"/>
    <w:rsid w:val="00B63C90"/>
    <w:rsid w:val="00B64A27"/>
    <w:rsid w:val="00B704DA"/>
    <w:rsid w:val="00B7091B"/>
    <w:rsid w:val="00B8015E"/>
    <w:rsid w:val="00B80E6D"/>
    <w:rsid w:val="00B81E84"/>
    <w:rsid w:val="00B95862"/>
    <w:rsid w:val="00BA0058"/>
    <w:rsid w:val="00BA0DBC"/>
    <w:rsid w:val="00BB1F3D"/>
    <w:rsid w:val="00BC5B5B"/>
    <w:rsid w:val="00BD232C"/>
    <w:rsid w:val="00BD44DA"/>
    <w:rsid w:val="00BE0C9E"/>
    <w:rsid w:val="00BE3C4F"/>
    <w:rsid w:val="00BE4DF0"/>
    <w:rsid w:val="00C04F55"/>
    <w:rsid w:val="00C3297C"/>
    <w:rsid w:val="00C335A1"/>
    <w:rsid w:val="00C33D35"/>
    <w:rsid w:val="00C465C9"/>
    <w:rsid w:val="00C46C9E"/>
    <w:rsid w:val="00C732C1"/>
    <w:rsid w:val="00C82B12"/>
    <w:rsid w:val="00C85292"/>
    <w:rsid w:val="00CA063F"/>
    <w:rsid w:val="00CA0779"/>
    <w:rsid w:val="00CB2B23"/>
    <w:rsid w:val="00CB75B1"/>
    <w:rsid w:val="00CC23D7"/>
    <w:rsid w:val="00CC6390"/>
    <w:rsid w:val="00CE3A47"/>
    <w:rsid w:val="00CE3D6E"/>
    <w:rsid w:val="00CF4D8F"/>
    <w:rsid w:val="00CF74AC"/>
    <w:rsid w:val="00CF7952"/>
    <w:rsid w:val="00D00864"/>
    <w:rsid w:val="00D02130"/>
    <w:rsid w:val="00D07AB7"/>
    <w:rsid w:val="00D10620"/>
    <w:rsid w:val="00D115AA"/>
    <w:rsid w:val="00D14602"/>
    <w:rsid w:val="00D14CD3"/>
    <w:rsid w:val="00D17989"/>
    <w:rsid w:val="00D225A2"/>
    <w:rsid w:val="00D32238"/>
    <w:rsid w:val="00D37075"/>
    <w:rsid w:val="00D43C7D"/>
    <w:rsid w:val="00D4510D"/>
    <w:rsid w:val="00D53B67"/>
    <w:rsid w:val="00D5717F"/>
    <w:rsid w:val="00D5761C"/>
    <w:rsid w:val="00D60E8A"/>
    <w:rsid w:val="00D62AF8"/>
    <w:rsid w:val="00D7201C"/>
    <w:rsid w:val="00D809A7"/>
    <w:rsid w:val="00DB51BB"/>
    <w:rsid w:val="00DB7976"/>
    <w:rsid w:val="00DB7B7C"/>
    <w:rsid w:val="00DC0945"/>
    <w:rsid w:val="00DC2682"/>
    <w:rsid w:val="00DD0ACB"/>
    <w:rsid w:val="00DD75FE"/>
    <w:rsid w:val="00DD78BB"/>
    <w:rsid w:val="00DE5EB7"/>
    <w:rsid w:val="00DF339B"/>
    <w:rsid w:val="00DF6853"/>
    <w:rsid w:val="00E17FCE"/>
    <w:rsid w:val="00E2299D"/>
    <w:rsid w:val="00E2481D"/>
    <w:rsid w:val="00E24884"/>
    <w:rsid w:val="00E34EA6"/>
    <w:rsid w:val="00E44CD2"/>
    <w:rsid w:val="00E50B2D"/>
    <w:rsid w:val="00E54999"/>
    <w:rsid w:val="00E55384"/>
    <w:rsid w:val="00E609C1"/>
    <w:rsid w:val="00E70796"/>
    <w:rsid w:val="00E90F86"/>
    <w:rsid w:val="00EA41E7"/>
    <w:rsid w:val="00EB3691"/>
    <w:rsid w:val="00ED0B33"/>
    <w:rsid w:val="00ED2D6C"/>
    <w:rsid w:val="00EE10DB"/>
    <w:rsid w:val="00EE14C9"/>
    <w:rsid w:val="00EE6D42"/>
    <w:rsid w:val="00EF5876"/>
    <w:rsid w:val="00EF6B3E"/>
    <w:rsid w:val="00F11174"/>
    <w:rsid w:val="00F13781"/>
    <w:rsid w:val="00F17024"/>
    <w:rsid w:val="00F24169"/>
    <w:rsid w:val="00F243E0"/>
    <w:rsid w:val="00F2658D"/>
    <w:rsid w:val="00F319FF"/>
    <w:rsid w:val="00F35508"/>
    <w:rsid w:val="00F40482"/>
    <w:rsid w:val="00F40726"/>
    <w:rsid w:val="00F46C1A"/>
    <w:rsid w:val="00F56A63"/>
    <w:rsid w:val="00F65FCF"/>
    <w:rsid w:val="00F76887"/>
    <w:rsid w:val="00F77286"/>
    <w:rsid w:val="00F80D17"/>
    <w:rsid w:val="00F87CAC"/>
    <w:rsid w:val="00FA4435"/>
    <w:rsid w:val="00FA5311"/>
    <w:rsid w:val="00FB0911"/>
    <w:rsid w:val="00FB3E19"/>
    <w:rsid w:val="00FB4987"/>
    <w:rsid w:val="00FB726A"/>
    <w:rsid w:val="00FC3552"/>
    <w:rsid w:val="00FE21B8"/>
    <w:rsid w:val="00FE310A"/>
    <w:rsid w:val="00FE479A"/>
    <w:rsid w:val="00FE4978"/>
    <w:rsid w:val="00FF1609"/>
    <w:rsid w:val="00FF42D0"/>
    <w:rsid w:val="00FF4F82"/>
    <w:rsid w:val="00FF7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E00A4"/>
  <w15:docId w15:val="{C4AEA460-8BF8-4CA3-8986-284287E1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0B57"/>
    <w:pPr>
      <w:spacing w:after="200" w:line="276" w:lineRule="auto"/>
    </w:pPr>
    <w:rPr>
      <w:rFonts w:cs="Calibri"/>
      <w:lang w:eastAsia="en-US"/>
    </w:rPr>
  </w:style>
  <w:style w:type="paragraph" w:styleId="Nadpis2">
    <w:name w:val="heading 2"/>
    <w:basedOn w:val="Normlny"/>
    <w:next w:val="Normlny"/>
    <w:link w:val="Nadpis2Char"/>
    <w:semiHidden/>
    <w:unhideWhenUsed/>
    <w:qFormat/>
    <w:locked/>
    <w:rsid w:val="00D021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y"/>
    <w:next w:val="Normlny"/>
    <w:link w:val="Nadpis6Char"/>
    <w:qFormat/>
    <w:locked/>
    <w:rsid w:val="006137DE"/>
    <w:pPr>
      <w:keepNext/>
      <w:spacing w:after="0" w:line="240" w:lineRule="auto"/>
      <w:ind w:left="215" w:hanging="215"/>
      <w:jc w:val="both"/>
      <w:outlineLvl w:val="5"/>
    </w:pPr>
    <w:rPr>
      <w:rFonts w:ascii="Arial" w:eastAsia="Arial" w:hAnsi="Arial" w:cs="Arial"/>
      <w:b/>
      <w:bCs/>
      <w:sz w:val="16"/>
      <w:szCs w:val="16"/>
      <w:lang w:eastAsia="sk-SK" w:bidi="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13B0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99"/>
    <w:rsid w:val="00813B05"/>
    <w:pPr>
      <w:spacing w:before="240" w:after="120" w:line="240" w:lineRule="auto"/>
      <w:jc w:val="center"/>
    </w:pPr>
    <w:rPr>
      <w:rFonts w:ascii="Times New Roman" w:eastAsia="Times New Roman" w:hAnsi="Times New Roman" w:cs="Times New Roman"/>
      <w:b/>
      <w:bCs/>
      <w:sz w:val="24"/>
      <w:szCs w:val="24"/>
      <w:lang w:eastAsia="sk-SK"/>
    </w:rPr>
  </w:style>
  <w:style w:type="paragraph" w:customStyle="1" w:styleId="Normlny1">
    <w:name w:val="Normálny1"/>
    <w:basedOn w:val="Normlny"/>
    <w:uiPriority w:val="99"/>
    <w:rsid w:val="002941B0"/>
    <w:pPr>
      <w:spacing w:before="120" w:after="0" w:line="240" w:lineRule="auto"/>
      <w:jc w:val="both"/>
    </w:pPr>
    <w:rPr>
      <w:rFonts w:ascii="Times New Roman" w:eastAsia="Times New Roman" w:hAnsi="Times New Roman" w:cs="Times New Roman"/>
      <w:sz w:val="24"/>
      <w:szCs w:val="24"/>
      <w:lang w:eastAsia="sk-SK"/>
    </w:rPr>
  </w:style>
  <w:style w:type="character" w:customStyle="1" w:styleId="sub">
    <w:name w:val="sub"/>
    <w:basedOn w:val="Predvolenpsmoodseku"/>
    <w:uiPriority w:val="99"/>
    <w:rsid w:val="002941B0"/>
    <w:rPr>
      <w:sz w:val="17"/>
      <w:szCs w:val="17"/>
      <w:vertAlign w:val="subscript"/>
    </w:rPr>
  </w:style>
  <w:style w:type="character" w:customStyle="1" w:styleId="super">
    <w:name w:val="super"/>
    <w:basedOn w:val="Predvolenpsmoodseku"/>
    <w:uiPriority w:val="99"/>
    <w:rsid w:val="002941B0"/>
    <w:rPr>
      <w:sz w:val="17"/>
      <w:szCs w:val="17"/>
      <w:vertAlign w:val="superscript"/>
    </w:rPr>
  </w:style>
  <w:style w:type="character" w:styleId="Hypertextovprepojenie">
    <w:name w:val="Hyperlink"/>
    <w:basedOn w:val="Predvolenpsmoodseku"/>
    <w:uiPriority w:val="99"/>
    <w:semiHidden/>
    <w:rsid w:val="002941B0"/>
    <w:rPr>
      <w:color w:val="0000FF"/>
      <w:u w:val="single"/>
    </w:rPr>
  </w:style>
  <w:style w:type="character" w:customStyle="1" w:styleId="italic">
    <w:name w:val="italic"/>
    <w:basedOn w:val="Predvolenpsmoodseku"/>
    <w:uiPriority w:val="99"/>
    <w:rsid w:val="00F56A63"/>
    <w:rPr>
      <w:i/>
      <w:iCs/>
    </w:rPr>
  </w:style>
  <w:style w:type="paragraph" w:customStyle="1" w:styleId="signatory">
    <w:name w:val="signatory"/>
    <w:basedOn w:val="Normlny"/>
    <w:uiPriority w:val="99"/>
    <w:rsid w:val="00574B4B"/>
    <w:pPr>
      <w:spacing w:before="60" w:after="60" w:line="240" w:lineRule="auto"/>
      <w:jc w:val="center"/>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rsid w:val="00AC6F8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C6F84"/>
    <w:rPr>
      <w:rFonts w:ascii="Tahoma" w:hAnsi="Tahoma" w:cs="Tahoma"/>
      <w:sz w:val="16"/>
      <w:szCs w:val="16"/>
    </w:rPr>
  </w:style>
  <w:style w:type="character" w:styleId="Siln">
    <w:name w:val="Strong"/>
    <w:basedOn w:val="Predvolenpsmoodseku"/>
    <w:uiPriority w:val="99"/>
    <w:qFormat/>
    <w:rsid w:val="00892ABA"/>
    <w:rPr>
      <w:b/>
      <w:bCs/>
    </w:rPr>
  </w:style>
  <w:style w:type="paragraph" w:styleId="Odsekzoznamu">
    <w:name w:val="List Paragraph"/>
    <w:basedOn w:val="Normlny"/>
    <w:link w:val="OdsekzoznamuChar"/>
    <w:uiPriority w:val="34"/>
    <w:qFormat/>
    <w:rsid w:val="00892ABA"/>
    <w:pPr>
      <w:keepNext/>
      <w:spacing w:before="60" w:after="60" w:line="240" w:lineRule="auto"/>
      <w:ind w:left="720"/>
      <w:jc w:val="both"/>
    </w:pPr>
    <w:rPr>
      <w:rFonts w:ascii="Times New Roman" w:eastAsia="Times New Roman" w:hAnsi="Times New Roman" w:cs="Times New Roman"/>
      <w:sz w:val="24"/>
      <w:szCs w:val="24"/>
    </w:rPr>
  </w:style>
  <w:style w:type="paragraph" w:customStyle="1" w:styleId="Odsekzoznamu1">
    <w:name w:val="Odsek zoznamu1"/>
    <w:basedOn w:val="Normlny"/>
    <w:rsid w:val="009270ED"/>
    <w:pPr>
      <w:spacing w:after="0" w:line="240" w:lineRule="auto"/>
      <w:ind w:left="708"/>
      <w:jc w:val="both"/>
    </w:pPr>
    <w:rPr>
      <w:rFonts w:ascii="Times New Roman" w:hAnsi="Times New Roman" w:cs="Times New Roman"/>
      <w:sz w:val="24"/>
      <w:szCs w:val="24"/>
    </w:rPr>
  </w:style>
  <w:style w:type="paragraph" w:customStyle="1" w:styleId="Default">
    <w:name w:val="Default"/>
    <w:qFormat/>
    <w:rsid w:val="00BA0058"/>
    <w:pPr>
      <w:autoSpaceDE w:val="0"/>
      <w:autoSpaceDN w:val="0"/>
      <w:adjustRightInd w:val="0"/>
    </w:pPr>
    <w:rPr>
      <w:rFonts w:ascii="Times New Roman" w:eastAsia="Times New Roman" w:hAnsi="Times New Roman"/>
      <w:color w:val="000000"/>
      <w:sz w:val="24"/>
      <w:szCs w:val="24"/>
    </w:rPr>
  </w:style>
  <w:style w:type="paragraph" w:customStyle="1" w:styleId="Normln">
    <w:name w:val="Norm‡ln’"/>
    <w:link w:val="NormlnChar"/>
    <w:rsid w:val="00137B61"/>
    <w:rPr>
      <w:rFonts w:ascii="Times New Roman" w:eastAsia="Times New Roman" w:hAnsi="Times New Roman"/>
      <w:szCs w:val="20"/>
      <w:lang w:val="cs-CZ"/>
    </w:rPr>
  </w:style>
  <w:style w:type="character" w:customStyle="1" w:styleId="NormlnChar">
    <w:name w:val="Norm‡ln’ Char"/>
    <w:link w:val="Normln"/>
    <w:locked/>
    <w:rsid w:val="00137B61"/>
    <w:rPr>
      <w:rFonts w:ascii="Times New Roman" w:eastAsia="Times New Roman" w:hAnsi="Times New Roman"/>
      <w:szCs w:val="20"/>
      <w:lang w:val="cs-CZ"/>
    </w:rPr>
  </w:style>
  <w:style w:type="character" w:customStyle="1" w:styleId="OdsekzoznamuChar">
    <w:name w:val="Odsek zoznamu Char"/>
    <w:basedOn w:val="Predvolenpsmoodseku"/>
    <w:link w:val="Odsekzoznamu"/>
    <w:uiPriority w:val="34"/>
    <w:qFormat/>
    <w:rsid w:val="0098502A"/>
    <w:rPr>
      <w:rFonts w:ascii="Times New Roman" w:eastAsia="Times New Roman" w:hAnsi="Times New Roman"/>
      <w:sz w:val="24"/>
      <w:szCs w:val="24"/>
      <w:lang w:eastAsia="en-US"/>
    </w:rPr>
  </w:style>
  <w:style w:type="paragraph" w:customStyle="1" w:styleId="odsek">
    <w:name w:val="odsek"/>
    <w:basedOn w:val="Odsekzoznamu"/>
    <w:qFormat/>
    <w:rsid w:val="00CB75B1"/>
    <w:pPr>
      <w:keepNext w:val="0"/>
      <w:numPr>
        <w:ilvl w:val="1"/>
        <w:numId w:val="3"/>
      </w:numPr>
      <w:spacing w:before="0" w:after="120" w:line="276" w:lineRule="auto"/>
      <w:jc w:val="left"/>
    </w:pPr>
    <w:rPr>
      <w:color w:val="CC00CC"/>
      <w:lang w:eastAsia="sk-SK"/>
    </w:rPr>
  </w:style>
  <w:style w:type="character" w:styleId="Odkaznapoznmkupodiarou">
    <w:name w:val="footnote reference"/>
    <w:uiPriority w:val="99"/>
    <w:unhideWhenUsed/>
    <w:qFormat/>
    <w:rsid w:val="00B46C2A"/>
    <w:rPr>
      <w:vertAlign w:val="superscript"/>
    </w:rPr>
  </w:style>
  <w:style w:type="paragraph" w:styleId="Textpoznmkypodiarou">
    <w:name w:val="footnote text"/>
    <w:basedOn w:val="Normlny"/>
    <w:link w:val="TextpoznmkypodiarouChar"/>
    <w:uiPriority w:val="99"/>
    <w:qFormat/>
    <w:rsid w:val="00B46C2A"/>
    <w:pPr>
      <w:spacing w:after="120"/>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qFormat/>
    <w:rsid w:val="00B46C2A"/>
    <w:rPr>
      <w:rFonts w:ascii="Times New Roman" w:eastAsia="Times New Roman" w:hAnsi="Times New Roman"/>
      <w:sz w:val="20"/>
      <w:szCs w:val="20"/>
    </w:rPr>
  </w:style>
  <w:style w:type="paragraph" w:customStyle="1" w:styleId="Textpsmene">
    <w:name w:val="Text písmene"/>
    <w:basedOn w:val="Normlny"/>
    <w:qFormat/>
    <w:rsid w:val="00D43C7D"/>
    <w:pPr>
      <w:spacing w:after="120"/>
    </w:pPr>
    <w:rPr>
      <w:rFonts w:ascii="Times New Roman" w:eastAsia="Times New Roman" w:hAnsi="Times New Roman" w:cs="Times New Roman"/>
      <w:sz w:val="20"/>
      <w:szCs w:val="20"/>
      <w:lang w:val="cs-CZ" w:eastAsia="sk-SK"/>
    </w:rPr>
  </w:style>
  <w:style w:type="paragraph" w:styleId="Normlnywebov">
    <w:name w:val="Normal (Web)"/>
    <w:basedOn w:val="Normlny"/>
    <w:uiPriority w:val="99"/>
    <w:unhideWhenUsed/>
    <w:qFormat/>
    <w:rsid w:val="006B05E9"/>
    <w:pPr>
      <w:spacing w:after="120"/>
    </w:pPr>
    <w:rPr>
      <w:rFonts w:ascii="Times New Roman" w:eastAsiaTheme="minorHAnsi" w:hAnsi="Times New Roman" w:cs="Times New Roman"/>
      <w:sz w:val="24"/>
      <w:szCs w:val="24"/>
      <w:lang w:eastAsia="sk-SK"/>
    </w:rPr>
  </w:style>
  <w:style w:type="paragraph" w:customStyle="1" w:styleId="tl3">
    <w:name w:val="Štýl3"/>
    <w:basedOn w:val="Odsekzoznamu"/>
    <w:link w:val="tl3Char"/>
    <w:qFormat/>
    <w:rsid w:val="008177DC"/>
    <w:pPr>
      <w:keepNext w:val="0"/>
      <w:numPr>
        <w:numId w:val="5"/>
      </w:numPr>
      <w:spacing w:before="0" w:after="120" w:line="276" w:lineRule="auto"/>
      <w:contextualSpacing/>
      <w:jc w:val="left"/>
    </w:pPr>
    <w:rPr>
      <w:color w:val="0070C0"/>
      <w:lang w:eastAsia="sk-SK"/>
    </w:rPr>
  </w:style>
  <w:style w:type="character" w:customStyle="1" w:styleId="tl3Char">
    <w:name w:val="Štýl3 Char"/>
    <w:basedOn w:val="OdsekzoznamuChar"/>
    <w:link w:val="tl3"/>
    <w:qFormat/>
    <w:rsid w:val="008177DC"/>
    <w:rPr>
      <w:rFonts w:ascii="Times New Roman" w:eastAsia="Times New Roman" w:hAnsi="Times New Roman"/>
      <w:color w:val="0070C0"/>
      <w:sz w:val="24"/>
      <w:szCs w:val="24"/>
      <w:lang w:eastAsia="en-US"/>
    </w:rPr>
  </w:style>
  <w:style w:type="character" w:styleId="Odkaznakomentr">
    <w:name w:val="annotation reference"/>
    <w:basedOn w:val="Predvolenpsmoodseku"/>
    <w:uiPriority w:val="99"/>
    <w:unhideWhenUsed/>
    <w:qFormat/>
    <w:rsid w:val="00824651"/>
    <w:rPr>
      <w:sz w:val="16"/>
      <w:szCs w:val="16"/>
    </w:rPr>
  </w:style>
  <w:style w:type="paragraph" w:styleId="Textkomentra">
    <w:name w:val="annotation text"/>
    <w:basedOn w:val="Normlny"/>
    <w:link w:val="TextkomentraChar"/>
    <w:uiPriority w:val="99"/>
    <w:unhideWhenUsed/>
    <w:qFormat/>
    <w:rsid w:val="00824651"/>
    <w:pPr>
      <w:spacing w:line="240" w:lineRule="auto"/>
    </w:pPr>
    <w:rPr>
      <w:sz w:val="20"/>
      <w:szCs w:val="20"/>
    </w:rPr>
  </w:style>
  <w:style w:type="character" w:customStyle="1" w:styleId="TextkomentraChar">
    <w:name w:val="Text komentára Char"/>
    <w:basedOn w:val="Predvolenpsmoodseku"/>
    <w:link w:val="Textkomentra"/>
    <w:uiPriority w:val="99"/>
    <w:qFormat/>
    <w:rsid w:val="00824651"/>
    <w:rPr>
      <w:rFonts w:cs="Calibri"/>
      <w:sz w:val="20"/>
      <w:szCs w:val="20"/>
      <w:lang w:eastAsia="en-US"/>
    </w:rPr>
  </w:style>
  <w:style w:type="paragraph" w:customStyle="1" w:styleId="Odstavec">
    <w:name w:val="Odstavec"/>
    <w:basedOn w:val="Normlny"/>
    <w:qFormat/>
    <w:rsid w:val="00166D22"/>
    <w:pPr>
      <w:spacing w:before="180" w:after="0" w:line="240" w:lineRule="auto"/>
      <w:jc w:val="both"/>
    </w:pPr>
    <w:rPr>
      <w:rFonts w:ascii="Times New Roman" w:eastAsia="Times New Roman" w:hAnsi="Times New Roman" w:cs="Times New Roman"/>
      <w:sz w:val="20"/>
      <w:szCs w:val="20"/>
      <w:lang w:eastAsia="sk-SK" w:bidi="en-US"/>
    </w:rPr>
  </w:style>
  <w:style w:type="paragraph" w:styleId="Bezriadkovania">
    <w:name w:val="No Spacing"/>
    <w:uiPriority w:val="1"/>
    <w:qFormat/>
    <w:rsid w:val="00166D22"/>
    <w:rPr>
      <w:rFonts w:ascii="Times New Roman" w:eastAsia="Times New Roman" w:hAnsi="Times New Roman"/>
      <w:sz w:val="20"/>
      <w:szCs w:val="20"/>
      <w:lang w:val="cs-CZ" w:bidi="sk-SK"/>
    </w:rPr>
  </w:style>
  <w:style w:type="character" w:customStyle="1" w:styleId="Nadpis6Char">
    <w:name w:val="Nadpis 6 Char"/>
    <w:basedOn w:val="Predvolenpsmoodseku"/>
    <w:link w:val="Nadpis6"/>
    <w:rsid w:val="006137DE"/>
    <w:rPr>
      <w:rFonts w:ascii="Arial" w:eastAsia="Arial" w:hAnsi="Arial" w:cs="Arial"/>
      <w:b/>
      <w:bCs/>
      <w:sz w:val="16"/>
      <w:szCs w:val="16"/>
      <w:lang w:bidi="cs-CZ"/>
    </w:rPr>
  </w:style>
  <w:style w:type="paragraph" w:customStyle="1" w:styleId="BodyText21">
    <w:name w:val="Body Text 21"/>
    <w:basedOn w:val="Normlny"/>
    <w:qFormat/>
    <w:rsid w:val="006137DE"/>
    <w:pPr>
      <w:spacing w:before="120" w:after="0" w:line="240" w:lineRule="atLeast"/>
      <w:ind w:left="215" w:hanging="215"/>
      <w:jc w:val="both"/>
    </w:pPr>
    <w:rPr>
      <w:rFonts w:ascii="Arial" w:eastAsia="Arial" w:hAnsi="Arial" w:cs="Arial"/>
      <w:sz w:val="20"/>
      <w:szCs w:val="20"/>
      <w:lang w:eastAsia="sk-SK" w:bidi="cs-CZ"/>
    </w:rPr>
  </w:style>
  <w:style w:type="paragraph" w:customStyle="1" w:styleId="tl1">
    <w:name w:val="Štýl1"/>
    <w:basedOn w:val="Odsekzoznamu"/>
    <w:link w:val="tl1Char"/>
    <w:qFormat/>
    <w:rsid w:val="00464474"/>
    <w:pPr>
      <w:keepNext w:val="0"/>
      <w:numPr>
        <w:numId w:val="27"/>
      </w:numPr>
      <w:shd w:val="clear" w:color="auto" w:fill="B8CCE4" w:themeFill="accent1" w:themeFillTint="66"/>
      <w:spacing w:before="0" w:after="120" w:line="264" w:lineRule="auto"/>
      <w:contextualSpacing/>
      <w:jc w:val="left"/>
    </w:pPr>
    <w:rPr>
      <w:color w:val="E36C0A" w:themeColor="accent6" w:themeShade="BF"/>
    </w:rPr>
  </w:style>
  <w:style w:type="character" w:customStyle="1" w:styleId="tl1Char">
    <w:name w:val="Štýl1 Char"/>
    <w:basedOn w:val="OdsekzoznamuChar"/>
    <w:link w:val="tl1"/>
    <w:qFormat/>
    <w:rsid w:val="00464474"/>
    <w:rPr>
      <w:rFonts w:ascii="Times New Roman" w:eastAsia="Times New Roman" w:hAnsi="Times New Roman"/>
      <w:color w:val="E36C0A" w:themeColor="accent6" w:themeShade="BF"/>
      <w:sz w:val="24"/>
      <w:szCs w:val="24"/>
      <w:shd w:val="clear" w:color="auto" w:fill="B8CCE4" w:themeFill="accent1" w:themeFillTint="66"/>
      <w:lang w:eastAsia="en-US"/>
    </w:rPr>
  </w:style>
  <w:style w:type="paragraph" w:styleId="Predmetkomentra">
    <w:name w:val="annotation subject"/>
    <w:basedOn w:val="Textkomentra"/>
    <w:next w:val="Textkomentra"/>
    <w:link w:val="PredmetkomentraChar"/>
    <w:uiPriority w:val="99"/>
    <w:semiHidden/>
    <w:unhideWhenUsed/>
    <w:rsid w:val="00850D24"/>
    <w:rPr>
      <w:b/>
      <w:bCs/>
    </w:rPr>
  </w:style>
  <w:style w:type="character" w:customStyle="1" w:styleId="PredmetkomentraChar">
    <w:name w:val="Predmet komentára Char"/>
    <w:basedOn w:val="TextkomentraChar"/>
    <w:link w:val="Predmetkomentra"/>
    <w:uiPriority w:val="99"/>
    <w:semiHidden/>
    <w:rsid w:val="00850D24"/>
    <w:rPr>
      <w:rFonts w:cs="Calibri"/>
      <w:b/>
      <w:bCs/>
      <w:sz w:val="20"/>
      <w:szCs w:val="20"/>
      <w:lang w:eastAsia="en-US"/>
    </w:rPr>
  </w:style>
  <w:style w:type="character" w:customStyle="1" w:styleId="Nadpis2Char">
    <w:name w:val="Nadpis 2 Char"/>
    <w:basedOn w:val="Predvolenpsmoodseku"/>
    <w:link w:val="Nadpis2"/>
    <w:semiHidden/>
    <w:rsid w:val="00D0213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4326">
      <w:bodyDiv w:val="1"/>
      <w:marLeft w:val="0"/>
      <w:marRight w:val="0"/>
      <w:marTop w:val="0"/>
      <w:marBottom w:val="0"/>
      <w:divBdr>
        <w:top w:val="none" w:sz="0" w:space="0" w:color="auto"/>
        <w:left w:val="none" w:sz="0" w:space="0" w:color="auto"/>
        <w:bottom w:val="none" w:sz="0" w:space="0" w:color="auto"/>
        <w:right w:val="none" w:sz="0" w:space="0" w:color="auto"/>
      </w:divBdr>
    </w:div>
    <w:div w:id="63723163">
      <w:bodyDiv w:val="1"/>
      <w:marLeft w:val="0"/>
      <w:marRight w:val="0"/>
      <w:marTop w:val="0"/>
      <w:marBottom w:val="0"/>
      <w:divBdr>
        <w:top w:val="none" w:sz="0" w:space="0" w:color="auto"/>
        <w:left w:val="none" w:sz="0" w:space="0" w:color="auto"/>
        <w:bottom w:val="none" w:sz="0" w:space="0" w:color="auto"/>
        <w:right w:val="none" w:sz="0" w:space="0" w:color="auto"/>
      </w:divBdr>
    </w:div>
    <w:div w:id="235480972">
      <w:bodyDiv w:val="1"/>
      <w:marLeft w:val="0"/>
      <w:marRight w:val="0"/>
      <w:marTop w:val="0"/>
      <w:marBottom w:val="0"/>
      <w:divBdr>
        <w:top w:val="none" w:sz="0" w:space="0" w:color="auto"/>
        <w:left w:val="none" w:sz="0" w:space="0" w:color="auto"/>
        <w:bottom w:val="none" w:sz="0" w:space="0" w:color="auto"/>
        <w:right w:val="none" w:sz="0" w:space="0" w:color="auto"/>
      </w:divBdr>
    </w:div>
    <w:div w:id="506675167">
      <w:bodyDiv w:val="1"/>
      <w:marLeft w:val="0"/>
      <w:marRight w:val="0"/>
      <w:marTop w:val="0"/>
      <w:marBottom w:val="0"/>
      <w:divBdr>
        <w:top w:val="none" w:sz="0" w:space="0" w:color="auto"/>
        <w:left w:val="none" w:sz="0" w:space="0" w:color="auto"/>
        <w:bottom w:val="none" w:sz="0" w:space="0" w:color="auto"/>
        <w:right w:val="none" w:sz="0" w:space="0" w:color="auto"/>
      </w:divBdr>
    </w:div>
    <w:div w:id="667831346">
      <w:bodyDiv w:val="1"/>
      <w:marLeft w:val="0"/>
      <w:marRight w:val="0"/>
      <w:marTop w:val="0"/>
      <w:marBottom w:val="0"/>
      <w:divBdr>
        <w:top w:val="none" w:sz="0" w:space="0" w:color="auto"/>
        <w:left w:val="none" w:sz="0" w:space="0" w:color="auto"/>
        <w:bottom w:val="none" w:sz="0" w:space="0" w:color="auto"/>
        <w:right w:val="none" w:sz="0" w:space="0" w:color="auto"/>
      </w:divBdr>
    </w:div>
    <w:div w:id="825586335">
      <w:bodyDiv w:val="1"/>
      <w:marLeft w:val="0"/>
      <w:marRight w:val="0"/>
      <w:marTop w:val="0"/>
      <w:marBottom w:val="0"/>
      <w:divBdr>
        <w:top w:val="none" w:sz="0" w:space="0" w:color="auto"/>
        <w:left w:val="none" w:sz="0" w:space="0" w:color="auto"/>
        <w:bottom w:val="none" w:sz="0" w:space="0" w:color="auto"/>
        <w:right w:val="none" w:sz="0" w:space="0" w:color="auto"/>
      </w:divBdr>
    </w:div>
    <w:div w:id="858587820">
      <w:bodyDiv w:val="1"/>
      <w:marLeft w:val="0"/>
      <w:marRight w:val="0"/>
      <w:marTop w:val="0"/>
      <w:marBottom w:val="0"/>
      <w:divBdr>
        <w:top w:val="none" w:sz="0" w:space="0" w:color="auto"/>
        <w:left w:val="none" w:sz="0" w:space="0" w:color="auto"/>
        <w:bottom w:val="none" w:sz="0" w:space="0" w:color="auto"/>
        <w:right w:val="none" w:sz="0" w:space="0" w:color="auto"/>
      </w:divBdr>
    </w:div>
    <w:div w:id="877623438">
      <w:bodyDiv w:val="1"/>
      <w:marLeft w:val="0"/>
      <w:marRight w:val="0"/>
      <w:marTop w:val="0"/>
      <w:marBottom w:val="0"/>
      <w:divBdr>
        <w:top w:val="none" w:sz="0" w:space="0" w:color="auto"/>
        <w:left w:val="none" w:sz="0" w:space="0" w:color="auto"/>
        <w:bottom w:val="none" w:sz="0" w:space="0" w:color="auto"/>
        <w:right w:val="none" w:sz="0" w:space="0" w:color="auto"/>
      </w:divBdr>
    </w:div>
    <w:div w:id="882981340">
      <w:bodyDiv w:val="1"/>
      <w:marLeft w:val="0"/>
      <w:marRight w:val="0"/>
      <w:marTop w:val="0"/>
      <w:marBottom w:val="0"/>
      <w:divBdr>
        <w:top w:val="none" w:sz="0" w:space="0" w:color="auto"/>
        <w:left w:val="none" w:sz="0" w:space="0" w:color="auto"/>
        <w:bottom w:val="none" w:sz="0" w:space="0" w:color="auto"/>
        <w:right w:val="none" w:sz="0" w:space="0" w:color="auto"/>
      </w:divBdr>
    </w:div>
    <w:div w:id="893002222">
      <w:bodyDiv w:val="1"/>
      <w:marLeft w:val="0"/>
      <w:marRight w:val="0"/>
      <w:marTop w:val="0"/>
      <w:marBottom w:val="0"/>
      <w:divBdr>
        <w:top w:val="none" w:sz="0" w:space="0" w:color="auto"/>
        <w:left w:val="none" w:sz="0" w:space="0" w:color="auto"/>
        <w:bottom w:val="none" w:sz="0" w:space="0" w:color="auto"/>
        <w:right w:val="none" w:sz="0" w:space="0" w:color="auto"/>
      </w:divBdr>
    </w:div>
    <w:div w:id="954480790">
      <w:bodyDiv w:val="1"/>
      <w:marLeft w:val="0"/>
      <w:marRight w:val="0"/>
      <w:marTop w:val="0"/>
      <w:marBottom w:val="0"/>
      <w:divBdr>
        <w:top w:val="none" w:sz="0" w:space="0" w:color="auto"/>
        <w:left w:val="none" w:sz="0" w:space="0" w:color="auto"/>
        <w:bottom w:val="none" w:sz="0" w:space="0" w:color="auto"/>
        <w:right w:val="none" w:sz="0" w:space="0" w:color="auto"/>
      </w:divBdr>
    </w:div>
    <w:div w:id="1011106421">
      <w:bodyDiv w:val="1"/>
      <w:marLeft w:val="0"/>
      <w:marRight w:val="0"/>
      <w:marTop w:val="0"/>
      <w:marBottom w:val="0"/>
      <w:divBdr>
        <w:top w:val="none" w:sz="0" w:space="0" w:color="auto"/>
        <w:left w:val="none" w:sz="0" w:space="0" w:color="auto"/>
        <w:bottom w:val="none" w:sz="0" w:space="0" w:color="auto"/>
        <w:right w:val="none" w:sz="0" w:space="0" w:color="auto"/>
      </w:divBdr>
    </w:div>
    <w:div w:id="1220894862">
      <w:bodyDiv w:val="1"/>
      <w:marLeft w:val="0"/>
      <w:marRight w:val="0"/>
      <w:marTop w:val="0"/>
      <w:marBottom w:val="0"/>
      <w:divBdr>
        <w:top w:val="none" w:sz="0" w:space="0" w:color="auto"/>
        <w:left w:val="none" w:sz="0" w:space="0" w:color="auto"/>
        <w:bottom w:val="none" w:sz="0" w:space="0" w:color="auto"/>
        <w:right w:val="none" w:sz="0" w:space="0" w:color="auto"/>
      </w:divBdr>
    </w:div>
    <w:div w:id="1303854258">
      <w:bodyDiv w:val="1"/>
      <w:marLeft w:val="0"/>
      <w:marRight w:val="0"/>
      <w:marTop w:val="0"/>
      <w:marBottom w:val="0"/>
      <w:divBdr>
        <w:top w:val="none" w:sz="0" w:space="0" w:color="auto"/>
        <w:left w:val="none" w:sz="0" w:space="0" w:color="auto"/>
        <w:bottom w:val="none" w:sz="0" w:space="0" w:color="auto"/>
        <w:right w:val="none" w:sz="0" w:space="0" w:color="auto"/>
      </w:divBdr>
    </w:div>
    <w:div w:id="1304696741">
      <w:bodyDiv w:val="1"/>
      <w:marLeft w:val="0"/>
      <w:marRight w:val="0"/>
      <w:marTop w:val="0"/>
      <w:marBottom w:val="0"/>
      <w:divBdr>
        <w:top w:val="none" w:sz="0" w:space="0" w:color="auto"/>
        <w:left w:val="none" w:sz="0" w:space="0" w:color="auto"/>
        <w:bottom w:val="none" w:sz="0" w:space="0" w:color="auto"/>
        <w:right w:val="none" w:sz="0" w:space="0" w:color="auto"/>
      </w:divBdr>
    </w:div>
    <w:div w:id="1341391807">
      <w:bodyDiv w:val="1"/>
      <w:marLeft w:val="0"/>
      <w:marRight w:val="0"/>
      <w:marTop w:val="0"/>
      <w:marBottom w:val="0"/>
      <w:divBdr>
        <w:top w:val="none" w:sz="0" w:space="0" w:color="auto"/>
        <w:left w:val="none" w:sz="0" w:space="0" w:color="auto"/>
        <w:bottom w:val="none" w:sz="0" w:space="0" w:color="auto"/>
        <w:right w:val="none" w:sz="0" w:space="0" w:color="auto"/>
      </w:divBdr>
    </w:div>
    <w:div w:id="1409690795">
      <w:bodyDiv w:val="1"/>
      <w:marLeft w:val="0"/>
      <w:marRight w:val="0"/>
      <w:marTop w:val="0"/>
      <w:marBottom w:val="0"/>
      <w:divBdr>
        <w:top w:val="none" w:sz="0" w:space="0" w:color="auto"/>
        <w:left w:val="none" w:sz="0" w:space="0" w:color="auto"/>
        <w:bottom w:val="none" w:sz="0" w:space="0" w:color="auto"/>
        <w:right w:val="none" w:sz="0" w:space="0" w:color="auto"/>
      </w:divBdr>
    </w:div>
    <w:div w:id="1448893177">
      <w:bodyDiv w:val="1"/>
      <w:marLeft w:val="0"/>
      <w:marRight w:val="0"/>
      <w:marTop w:val="0"/>
      <w:marBottom w:val="0"/>
      <w:divBdr>
        <w:top w:val="none" w:sz="0" w:space="0" w:color="auto"/>
        <w:left w:val="none" w:sz="0" w:space="0" w:color="auto"/>
        <w:bottom w:val="none" w:sz="0" w:space="0" w:color="auto"/>
        <w:right w:val="none" w:sz="0" w:space="0" w:color="auto"/>
      </w:divBdr>
    </w:div>
    <w:div w:id="1528063735">
      <w:bodyDiv w:val="1"/>
      <w:marLeft w:val="0"/>
      <w:marRight w:val="0"/>
      <w:marTop w:val="0"/>
      <w:marBottom w:val="0"/>
      <w:divBdr>
        <w:top w:val="none" w:sz="0" w:space="0" w:color="auto"/>
        <w:left w:val="none" w:sz="0" w:space="0" w:color="auto"/>
        <w:bottom w:val="none" w:sz="0" w:space="0" w:color="auto"/>
        <w:right w:val="none" w:sz="0" w:space="0" w:color="auto"/>
      </w:divBdr>
    </w:div>
    <w:div w:id="1618831545">
      <w:bodyDiv w:val="1"/>
      <w:marLeft w:val="0"/>
      <w:marRight w:val="0"/>
      <w:marTop w:val="0"/>
      <w:marBottom w:val="0"/>
      <w:divBdr>
        <w:top w:val="none" w:sz="0" w:space="0" w:color="auto"/>
        <w:left w:val="none" w:sz="0" w:space="0" w:color="auto"/>
        <w:bottom w:val="none" w:sz="0" w:space="0" w:color="auto"/>
        <w:right w:val="none" w:sz="0" w:space="0" w:color="auto"/>
      </w:divBdr>
    </w:div>
    <w:div w:id="1637372786">
      <w:bodyDiv w:val="1"/>
      <w:marLeft w:val="0"/>
      <w:marRight w:val="0"/>
      <w:marTop w:val="0"/>
      <w:marBottom w:val="0"/>
      <w:divBdr>
        <w:top w:val="none" w:sz="0" w:space="0" w:color="auto"/>
        <w:left w:val="none" w:sz="0" w:space="0" w:color="auto"/>
        <w:bottom w:val="none" w:sz="0" w:space="0" w:color="auto"/>
        <w:right w:val="none" w:sz="0" w:space="0" w:color="auto"/>
      </w:divBdr>
    </w:div>
    <w:div w:id="1658731143">
      <w:bodyDiv w:val="1"/>
      <w:marLeft w:val="0"/>
      <w:marRight w:val="0"/>
      <w:marTop w:val="0"/>
      <w:marBottom w:val="0"/>
      <w:divBdr>
        <w:top w:val="none" w:sz="0" w:space="0" w:color="auto"/>
        <w:left w:val="none" w:sz="0" w:space="0" w:color="auto"/>
        <w:bottom w:val="none" w:sz="0" w:space="0" w:color="auto"/>
        <w:right w:val="none" w:sz="0" w:space="0" w:color="auto"/>
      </w:divBdr>
    </w:div>
    <w:div w:id="1708143048">
      <w:bodyDiv w:val="1"/>
      <w:marLeft w:val="0"/>
      <w:marRight w:val="0"/>
      <w:marTop w:val="0"/>
      <w:marBottom w:val="0"/>
      <w:divBdr>
        <w:top w:val="none" w:sz="0" w:space="0" w:color="auto"/>
        <w:left w:val="none" w:sz="0" w:space="0" w:color="auto"/>
        <w:bottom w:val="none" w:sz="0" w:space="0" w:color="auto"/>
        <w:right w:val="none" w:sz="0" w:space="0" w:color="auto"/>
      </w:divBdr>
    </w:div>
    <w:div w:id="1775591752">
      <w:bodyDiv w:val="1"/>
      <w:marLeft w:val="0"/>
      <w:marRight w:val="0"/>
      <w:marTop w:val="0"/>
      <w:marBottom w:val="0"/>
      <w:divBdr>
        <w:top w:val="none" w:sz="0" w:space="0" w:color="auto"/>
        <w:left w:val="none" w:sz="0" w:space="0" w:color="auto"/>
        <w:bottom w:val="none" w:sz="0" w:space="0" w:color="auto"/>
        <w:right w:val="none" w:sz="0" w:space="0" w:color="auto"/>
      </w:divBdr>
    </w:div>
    <w:div w:id="1793746946">
      <w:bodyDiv w:val="1"/>
      <w:marLeft w:val="0"/>
      <w:marRight w:val="0"/>
      <w:marTop w:val="0"/>
      <w:marBottom w:val="0"/>
      <w:divBdr>
        <w:top w:val="none" w:sz="0" w:space="0" w:color="auto"/>
        <w:left w:val="none" w:sz="0" w:space="0" w:color="auto"/>
        <w:bottom w:val="none" w:sz="0" w:space="0" w:color="auto"/>
        <w:right w:val="none" w:sz="0" w:space="0" w:color="auto"/>
      </w:divBdr>
    </w:div>
    <w:div w:id="1814522021">
      <w:bodyDiv w:val="1"/>
      <w:marLeft w:val="0"/>
      <w:marRight w:val="0"/>
      <w:marTop w:val="0"/>
      <w:marBottom w:val="0"/>
      <w:divBdr>
        <w:top w:val="none" w:sz="0" w:space="0" w:color="auto"/>
        <w:left w:val="none" w:sz="0" w:space="0" w:color="auto"/>
        <w:bottom w:val="none" w:sz="0" w:space="0" w:color="auto"/>
        <w:right w:val="none" w:sz="0" w:space="0" w:color="auto"/>
      </w:divBdr>
    </w:div>
    <w:div w:id="1847673262">
      <w:bodyDiv w:val="1"/>
      <w:marLeft w:val="0"/>
      <w:marRight w:val="0"/>
      <w:marTop w:val="0"/>
      <w:marBottom w:val="0"/>
      <w:divBdr>
        <w:top w:val="none" w:sz="0" w:space="0" w:color="auto"/>
        <w:left w:val="none" w:sz="0" w:space="0" w:color="auto"/>
        <w:bottom w:val="none" w:sz="0" w:space="0" w:color="auto"/>
        <w:right w:val="none" w:sz="0" w:space="0" w:color="auto"/>
      </w:divBdr>
    </w:div>
    <w:div w:id="1890844828">
      <w:bodyDiv w:val="1"/>
      <w:marLeft w:val="0"/>
      <w:marRight w:val="0"/>
      <w:marTop w:val="0"/>
      <w:marBottom w:val="0"/>
      <w:divBdr>
        <w:top w:val="none" w:sz="0" w:space="0" w:color="auto"/>
        <w:left w:val="none" w:sz="0" w:space="0" w:color="auto"/>
        <w:bottom w:val="none" w:sz="0" w:space="0" w:color="auto"/>
        <w:right w:val="none" w:sz="0" w:space="0" w:color="auto"/>
      </w:divBdr>
    </w:div>
    <w:div w:id="1921939296">
      <w:bodyDiv w:val="1"/>
      <w:marLeft w:val="0"/>
      <w:marRight w:val="0"/>
      <w:marTop w:val="0"/>
      <w:marBottom w:val="0"/>
      <w:divBdr>
        <w:top w:val="none" w:sz="0" w:space="0" w:color="auto"/>
        <w:left w:val="none" w:sz="0" w:space="0" w:color="auto"/>
        <w:bottom w:val="none" w:sz="0" w:space="0" w:color="auto"/>
        <w:right w:val="none" w:sz="0" w:space="0" w:color="auto"/>
      </w:divBdr>
    </w:div>
    <w:div w:id="2025788145">
      <w:bodyDiv w:val="1"/>
      <w:marLeft w:val="0"/>
      <w:marRight w:val="0"/>
      <w:marTop w:val="0"/>
      <w:marBottom w:val="0"/>
      <w:divBdr>
        <w:top w:val="none" w:sz="0" w:space="0" w:color="auto"/>
        <w:left w:val="none" w:sz="0" w:space="0" w:color="auto"/>
        <w:bottom w:val="none" w:sz="0" w:space="0" w:color="auto"/>
        <w:right w:val="none" w:sz="0" w:space="0" w:color="auto"/>
      </w:divBdr>
    </w:div>
    <w:div w:id="2042431565">
      <w:bodyDiv w:val="1"/>
      <w:marLeft w:val="0"/>
      <w:marRight w:val="0"/>
      <w:marTop w:val="0"/>
      <w:marBottom w:val="0"/>
      <w:divBdr>
        <w:top w:val="none" w:sz="0" w:space="0" w:color="auto"/>
        <w:left w:val="none" w:sz="0" w:space="0" w:color="auto"/>
        <w:bottom w:val="none" w:sz="0" w:space="0" w:color="auto"/>
        <w:right w:val="none" w:sz="0" w:space="0" w:color="auto"/>
      </w:divBdr>
    </w:div>
    <w:div w:id="2104764290">
      <w:marLeft w:val="390"/>
      <w:marRight w:val="390"/>
      <w:marTop w:val="0"/>
      <w:marBottom w:val="0"/>
      <w:divBdr>
        <w:top w:val="none" w:sz="0" w:space="0" w:color="auto"/>
        <w:left w:val="none" w:sz="0" w:space="0" w:color="auto"/>
        <w:bottom w:val="none" w:sz="0" w:space="0" w:color="auto"/>
        <w:right w:val="none" w:sz="0" w:space="0" w:color="auto"/>
      </w:divBdr>
    </w:div>
    <w:div w:id="2104764300">
      <w:marLeft w:val="390"/>
      <w:marRight w:val="390"/>
      <w:marTop w:val="0"/>
      <w:marBottom w:val="0"/>
      <w:divBdr>
        <w:top w:val="none" w:sz="0" w:space="0" w:color="auto"/>
        <w:left w:val="none" w:sz="0" w:space="0" w:color="auto"/>
        <w:bottom w:val="none" w:sz="0" w:space="0" w:color="auto"/>
        <w:right w:val="none" w:sz="0" w:space="0" w:color="auto"/>
      </w:divBdr>
    </w:div>
    <w:div w:id="2104764304">
      <w:marLeft w:val="0"/>
      <w:marRight w:val="0"/>
      <w:marTop w:val="0"/>
      <w:marBottom w:val="0"/>
      <w:divBdr>
        <w:top w:val="none" w:sz="0" w:space="0" w:color="auto"/>
        <w:left w:val="none" w:sz="0" w:space="0" w:color="auto"/>
        <w:bottom w:val="none" w:sz="0" w:space="0" w:color="auto"/>
        <w:right w:val="none" w:sz="0" w:space="0" w:color="auto"/>
      </w:divBdr>
      <w:divsChild>
        <w:div w:id="2104764312">
          <w:marLeft w:val="0"/>
          <w:marRight w:val="0"/>
          <w:marTop w:val="0"/>
          <w:marBottom w:val="0"/>
          <w:divBdr>
            <w:top w:val="none" w:sz="0" w:space="0" w:color="auto"/>
            <w:left w:val="none" w:sz="0" w:space="0" w:color="auto"/>
            <w:bottom w:val="none" w:sz="0" w:space="0" w:color="auto"/>
            <w:right w:val="none" w:sz="0" w:space="0" w:color="auto"/>
          </w:divBdr>
        </w:div>
        <w:div w:id="2104764320">
          <w:marLeft w:val="0"/>
          <w:marRight w:val="0"/>
          <w:marTop w:val="0"/>
          <w:marBottom w:val="0"/>
          <w:divBdr>
            <w:top w:val="none" w:sz="0" w:space="0" w:color="auto"/>
            <w:left w:val="none" w:sz="0" w:space="0" w:color="auto"/>
            <w:bottom w:val="none" w:sz="0" w:space="0" w:color="auto"/>
            <w:right w:val="none" w:sz="0" w:space="0" w:color="auto"/>
          </w:divBdr>
        </w:div>
        <w:div w:id="2104764342">
          <w:marLeft w:val="0"/>
          <w:marRight w:val="0"/>
          <w:marTop w:val="0"/>
          <w:marBottom w:val="0"/>
          <w:divBdr>
            <w:top w:val="none" w:sz="0" w:space="0" w:color="auto"/>
            <w:left w:val="none" w:sz="0" w:space="0" w:color="auto"/>
            <w:bottom w:val="none" w:sz="0" w:space="0" w:color="auto"/>
            <w:right w:val="none" w:sz="0" w:space="0" w:color="auto"/>
          </w:divBdr>
        </w:div>
        <w:div w:id="2104764362">
          <w:marLeft w:val="0"/>
          <w:marRight w:val="0"/>
          <w:marTop w:val="0"/>
          <w:marBottom w:val="0"/>
          <w:divBdr>
            <w:top w:val="none" w:sz="0" w:space="0" w:color="auto"/>
            <w:left w:val="none" w:sz="0" w:space="0" w:color="auto"/>
            <w:bottom w:val="none" w:sz="0" w:space="0" w:color="auto"/>
            <w:right w:val="none" w:sz="0" w:space="0" w:color="auto"/>
          </w:divBdr>
        </w:div>
        <w:div w:id="2104764389">
          <w:marLeft w:val="0"/>
          <w:marRight w:val="0"/>
          <w:marTop w:val="0"/>
          <w:marBottom w:val="0"/>
          <w:divBdr>
            <w:top w:val="none" w:sz="0" w:space="0" w:color="auto"/>
            <w:left w:val="none" w:sz="0" w:space="0" w:color="auto"/>
            <w:bottom w:val="none" w:sz="0" w:space="0" w:color="auto"/>
            <w:right w:val="none" w:sz="0" w:space="0" w:color="auto"/>
          </w:divBdr>
        </w:div>
        <w:div w:id="2104764455">
          <w:marLeft w:val="0"/>
          <w:marRight w:val="0"/>
          <w:marTop w:val="0"/>
          <w:marBottom w:val="0"/>
          <w:divBdr>
            <w:top w:val="none" w:sz="0" w:space="0" w:color="auto"/>
            <w:left w:val="none" w:sz="0" w:space="0" w:color="auto"/>
            <w:bottom w:val="none" w:sz="0" w:space="0" w:color="auto"/>
            <w:right w:val="none" w:sz="0" w:space="0" w:color="auto"/>
          </w:divBdr>
        </w:div>
        <w:div w:id="2104764456">
          <w:marLeft w:val="0"/>
          <w:marRight w:val="0"/>
          <w:marTop w:val="0"/>
          <w:marBottom w:val="0"/>
          <w:divBdr>
            <w:top w:val="none" w:sz="0" w:space="0" w:color="auto"/>
            <w:left w:val="none" w:sz="0" w:space="0" w:color="auto"/>
            <w:bottom w:val="none" w:sz="0" w:space="0" w:color="auto"/>
            <w:right w:val="none" w:sz="0" w:space="0" w:color="auto"/>
          </w:divBdr>
        </w:div>
        <w:div w:id="2104764541">
          <w:marLeft w:val="0"/>
          <w:marRight w:val="0"/>
          <w:marTop w:val="0"/>
          <w:marBottom w:val="0"/>
          <w:divBdr>
            <w:top w:val="none" w:sz="0" w:space="0" w:color="auto"/>
            <w:left w:val="none" w:sz="0" w:space="0" w:color="auto"/>
            <w:bottom w:val="none" w:sz="0" w:space="0" w:color="auto"/>
            <w:right w:val="none" w:sz="0" w:space="0" w:color="auto"/>
          </w:divBdr>
        </w:div>
        <w:div w:id="2104764558">
          <w:marLeft w:val="0"/>
          <w:marRight w:val="0"/>
          <w:marTop w:val="0"/>
          <w:marBottom w:val="0"/>
          <w:divBdr>
            <w:top w:val="none" w:sz="0" w:space="0" w:color="auto"/>
            <w:left w:val="none" w:sz="0" w:space="0" w:color="auto"/>
            <w:bottom w:val="none" w:sz="0" w:space="0" w:color="auto"/>
            <w:right w:val="none" w:sz="0" w:space="0" w:color="auto"/>
          </w:divBdr>
        </w:div>
        <w:div w:id="2104764562">
          <w:marLeft w:val="0"/>
          <w:marRight w:val="0"/>
          <w:marTop w:val="0"/>
          <w:marBottom w:val="0"/>
          <w:divBdr>
            <w:top w:val="none" w:sz="0" w:space="0" w:color="auto"/>
            <w:left w:val="none" w:sz="0" w:space="0" w:color="auto"/>
            <w:bottom w:val="none" w:sz="0" w:space="0" w:color="auto"/>
            <w:right w:val="none" w:sz="0" w:space="0" w:color="auto"/>
          </w:divBdr>
        </w:div>
        <w:div w:id="2104764565">
          <w:marLeft w:val="0"/>
          <w:marRight w:val="0"/>
          <w:marTop w:val="0"/>
          <w:marBottom w:val="0"/>
          <w:divBdr>
            <w:top w:val="none" w:sz="0" w:space="0" w:color="auto"/>
            <w:left w:val="none" w:sz="0" w:space="0" w:color="auto"/>
            <w:bottom w:val="none" w:sz="0" w:space="0" w:color="auto"/>
            <w:right w:val="none" w:sz="0" w:space="0" w:color="auto"/>
          </w:divBdr>
        </w:div>
        <w:div w:id="2104764637">
          <w:marLeft w:val="0"/>
          <w:marRight w:val="0"/>
          <w:marTop w:val="0"/>
          <w:marBottom w:val="0"/>
          <w:divBdr>
            <w:top w:val="none" w:sz="0" w:space="0" w:color="auto"/>
            <w:left w:val="none" w:sz="0" w:space="0" w:color="auto"/>
            <w:bottom w:val="none" w:sz="0" w:space="0" w:color="auto"/>
            <w:right w:val="none" w:sz="0" w:space="0" w:color="auto"/>
          </w:divBdr>
        </w:div>
        <w:div w:id="2104764675">
          <w:marLeft w:val="0"/>
          <w:marRight w:val="0"/>
          <w:marTop w:val="0"/>
          <w:marBottom w:val="0"/>
          <w:divBdr>
            <w:top w:val="none" w:sz="0" w:space="0" w:color="auto"/>
            <w:left w:val="none" w:sz="0" w:space="0" w:color="auto"/>
            <w:bottom w:val="none" w:sz="0" w:space="0" w:color="auto"/>
            <w:right w:val="none" w:sz="0" w:space="0" w:color="auto"/>
          </w:divBdr>
        </w:div>
        <w:div w:id="2104764718">
          <w:marLeft w:val="0"/>
          <w:marRight w:val="0"/>
          <w:marTop w:val="0"/>
          <w:marBottom w:val="0"/>
          <w:divBdr>
            <w:top w:val="none" w:sz="0" w:space="0" w:color="auto"/>
            <w:left w:val="none" w:sz="0" w:space="0" w:color="auto"/>
            <w:bottom w:val="none" w:sz="0" w:space="0" w:color="auto"/>
            <w:right w:val="none" w:sz="0" w:space="0" w:color="auto"/>
          </w:divBdr>
        </w:div>
        <w:div w:id="2104764729">
          <w:marLeft w:val="0"/>
          <w:marRight w:val="0"/>
          <w:marTop w:val="0"/>
          <w:marBottom w:val="0"/>
          <w:divBdr>
            <w:top w:val="none" w:sz="0" w:space="0" w:color="auto"/>
            <w:left w:val="none" w:sz="0" w:space="0" w:color="auto"/>
            <w:bottom w:val="none" w:sz="0" w:space="0" w:color="auto"/>
            <w:right w:val="none" w:sz="0" w:space="0" w:color="auto"/>
          </w:divBdr>
        </w:div>
      </w:divsChild>
    </w:div>
    <w:div w:id="2104764308">
      <w:marLeft w:val="390"/>
      <w:marRight w:val="390"/>
      <w:marTop w:val="0"/>
      <w:marBottom w:val="0"/>
      <w:divBdr>
        <w:top w:val="none" w:sz="0" w:space="0" w:color="auto"/>
        <w:left w:val="none" w:sz="0" w:space="0" w:color="auto"/>
        <w:bottom w:val="none" w:sz="0" w:space="0" w:color="auto"/>
        <w:right w:val="none" w:sz="0" w:space="0" w:color="auto"/>
      </w:divBdr>
    </w:div>
    <w:div w:id="2104764328">
      <w:marLeft w:val="390"/>
      <w:marRight w:val="390"/>
      <w:marTop w:val="0"/>
      <w:marBottom w:val="0"/>
      <w:divBdr>
        <w:top w:val="none" w:sz="0" w:space="0" w:color="auto"/>
        <w:left w:val="none" w:sz="0" w:space="0" w:color="auto"/>
        <w:bottom w:val="none" w:sz="0" w:space="0" w:color="auto"/>
        <w:right w:val="none" w:sz="0" w:space="0" w:color="auto"/>
      </w:divBdr>
    </w:div>
    <w:div w:id="2104764330">
      <w:marLeft w:val="390"/>
      <w:marRight w:val="390"/>
      <w:marTop w:val="0"/>
      <w:marBottom w:val="0"/>
      <w:divBdr>
        <w:top w:val="none" w:sz="0" w:space="0" w:color="auto"/>
        <w:left w:val="none" w:sz="0" w:space="0" w:color="auto"/>
        <w:bottom w:val="none" w:sz="0" w:space="0" w:color="auto"/>
        <w:right w:val="none" w:sz="0" w:space="0" w:color="auto"/>
      </w:divBdr>
    </w:div>
    <w:div w:id="2104764331">
      <w:marLeft w:val="390"/>
      <w:marRight w:val="390"/>
      <w:marTop w:val="0"/>
      <w:marBottom w:val="0"/>
      <w:divBdr>
        <w:top w:val="none" w:sz="0" w:space="0" w:color="auto"/>
        <w:left w:val="none" w:sz="0" w:space="0" w:color="auto"/>
        <w:bottom w:val="none" w:sz="0" w:space="0" w:color="auto"/>
        <w:right w:val="none" w:sz="0" w:space="0" w:color="auto"/>
      </w:divBdr>
    </w:div>
    <w:div w:id="2104764332">
      <w:marLeft w:val="0"/>
      <w:marRight w:val="0"/>
      <w:marTop w:val="0"/>
      <w:marBottom w:val="0"/>
      <w:divBdr>
        <w:top w:val="none" w:sz="0" w:space="0" w:color="auto"/>
        <w:left w:val="none" w:sz="0" w:space="0" w:color="auto"/>
        <w:bottom w:val="none" w:sz="0" w:space="0" w:color="auto"/>
        <w:right w:val="none" w:sz="0" w:space="0" w:color="auto"/>
      </w:divBdr>
      <w:divsChild>
        <w:div w:id="2104764396">
          <w:marLeft w:val="0"/>
          <w:marRight w:val="0"/>
          <w:marTop w:val="0"/>
          <w:marBottom w:val="0"/>
          <w:divBdr>
            <w:top w:val="none" w:sz="0" w:space="0" w:color="auto"/>
            <w:left w:val="none" w:sz="0" w:space="0" w:color="auto"/>
            <w:bottom w:val="none" w:sz="0" w:space="0" w:color="auto"/>
            <w:right w:val="none" w:sz="0" w:space="0" w:color="auto"/>
          </w:divBdr>
        </w:div>
        <w:div w:id="2104764468">
          <w:marLeft w:val="0"/>
          <w:marRight w:val="0"/>
          <w:marTop w:val="0"/>
          <w:marBottom w:val="0"/>
          <w:divBdr>
            <w:top w:val="none" w:sz="0" w:space="0" w:color="auto"/>
            <w:left w:val="none" w:sz="0" w:space="0" w:color="auto"/>
            <w:bottom w:val="none" w:sz="0" w:space="0" w:color="auto"/>
            <w:right w:val="none" w:sz="0" w:space="0" w:color="auto"/>
          </w:divBdr>
        </w:div>
        <w:div w:id="2104764543">
          <w:marLeft w:val="0"/>
          <w:marRight w:val="0"/>
          <w:marTop w:val="0"/>
          <w:marBottom w:val="0"/>
          <w:divBdr>
            <w:top w:val="none" w:sz="0" w:space="0" w:color="auto"/>
            <w:left w:val="none" w:sz="0" w:space="0" w:color="auto"/>
            <w:bottom w:val="none" w:sz="0" w:space="0" w:color="auto"/>
            <w:right w:val="none" w:sz="0" w:space="0" w:color="auto"/>
          </w:divBdr>
        </w:div>
        <w:div w:id="2104764568">
          <w:marLeft w:val="0"/>
          <w:marRight w:val="0"/>
          <w:marTop w:val="0"/>
          <w:marBottom w:val="0"/>
          <w:divBdr>
            <w:top w:val="none" w:sz="0" w:space="0" w:color="auto"/>
            <w:left w:val="none" w:sz="0" w:space="0" w:color="auto"/>
            <w:bottom w:val="none" w:sz="0" w:space="0" w:color="auto"/>
            <w:right w:val="none" w:sz="0" w:space="0" w:color="auto"/>
          </w:divBdr>
        </w:div>
        <w:div w:id="2104764653">
          <w:marLeft w:val="0"/>
          <w:marRight w:val="0"/>
          <w:marTop w:val="0"/>
          <w:marBottom w:val="0"/>
          <w:divBdr>
            <w:top w:val="none" w:sz="0" w:space="0" w:color="auto"/>
            <w:left w:val="none" w:sz="0" w:space="0" w:color="auto"/>
            <w:bottom w:val="none" w:sz="0" w:space="0" w:color="auto"/>
            <w:right w:val="none" w:sz="0" w:space="0" w:color="auto"/>
          </w:divBdr>
        </w:div>
        <w:div w:id="2104764656">
          <w:marLeft w:val="0"/>
          <w:marRight w:val="0"/>
          <w:marTop w:val="0"/>
          <w:marBottom w:val="0"/>
          <w:divBdr>
            <w:top w:val="none" w:sz="0" w:space="0" w:color="auto"/>
            <w:left w:val="none" w:sz="0" w:space="0" w:color="auto"/>
            <w:bottom w:val="none" w:sz="0" w:space="0" w:color="auto"/>
            <w:right w:val="none" w:sz="0" w:space="0" w:color="auto"/>
          </w:divBdr>
        </w:div>
        <w:div w:id="2104764728">
          <w:marLeft w:val="0"/>
          <w:marRight w:val="0"/>
          <w:marTop w:val="0"/>
          <w:marBottom w:val="0"/>
          <w:divBdr>
            <w:top w:val="none" w:sz="0" w:space="0" w:color="auto"/>
            <w:left w:val="none" w:sz="0" w:space="0" w:color="auto"/>
            <w:bottom w:val="none" w:sz="0" w:space="0" w:color="auto"/>
            <w:right w:val="none" w:sz="0" w:space="0" w:color="auto"/>
          </w:divBdr>
        </w:div>
      </w:divsChild>
    </w:div>
    <w:div w:id="2104764334">
      <w:marLeft w:val="0"/>
      <w:marRight w:val="0"/>
      <w:marTop w:val="0"/>
      <w:marBottom w:val="0"/>
      <w:divBdr>
        <w:top w:val="none" w:sz="0" w:space="0" w:color="auto"/>
        <w:left w:val="none" w:sz="0" w:space="0" w:color="auto"/>
        <w:bottom w:val="none" w:sz="0" w:space="0" w:color="auto"/>
        <w:right w:val="none" w:sz="0" w:space="0" w:color="auto"/>
      </w:divBdr>
      <w:divsChild>
        <w:div w:id="2104764542">
          <w:marLeft w:val="0"/>
          <w:marRight w:val="0"/>
          <w:marTop w:val="0"/>
          <w:marBottom w:val="0"/>
          <w:divBdr>
            <w:top w:val="none" w:sz="0" w:space="0" w:color="auto"/>
            <w:left w:val="none" w:sz="0" w:space="0" w:color="auto"/>
            <w:bottom w:val="none" w:sz="0" w:space="0" w:color="auto"/>
            <w:right w:val="none" w:sz="0" w:space="0" w:color="auto"/>
          </w:divBdr>
        </w:div>
        <w:div w:id="2104764570">
          <w:marLeft w:val="0"/>
          <w:marRight w:val="0"/>
          <w:marTop w:val="0"/>
          <w:marBottom w:val="0"/>
          <w:divBdr>
            <w:top w:val="none" w:sz="0" w:space="0" w:color="auto"/>
            <w:left w:val="none" w:sz="0" w:space="0" w:color="auto"/>
            <w:bottom w:val="none" w:sz="0" w:space="0" w:color="auto"/>
            <w:right w:val="none" w:sz="0" w:space="0" w:color="auto"/>
          </w:divBdr>
          <w:divsChild>
            <w:div w:id="21047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4339">
      <w:marLeft w:val="0"/>
      <w:marRight w:val="0"/>
      <w:marTop w:val="0"/>
      <w:marBottom w:val="0"/>
      <w:divBdr>
        <w:top w:val="none" w:sz="0" w:space="0" w:color="auto"/>
        <w:left w:val="none" w:sz="0" w:space="0" w:color="auto"/>
        <w:bottom w:val="none" w:sz="0" w:space="0" w:color="auto"/>
        <w:right w:val="none" w:sz="0" w:space="0" w:color="auto"/>
      </w:divBdr>
      <w:divsChild>
        <w:div w:id="2104764365">
          <w:marLeft w:val="0"/>
          <w:marRight w:val="0"/>
          <w:marTop w:val="0"/>
          <w:marBottom w:val="0"/>
          <w:divBdr>
            <w:top w:val="none" w:sz="0" w:space="0" w:color="auto"/>
            <w:left w:val="none" w:sz="0" w:space="0" w:color="auto"/>
            <w:bottom w:val="none" w:sz="0" w:space="0" w:color="auto"/>
            <w:right w:val="none" w:sz="0" w:space="0" w:color="auto"/>
          </w:divBdr>
        </w:div>
        <w:div w:id="2104764394">
          <w:marLeft w:val="0"/>
          <w:marRight w:val="0"/>
          <w:marTop w:val="0"/>
          <w:marBottom w:val="0"/>
          <w:divBdr>
            <w:top w:val="none" w:sz="0" w:space="0" w:color="auto"/>
            <w:left w:val="none" w:sz="0" w:space="0" w:color="auto"/>
            <w:bottom w:val="none" w:sz="0" w:space="0" w:color="auto"/>
            <w:right w:val="none" w:sz="0" w:space="0" w:color="auto"/>
          </w:divBdr>
        </w:div>
        <w:div w:id="2104764463">
          <w:marLeft w:val="0"/>
          <w:marRight w:val="0"/>
          <w:marTop w:val="0"/>
          <w:marBottom w:val="0"/>
          <w:divBdr>
            <w:top w:val="none" w:sz="0" w:space="0" w:color="auto"/>
            <w:left w:val="none" w:sz="0" w:space="0" w:color="auto"/>
            <w:bottom w:val="none" w:sz="0" w:space="0" w:color="auto"/>
            <w:right w:val="none" w:sz="0" w:space="0" w:color="auto"/>
          </w:divBdr>
        </w:div>
        <w:div w:id="2104764567">
          <w:marLeft w:val="0"/>
          <w:marRight w:val="0"/>
          <w:marTop w:val="0"/>
          <w:marBottom w:val="0"/>
          <w:divBdr>
            <w:top w:val="none" w:sz="0" w:space="0" w:color="auto"/>
            <w:left w:val="none" w:sz="0" w:space="0" w:color="auto"/>
            <w:bottom w:val="none" w:sz="0" w:space="0" w:color="auto"/>
            <w:right w:val="none" w:sz="0" w:space="0" w:color="auto"/>
          </w:divBdr>
        </w:div>
        <w:div w:id="2104764685">
          <w:marLeft w:val="0"/>
          <w:marRight w:val="0"/>
          <w:marTop w:val="0"/>
          <w:marBottom w:val="0"/>
          <w:divBdr>
            <w:top w:val="none" w:sz="0" w:space="0" w:color="auto"/>
            <w:left w:val="none" w:sz="0" w:space="0" w:color="auto"/>
            <w:bottom w:val="none" w:sz="0" w:space="0" w:color="auto"/>
            <w:right w:val="none" w:sz="0" w:space="0" w:color="auto"/>
          </w:divBdr>
        </w:div>
        <w:div w:id="2104764702">
          <w:marLeft w:val="0"/>
          <w:marRight w:val="0"/>
          <w:marTop w:val="0"/>
          <w:marBottom w:val="0"/>
          <w:divBdr>
            <w:top w:val="none" w:sz="0" w:space="0" w:color="auto"/>
            <w:left w:val="none" w:sz="0" w:space="0" w:color="auto"/>
            <w:bottom w:val="none" w:sz="0" w:space="0" w:color="auto"/>
            <w:right w:val="none" w:sz="0" w:space="0" w:color="auto"/>
          </w:divBdr>
        </w:div>
      </w:divsChild>
    </w:div>
    <w:div w:id="2104764360">
      <w:marLeft w:val="0"/>
      <w:marRight w:val="0"/>
      <w:marTop w:val="0"/>
      <w:marBottom w:val="0"/>
      <w:divBdr>
        <w:top w:val="none" w:sz="0" w:space="0" w:color="auto"/>
        <w:left w:val="none" w:sz="0" w:space="0" w:color="auto"/>
        <w:bottom w:val="none" w:sz="0" w:space="0" w:color="auto"/>
        <w:right w:val="none" w:sz="0" w:space="0" w:color="auto"/>
      </w:divBdr>
      <w:divsChild>
        <w:div w:id="2104764291">
          <w:marLeft w:val="0"/>
          <w:marRight w:val="0"/>
          <w:marTop w:val="0"/>
          <w:marBottom w:val="0"/>
          <w:divBdr>
            <w:top w:val="none" w:sz="0" w:space="0" w:color="auto"/>
            <w:left w:val="none" w:sz="0" w:space="0" w:color="auto"/>
            <w:bottom w:val="none" w:sz="0" w:space="0" w:color="auto"/>
            <w:right w:val="none" w:sz="0" w:space="0" w:color="auto"/>
          </w:divBdr>
        </w:div>
        <w:div w:id="2104764327">
          <w:marLeft w:val="0"/>
          <w:marRight w:val="0"/>
          <w:marTop w:val="0"/>
          <w:marBottom w:val="0"/>
          <w:divBdr>
            <w:top w:val="none" w:sz="0" w:space="0" w:color="auto"/>
            <w:left w:val="none" w:sz="0" w:space="0" w:color="auto"/>
            <w:bottom w:val="none" w:sz="0" w:space="0" w:color="auto"/>
            <w:right w:val="none" w:sz="0" w:space="0" w:color="auto"/>
          </w:divBdr>
        </w:div>
        <w:div w:id="2104764408">
          <w:marLeft w:val="0"/>
          <w:marRight w:val="0"/>
          <w:marTop w:val="0"/>
          <w:marBottom w:val="0"/>
          <w:divBdr>
            <w:top w:val="none" w:sz="0" w:space="0" w:color="auto"/>
            <w:left w:val="none" w:sz="0" w:space="0" w:color="auto"/>
            <w:bottom w:val="none" w:sz="0" w:space="0" w:color="auto"/>
            <w:right w:val="none" w:sz="0" w:space="0" w:color="auto"/>
          </w:divBdr>
        </w:div>
        <w:div w:id="2104764470">
          <w:marLeft w:val="0"/>
          <w:marRight w:val="0"/>
          <w:marTop w:val="0"/>
          <w:marBottom w:val="0"/>
          <w:divBdr>
            <w:top w:val="none" w:sz="0" w:space="0" w:color="auto"/>
            <w:left w:val="none" w:sz="0" w:space="0" w:color="auto"/>
            <w:bottom w:val="none" w:sz="0" w:space="0" w:color="auto"/>
            <w:right w:val="none" w:sz="0" w:space="0" w:color="auto"/>
          </w:divBdr>
        </w:div>
        <w:div w:id="2104764566">
          <w:marLeft w:val="0"/>
          <w:marRight w:val="0"/>
          <w:marTop w:val="0"/>
          <w:marBottom w:val="0"/>
          <w:divBdr>
            <w:top w:val="none" w:sz="0" w:space="0" w:color="auto"/>
            <w:left w:val="none" w:sz="0" w:space="0" w:color="auto"/>
            <w:bottom w:val="none" w:sz="0" w:space="0" w:color="auto"/>
            <w:right w:val="none" w:sz="0" w:space="0" w:color="auto"/>
          </w:divBdr>
        </w:div>
        <w:div w:id="2104764616">
          <w:marLeft w:val="0"/>
          <w:marRight w:val="0"/>
          <w:marTop w:val="0"/>
          <w:marBottom w:val="0"/>
          <w:divBdr>
            <w:top w:val="none" w:sz="0" w:space="0" w:color="auto"/>
            <w:left w:val="none" w:sz="0" w:space="0" w:color="auto"/>
            <w:bottom w:val="none" w:sz="0" w:space="0" w:color="auto"/>
            <w:right w:val="none" w:sz="0" w:space="0" w:color="auto"/>
          </w:divBdr>
        </w:div>
        <w:div w:id="2104764626">
          <w:marLeft w:val="0"/>
          <w:marRight w:val="0"/>
          <w:marTop w:val="0"/>
          <w:marBottom w:val="0"/>
          <w:divBdr>
            <w:top w:val="none" w:sz="0" w:space="0" w:color="auto"/>
            <w:left w:val="none" w:sz="0" w:space="0" w:color="auto"/>
            <w:bottom w:val="none" w:sz="0" w:space="0" w:color="auto"/>
            <w:right w:val="none" w:sz="0" w:space="0" w:color="auto"/>
          </w:divBdr>
        </w:div>
        <w:div w:id="2104764631">
          <w:marLeft w:val="0"/>
          <w:marRight w:val="0"/>
          <w:marTop w:val="0"/>
          <w:marBottom w:val="0"/>
          <w:divBdr>
            <w:top w:val="none" w:sz="0" w:space="0" w:color="auto"/>
            <w:left w:val="none" w:sz="0" w:space="0" w:color="auto"/>
            <w:bottom w:val="none" w:sz="0" w:space="0" w:color="auto"/>
            <w:right w:val="none" w:sz="0" w:space="0" w:color="auto"/>
          </w:divBdr>
        </w:div>
      </w:divsChild>
    </w:div>
    <w:div w:id="2104764361">
      <w:marLeft w:val="390"/>
      <w:marRight w:val="390"/>
      <w:marTop w:val="0"/>
      <w:marBottom w:val="0"/>
      <w:divBdr>
        <w:top w:val="none" w:sz="0" w:space="0" w:color="auto"/>
        <w:left w:val="none" w:sz="0" w:space="0" w:color="auto"/>
        <w:bottom w:val="none" w:sz="0" w:space="0" w:color="auto"/>
        <w:right w:val="none" w:sz="0" w:space="0" w:color="auto"/>
      </w:divBdr>
    </w:div>
    <w:div w:id="2104764363">
      <w:marLeft w:val="390"/>
      <w:marRight w:val="390"/>
      <w:marTop w:val="0"/>
      <w:marBottom w:val="0"/>
      <w:divBdr>
        <w:top w:val="none" w:sz="0" w:space="0" w:color="auto"/>
        <w:left w:val="none" w:sz="0" w:space="0" w:color="auto"/>
        <w:bottom w:val="none" w:sz="0" w:space="0" w:color="auto"/>
        <w:right w:val="none" w:sz="0" w:space="0" w:color="auto"/>
      </w:divBdr>
    </w:div>
    <w:div w:id="2104764371">
      <w:marLeft w:val="390"/>
      <w:marRight w:val="390"/>
      <w:marTop w:val="0"/>
      <w:marBottom w:val="0"/>
      <w:divBdr>
        <w:top w:val="none" w:sz="0" w:space="0" w:color="auto"/>
        <w:left w:val="none" w:sz="0" w:space="0" w:color="auto"/>
        <w:bottom w:val="none" w:sz="0" w:space="0" w:color="auto"/>
        <w:right w:val="none" w:sz="0" w:space="0" w:color="auto"/>
      </w:divBdr>
    </w:div>
    <w:div w:id="2104764376">
      <w:marLeft w:val="390"/>
      <w:marRight w:val="390"/>
      <w:marTop w:val="0"/>
      <w:marBottom w:val="0"/>
      <w:divBdr>
        <w:top w:val="none" w:sz="0" w:space="0" w:color="auto"/>
        <w:left w:val="none" w:sz="0" w:space="0" w:color="auto"/>
        <w:bottom w:val="none" w:sz="0" w:space="0" w:color="auto"/>
        <w:right w:val="none" w:sz="0" w:space="0" w:color="auto"/>
      </w:divBdr>
    </w:div>
    <w:div w:id="2104764411">
      <w:marLeft w:val="0"/>
      <w:marRight w:val="0"/>
      <w:marTop w:val="0"/>
      <w:marBottom w:val="0"/>
      <w:divBdr>
        <w:top w:val="none" w:sz="0" w:space="0" w:color="auto"/>
        <w:left w:val="none" w:sz="0" w:space="0" w:color="auto"/>
        <w:bottom w:val="none" w:sz="0" w:space="0" w:color="auto"/>
        <w:right w:val="none" w:sz="0" w:space="0" w:color="auto"/>
      </w:divBdr>
      <w:divsChild>
        <w:div w:id="2104764736">
          <w:marLeft w:val="0"/>
          <w:marRight w:val="0"/>
          <w:marTop w:val="0"/>
          <w:marBottom w:val="0"/>
          <w:divBdr>
            <w:top w:val="none" w:sz="0" w:space="0" w:color="auto"/>
            <w:left w:val="none" w:sz="0" w:space="0" w:color="auto"/>
            <w:bottom w:val="none" w:sz="0" w:space="0" w:color="auto"/>
            <w:right w:val="none" w:sz="0" w:space="0" w:color="auto"/>
          </w:divBdr>
          <w:divsChild>
            <w:div w:id="2104764336">
              <w:marLeft w:val="0"/>
              <w:marRight w:val="0"/>
              <w:marTop w:val="0"/>
              <w:marBottom w:val="0"/>
              <w:divBdr>
                <w:top w:val="none" w:sz="0" w:space="0" w:color="auto"/>
                <w:left w:val="none" w:sz="0" w:space="0" w:color="auto"/>
                <w:bottom w:val="none" w:sz="0" w:space="0" w:color="auto"/>
                <w:right w:val="none" w:sz="0" w:space="0" w:color="auto"/>
              </w:divBdr>
              <w:divsChild>
                <w:div w:id="2104764289">
                  <w:marLeft w:val="0"/>
                  <w:marRight w:val="0"/>
                  <w:marTop w:val="0"/>
                  <w:marBottom w:val="0"/>
                  <w:divBdr>
                    <w:top w:val="none" w:sz="0" w:space="0" w:color="auto"/>
                    <w:left w:val="none" w:sz="0" w:space="0" w:color="auto"/>
                    <w:bottom w:val="none" w:sz="0" w:space="0" w:color="auto"/>
                    <w:right w:val="none" w:sz="0" w:space="0" w:color="auto"/>
                  </w:divBdr>
                </w:div>
                <w:div w:id="2104764699">
                  <w:marLeft w:val="0"/>
                  <w:marRight w:val="0"/>
                  <w:marTop w:val="0"/>
                  <w:marBottom w:val="0"/>
                  <w:divBdr>
                    <w:top w:val="none" w:sz="0" w:space="0" w:color="auto"/>
                    <w:left w:val="none" w:sz="0" w:space="0" w:color="auto"/>
                    <w:bottom w:val="none" w:sz="0" w:space="0" w:color="auto"/>
                    <w:right w:val="none" w:sz="0" w:space="0" w:color="auto"/>
                  </w:divBdr>
                </w:div>
              </w:divsChild>
            </w:div>
            <w:div w:id="2104764426">
              <w:marLeft w:val="0"/>
              <w:marRight w:val="0"/>
              <w:marTop w:val="0"/>
              <w:marBottom w:val="0"/>
              <w:divBdr>
                <w:top w:val="none" w:sz="0" w:space="0" w:color="auto"/>
                <w:left w:val="none" w:sz="0" w:space="0" w:color="auto"/>
                <w:bottom w:val="none" w:sz="0" w:space="0" w:color="auto"/>
                <w:right w:val="none" w:sz="0" w:space="0" w:color="auto"/>
              </w:divBdr>
              <w:divsChild>
                <w:div w:id="2104764397">
                  <w:marLeft w:val="0"/>
                  <w:marRight w:val="0"/>
                  <w:marTop w:val="0"/>
                  <w:marBottom w:val="0"/>
                  <w:divBdr>
                    <w:top w:val="none" w:sz="0" w:space="0" w:color="auto"/>
                    <w:left w:val="none" w:sz="0" w:space="0" w:color="auto"/>
                    <w:bottom w:val="none" w:sz="0" w:space="0" w:color="auto"/>
                    <w:right w:val="none" w:sz="0" w:space="0" w:color="auto"/>
                  </w:divBdr>
                </w:div>
                <w:div w:id="2104764417">
                  <w:marLeft w:val="0"/>
                  <w:marRight w:val="0"/>
                  <w:marTop w:val="0"/>
                  <w:marBottom w:val="0"/>
                  <w:divBdr>
                    <w:top w:val="none" w:sz="0" w:space="0" w:color="auto"/>
                    <w:left w:val="none" w:sz="0" w:space="0" w:color="auto"/>
                    <w:bottom w:val="none" w:sz="0" w:space="0" w:color="auto"/>
                    <w:right w:val="none" w:sz="0" w:space="0" w:color="auto"/>
                  </w:divBdr>
                </w:div>
              </w:divsChild>
            </w:div>
            <w:div w:id="2104764476">
              <w:marLeft w:val="0"/>
              <w:marRight w:val="0"/>
              <w:marTop w:val="0"/>
              <w:marBottom w:val="0"/>
              <w:divBdr>
                <w:top w:val="none" w:sz="0" w:space="0" w:color="auto"/>
                <w:left w:val="none" w:sz="0" w:space="0" w:color="auto"/>
                <w:bottom w:val="none" w:sz="0" w:space="0" w:color="auto"/>
                <w:right w:val="none" w:sz="0" w:space="0" w:color="auto"/>
              </w:divBdr>
            </w:div>
            <w:div w:id="2104764482">
              <w:marLeft w:val="0"/>
              <w:marRight w:val="0"/>
              <w:marTop w:val="0"/>
              <w:marBottom w:val="0"/>
              <w:divBdr>
                <w:top w:val="none" w:sz="0" w:space="0" w:color="auto"/>
                <w:left w:val="none" w:sz="0" w:space="0" w:color="auto"/>
                <w:bottom w:val="none" w:sz="0" w:space="0" w:color="auto"/>
                <w:right w:val="none" w:sz="0" w:space="0" w:color="auto"/>
              </w:divBdr>
              <w:divsChild>
                <w:div w:id="2104764400">
                  <w:marLeft w:val="0"/>
                  <w:marRight w:val="0"/>
                  <w:marTop w:val="0"/>
                  <w:marBottom w:val="0"/>
                  <w:divBdr>
                    <w:top w:val="none" w:sz="0" w:space="0" w:color="auto"/>
                    <w:left w:val="none" w:sz="0" w:space="0" w:color="auto"/>
                    <w:bottom w:val="none" w:sz="0" w:space="0" w:color="auto"/>
                    <w:right w:val="none" w:sz="0" w:space="0" w:color="auto"/>
                  </w:divBdr>
                </w:div>
                <w:div w:id="2104764655">
                  <w:marLeft w:val="0"/>
                  <w:marRight w:val="0"/>
                  <w:marTop w:val="0"/>
                  <w:marBottom w:val="0"/>
                  <w:divBdr>
                    <w:top w:val="none" w:sz="0" w:space="0" w:color="auto"/>
                    <w:left w:val="none" w:sz="0" w:space="0" w:color="auto"/>
                    <w:bottom w:val="none" w:sz="0" w:space="0" w:color="auto"/>
                    <w:right w:val="none" w:sz="0" w:space="0" w:color="auto"/>
                  </w:divBdr>
                </w:div>
              </w:divsChild>
            </w:div>
            <w:div w:id="2104764618">
              <w:marLeft w:val="0"/>
              <w:marRight w:val="0"/>
              <w:marTop w:val="0"/>
              <w:marBottom w:val="0"/>
              <w:divBdr>
                <w:top w:val="none" w:sz="0" w:space="0" w:color="auto"/>
                <w:left w:val="none" w:sz="0" w:space="0" w:color="auto"/>
                <w:bottom w:val="none" w:sz="0" w:space="0" w:color="auto"/>
                <w:right w:val="none" w:sz="0" w:space="0" w:color="auto"/>
              </w:divBdr>
            </w:div>
            <w:div w:id="2104764648">
              <w:marLeft w:val="0"/>
              <w:marRight w:val="0"/>
              <w:marTop w:val="0"/>
              <w:marBottom w:val="0"/>
              <w:divBdr>
                <w:top w:val="none" w:sz="0" w:space="0" w:color="auto"/>
                <w:left w:val="none" w:sz="0" w:space="0" w:color="auto"/>
                <w:bottom w:val="none" w:sz="0" w:space="0" w:color="auto"/>
                <w:right w:val="none" w:sz="0" w:space="0" w:color="auto"/>
              </w:divBdr>
              <w:divsChild>
                <w:div w:id="2104764427">
                  <w:marLeft w:val="0"/>
                  <w:marRight w:val="0"/>
                  <w:marTop w:val="0"/>
                  <w:marBottom w:val="0"/>
                  <w:divBdr>
                    <w:top w:val="none" w:sz="0" w:space="0" w:color="auto"/>
                    <w:left w:val="none" w:sz="0" w:space="0" w:color="auto"/>
                    <w:bottom w:val="none" w:sz="0" w:space="0" w:color="auto"/>
                    <w:right w:val="none" w:sz="0" w:space="0" w:color="auto"/>
                  </w:divBdr>
                </w:div>
                <w:div w:id="21047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414">
      <w:marLeft w:val="0"/>
      <w:marRight w:val="0"/>
      <w:marTop w:val="0"/>
      <w:marBottom w:val="0"/>
      <w:divBdr>
        <w:top w:val="none" w:sz="0" w:space="0" w:color="auto"/>
        <w:left w:val="none" w:sz="0" w:space="0" w:color="auto"/>
        <w:bottom w:val="none" w:sz="0" w:space="0" w:color="auto"/>
        <w:right w:val="none" w:sz="0" w:space="0" w:color="auto"/>
      </w:divBdr>
      <w:divsChild>
        <w:div w:id="2104764293">
          <w:marLeft w:val="0"/>
          <w:marRight w:val="0"/>
          <w:marTop w:val="0"/>
          <w:marBottom w:val="0"/>
          <w:divBdr>
            <w:top w:val="none" w:sz="0" w:space="0" w:color="auto"/>
            <w:left w:val="none" w:sz="0" w:space="0" w:color="auto"/>
            <w:bottom w:val="none" w:sz="0" w:space="0" w:color="auto"/>
            <w:right w:val="none" w:sz="0" w:space="0" w:color="auto"/>
          </w:divBdr>
        </w:div>
        <w:div w:id="2104764341">
          <w:marLeft w:val="0"/>
          <w:marRight w:val="0"/>
          <w:marTop w:val="0"/>
          <w:marBottom w:val="0"/>
          <w:divBdr>
            <w:top w:val="none" w:sz="0" w:space="0" w:color="auto"/>
            <w:left w:val="none" w:sz="0" w:space="0" w:color="auto"/>
            <w:bottom w:val="none" w:sz="0" w:space="0" w:color="auto"/>
            <w:right w:val="none" w:sz="0" w:space="0" w:color="auto"/>
          </w:divBdr>
        </w:div>
        <w:div w:id="2104764436">
          <w:marLeft w:val="0"/>
          <w:marRight w:val="0"/>
          <w:marTop w:val="0"/>
          <w:marBottom w:val="0"/>
          <w:divBdr>
            <w:top w:val="none" w:sz="0" w:space="0" w:color="auto"/>
            <w:left w:val="none" w:sz="0" w:space="0" w:color="auto"/>
            <w:bottom w:val="none" w:sz="0" w:space="0" w:color="auto"/>
            <w:right w:val="none" w:sz="0" w:space="0" w:color="auto"/>
          </w:divBdr>
        </w:div>
        <w:div w:id="2104764697">
          <w:marLeft w:val="0"/>
          <w:marRight w:val="0"/>
          <w:marTop w:val="0"/>
          <w:marBottom w:val="0"/>
          <w:divBdr>
            <w:top w:val="none" w:sz="0" w:space="0" w:color="auto"/>
            <w:left w:val="none" w:sz="0" w:space="0" w:color="auto"/>
            <w:bottom w:val="none" w:sz="0" w:space="0" w:color="auto"/>
            <w:right w:val="none" w:sz="0" w:space="0" w:color="auto"/>
          </w:divBdr>
        </w:div>
      </w:divsChild>
    </w:div>
    <w:div w:id="2104764418">
      <w:marLeft w:val="390"/>
      <w:marRight w:val="390"/>
      <w:marTop w:val="0"/>
      <w:marBottom w:val="0"/>
      <w:divBdr>
        <w:top w:val="none" w:sz="0" w:space="0" w:color="auto"/>
        <w:left w:val="none" w:sz="0" w:space="0" w:color="auto"/>
        <w:bottom w:val="none" w:sz="0" w:space="0" w:color="auto"/>
        <w:right w:val="none" w:sz="0" w:space="0" w:color="auto"/>
      </w:divBdr>
    </w:div>
    <w:div w:id="2104764421">
      <w:marLeft w:val="390"/>
      <w:marRight w:val="390"/>
      <w:marTop w:val="0"/>
      <w:marBottom w:val="0"/>
      <w:divBdr>
        <w:top w:val="none" w:sz="0" w:space="0" w:color="auto"/>
        <w:left w:val="none" w:sz="0" w:space="0" w:color="auto"/>
        <w:bottom w:val="none" w:sz="0" w:space="0" w:color="auto"/>
        <w:right w:val="none" w:sz="0" w:space="0" w:color="auto"/>
      </w:divBdr>
    </w:div>
    <w:div w:id="2104764431">
      <w:marLeft w:val="390"/>
      <w:marRight w:val="390"/>
      <w:marTop w:val="0"/>
      <w:marBottom w:val="0"/>
      <w:divBdr>
        <w:top w:val="none" w:sz="0" w:space="0" w:color="auto"/>
        <w:left w:val="none" w:sz="0" w:space="0" w:color="auto"/>
        <w:bottom w:val="none" w:sz="0" w:space="0" w:color="auto"/>
        <w:right w:val="none" w:sz="0" w:space="0" w:color="auto"/>
      </w:divBdr>
    </w:div>
    <w:div w:id="2104764435">
      <w:marLeft w:val="390"/>
      <w:marRight w:val="390"/>
      <w:marTop w:val="0"/>
      <w:marBottom w:val="0"/>
      <w:divBdr>
        <w:top w:val="none" w:sz="0" w:space="0" w:color="auto"/>
        <w:left w:val="none" w:sz="0" w:space="0" w:color="auto"/>
        <w:bottom w:val="none" w:sz="0" w:space="0" w:color="auto"/>
        <w:right w:val="none" w:sz="0" w:space="0" w:color="auto"/>
      </w:divBdr>
    </w:div>
    <w:div w:id="2104764438">
      <w:marLeft w:val="0"/>
      <w:marRight w:val="0"/>
      <w:marTop w:val="0"/>
      <w:marBottom w:val="0"/>
      <w:divBdr>
        <w:top w:val="none" w:sz="0" w:space="0" w:color="auto"/>
        <w:left w:val="none" w:sz="0" w:space="0" w:color="auto"/>
        <w:bottom w:val="none" w:sz="0" w:space="0" w:color="auto"/>
        <w:right w:val="none" w:sz="0" w:space="0" w:color="auto"/>
      </w:divBdr>
      <w:divsChild>
        <w:div w:id="2104764353">
          <w:marLeft w:val="0"/>
          <w:marRight w:val="0"/>
          <w:marTop w:val="0"/>
          <w:marBottom w:val="0"/>
          <w:divBdr>
            <w:top w:val="none" w:sz="0" w:space="0" w:color="auto"/>
            <w:left w:val="none" w:sz="0" w:space="0" w:color="auto"/>
            <w:bottom w:val="none" w:sz="0" w:space="0" w:color="auto"/>
            <w:right w:val="none" w:sz="0" w:space="0" w:color="auto"/>
          </w:divBdr>
        </w:div>
        <w:div w:id="2104764523">
          <w:marLeft w:val="0"/>
          <w:marRight w:val="0"/>
          <w:marTop w:val="0"/>
          <w:marBottom w:val="0"/>
          <w:divBdr>
            <w:top w:val="none" w:sz="0" w:space="0" w:color="auto"/>
            <w:left w:val="none" w:sz="0" w:space="0" w:color="auto"/>
            <w:bottom w:val="none" w:sz="0" w:space="0" w:color="auto"/>
            <w:right w:val="none" w:sz="0" w:space="0" w:color="auto"/>
          </w:divBdr>
        </w:div>
        <w:div w:id="2104764576">
          <w:marLeft w:val="0"/>
          <w:marRight w:val="0"/>
          <w:marTop w:val="0"/>
          <w:marBottom w:val="0"/>
          <w:divBdr>
            <w:top w:val="none" w:sz="0" w:space="0" w:color="auto"/>
            <w:left w:val="none" w:sz="0" w:space="0" w:color="auto"/>
            <w:bottom w:val="none" w:sz="0" w:space="0" w:color="auto"/>
            <w:right w:val="none" w:sz="0" w:space="0" w:color="auto"/>
          </w:divBdr>
        </w:div>
        <w:div w:id="2104764579">
          <w:marLeft w:val="0"/>
          <w:marRight w:val="0"/>
          <w:marTop w:val="0"/>
          <w:marBottom w:val="0"/>
          <w:divBdr>
            <w:top w:val="none" w:sz="0" w:space="0" w:color="auto"/>
            <w:left w:val="none" w:sz="0" w:space="0" w:color="auto"/>
            <w:bottom w:val="none" w:sz="0" w:space="0" w:color="auto"/>
            <w:right w:val="none" w:sz="0" w:space="0" w:color="auto"/>
          </w:divBdr>
        </w:div>
        <w:div w:id="2104764589">
          <w:marLeft w:val="0"/>
          <w:marRight w:val="0"/>
          <w:marTop w:val="0"/>
          <w:marBottom w:val="0"/>
          <w:divBdr>
            <w:top w:val="none" w:sz="0" w:space="0" w:color="auto"/>
            <w:left w:val="none" w:sz="0" w:space="0" w:color="auto"/>
            <w:bottom w:val="none" w:sz="0" w:space="0" w:color="auto"/>
            <w:right w:val="none" w:sz="0" w:space="0" w:color="auto"/>
          </w:divBdr>
        </w:div>
        <w:div w:id="2104764604">
          <w:marLeft w:val="0"/>
          <w:marRight w:val="0"/>
          <w:marTop w:val="0"/>
          <w:marBottom w:val="0"/>
          <w:divBdr>
            <w:top w:val="none" w:sz="0" w:space="0" w:color="auto"/>
            <w:left w:val="none" w:sz="0" w:space="0" w:color="auto"/>
            <w:bottom w:val="none" w:sz="0" w:space="0" w:color="auto"/>
            <w:right w:val="none" w:sz="0" w:space="0" w:color="auto"/>
          </w:divBdr>
        </w:div>
        <w:div w:id="2104764625">
          <w:marLeft w:val="0"/>
          <w:marRight w:val="0"/>
          <w:marTop w:val="0"/>
          <w:marBottom w:val="0"/>
          <w:divBdr>
            <w:top w:val="none" w:sz="0" w:space="0" w:color="auto"/>
            <w:left w:val="none" w:sz="0" w:space="0" w:color="auto"/>
            <w:bottom w:val="none" w:sz="0" w:space="0" w:color="auto"/>
            <w:right w:val="none" w:sz="0" w:space="0" w:color="auto"/>
          </w:divBdr>
        </w:div>
        <w:div w:id="2104764642">
          <w:marLeft w:val="0"/>
          <w:marRight w:val="0"/>
          <w:marTop w:val="0"/>
          <w:marBottom w:val="0"/>
          <w:divBdr>
            <w:top w:val="none" w:sz="0" w:space="0" w:color="auto"/>
            <w:left w:val="none" w:sz="0" w:space="0" w:color="auto"/>
            <w:bottom w:val="none" w:sz="0" w:space="0" w:color="auto"/>
            <w:right w:val="none" w:sz="0" w:space="0" w:color="auto"/>
          </w:divBdr>
        </w:div>
        <w:div w:id="2104764662">
          <w:marLeft w:val="0"/>
          <w:marRight w:val="0"/>
          <w:marTop w:val="0"/>
          <w:marBottom w:val="0"/>
          <w:divBdr>
            <w:top w:val="none" w:sz="0" w:space="0" w:color="auto"/>
            <w:left w:val="none" w:sz="0" w:space="0" w:color="auto"/>
            <w:bottom w:val="none" w:sz="0" w:space="0" w:color="auto"/>
            <w:right w:val="none" w:sz="0" w:space="0" w:color="auto"/>
          </w:divBdr>
        </w:div>
        <w:div w:id="2104764704">
          <w:marLeft w:val="0"/>
          <w:marRight w:val="0"/>
          <w:marTop w:val="0"/>
          <w:marBottom w:val="0"/>
          <w:divBdr>
            <w:top w:val="none" w:sz="0" w:space="0" w:color="auto"/>
            <w:left w:val="none" w:sz="0" w:space="0" w:color="auto"/>
            <w:bottom w:val="none" w:sz="0" w:space="0" w:color="auto"/>
            <w:right w:val="none" w:sz="0" w:space="0" w:color="auto"/>
          </w:divBdr>
        </w:div>
      </w:divsChild>
    </w:div>
    <w:div w:id="2104764441">
      <w:marLeft w:val="0"/>
      <w:marRight w:val="0"/>
      <w:marTop w:val="0"/>
      <w:marBottom w:val="0"/>
      <w:divBdr>
        <w:top w:val="none" w:sz="0" w:space="0" w:color="auto"/>
        <w:left w:val="none" w:sz="0" w:space="0" w:color="auto"/>
        <w:bottom w:val="none" w:sz="0" w:space="0" w:color="auto"/>
        <w:right w:val="none" w:sz="0" w:space="0" w:color="auto"/>
      </w:divBdr>
      <w:divsChild>
        <w:div w:id="2104764516">
          <w:marLeft w:val="0"/>
          <w:marRight w:val="0"/>
          <w:marTop w:val="0"/>
          <w:marBottom w:val="0"/>
          <w:divBdr>
            <w:top w:val="none" w:sz="0" w:space="0" w:color="auto"/>
            <w:left w:val="none" w:sz="0" w:space="0" w:color="auto"/>
            <w:bottom w:val="none" w:sz="0" w:space="0" w:color="auto"/>
            <w:right w:val="none" w:sz="0" w:space="0" w:color="auto"/>
          </w:divBdr>
          <w:divsChild>
            <w:div w:id="2104764373">
              <w:marLeft w:val="0"/>
              <w:marRight w:val="0"/>
              <w:marTop w:val="0"/>
              <w:marBottom w:val="0"/>
              <w:divBdr>
                <w:top w:val="none" w:sz="0" w:space="0" w:color="auto"/>
                <w:left w:val="none" w:sz="0" w:space="0" w:color="auto"/>
                <w:bottom w:val="none" w:sz="0" w:space="0" w:color="auto"/>
                <w:right w:val="none" w:sz="0" w:space="0" w:color="auto"/>
              </w:divBdr>
            </w:div>
            <w:div w:id="2104764449">
              <w:marLeft w:val="0"/>
              <w:marRight w:val="0"/>
              <w:marTop w:val="0"/>
              <w:marBottom w:val="0"/>
              <w:divBdr>
                <w:top w:val="none" w:sz="0" w:space="0" w:color="auto"/>
                <w:left w:val="none" w:sz="0" w:space="0" w:color="auto"/>
                <w:bottom w:val="none" w:sz="0" w:space="0" w:color="auto"/>
                <w:right w:val="none" w:sz="0" w:space="0" w:color="auto"/>
              </w:divBdr>
            </w:div>
            <w:div w:id="2104764500">
              <w:marLeft w:val="0"/>
              <w:marRight w:val="0"/>
              <w:marTop w:val="0"/>
              <w:marBottom w:val="0"/>
              <w:divBdr>
                <w:top w:val="none" w:sz="0" w:space="0" w:color="auto"/>
                <w:left w:val="none" w:sz="0" w:space="0" w:color="auto"/>
                <w:bottom w:val="none" w:sz="0" w:space="0" w:color="auto"/>
                <w:right w:val="none" w:sz="0" w:space="0" w:color="auto"/>
              </w:divBdr>
              <w:divsChild>
                <w:div w:id="2104764569">
                  <w:marLeft w:val="0"/>
                  <w:marRight w:val="0"/>
                  <w:marTop w:val="0"/>
                  <w:marBottom w:val="0"/>
                  <w:divBdr>
                    <w:top w:val="none" w:sz="0" w:space="0" w:color="auto"/>
                    <w:left w:val="none" w:sz="0" w:space="0" w:color="auto"/>
                    <w:bottom w:val="none" w:sz="0" w:space="0" w:color="auto"/>
                    <w:right w:val="none" w:sz="0" w:space="0" w:color="auto"/>
                  </w:divBdr>
                </w:div>
                <w:div w:id="2104764687">
                  <w:marLeft w:val="0"/>
                  <w:marRight w:val="0"/>
                  <w:marTop w:val="0"/>
                  <w:marBottom w:val="0"/>
                  <w:divBdr>
                    <w:top w:val="none" w:sz="0" w:space="0" w:color="auto"/>
                    <w:left w:val="none" w:sz="0" w:space="0" w:color="auto"/>
                    <w:bottom w:val="none" w:sz="0" w:space="0" w:color="auto"/>
                    <w:right w:val="none" w:sz="0" w:space="0" w:color="auto"/>
                  </w:divBdr>
                </w:div>
              </w:divsChild>
            </w:div>
            <w:div w:id="2104764614">
              <w:marLeft w:val="0"/>
              <w:marRight w:val="0"/>
              <w:marTop w:val="0"/>
              <w:marBottom w:val="0"/>
              <w:divBdr>
                <w:top w:val="none" w:sz="0" w:space="0" w:color="auto"/>
                <w:left w:val="none" w:sz="0" w:space="0" w:color="auto"/>
                <w:bottom w:val="none" w:sz="0" w:space="0" w:color="auto"/>
                <w:right w:val="none" w:sz="0" w:space="0" w:color="auto"/>
              </w:divBdr>
              <w:divsChild>
                <w:div w:id="2104764372">
                  <w:marLeft w:val="0"/>
                  <w:marRight w:val="0"/>
                  <w:marTop w:val="0"/>
                  <w:marBottom w:val="0"/>
                  <w:divBdr>
                    <w:top w:val="none" w:sz="0" w:space="0" w:color="auto"/>
                    <w:left w:val="none" w:sz="0" w:space="0" w:color="auto"/>
                    <w:bottom w:val="none" w:sz="0" w:space="0" w:color="auto"/>
                    <w:right w:val="none" w:sz="0" w:space="0" w:color="auto"/>
                  </w:divBdr>
                </w:div>
                <w:div w:id="2104764694">
                  <w:marLeft w:val="0"/>
                  <w:marRight w:val="0"/>
                  <w:marTop w:val="0"/>
                  <w:marBottom w:val="0"/>
                  <w:divBdr>
                    <w:top w:val="none" w:sz="0" w:space="0" w:color="auto"/>
                    <w:left w:val="none" w:sz="0" w:space="0" w:color="auto"/>
                    <w:bottom w:val="none" w:sz="0" w:space="0" w:color="auto"/>
                    <w:right w:val="none" w:sz="0" w:space="0" w:color="auto"/>
                  </w:divBdr>
                </w:div>
              </w:divsChild>
            </w:div>
            <w:div w:id="2104764621">
              <w:marLeft w:val="0"/>
              <w:marRight w:val="0"/>
              <w:marTop w:val="0"/>
              <w:marBottom w:val="0"/>
              <w:divBdr>
                <w:top w:val="none" w:sz="0" w:space="0" w:color="auto"/>
                <w:left w:val="none" w:sz="0" w:space="0" w:color="auto"/>
                <w:bottom w:val="none" w:sz="0" w:space="0" w:color="auto"/>
                <w:right w:val="none" w:sz="0" w:space="0" w:color="auto"/>
              </w:divBdr>
              <w:divsChild>
                <w:div w:id="2104764554">
                  <w:marLeft w:val="0"/>
                  <w:marRight w:val="0"/>
                  <w:marTop w:val="0"/>
                  <w:marBottom w:val="0"/>
                  <w:divBdr>
                    <w:top w:val="none" w:sz="0" w:space="0" w:color="auto"/>
                    <w:left w:val="none" w:sz="0" w:space="0" w:color="auto"/>
                    <w:bottom w:val="none" w:sz="0" w:space="0" w:color="auto"/>
                    <w:right w:val="none" w:sz="0" w:space="0" w:color="auto"/>
                  </w:divBdr>
                </w:div>
                <w:div w:id="2104764633">
                  <w:marLeft w:val="0"/>
                  <w:marRight w:val="0"/>
                  <w:marTop w:val="0"/>
                  <w:marBottom w:val="0"/>
                  <w:divBdr>
                    <w:top w:val="none" w:sz="0" w:space="0" w:color="auto"/>
                    <w:left w:val="none" w:sz="0" w:space="0" w:color="auto"/>
                    <w:bottom w:val="none" w:sz="0" w:space="0" w:color="auto"/>
                    <w:right w:val="none" w:sz="0" w:space="0" w:color="auto"/>
                  </w:divBdr>
                </w:div>
              </w:divsChild>
            </w:div>
            <w:div w:id="2104764701">
              <w:marLeft w:val="0"/>
              <w:marRight w:val="0"/>
              <w:marTop w:val="0"/>
              <w:marBottom w:val="0"/>
              <w:divBdr>
                <w:top w:val="none" w:sz="0" w:space="0" w:color="auto"/>
                <w:left w:val="none" w:sz="0" w:space="0" w:color="auto"/>
                <w:bottom w:val="none" w:sz="0" w:space="0" w:color="auto"/>
                <w:right w:val="none" w:sz="0" w:space="0" w:color="auto"/>
              </w:divBdr>
              <w:divsChild>
                <w:div w:id="2104764486">
                  <w:marLeft w:val="0"/>
                  <w:marRight w:val="0"/>
                  <w:marTop w:val="0"/>
                  <w:marBottom w:val="0"/>
                  <w:divBdr>
                    <w:top w:val="none" w:sz="0" w:space="0" w:color="auto"/>
                    <w:left w:val="none" w:sz="0" w:space="0" w:color="auto"/>
                    <w:bottom w:val="none" w:sz="0" w:space="0" w:color="auto"/>
                    <w:right w:val="none" w:sz="0" w:space="0" w:color="auto"/>
                  </w:divBdr>
                </w:div>
                <w:div w:id="21047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446">
      <w:marLeft w:val="390"/>
      <w:marRight w:val="390"/>
      <w:marTop w:val="0"/>
      <w:marBottom w:val="0"/>
      <w:divBdr>
        <w:top w:val="none" w:sz="0" w:space="0" w:color="auto"/>
        <w:left w:val="none" w:sz="0" w:space="0" w:color="auto"/>
        <w:bottom w:val="none" w:sz="0" w:space="0" w:color="auto"/>
        <w:right w:val="none" w:sz="0" w:space="0" w:color="auto"/>
      </w:divBdr>
    </w:div>
    <w:div w:id="2104764448">
      <w:marLeft w:val="390"/>
      <w:marRight w:val="390"/>
      <w:marTop w:val="0"/>
      <w:marBottom w:val="0"/>
      <w:divBdr>
        <w:top w:val="none" w:sz="0" w:space="0" w:color="auto"/>
        <w:left w:val="none" w:sz="0" w:space="0" w:color="auto"/>
        <w:bottom w:val="none" w:sz="0" w:space="0" w:color="auto"/>
        <w:right w:val="none" w:sz="0" w:space="0" w:color="auto"/>
      </w:divBdr>
    </w:div>
    <w:div w:id="2104764466">
      <w:marLeft w:val="0"/>
      <w:marRight w:val="0"/>
      <w:marTop w:val="0"/>
      <w:marBottom w:val="0"/>
      <w:divBdr>
        <w:top w:val="none" w:sz="0" w:space="0" w:color="auto"/>
        <w:left w:val="none" w:sz="0" w:space="0" w:color="auto"/>
        <w:bottom w:val="none" w:sz="0" w:space="0" w:color="auto"/>
        <w:right w:val="none" w:sz="0" w:space="0" w:color="auto"/>
      </w:divBdr>
      <w:divsChild>
        <w:div w:id="2104764305">
          <w:marLeft w:val="0"/>
          <w:marRight w:val="0"/>
          <w:marTop w:val="0"/>
          <w:marBottom w:val="0"/>
          <w:divBdr>
            <w:top w:val="none" w:sz="0" w:space="0" w:color="auto"/>
            <w:left w:val="none" w:sz="0" w:space="0" w:color="auto"/>
            <w:bottom w:val="none" w:sz="0" w:space="0" w:color="auto"/>
            <w:right w:val="none" w:sz="0" w:space="0" w:color="auto"/>
          </w:divBdr>
          <w:divsChild>
            <w:div w:id="2104764297">
              <w:marLeft w:val="0"/>
              <w:marRight w:val="0"/>
              <w:marTop w:val="0"/>
              <w:marBottom w:val="0"/>
              <w:divBdr>
                <w:top w:val="none" w:sz="0" w:space="0" w:color="auto"/>
                <w:left w:val="none" w:sz="0" w:space="0" w:color="auto"/>
                <w:bottom w:val="none" w:sz="0" w:space="0" w:color="auto"/>
                <w:right w:val="none" w:sz="0" w:space="0" w:color="auto"/>
              </w:divBdr>
              <w:divsChild>
                <w:div w:id="2104764323">
                  <w:marLeft w:val="0"/>
                  <w:marRight w:val="0"/>
                  <w:marTop w:val="0"/>
                  <w:marBottom w:val="0"/>
                  <w:divBdr>
                    <w:top w:val="none" w:sz="0" w:space="0" w:color="auto"/>
                    <w:left w:val="none" w:sz="0" w:space="0" w:color="auto"/>
                    <w:bottom w:val="none" w:sz="0" w:space="0" w:color="auto"/>
                    <w:right w:val="none" w:sz="0" w:space="0" w:color="auto"/>
                  </w:divBdr>
                </w:div>
                <w:div w:id="2104764671">
                  <w:marLeft w:val="0"/>
                  <w:marRight w:val="0"/>
                  <w:marTop w:val="0"/>
                  <w:marBottom w:val="0"/>
                  <w:divBdr>
                    <w:top w:val="none" w:sz="0" w:space="0" w:color="auto"/>
                    <w:left w:val="none" w:sz="0" w:space="0" w:color="auto"/>
                    <w:bottom w:val="none" w:sz="0" w:space="0" w:color="auto"/>
                    <w:right w:val="none" w:sz="0" w:space="0" w:color="auto"/>
                  </w:divBdr>
                </w:div>
              </w:divsChild>
            </w:div>
            <w:div w:id="2104764349">
              <w:marLeft w:val="0"/>
              <w:marRight w:val="0"/>
              <w:marTop w:val="0"/>
              <w:marBottom w:val="0"/>
              <w:divBdr>
                <w:top w:val="none" w:sz="0" w:space="0" w:color="auto"/>
                <w:left w:val="none" w:sz="0" w:space="0" w:color="auto"/>
                <w:bottom w:val="none" w:sz="0" w:space="0" w:color="auto"/>
                <w:right w:val="none" w:sz="0" w:space="0" w:color="auto"/>
              </w:divBdr>
              <w:divsChild>
                <w:div w:id="2104764462">
                  <w:marLeft w:val="0"/>
                  <w:marRight w:val="0"/>
                  <w:marTop w:val="0"/>
                  <w:marBottom w:val="0"/>
                  <w:divBdr>
                    <w:top w:val="none" w:sz="0" w:space="0" w:color="auto"/>
                    <w:left w:val="none" w:sz="0" w:space="0" w:color="auto"/>
                    <w:bottom w:val="none" w:sz="0" w:space="0" w:color="auto"/>
                    <w:right w:val="none" w:sz="0" w:space="0" w:color="auto"/>
                  </w:divBdr>
                </w:div>
              </w:divsChild>
            </w:div>
            <w:div w:id="2104764374">
              <w:marLeft w:val="0"/>
              <w:marRight w:val="0"/>
              <w:marTop w:val="0"/>
              <w:marBottom w:val="0"/>
              <w:divBdr>
                <w:top w:val="none" w:sz="0" w:space="0" w:color="auto"/>
                <w:left w:val="none" w:sz="0" w:space="0" w:color="auto"/>
                <w:bottom w:val="none" w:sz="0" w:space="0" w:color="auto"/>
                <w:right w:val="none" w:sz="0" w:space="0" w:color="auto"/>
              </w:divBdr>
              <w:divsChild>
                <w:div w:id="2104764638">
                  <w:marLeft w:val="0"/>
                  <w:marRight w:val="0"/>
                  <w:marTop w:val="0"/>
                  <w:marBottom w:val="0"/>
                  <w:divBdr>
                    <w:top w:val="none" w:sz="0" w:space="0" w:color="auto"/>
                    <w:left w:val="none" w:sz="0" w:space="0" w:color="auto"/>
                    <w:bottom w:val="none" w:sz="0" w:space="0" w:color="auto"/>
                    <w:right w:val="none" w:sz="0" w:space="0" w:color="auto"/>
                  </w:divBdr>
                </w:div>
                <w:div w:id="2104764692">
                  <w:marLeft w:val="0"/>
                  <w:marRight w:val="0"/>
                  <w:marTop w:val="0"/>
                  <w:marBottom w:val="0"/>
                  <w:divBdr>
                    <w:top w:val="none" w:sz="0" w:space="0" w:color="auto"/>
                    <w:left w:val="none" w:sz="0" w:space="0" w:color="auto"/>
                    <w:bottom w:val="none" w:sz="0" w:space="0" w:color="auto"/>
                    <w:right w:val="none" w:sz="0" w:space="0" w:color="auto"/>
                  </w:divBdr>
                </w:div>
              </w:divsChild>
            </w:div>
            <w:div w:id="2104764380">
              <w:marLeft w:val="0"/>
              <w:marRight w:val="0"/>
              <w:marTop w:val="0"/>
              <w:marBottom w:val="0"/>
              <w:divBdr>
                <w:top w:val="none" w:sz="0" w:space="0" w:color="auto"/>
                <w:left w:val="none" w:sz="0" w:space="0" w:color="auto"/>
                <w:bottom w:val="none" w:sz="0" w:space="0" w:color="auto"/>
                <w:right w:val="none" w:sz="0" w:space="0" w:color="auto"/>
              </w:divBdr>
              <w:divsChild>
                <w:div w:id="2104764294">
                  <w:marLeft w:val="0"/>
                  <w:marRight w:val="0"/>
                  <w:marTop w:val="0"/>
                  <w:marBottom w:val="0"/>
                  <w:divBdr>
                    <w:top w:val="none" w:sz="0" w:space="0" w:color="auto"/>
                    <w:left w:val="none" w:sz="0" w:space="0" w:color="auto"/>
                    <w:bottom w:val="none" w:sz="0" w:space="0" w:color="auto"/>
                    <w:right w:val="none" w:sz="0" w:space="0" w:color="auto"/>
                  </w:divBdr>
                </w:div>
                <w:div w:id="2104764439">
                  <w:marLeft w:val="0"/>
                  <w:marRight w:val="0"/>
                  <w:marTop w:val="0"/>
                  <w:marBottom w:val="0"/>
                  <w:divBdr>
                    <w:top w:val="none" w:sz="0" w:space="0" w:color="auto"/>
                    <w:left w:val="none" w:sz="0" w:space="0" w:color="auto"/>
                    <w:bottom w:val="none" w:sz="0" w:space="0" w:color="auto"/>
                    <w:right w:val="none" w:sz="0" w:space="0" w:color="auto"/>
                  </w:divBdr>
                </w:div>
              </w:divsChild>
            </w:div>
            <w:div w:id="2104764393">
              <w:marLeft w:val="0"/>
              <w:marRight w:val="0"/>
              <w:marTop w:val="0"/>
              <w:marBottom w:val="0"/>
              <w:divBdr>
                <w:top w:val="none" w:sz="0" w:space="0" w:color="auto"/>
                <w:left w:val="none" w:sz="0" w:space="0" w:color="auto"/>
                <w:bottom w:val="none" w:sz="0" w:space="0" w:color="auto"/>
                <w:right w:val="none" w:sz="0" w:space="0" w:color="auto"/>
              </w:divBdr>
              <w:divsChild>
                <w:div w:id="2104764311">
                  <w:marLeft w:val="0"/>
                  <w:marRight w:val="0"/>
                  <w:marTop w:val="0"/>
                  <w:marBottom w:val="0"/>
                  <w:divBdr>
                    <w:top w:val="none" w:sz="0" w:space="0" w:color="auto"/>
                    <w:left w:val="none" w:sz="0" w:space="0" w:color="auto"/>
                    <w:bottom w:val="none" w:sz="0" w:space="0" w:color="auto"/>
                    <w:right w:val="none" w:sz="0" w:space="0" w:color="auto"/>
                  </w:divBdr>
                </w:div>
                <w:div w:id="2104764485">
                  <w:marLeft w:val="0"/>
                  <w:marRight w:val="0"/>
                  <w:marTop w:val="0"/>
                  <w:marBottom w:val="0"/>
                  <w:divBdr>
                    <w:top w:val="none" w:sz="0" w:space="0" w:color="auto"/>
                    <w:left w:val="none" w:sz="0" w:space="0" w:color="auto"/>
                    <w:bottom w:val="none" w:sz="0" w:space="0" w:color="auto"/>
                    <w:right w:val="none" w:sz="0" w:space="0" w:color="auto"/>
                  </w:divBdr>
                </w:div>
              </w:divsChild>
            </w:div>
            <w:div w:id="2104764398">
              <w:marLeft w:val="0"/>
              <w:marRight w:val="0"/>
              <w:marTop w:val="0"/>
              <w:marBottom w:val="0"/>
              <w:divBdr>
                <w:top w:val="none" w:sz="0" w:space="0" w:color="auto"/>
                <w:left w:val="none" w:sz="0" w:space="0" w:color="auto"/>
                <w:bottom w:val="none" w:sz="0" w:space="0" w:color="auto"/>
                <w:right w:val="none" w:sz="0" w:space="0" w:color="auto"/>
              </w:divBdr>
              <w:divsChild>
                <w:div w:id="2104764350">
                  <w:marLeft w:val="0"/>
                  <w:marRight w:val="0"/>
                  <w:marTop w:val="0"/>
                  <w:marBottom w:val="0"/>
                  <w:divBdr>
                    <w:top w:val="none" w:sz="0" w:space="0" w:color="auto"/>
                    <w:left w:val="none" w:sz="0" w:space="0" w:color="auto"/>
                    <w:bottom w:val="none" w:sz="0" w:space="0" w:color="auto"/>
                    <w:right w:val="none" w:sz="0" w:space="0" w:color="auto"/>
                  </w:divBdr>
                </w:div>
                <w:div w:id="2104764667">
                  <w:marLeft w:val="0"/>
                  <w:marRight w:val="0"/>
                  <w:marTop w:val="0"/>
                  <w:marBottom w:val="0"/>
                  <w:divBdr>
                    <w:top w:val="none" w:sz="0" w:space="0" w:color="auto"/>
                    <w:left w:val="none" w:sz="0" w:space="0" w:color="auto"/>
                    <w:bottom w:val="none" w:sz="0" w:space="0" w:color="auto"/>
                    <w:right w:val="none" w:sz="0" w:space="0" w:color="auto"/>
                  </w:divBdr>
                </w:div>
              </w:divsChild>
            </w:div>
            <w:div w:id="2104764460">
              <w:marLeft w:val="0"/>
              <w:marRight w:val="0"/>
              <w:marTop w:val="0"/>
              <w:marBottom w:val="0"/>
              <w:divBdr>
                <w:top w:val="none" w:sz="0" w:space="0" w:color="auto"/>
                <w:left w:val="none" w:sz="0" w:space="0" w:color="auto"/>
                <w:bottom w:val="none" w:sz="0" w:space="0" w:color="auto"/>
                <w:right w:val="none" w:sz="0" w:space="0" w:color="auto"/>
              </w:divBdr>
              <w:divsChild>
                <w:div w:id="2104764316">
                  <w:marLeft w:val="0"/>
                  <w:marRight w:val="0"/>
                  <w:marTop w:val="0"/>
                  <w:marBottom w:val="0"/>
                  <w:divBdr>
                    <w:top w:val="none" w:sz="0" w:space="0" w:color="auto"/>
                    <w:left w:val="none" w:sz="0" w:space="0" w:color="auto"/>
                    <w:bottom w:val="none" w:sz="0" w:space="0" w:color="auto"/>
                    <w:right w:val="none" w:sz="0" w:space="0" w:color="auto"/>
                  </w:divBdr>
                </w:div>
                <w:div w:id="2104764465">
                  <w:marLeft w:val="0"/>
                  <w:marRight w:val="0"/>
                  <w:marTop w:val="0"/>
                  <w:marBottom w:val="0"/>
                  <w:divBdr>
                    <w:top w:val="none" w:sz="0" w:space="0" w:color="auto"/>
                    <w:left w:val="none" w:sz="0" w:space="0" w:color="auto"/>
                    <w:bottom w:val="none" w:sz="0" w:space="0" w:color="auto"/>
                    <w:right w:val="none" w:sz="0" w:space="0" w:color="auto"/>
                  </w:divBdr>
                </w:div>
              </w:divsChild>
            </w:div>
            <w:div w:id="2104764503">
              <w:marLeft w:val="0"/>
              <w:marRight w:val="0"/>
              <w:marTop w:val="0"/>
              <w:marBottom w:val="0"/>
              <w:divBdr>
                <w:top w:val="none" w:sz="0" w:space="0" w:color="auto"/>
                <w:left w:val="none" w:sz="0" w:space="0" w:color="auto"/>
                <w:bottom w:val="none" w:sz="0" w:space="0" w:color="auto"/>
                <w:right w:val="none" w:sz="0" w:space="0" w:color="auto"/>
              </w:divBdr>
              <w:divsChild>
                <w:div w:id="2104764388">
                  <w:marLeft w:val="0"/>
                  <w:marRight w:val="0"/>
                  <w:marTop w:val="0"/>
                  <w:marBottom w:val="0"/>
                  <w:divBdr>
                    <w:top w:val="none" w:sz="0" w:space="0" w:color="auto"/>
                    <w:left w:val="none" w:sz="0" w:space="0" w:color="auto"/>
                    <w:bottom w:val="none" w:sz="0" w:space="0" w:color="auto"/>
                    <w:right w:val="none" w:sz="0" w:space="0" w:color="auto"/>
                  </w:divBdr>
                </w:div>
                <w:div w:id="2104764595">
                  <w:marLeft w:val="0"/>
                  <w:marRight w:val="0"/>
                  <w:marTop w:val="0"/>
                  <w:marBottom w:val="0"/>
                  <w:divBdr>
                    <w:top w:val="none" w:sz="0" w:space="0" w:color="auto"/>
                    <w:left w:val="none" w:sz="0" w:space="0" w:color="auto"/>
                    <w:bottom w:val="none" w:sz="0" w:space="0" w:color="auto"/>
                    <w:right w:val="none" w:sz="0" w:space="0" w:color="auto"/>
                  </w:divBdr>
                </w:div>
              </w:divsChild>
            </w:div>
            <w:div w:id="2104764535">
              <w:marLeft w:val="0"/>
              <w:marRight w:val="0"/>
              <w:marTop w:val="0"/>
              <w:marBottom w:val="0"/>
              <w:divBdr>
                <w:top w:val="none" w:sz="0" w:space="0" w:color="auto"/>
                <w:left w:val="none" w:sz="0" w:space="0" w:color="auto"/>
                <w:bottom w:val="none" w:sz="0" w:space="0" w:color="auto"/>
                <w:right w:val="none" w:sz="0" w:space="0" w:color="auto"/>
              </w:divBdr>
              <w:divsChild>
                <w:div w:id="2104764458">
                  <w:marLeft w:val="0"/>
                  <w:marRight w:val="0"/>
                  <w:marTop w:val="0"/>
                  <w:marBottom w:val="0"/>
                  <w:divBdr>
                    <w:top w:val="none" w:sz="0" w:space="0" w:color="auto"/>
                    <w:left w:val="none" w:sz="0" w:space="0" w:color="auto"/>
                    <w:bottom w:val="none" w:sz="0" w:space="0" w:color="auto"/>
                    <w:right w:val="none" w:sz="0" w:space="0" w:color="auto"/>
                  </w:divBdr>
                </w:div>
                <w:div w:id="2104764491">
                  <w:marLeft w:val="0"/>
                  <w:marRight w:val="0"/>
                  <w:marTop w:val="0"/>
                  <w:marBottom w:val="0"/>
                  <w:divBdr>
                    <w:top w:val="none" w:sz="0" w:space="0" w:color="auto"/>
                    <w:left w:val="none" w:sz="0" w:space="0" w:color="auto"/>
                    <w:bottom w:val="none" w:sz="0" w:space="0" w:color="auto"/>
                    <w:right w:val="none" w:sz="0" w:space="0" w:color="auto"/>
                  </w:divBdr>
                </w:div>
              </w:divsChild>
            </w:div>
            <w:div w:id="2104764545">
              <w:marLeft w:val="0"/>
              <w:marRight w:val="0"/>
              <w:marTop w:val="0"/>
              <w:marBottom w:val="0"/>
              <w:divBdr>
                <w:top w:val="none" w:sz="0" w:space="0" w:color="auto"/>
                <w:left w:val="none" w:sz="0" w:space="0" w:color="auto"/>
                <w:bottom w:val="none" w:sz="0" w:space="0" w:color="auto"/>
                <w:right w:val="none" w:sz="0" w:space="0" w:color="auto"/>
              </w:divBdr>
              <w:divsChild>
                <w:div w:id="2104764451">
                  <w:marLeft w:val="0"/>
                  <w:marRight w:val="0"/>
                  <w:marTop w:val="0"/>
                  <w:marBottom w:val="0"/>
                  <w:divBdr>
                    <w:top w:val="none" w:sz="0" w:space="0" w:color="auto"/>
                    <w:left w:val="none" w:sz="0" w:space="0" w:color="auto"/>
                    <w:bottom w:val="none" w:sz="0" w:space="0" w:color="auto"/>
                    <w:right w:val="none" w:sz="0" w:space="0" w:color="auto"/>
                  </w:divBdr>
                </w:div>
                <w:div w:id="2104764741">
                  <w:marLeft w:val="0"/>
                  <w:marRight w:val="0"/>
                  <w:marTop w:val="0"/>
                  <w:marBottom w:val="0"/>
                  <w:divBdr>
                    <w:top w:val="none" w:sz="0" w:space="0" w:color="auto"/>
                    <w:left w:val="none" w:sz="0" w:space="0" w:color="auto"/>
                    <w:bottom w:val="none" w:sz="0" w:space="0" w:color="auto"/>
                    <w:right w:val="none" w:sz="0" w:space="0" w:color="auto"/>
                  </w:divBdr>
                </w:div>
              </w:divsChild>
            </w:div>
            <w:div w:id="2104764561">
              <w:marLeft w:val="0"/>
              <w:marRight w:val="0"/>
              <w:marTop w:val="0"/>
              <w:marBottom w:val="0"/>
              <w:divBdr>
                <w:top w:val="none" w:sz="0" w:space="0" w:color="auto"/>
                <w:left w:val="none" w:sz="0" w:space="0" w:color="auto"/>
                <w:bottom w:val="none" w:sz="0" w:space="0" w:color="auto"/>
                <w:right w:val="none" w:sz="0" w:space="0" w:color="auto"/>
              </w:divBdr>
              <w:divsChild>
                <w:div w:id="2104764620">
                  <w:marLeft w:val="0"/>
                  <w:marRight w:val="0"/>
                  <w:marTop w:val="0"/>
                  <w:marBottom w:val="0"/>
                  <w:divBdr>
                    <w:top w:val="none" w:sz="0" w:space="0" w:color="auto"/>
                    <w:left w:val="none" w:sz="0" w:space="0" w:color="auto"/>
                    <w:bottom w:val="none" w:sz="0" w:space="0" w:color="auto"/>
                    <w:right w:val="none" w:sz="0" w:space="0" w:color="auto"/>
                  </w:divBdr>
                </w:div>
                <w:div w:id="2104764731">
                  <w:marLeft w:val="0"/>
                  <w:marRight w:val="0"/>
                  <w:marTop w:val="0"/>
                  <w:marBottom w:val="0"/>
                  <w:divBdr>
                    <w:top w:val="none" w:sz="0" w:space="0" w:color="auto"/>
                    <w:left w:val="none" w:sz="0" w:space="0" w:color="auto"/>
                    <w:bottom w:val="none" w:sz="0" w:space="0" w:color="auto"/>
                    <w:right w:val="none" w:sz="0" w:space="0" w:color="auto"/>
                  </w:divBdr>
                </w:div>
              </w:divsChild>
            </w:div>
            <w:div w:id="2104764730">
              <w:marLeft w:val="0"/>
              <w:marRight w:val="0"/>
              <w:marTop w:val="0"/>
              <w:marBottom w:val="0"/>
              <w:divBdr>
                <w:top w:val="none" w:sz="0" w:space="0" w:color="auto"/>
                <w:left w:val="none" w:sz="0" w:space="0" w:color="auto"/>
                <w:bottom w:val="none" w:sz="0" w:space="0" w:color="auto"/>
                <w:right w:val="none" w:sz="0" w:space="0" w:color="auto"/>
              </w:divBdr>
              <w:divsChild>
                <w:div w:id="2104764344">
                  <w:marLeft w:val="0"/>
                  <w:marRight w:val="0"/>
                  <w:marTop w:val="0"/>
                  <w:marBottom w:val="0"/>
                  <w:divBdr>
                    <w:top w:val="none" w:sz="0" w:space="0" w:color="auto"/>
                    <w:left w:val="none" w:sz="0" w:space="0" w:color="auto"/>
                    <w:bottom w:val="none" w:sz="0" w:space="0" w:color="auto"/>
                    <w:right w:val="none" w:sz="0" w:space="0" w:color="auto"/>
                  </w:divBdr>
                </w:div>
                <w:div w:id="2104764387">
                  <w:marLeft w:val="0"/>
                  <w:marRight w:val="0"/>
                  <w:marTop w:val="0"/>
                  <w:marBottom w:val="0"/>
                  <w:divBdr>
                    <w:top w:val="none" w:sz="0" w:space="0" w:color="auto"/>
                    <w:left w:val="none" w:sz="0" w:space="0" w:color="auto"/>
                    <w:bottom w:val="none" w:sz="0" w:space="0" w:color="auto"/>
                    <w:right w:val="none" w:sz="0" w:space="0" w:color="auto"/>
                  </w:divBdr>
                </w:div>
              </w:divsChild>
            </w:div>
            <w:div w:id="2104764743">
              <w:marLeft w:val="0"/>
              <w:marRight w:val="0"/>
              <w:marTop w:val="0"/>
              <w:marBottom w:val="0"/>
              <w:divBdr>
                <w:top w:val="none" w:sz="0" w:space="0" w:color="auto"/>
                <w:left w:val="none" w:sz="0" w:space="0" w:color="auto"/>
                <w:bottom w:val="none" w:sz="0" w:space="0" w:color="auto"/>
                <w:right w:val="none" w:sz="0" w:space="0" w:color="auto"/>
              </w:divBdr>
              <w:divsChild>
                <w:div w:id="2104764326">
                  <w:marLeft w:val="0"/>
                  <w:marRight w:val="0"/>
                  <w:marTop w:val="0"/>
                  <w:marBottom w:val="0"/>
                  <w:divBdr>
                    <w:top w:val="none" w:sz="0" w:space="0" w:color="auto"/>
                    <w:left w:val="none" w:sz="0" w:space="0" w:color="auto"/>
                    <w:bottom w:val="none" w:sz="0" w:space="0" w:color="auto"/>
                    <w:right w:val="none" w:sz="0" w:space="0" w:color="auto"/>
                  </w:divBdr>
                </w:div>
                <w:div w:id="21047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4409">
          <w:marLeft w:val="0"/>
          <w:marRight w:val="0"/>
          <w:marTop w:val="0"/>
          <w:marBottom w:val="0"/>
          <w:divBdr>
            <w:top w:val="none" w:sz="0" w:space="0" w:color="auto"/>
            <w:left w:val="none" w:sz="0" w:space="0" w:color="auto"/>
            <w:bottom w:val="none" w:sz="0" w:space="0" w:color="auto"/>
            <w:right w:val="none" w:sz="0" w:space="0" w:color="auto"/>
          </w:divBdr>
          <w:divsChild>
            <w:div w:id="2104764357">
              <w:marLeft w:val="0"/>
              <w:marRight w:val="0"/>
              <w:marTop w:val="0"/>
              <w:marBottom w:val="0"/>
              <w:divBdr>
                <w:top w:val="none" w:sz="0" w:space="0" w:color="auto"/>
                <w:left w:val="none" w:sz="0" w:space="0" w:color="auto"/>
                <w:bottom w:val="none" w:sz="0" w:space="0" w:color="auto"/>
                <w:right w:val="none" w:sz="0" w:space="0" w:color="auto"/>
              </w:divBdr>
              <w:divsChild>
                <w:div w:id="2104764366">
                  <w:marLeft w:val="0"/>
                  <w:marRight w:val="0"/>
                  <w:marTop w:val="0"/>
                  <w:marBottom w:val="0"/>
                  <w:divBdr>
                    <w:top w:val="none" w:sz="0" w:space="0" w:color="auto"/>
                    <w:left w:val="none" w:sz="0" w:space="0" w:color="auto"/>
                    <w:bottom w:val="none" w:sz="0" w:space="0" w:color="auto"/>
                    <w:right w:val="none" w:sz="0" w:space="0" w:color="auto"/>
                  </w:divBdr>
                </w:div>
                <w:div w:id="2104764717">
                  <w:marLeft w:val="0"/>
                  <w:marRight w:val="0"/>
                  <w:marTop w:val="0"/>
                  <w:marBottom w:val="0"/>
                  <w:divBdr>
                    <w:top w:val="none" w:sz="0" w:space="0" w:color="auto"/>
                    <w:left w:val="none" w:sz="0" w:space="0" w:color="auto"/>
                    <w:bottom w:val="none" w:sz="0" w:space="0" w:color="auto"/>
                    <w:right w:val="none" w:sz="0" w:space="0" w:color="auto"/>
                  </w:divBdr>
                </w:div>
              </w:divsChild>
            </w:div>
            <w:div w:id="2104764410">
              <w:marLeft w:val="0"/>
              <w:marRight w:val="0"/>
              <w:marTop w:val="0"/>
              <w:marBottom w:val="0"/>
              <w:divBdr>
                <w:top w:val="none" w:sz="0" w:space="0" w:color="auto"/>
                <w:left w:val="none" w:sz="0" w:space="0" w:color="auto"/>
                <w:bottom w:val="none" w:sz="0" w:space="0" w:color="auto"/>
                <w:right w:val="none" w:sz="0" w:space="0" w:color="auto"/>
              </w:divBdr>
              <w:divsChild>
                <w:div w:id="2104764298">
                  <w:marLeft w:val="0"/>
                  <w:marRight w:val="0"/>
                  <w:marTop w:val="0"/>
                  <w:marBottom w:val="0"/>
                  <w:divBdr>
                    <w:top w:val="none" w:sz="0" w:space="0" w:color="auto"/>
                    <w:left w:val="none" w:sz="0" w:space="0" w:color="auto"/>
                    <w:bottom w:val="none" w:sz="0" w:space="0" w:color="auto"/>
                    <w:right w:val="none" w:sz="0" w:space="0" w:color="auto"/>
                  </w:divBdr>
                </w:div>
                <w:div w:id="2104764733">
                  <w:marLeft w:val="0"/>
                  <w:marRight w:val="0"/>
                  <w:marTop w:val="0"/>
                  <w:marBottom w:val="0"/>
                  <w:divBdr>
                    <w:top w:val="none" w:sz="0" w:space="0" w:color="auto"/>
                    <w:left w:val="none" w:sz="0" w:space="0" w:color="auto"/>
                    <w:bottom w:val="none" w:sz="0" w:space="0" w:color="auto"/>
                    <w:right w:val="none" w:sz="0" w:space="0" w:color="auto"/>
                  </w:divBdr>
                </w:div>
              </w:divsChild>
            </w:div>
            <w:div w:id="2104764413">
              <w:marLeft w:val="0"/>
              <w:marRight w:val="0"/>
              <w:marTop w:val="0"/>
              <w:marBottom w:val="0"/>
              <w:divBdr>
                <w:top w:val="none" w:sz="0" w:space="0" w:color="auto"/>
                <w:left w:val="none" w:sz="0" w:space="0" w:color="auto"/>
                <w:bottom w:val="none" w:sz="0" w:space="0" w:color="auto"/>
                <w:right w:val="none" w:sz="0" w:space="0" w:color="auto"/>
              </w:divBdr>
              <w:divsChild>
                <w:div w:id="2104764480">
                  <w:marLeft w:val="0"/>
                  <w:marRight w:val="0"/>
                  <w:marTop w:val="0"/>
                  <w:marBottom w:val="0"/>
                  <w:divBdr>
                    <w:top w:val="none" w:sz="0" w:space="0" w:color="auto"/>
                    <w:left w:val="none" w:sz="0" w:space="0" w:color="auto"/>
                    <w:bottom w:val="none" w:sz="0" w:space="0" w:color="auto"/>
                    <w:right w:val="none" w:sz="0" w:space="0" w:color="auto"/>
                  </w:divBdr>
                </w:div>
                <w:div w:id="2104764641">
                  <w:marLeft w:val="0"/>
                  <w:marRight w:val="0"/>
                  <w:marTop w:val="0"/>
                  <w:marBottom w:val="0"/>
                  <w:divBdr>
                    <w:top w:val="none" w:sz="0" w:space="0" w:color="auto"/>
                    <w:left w:val="none" w:sz="0" w:space="0" w:color="auto"/>
                    <w:bottom w:val="none" w:sz="0" w:space="0" w:color="auto"/>
                    <w:right w:val="none" w:sz="0" w:space="0" w:color="auto"/>
                  </w:divBdr>
                </w:div>
              </w:divsChild>
            </w:div>
            <w:div w:id="2104764429">
              <w:marLeft w:val="0"/>
              <w:marRight w:val="0"/>
              <w:marTop w:val="0"/>
              <w:marBottom w:val="0"/>
              <w:divBdr>
                <w:top w:val="none" w:sz="0" w:space="0" w:color="auto"/>
                <w:left w:val="none" w:sz="0" w:space="0" w:color="auto"/>
                <w:bottom w:val="none" w:sz="0" w:space="0" w:color="auto"/>
                <w:right w:val="none" w:sz="0" w:space="0" w:color="auto"/>
              </w:divBdr>
            </w:div>
            <w:div w:id="2104764512">
              <w:marLeft w:val="0"/>
              <w:marRight w:val="0"/>
              <w:marTop w:val="0"/>
              <w:marBottom w:val="0"/>
              <w:divBdr>
                <w:top w:val="none" w:sz="0" w:space="0" w:color="auto"/>
                <w:left w:val="none" w:sz="0" w:space="0" w:color="auto"/>
                <w:bottom w:val="none" w:sz="0" w:space="0" w:color="auto"/>
                <w:right w:val="none" w:sz="0" w:space="0" w:color="auto"/>
              </w:divBdr>
            </w:div>
            <w:div w:id="2104764518">
              <w:marLeft w:val="0"/>
              <w:marRight w:val="0"/>
              <w:marTop w:val="0"/>
              <w:marBottom w:val="0"/>
              <w:divBdr>
                <w:top w:val="none" w:sz="0" w:space="0" w:color="auto"/>
                <w:left w:val="none" w:sz="0" w:space="0" w:color="auto"/>
                <w:bottom w:val="none" w:sz="0" w:space="0" w:color="auto"/>
                <w:right w:val="none" w:sz="0" w:space="0" w:color="auto"/>
              </w:divBdr>
              <w:divsChild>
                <w:div w:id="2104764484">
                  <w:marLeft w:val="0"/>
                  <w:marRight w:val="0"/>
                  <w:marTop w:val="0"/>
                  <w:marBottom w:val="0"/>
                  <w:divBdr>
                    <w:top w:val="none" w:sz="0" w:space="0" w:color="auto"/>
                    <w:left w:val="none" w:sz="0" w:space="0" w:color="auto"/>
                    <w:bottom w:val="none" w:sz="0" w:space="0" w:color="auto"/>
                    <w:right w:val="none" w:sz="0" w:space="0" w:color="auto"/>
                  </w:divBdr>
                </w:div>
                <w:div w:id="2104764606">
                  <w:marLeft w:val="0"/>
                  <w:marRight w:val="0"/>
                  <w:marTop w:val="0"/>
                  <w:marBottom w:val="0"/>
                  <w:divBdr>
                    <w:top w:val="none" w:sz="0" w:space="0" w:color="auto"/>
                    <w:left w:val="none" w:sz="0" w:space="0" w:color="auto"/>
                    <w:bottom w:val="none" w:sz="0" w:space="0" w:color="auto"/>
                    <w:right w:val="none" w:sz="0" w:space="0" w:color="auto"/>
                  </w:divBdr>
                </w:div>
              </w:divsChild>
            </w:div>
            <w:div w:id="2104764560">
              <w:marLeft w:val="0"/>
              <w:marRight w:val="0"/>
              <w:marTop w:val="0"/>
              <w:marBottom w:val="0"/>
              <w:divBdr>
                <w:top w:val="none" w:sz="0" w:space="0" w:color="auto"/>
                <w:left w:val="none" w:sz="0" w:space="0" w:color="auto"/>
                <w:bottom w:val="none" w:sz="0" w:space="0" w:color="auto"/>
                <w:right w:val="none" w:sz="0" w:space="0" w:color="auto"/>
              </w:divBdr>
              <w:divsChild>
                <w:div w:id="2104764629">
                  <w:marLeft w:val="0"/>
                  <w:marRight w:val="0"/>
                  <w:marTop w:val="0"/>
                  <w:marBottom w:val="0"/>
                  <w:divBdr>
                    <w:top w:val="none" w:sz="0" w:space="0" w:color="auto"/>
                    <w:left w:val="none" w:sz="0" w:space="0" w:color="auto"/>
                    <w:bottom w:val="none" w:sz="0" w:space="0" w:color="auto"/>
                    <w:right w:val="none" w:sz="0" w:space="0" w:color="auto"/>
                  </w:divBdr>
                </w:div>
                <w:div w:id="2104764700">
                  <w:marLeft w:val="0"/>
                  <w:marRight w:val="0"/>
                  <w:marTop w:val="0"/>
                  <w:marBottom w:val="0"/>
                  <w:divBdr>
                    <w:top w:val="none" w:sz="0" w:space="0" w:color="auto"/>
                    <w:left w:val="none" w:sz="0" w:space="0" w:color="auto"/>
                    <w:bottom w:val="none" w:sz="0" w:space="0" w:color="auto"/>
                    <w:right w:val="none" w:sz="0" w:space="0" w:color="auto"/>
                  </w:divBdr>
                </w:div>
              </w:divsChild>
            </w:div>
            <w:div w:id="2104764669">
              <w:marLeft w:val="0"/>
              <w:marRight w:val="0"/>
              <w:marTop w:val="0"/>
              <w:marBottom w:val="0"/>
              <w:divBdr>
                <w:top w:val="none" w:sz="0" w:space="0" w:color="auto"/>
                <w:left w:val="none" w:sz="0" w:space="0" w:color="auto"/>
                <w:bottom w:val="none" w:sz="0" w:space="0" w:color="auto"/>
                <w:right w:val="none" w:sz="0" w:space="0" w:color="auto"/>
              </w:divBdr>
            </w:div>
            <w:div w:id="2104764683">
              <w:marLeft w:val="0"/>
              <w:marRight w:val="0"/>
              <w:marTop w:val="0"/>
              <w:marBottom w:val="0"/>
              <w:divBdr>
                <w:top w:val="none" w:sz="0" w:space="0" w:color="auto"/>
                <w:left w:val="none" w:sz="0" w:space="0" w:color="auto"/>
                <w:bottom w:val="none" w:sz="0" w:space="0" w:color="auto"/>
                <w:right w:val="none" w:sz="0" w:space="0" w:color="auto"/>
              </w:divBdr>
              <w:divsChild>
                <w:div w:id="2104764420">
                  <w:marLeft w:val="0"/>
                  <w:marRight w:val="0"/>
                  <w:marTop w:val="0"/>
                  <w:marBottom w:val="0"/>
                  <w:divBdr>
                    <w:top w:val="none" w:sz="0" w:space="0" w:color="auto"/>
                    <w:left w:val="none" w:sz="0" w:space="0" w:color="auto"/>
                    <w:bottom w:val="none" w:sz="0" w:space="0" w:color="auto"/>
                    <w:right w:val="none" w:sz="0" w:space="0" w:color="auto"/>
                  </w:divBdr>
                </w:div>
                <w:div w:id="2104764443">
                  <w:marLeft w:val="0"/>
                  <w:marRight w:val="0"/>
                  <w:marTop w:val="0"/>
                  <w:marBottom w:val="0"/>
                  <w:divBdr>
                    <w:top w:val="none" w:sz="0" w:space="0" w:color="auto"/>
                    <w:left w:val="none" w:sz="0" w:space="0" w:color="auto"/>
                    <w:bottom w:val="none" w:sz="0" w:space="0" w:color="auto"/>
                    <w:right w:val="none" w:sz="0" w:space="0" w:color="auto"/>
                  </w:divBdr>
                </w:div>
              </w:divsChild>
            </w:div>
            <w:div w:id="2104764723">
              <w:marLeft w:val="0"/>
              <w:marRight w:val="0"/>
              <w:marTop w:val="0"/>
              <w:marBottom w:val="0"/>
              <w:divBdr>
                <w:top w:val="none" w:sz="0" w:space="0" w:color="auto"/>
                <w:left w:val="none" w:sz="0" w:space="0" w:color="auto"/>
                <w:bottom w:val="none" w:sz="0" w:space="0" w:color="auto"/>
                <w:right w:val="none" w:sz="0" w:space="0" w:color="auto"/>
              </w:divBdr>
              <w:divsChild>
                <w:div w:id="2104764401">
                  <w:marLeft w:val="0"/>
                  <w:marRight w:val="0"/>
                  <w:marTop w:val="0"/>
                  <w:marBottom w:val="0"/>
                  <w:divBdr>
                    <w:top w:val="none" w:sz="0" w:space="0" w:color="auto"/>
                    <w:left w:val="none" w:sz="0" w:space="0" w:color="auto"/>
                    <w:bottom w:val="none" w:sz="0" w:space="0" w:color="auto"/>
                    <w:right w:val="none" w:sz="0" w:space="0" w:color="auto"/>
                  </w:divBdr>
                </w:div>
                <w:div w:id="21047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4659">
          <w:marLeft w:val="0"/>
          <w:marRight w:val="0"/>
          <w:marTop w:val="0"/>
          <w:marBottom w:val="0"/>
          <w:divBdr>
            <w:top w:val="none" w:sz="0" w:space="0" w:color="auto"/>
            <w:left w:val="none" w:sz="0" w:space="0" w:color="auto"/>
            <w:bottom w:val="none" w:sz="0" w:space="0" w:color="auto"/>
            <w:right w:val="none" w:sz="0" w:space="0" w:color="auto"/>
          </w:divBdr>
          <w:divsChild>
            <w:div w:id="2104764296">
              <w:marLeft w:val="0"/>
              <w:marRight w:val="0"/>
              <w:marTop w:val="0"/>
              <w:marBottom w:val="0"/>
              <w:divBdr>
                <w:top w:val="none" w:sz="0" w:space="0" w:color="auto"/>
                <w:left w:val="none" w:sz="0" w:space="0" w:color="auto"/>
                <w:bottom w:val="none" w:sz="0" w:space="0" w:color="auto"/>
                <w:right w:val="none" w:sz="0" w:space="0" w:color="auto"/>
              </w:divBdr>
              <w:divsChild>
                <w:div w:id="2104764533">
                  <w:marLeft w:val="0"/>
                  <w:marRight w:val="0"/>
                  <w:marTop w:val="0"/>
                  <w:marBottom w:val="0"/>
                  <w:divBdr>
                    <w:top w:val="none" w:sz="0" w:space="0" w:color="auto"/>
                    <w:left w:val="none" w:sz="0" w:space="0" w:color="auto"/>
                    <w:bottom w:val="none" w:sz="0" w:space="0" w:color="auto"/>
                    <w:right w:val="none" w:sz="0" w:space="0" w:color="auto"/>
                  </w:divBdr>
                </w:div>
                <w:div w:id="2104764577">
                  <w:marLeft w:val="0"/>
                  <w:marRight w:val="0"/>
                  <w:marTop w:val="0"/>
                  <w:marBottom w:val="0"/>
                  <w:divBdr>
                    <w:top w:val="none" w:sz="0" w:space="0" w:color="auto"/>
                    <w:left w:val="none" w:sz="0" w:space="0" w:color="auto"/>
                    <w:bottom w:val="none" w:sz="0" w:space="0" w:color="auto"/>
                    <w:right w:val="none" w:sz="0" w:space="0" w:color="auto"/>
                  </w:divBdr>
                </w:div>
              </w:divsChild>
            </w:div>
            <w:div w:id="2104764321">
              <w:marLeft w:val="0"/>
              <w:marRight w:val="0"/>
              <w:marTop w:val="0"/>
              <w:marBottom w:val="0"/>
              <w:divBdr>
                <w:top w:val="none" w:sz="0" w:space="0" w:color="auto"/>
                <w:left w:val="none" w:sz="0" w:space="0" w:color="auto"/>
                <w:bottom w:val="none" w:sz="0" w:space="0" w:color="auto"/>
                <w:right w:val="none" w:sz="0" w:space="0" w:color="auto"/>
              </w:divBdr>
              <w:divsChild>
                <w:div w:id="2104764404">
                  <w:marLeft w:val="0"/>
                  <w:marRight w:val="0"/>
                  <w:marTop w:val="0"/>
                  <w:marBottom w:val="0"/>
                  <w:divBdr>
                    <w:top w:val="none" w:sz="0" w:space="0" w:color="auto"/>
                    <w:left w:val="none" w:sz="0" w:space="0" w:color="auto"/>
                    <w:bottom w:val="none" w:sz="0" w:space="0" w:color="auto"/>
                    <w:right w:val="none" w:sz="0" w:space="0" w:color="auto"/>
                  </w:divBdr>
                </w:div>
                <w:div w:id="2104764596">
                  <w:marLeft w:val="0"/>
                  <w:marRight w:val="0"/>
                  <w:marTop w:val="0"/>
                  <w:marBottom w:val="0"/>
                  <w:divBdr>
                    <w:top w:val="none" w:sz="0" w:space="0" w:color="auto"/>
                    <w:left w:val="none" w:sz="0" w:space="0" w:color="auto"/>
                    <w:bottom w:val="none" w:sz="0" w:space="0" w:color="auto"/>
                    <w:right w:val="none" w:sz="0" w:space="0" w:color="auto"/>
                  </w:divBdr>
                </w:div>
              </w:divsChild>
            </w:div>
            <w:div w:id="2104764329">
              <w:marLeft w:val="0"/>
              <w:marRight w:val="0"/>
              <w:marTop w:val="0"/>
              <w:marBottom w:val="0"/>
              <w:divBdr>
                <w:top w:val="none" w:sz="0" w:space="0" w:color="auto"/>
                <w:left w:val="none" w:sz="0" w:space="0" w:color="auto"/>
                <w:bottom w:val="none" w:sz="0" w:space="0" w:color="auto"/>
                <w:right w:val="none" w:sz="0" w:space="0" w:color="auto"/>
              </w:divBdr>
              <w:divsChild>
                <w:div w:id="2104764622">
                  <w:marLeft w:val="0"/>
                  <w:marRight w:val="0"/>
                  <w:marTop w:val="0"/>
                  <w:marBottom w:val="0"/>
                  <w:divBdr>
                    <w:top w:val="none" w:sz="0" w:space="0" w:color="auto"/>
                    <w:left w:val="none" w:sz="0" w:space="0" w:color="auto"/>
                    <w:bottom w:val="none" w:sz="0" w:space="0" w:color="auto"/>
                    <w:right w:val="none" w:sz="0" w:space="0" w:color="auto"/>
                  </w:divBdr>
                </w:div>
                <w:div w:id="2104764732">
                  <w:marLeft w:val="0"/>
                  <w:marRight w:val="0"/>
                  <w:marTop w:val="0"/>
                  <w:marBottom w:val="0"/>
                  <w:divBdr>
                    <w:top w:val="none" w:sz="0" w:space="0" w:color="auto"/>
                    <w:left w:val="none" w:sz="0" w:space="0" w:color="auto"/>
                    <w:bottom w:val="none" w:sz="0" w:space="0" w:color="auto"/>
                    <w:right w:val="none" w:sz="0" w:space="0" w:color="auto"/>
                  </w:divBdr>
                </w:div>
              </w:divsChild>
            </w:div>
            <w:div w:id="2104764337">
              <w:marLeft w:val="0"/>
              <w:marRight w:val="0"/>
              <w:marTop w:val="0"/>
              <w:marBottom w:val="0"/>
              <w:divBdr>
                <w:top w:val="none" w:sz="0" w:space="0" w:color="auto"/>
                <w:left w:val="none" w:sz="0" w:space="0" w:color="auto"/>
                <w:bottom w:val="none" w:sz="0" w:space="0" w:color="auto"/>
                <w:right w:val="none" w:sz="0" w:space="0" w:color="auto"/>
              </w:divBdr>
              <w:divsChild>
                <w:div w:id="2104764381">
                  <w:marLeft w:val="0"/>
                  <w:marRight w:val="0"/>
                  <w:marTop w:val="0"/>
                  <w:marBottom w:val="0"/>
                  <w:divBdr>
                    <w:top w:val="none" w:sz="0" w:space="0" w:color="auto"/>
                    <w:left w:val="none" w:sz="0" w:space="0" w:color="auto"/>
                    <w:bottom w:val="none" w:sz="0" w:space="0" w:color="auto"/>
                    <w:right w:val="none" w:sz="0" w:space="0" w:color="auto"/>
                  </w:divBdr>
                </w:div>
                <w:div w:id="2104764461">
                  <w:marLeft w:val="0"/>
                  <w:marRight w:val="0"/>
                  <w:marTop w:val="0"/>
                  <w:marBottom w:val="0"/>
                  <w:divBdr>
                    <w:top w:val="none" w:sz="0" w:space="0" w:color="auto"/>
                    <w:left w:val="none" w:sz="0" w:space="0" w:color="auto"/>
                    <w:bottom w:val="none" w:sz="0" w:space="0" w:color="auto"/>
                    <w:right w:val="none" w:sz="0" w:space="0" w:color="auto"/>
                  </w:divBdr>
                </w:div>
              </w:divsChild>
            </w:div>
            <w:div w:id="2104764356">
              <w:marLeft w:val="0"/>
              <w:marRight w:val="0"/>
              <w:marTop w:val="0"/>
              <w:marBottom w:val="0"/>
              <w:divBdr>
                <w:top w:val="none" w:sz="0" w:space="0" w:color="auto"/>
                <w:left w:val="none" w:sz="0" w:space="0" w:color="auto"/>
                <w:bottom w:val="none" w:sz="0" w:space="0" w:color="auto"/>
                <w:right w:val="none" w:sz="0" w:space="0" w:color="auto"/>
              </w:divBdr>
              <w:divsChild>
                <w:div w:id="2104764301">
                  <w:marLeft w:val="0"/>
                  <w:marRight w:val="0"/>
                  <w:marTop w:val="0"/>
                  <w:marBottom w:val="0"/>
                  <w:divBdr>
                    <w:top w:val="none" w:sz="0" w:space="0" w:color="auto"/>
                    <w:left w:val="none" w:sz="0" w:space="0" w:color="auto"/>
                    <w:bottom w:val="none" w:sz="0" w:space="0" w:color="auto"/>
                    <w:right w:val="none" w:sz="0" w:space="0" w:color="auto"/>
                  </w:divBdr>
                </w:div>
                <w:div w:id="2104764483">
                  <w:marLeft w:val="0"/>
                  <w:marRight w:val="0"/>
                  <w:marTop w:val="0"/>
                  <w:marBottom w:val="0"/>
                  <w:divBdr>
                    <w:top w:val="none" w:sz="0" w:space="0" w:color="auto"/>
                    <w:left w:val="none" w:sz="0" w:space="0" w:color="auto"/>
                    <w:bottom w:val="none" w:sz="0" w:space="0" w:color="auto"/>
                    <w:right w:val="none" w:sz="0" w:space="0" w:color="auto"/>
                  </w:divBdr>
                </w:div>
              </w:divsChild>
            </w:div>
            <w:div w:id="2104764370">
              <w:marLeft w:val="0"/>
              <w:marRight w:val="0"/>
              <w:marTop w:val="0"/>
              <w:marBottom w:val="0"/>
              <w:divBdr>
                <w:top w:val="none" w:sz="0" w:space="0" w:color="auto"/>
                <w:left w:val="none" w:sz="0" w:space="0" w:color="auto"/>
                <w:bottom w:val="none" w:sz="0" w:space="0" w:color="auto"/>
                <w:right w:val="none" w:sz="0" w:space="0" w:color="auto"/>
              </w:divBdr>
              <w:divsChild>
                <w:div w:id="2104764607">
                  <w:marLeft w:val="0"/>
                  <w:marRight w:val="0"/>
                  <w:marTop w:val="0"/>
                  <w:marBottom w:val="0"/>
                  <w:divBdr>
                    <w:top w:val="none" w:sz="0" w:space="0" w:color="auto"/>
                    <w:left w:val="none" w:sz="0" w:space="0" w:color="auto"/>
                    <w:bottom w:val="none" w:sz="0" w:space="0" w:color="auto"/>
                    <w:right w:val="none" w:sz="0" w:space="0" w:color="auto"/>
                  </w:divBdr>
                </w:div>
                <w:div w:id="2104764691">
                  <w:marLeft w:val="0"/>
                  <w:marRight w:val="0"/>
                  <w:marTop w:val="0"/>
                  <w:marBottom w:val="0"/>
                  <w:divBdr>
                    <w:top w:val="none" w:sz="0" w:space="0" w:color="auto"/>
                    <w:left w:val="none" w:sz="0" w:space="0" w:color="auto"/>
                    <w:bottom w:val="none" w:sz="0" w:space="0" w:color="auto"/>
                    <w:right w:val="none" w:sz="0" w:space="0" w:color="auto"/>
                  </w:divBdr>
                </w:div>
              </w:divsChild>
            </w:div>
            <w:div w:id="2104764489">
              <w:marLeft w:val="0"/>
              <w:marRight w:val="0"/>
              <w:marTop w:val="0"/>
              <w:marBottom w:val="0"/>
              <w:divBdr>
                <w:top w:val="none" w:sz="0" w:space="0" w:color="auto"/>
                <w:left w:val="none" w:sz="0" w:space="0" w:color="auto"/>
                <w:bottom w:val="none" w:sz="0" w:space="0" w:color="auto"/>
                <w:right w:val="none" w:sz="0" w:space="0" w:color="auto"/>
              </w:divBdr>
              <w:divsChild>
                <w:div w:id="2104764335">
                  <w:marLeft w:val="0"/>
                  <w:marRight w:val="0"/>
                  <w:marTop w:val="0"/>
                  <w:marBottom w:val="0"/>
                  <w:divBdr>
                    <w:top w:val="none" w:sz="0" w:space="0" w:color="auto"/>
                    <w:left w:val="none" w:sz="0" w:space="0" w:color="auto"/>
                    <w:bottom w:val="none" w:sz="0" w:space="0" w:color="auto"/>
                    <w:right w:val="none" w:sz="0" w:space="0" w:color="auto"/>
                  </w:divBdr>
                </w:div>
                <w:div w:id="2104764473">
                  <w:marLeft w:val="0"/>
                  <w:marRight w:val="0"/>
                  <w:marTop w:val="0"/>
                  <w:marBottom w:val="0"/>
                  <w:divBdr>
                    <w:top w:val="none" w:sz="0" w:space="0" w:color="auto"/>
                    <w:left w:val="none" w:sz="0" w:space="0" w:color="auto"/>
                    <w:bottom w:val="none" w:sz="0" w:space="0" w:color="auto"/>
                    <w:right w:val="none" w:sz="0" w:space="0" w:color="auto"/>
                  </w:divBdr>
                </w:div>
              </w:divsChild>
            </w:div>
            <w:div w:id="2104764501">
              <w:marLeft w:val="0"/>
              <w:marRight w:val="0"/>
              <w:marTop w:val="0"/>
              <w:marBottom w:val="0"/>
              <w:divBdr>
                <w:top w:val="none" w:sz="0" w:space="0" w:color="auto"/>
                <w:left w:val="none" w:sz="0" w:space="0" w:color="auto"/>
                <w:bottom w:val="none" w:sz="0" w:space="0" w:color="auto"/>
                <w:right w:val="none" w:sz="0" w:space="0" w:color="auto"/>
              </w:divBdr>
              <w:divsChild>
                <w:div w:id="2104764318">
                  <w:marLeft w:val="0"/>
                  <w:marRight w:val="0"/>
                  <w:marTop w:val="0"/>
                  <w:marBottom w:val="0"/>
                  <w:divBdr>
                    <w:top w:val="none" w:sz="0" w:space="0" w:color="auto"/>
                    <w:left w:val="none" w:sz="0" w:space="0" w:color="auto"/>
                    <w:bottom w:val="none" w:sz="0" w:space="0" w:color="auto"/>
                    <w:right w:val="none" w:sz="0" w:space="0" w:color="auto"/>
                  </w:divBdr>
                </w:div>
                <w:div w:id="2104764390">
                  <w:marLeft w:val="0"/>
                  <w:marRight w:val="0"/>
                  <w:marTop w:val="0"/>
                  <w:marBottom w:val="0"/>
                  <w:divBdr>
                    <w:top w:val="none" w:sz="0" w:space="0" w:color="auto"/>
                    <w:left w:val="none" w:sz="0" w:space="0" w:color="auto"/>
                    <w:bottom w:val="none" w:sz="0" w:space="0" w:color="auto"/>
                    <w:right w:val="none" w:sz="0" w:space="0" w:color="auto"/>
                  </w:divBdr>
                </w:div>
              </w:divsChild>
            </w:div>
            <w:div w:id="2104764548">
              <w:marLeft w:val="0"/>
              <w:marRight w:val="0"/>
              <w:marTop w:val="0"/>
              <w:marBottom w:val="0"/>
              <w:divBdr>
                <w:top w:val="none" w:sz="0" w:space="0" w:color="auto"/>
                <w:left w:val="none" w:sz="0" w:space="0" w:color="auto"/>
                <w:bottom w:val="none" w:sz="0" w:space="0" w:color="auto"/>
                <w:right w:val="none" w:sz="0" w:space="0" w:color="auto"/>
              </w:divBdr>
              <w:divsChild>
                <w:div w:id="2104764407">
                  <w:marLeft w:val="0"/>
                  <w:marRight w:val="0"/>
                  <w:marTop w:val="0"/>
                  <w:marBottom w:val="0"/>
                  <w:divBdr>
                    <w:top w:val="none" w:sz="0" w:space="0" w:color="auto"/>
                    <w:left w:val="none" w:sz="0" w:space="0" w:color="auto"/>
                    <w:bottom w:val="none" w:sz="0" w:space="0" w:color="auto"/>
                    <w:right w:val="none" w:sz="0" w:space="0" w:color="auto"/>
                  </w:divBdr>
                </w:div>
                <w:div w:id="2104764537">
                  <w:marLeft w:val="0"/>
                  <w:marRight w:val="0"/>
                  <w:marTop w:val="0"/>
                  <w:marBottom w:val="0"/>
                  <w:divBdr>
                    <w:top w:val="none" w:sz="0" w:space="0" w:color="auto"/>
                    <w:left w:val="none" w:sz="0" w:space="0" w:color="auto"/>
                    <w:bottom w:val="none" w:sz="0" w:space="0" w:color="auto"/>
                    <w:right w:val="none" w:sz="0" w:space="0" w:color="auto"/>
                  </w:divBdr>
                </w:div>
              </w:divsChild>
            </w:div>
            <w:div w:id="2104764559">
              <w:marLeft w:val="0"/>
              <w:marRight w:val="0"/>
              <w:marTop w:val="0"/>
              <w:marBottom w:val="0"/>
              <w:divBdr>
                <w:top w:val="none" w:sz="0" w:space="0" w:color="auto"/>
                <w:left w:val="none" w:sz="0" w:space="0" w:color="auto"/>
                <w:bottom w:val="none" w:sz="0" w:space="0" w:color="auto"/>
                <w:right w:val="none" w:sz="0" w:space="0" w:color="auto"/>
              </w:divBdr>
            </w:div>
            <w:div w:id="2104764594">
              <w:marLeft w:val="0"/>
              <w:marRight w:val="0"/>
              <w:marTop w:val="0"/>
              <w:marBottom w:val="0"/>
              <w:divBdr>
                <w:top w:val="none" w:sz="0" w:space="0" w:color="auto"/>
                <w:left w:val="none" w:sz="0" w:space="0" w:color="auto"/>
                <w:bottom w:val="none" w:sz="0" w:space="0" w:color="auto"/>
                <w:right w:val="none" w:sz="0" w:space="0" w:color="auto"/>
              </w:divBdr>
            </w:div>
            <w:div w:id="2104764609">
              <w:marLeft w:val="0"/>
              <w:marRight w:val="0"/>
              <w:marTop w:val="0"/>
              <w:marBottom w:val="0"/>
              <w:divBdr>
                <w:top w:val="none" w:sz="0" w:space="0" w:color="auto"/>
                <w:left w:val="none" w:sz="0" w:space="0" w:color="auto"/>
                <w:bottom w:val="none" w:sz="0" w:space="0" w:color="auto"/>
                <w:right w:val="none" w:sz="0" w:space="0" w:color="auto"/>
              </w:divBdr>
              <w:divsChild>
                <w:div w:id="2104764295">
                  <w:marLeft w:val="0"/>
                  <w:marRight w:val="0"/>
                  <w:marTop w:val="0"/>
                  <w:marBottom w:val="0"/>
                  <w:divBdr>
                    <w:top w:val="none" w:sz="0" w:space="0" w:color="auto"/>
                    <w:left w:val="none" w:sz="0" w:space="0" w:color="auto"/>
                    <w:bottom w:val="none" w:sz="0" w:space="0" w:color="auto"/>
                    <w:right w:val="none" w:sz="0" w:space="0" w:color="auto"/>
                  </w:divBdr>
                </w:div>
                <w:div w:id="2104764549">
                  <w:marLeft w:val="0"/>
                  <w:marRight w:val="0"/>
                  <w:marTop w:val="0"/>
                  <w:marBottom w:val="0"/>
                  <w:divBdr>
                    <w:top w:val="none" w:sz="0" w:space="0" w:color="auto"/>
                    <w:left w:val="none" w:sz="0" w:space="0" w:color="auto"/>
                    <w:bottom w:val="none" w:sz="0" w:space="0" w:color="auto"/>
                    <w:right w:val="none" w:sz="0" w:space="0" w:color="auto"/>
                  </w:divBdr>
                </w:div>
              </w:divsChild>
            </w:div>
            <w:div w:id="2104764611">
              <w:marLeft w:val="0"/>
              <w:marRight w:val="0"/>
              <w:marTop w:val="0"/>
              <w:marBottom w:val="0"/>
              <w:divBdr>
                <w:top w:val="none" w:sz="0" w:space="0" w:color="auto"/>
                <w:left w:val="none" w:sz="0" w:space="0" w:color="auto"/>
                <w:bottom w:val="none" w:sz="0" w:space="0" w:color="auto"/>
                <w:right w:val="none" w:sz="0" w:space="0" w:color="auto"/>
              </w:divBdr>
              <w:divsChild>
                <w:div w:id="2104764474">
                  <w:marLeft w:val="0"/>
                  <w:marRight w:val="0"/>
                  <w:marTop w:val="0"/>
                  <w:marBottom w:val="0"/>
                  <w:divBdr>
                    <w:top w:val="none" w:sz="0" w:space="0" w:color="auto"/>
                    <w:left w:val="none" w:sz="0" w:space="0" w:color="auto"/>
                    <w:bottom w:val="none" w:sz="0" w:space="0" w:color="auto"/>
                    <w:right w:val="none" w:sz="0" w:space="0" w:color="auto"/>
                  </w:divBdr>
                </w:div>
                <w:div w:id="2104764534">
                  <w:marLeft w:val="0"/>
                  <w:marRight w:val="0"/>
                  <w:marTop w:val="0"/>
                  <w:marBottom w:val="0"/>
                  <w:divBdr>
                    <w:top w:val="none" w:sz="0" w:space="0" w:color="auto"/>
                    <w:left w:val="none" w:sz="0" w:space="0" w:color="auto"/>
                    <w:bottom w:val="none" w:sz="0" w:space="0" w:color="auto"/>
                    <w:right w:val="none" w:sz="0" w:space="0" w:color="auto"/>
                  </w:divBdr>
                </w:div>
              </w:divsChild>
            </w:div>
            <w:div w:id="2104764615">
              <w:marLeft w:val="0"/>
              <w:marRight w:val="0"/>
              <w:marTop w:val="0"/>
              <w:marBottom w:val="0"/>
              <w:divBdr>
                <w:top w:val="none" w:sz="0" w:space="0" w:color="auto"/>
                <w:left w:val="none" w:sz="0" w:space="0" w:color="auto"/>
                <w:bottom w:val="none" w:sz="0" w:space="0" w:color="auto"/>
                <w:right w:val="none" w:sz="0" w:space="0" w:color="auto"/>
              </w:divBdr>
              <w:divsChild>
                <w:div w:id="2104764315">
                  <w:marLeft w:val="0"/>
                  <w:marRight w:val="0"/>
                  <w:marTop w:val="0"/>
                  <w:marBottom w:val="0"/>
                  <w:divBdr>
                    <w:top w:val="none" w:sz="0" w:space="0" w:color="auto"/>
                    <w:left w:val="none" w:sz="0" w:space="0" w:color="auto"/>
                    <w:bottom w:val="none" w:sz="0" w:space="0" w:color="auto"/>
                    <w:right w:val="none" w:sz="0" w:space="0" w:color="auto"/>
                  </w:divBdr>
                </w:div>
                <w:div w:id="2104764358">
                  <w:marLeft w:val="0"/>
                  <w:marRight w:val="0"/>
                  <w:marTop w:val="0"/>
                  <w:marBottom w:val="0"/>
                  <w:divBdr>
                    <w:top w:val="none" w:sz="0" w:space="0" w:color="auto"/>
                    <w:left w:val="none" w:sz="0" w:space="0" w:color="auto"/>
                    <w:bottom w:val="none" w:sz="0" w:space="0" w:color="auto"/>
                    <w:right w:val="none" w:sz="0" w:space="0" w:color="auto"/>
                  </w:divBdr>
                </w:div>
              </w:divsChild>
            </w:div>
            <w:div w:id="2104764630">
              <w:marLeft w:val="0"/>
              <w:marRight w:val="0"/>
              <w:marTop w:val="0"/>
              <w:marBottom w:val="0"/>
              <w:divBdr>
                <w:top w:val="none" w:sz="0" w:space="0" w:color="auto"/>
                <w:left w:val="none" w:sz="0" w:space="0" w:color="auto"/>
                <w:bottom w:val="none" w:sz="0" w:space="0" w:color="auto"/>
                <w:right w:val="none" w:sz="0" w:space="0" w:color="auto"/>
              </w:divBdr>
              <w:divsChild>
                <w:div w:id="2104764325">
                  <w:marLeft w:val="0"/>
                  <w:marRight w:val="0"/>
                  <w:marTop w:val="0"/>
                  <w:marBottom w:val="0"/>
                  <w:divBdr>
                    <w:top w:val="none" w:sz="0" w:space="0" w:color="auto"/>
                    <w:left w:val="none" w:sz="0" w:space="0" w:color="auto"/>
                    <w:bottom w:val="none" w:sz="0" w:space="0" w:color="auto"/>
                    <w:right w:val="none" w:sz="0" w:space="0" w:color="auto"/>
                  </w:divBdr>
                </w:div>
                <w:div w:id="2104764430">
                  <w:marLeft w:val="0"/>
                  <w:marRight w:val="0"/>
                  <w:marTop w:val="0"/>
                  <w:marBottom w:val="0"/>
                  <w:divBdr>
                    <w:top w:val="none" w:sz="0" w:space="0" w:color="auto"/>
                    <w:left w:val="none" w:sz="0" w:space="0" w:color="auto"/>
                    <w:bottom w:val="none" w:sz="0" w:space="0" w:color="auto"/>
                    <w:right w:val="none" w:sz="0" w:space="0" w:color="auto"/>
                  </w:divBdr>
                </w:div>
              </w:divsChild>
            </w:div>
            <w:div w:id="2104764644">
              <w:marLeft w:val="0"/>
              <w:marRight w:val="0"/>
              <w:marTop w:val="0"/>
              <w:marBottom w:val="0"/>
              <w:divBdr>
                <w:top w:val="none" w:sz="0" w:space="0" w:color="auto"/>
                <w:left w:val="none" w:sz="0" w:space="0" w:color="auto"/>
                <w:bottom w:val="none" w:sz="0" w:space="0" w:color="auto"/>
                <w:right w:val="none" w:sz="0" w:space="0" w:color="auto"/>
              </w:divBdr>
              <w:divsChild>
                <w:div w:id="2104764528">
                  <w:marLeft w:val="0"/>
                  <w:marRight w:val="0"/>
                  <w:marTop w:val="0"/>
                  <w:marBottom w:val="0"/>
                  <w:divBdr>
                    <w:top w:val="none" w:sz="0" w:space="0" w:color="auto"/>
                    <w:left w:val="none" w:sz="0" w:space="0" w:color="auto"/>
                    <w:bottom w:val="none" w:sz="0" w:space="0" w:color="auto"/>
                    <w:right w:val="none" w:sz="0" w:space="0" w:color="auto"/>
                  </w:divBdr>
                </w:div>
                <w:div w:id="2104764590">
                  <w:marLeft w:val="0"/>
                  <w:marRight w:val="0"/>
                  <w:marTop w:val="0"/>
                  <w:marBottom w:val="0"/>
                  <w:divBdr>
                    <w:top w:val="none" w:sz="0" w:space="0" w:color="auto"/>
                    <w:left w:val="none" w:sz="0" w:space="0" w:color="auto"/>
                    <w:bottom w:val="none" w:sz="0" w:space="0" w:color="auto"/>
                    <w:right w:val="none" w:sz="0" w:space="0" w:color="auto"/>
                  </w:divBdr>
                </w:div>
              </w:divsChild>
            </w:div>
            <w:div w:id="2104764650">
              <w:marLeft w:val="0"/>
              <w:marRight w:val="0"/>
              <w:marTop w:val="0"/>
              <w:marBottom w:val="0"/>
              <w:divBdr>
                <w:top w:val="none" w:sz="0" w:space="0" w:color="auto"/>
                <w:left w:val="none" w:sz="0" w:space="0" w:color="auto"/>
                <w:bottom w:val="none" w:sz="0" w:space="0" w:color="auto"/>
                <w:right w:val="none" w:sz="0" w:space="0" w:color="auto"/>
              </w:divBdr>
              <w:divsChild>
                <w:div w:id="2104764367">
                  <w:marLeft w:val="0"/>
                  <w:marRight w:val="0"/>
                  <w:marTop w:val="0"/>
                  <w:marBottom w:val="0"/>
                  <w:divBdr>
                    <w:top w:val="none" w:sz="0" w:space="0" w:color="auto"/>
                    <w:left w:val="none" w:sz="0" w:space="0" w:color="auto"/>
                    <w:bottom w:val="none" w:sz="0" w:space="0" w:color="auto"/>
                    <w:right w:val="none" w:sz="0" w:space="0" w:color="auto"/>
                  </w:divBdr>
                </w:div>
                <w:div w:id="2104764368">
                  <w:marLeft w:val="0"/>
                  <w:marRight w:val="0"/>
                  <w:marTop w:val="0"/>
                  <w:marBottom w:val="0"/>
                  <w:divBdr>
                    <w:top w:val="none" w:sz="0" w:space="0" w:color="auto"/>
                    <w:left w:val="none" w:sz="0" w:space="0" w:color="auto"/>
                    <w:bottom w:val="none" w:sz="0" w:space="0" w:color="auto"/>
                    <w:right w:val="none" w:sz="0" w:space="0" w:color="auto"/>
                  </w:divBdr>
                </w:div>
              </w:divsChild>
            </w:div>
            <w:div w:id="2104764657">
              <w:marLeft w:val="0"/>
              <w:marRight w:val="0"/>
              <w:marTop w:val="0"/>
              <w:marBottom w:val="0"/>
              <w:divBdr>
                <w:top w:val="none" w:sz="0" w:space="0" w:color="auto"/>
                <w:left w:val="none" w:sz="0" w:space="0" w:color="auto"/>
                <w:bottom w:val="none" w:sz="0" w:space="0" w:color="auto"/>
                <w:right w:val="none" w:sz="0" w:space="0" w:color="auto"/>
              </w:divBdr>
              <w:divsChild>
                <w:div w:id="2104764382">
                  <w:marLeft w:val="0"/>
                  <w:marRight w:val="0"/>
                  <w:marTop w:val="0"/>
                  <w:marBottom w:val="0"/>
                  <w:divBdr>
                    <w:top w:val="none" w:sz="0" w:space="0" w:color="auto"/>
                    <w:left w:val="none" w:sz="0" w:space="0" w:color="auto"/>
                    <w:bottom w:val="none" w:sz="0" w:space="0" w:color="auto"/>
                    <w:right w:val="none" w:sz="0" w:space="0" w:color="auto"/>
                  </w:divBdr>
                </w:div>
                <w:div w:id="2104764649">
                  <w:marLeft w:val="0"/>
                  <w:marRight w:val="0"/>
                  <w:marTop w:val="0"/>
                  <w:marBottom w:val="0"/>
                  <w:divBdr>
                    <w:top w:val="none" w:sz="0" w:space="0" w:color="auto"/>
                    <w:left w:val="none" w:sz="0" w:space="0" w:color="auto"/>
                    <w:bottom w:val="none" w:sz="0" w:space="0" w:color="auto"/>
                    <w:right w:val="none" w:sz="0" w:space="0" w:color="auto"/>
                  </w:divBdr>
                </w:div>
              </w:divsChild>
            </w:div>
            <w:div w:id="2104764673">
              <w:marLeft w:val="0"/>
              <w:marRight w:val="0"/>
              <w:marTop w:val="0"/>
              <w:marBottom w:val="0"/>
              <w:divBdr>
                <w:top w:val="none" w:sz="0" w:space="0" w:color="auto"/>
                <w:left w:val="none" w:sz="0" w:space="0" w:color="auto"/>
                <w:bottom w:val="none" w:sz="0" w:space="0" w:color="auto"/>
                <w:right w:val="none" w:sz="0" w:space="0" w:color="auto"/>
              </w:divBdr>
              <w:divsChild>
                <w:div w:id="2104764416">
                  <w:marLeft w:val="0"/>
                  <w:marRight w:val="0"/>
                  <w:marTop w:val="0"/>
                  <w:marBottom w:val="0"/>
                  <w:divBdr>
                    <w:top w:val="none" w:sz="0" w:space="0" w:color="auto"/>
                    <w:left w:val="none" w:sz="0" w:space="0" w:color="auto"/>
                    <w:bottom w:val="none" w:sz="0" w:space="0" w:color="auto"/>
                    <w:right w:val="none" w:sz="0" w:space="0" w:color="auto"/>
                  </w:divBdr>
                </w:div>
                <w:div w:id="2104764505">
                  <w:marLeft w:val="0"/>
                  <w:marRight w:val="0"/>
                  <w:marTop w:val="0"/>
                  <w:marBottom w:val="0"/>
                  <w:divBdr>
                    <w:top w:val="none" w:sz="0" w:space="0" w:color="auto"/>
                    <w:left w:val="none" w:sz="0" w:space="0" w:color="auto"/>
                    <w:bottom w:val="none" w:sz="0" w:space="0" w:color="auto"/>
                    <w:right w:val="none" w:sz="0" w:space="0" w:color="auto"/>
                  </w:divBdr>
                </w:div>
              </w:divsChild>
            </w:div>
            <w:div w:id="2104764684">
              <w:marLeft w:val="0"/>
              <w:marRight w:val="0"/>
              <w:marTop w:val="0"/>
              <w:marBottom w:val="0"/>
              <w:divBdr>
                <w:top w:val="none" w:sz="0" w:space="0" w:color="auto"/>
                <w:left w:val="none" w:sz="0" w:space="0" w:color="auto"/>
                <w:bottom w:val="none" w:sz="0" w:space="0" w:color="auto"/>
                <w:right w:val="none" w:sz="0" w:space="0" w:color="auto"/>
              </w:divBdr>
              <w:divsChild>
                <w:div w:id="2104764471">
                  <w:marLeft w:val="0"/>
                  <w:marRight w:val="0"/>
                  <w:marTop w:val="0"/>
                  <w:marBottom w:val="0"/>
                  <w:divBdr>
                    <w:top w:val="none" w:sz="0" w:space="0" w:color="auto"/>
                    <w:left w:val="none" w:sz="0" w:space="0" w:color="auto"/>
                    <w:bottom w:val="none" w:sz="0" w:space="0" w:color="auto"/>
                    <w:right w:val="none" w:sz="0" w:space="0" w:color="auto"/>
                  </w:divBdr>
                </w:div>
                <w:div w:id="2104764556">
                  <w:marLeft w:val="0"/>
                  <w:marRight w:val="0"/>
                  <w:marTop w:val="0"/>
                  <w:marBottom w:val="0"/>
                  <w:divBdr>
                    <w:top w:val="none" w:sz="0" w:space="0" w:color="auto"/>
                    <w:left w:val="none" w:sz="0" w:space="0" w:color="auto"/>
                    <w:bottom w:val="none" w:sz="0" w:space="0" w:color="auto"/>
                    <w:right w:val="none" w:sz="0" w:space="0" w:color="auto"/>
                  </w:divBdr>
                </w:div>
              </w:divsChild>
            </w:div>
            <w:div w:id="2104764713">
              <w:marLeft w:val="0"/>
              <w:marRight w:val="0"/>
              <w:marTop w:val="0"/>
              <w:marBottom w:val="0"/>
              <w:divBdr>
                <w:top w:val="none" w:sz="0" w:space="0" w:color="auto"/>
                <w:left w:val="none" w:sz="0" w:space="0" w:color="auto"/>
                <w:bottom w:val="none" w:sz="0" w:space="0" w:color="auto"/>
                <w:right w:val="none" w:sz="0" w:space="0" w:color="auto"/>
              </w:divBdr>
              <w:divsChild>
                <w:div w:id="2104764348">
                  <w:marLeft w:val="0"/>
                  <w:marRight w:val="0"/>
                  <w:marTop w:val="0"/>
                  <w:marBottom w:val="0"/>
                  <w:divBdr>
                    <w:top w:val="none" w:sz="0" w:space="0" w:color="auto"/>
                    <w:left w:val="none" w:sz="0" w:space="0" w:color="auto"/>
                    <w:bottom w:val="none" w:sz="0" w:space="0" w:color="auto"/>
                    <w:right w:val="none" w:sz="0" w:space="0" w:color="auto"/>
                  </w:divBdr>
                </w:div>
                <w:div w:id="2104764676">
                  <w:marLeft w:val="0"/>
                  <w:marRight w:val="0"/>
                  <w:marTop w:val="0"/>
                  <w:marBottom w:val="0"/>
                  <w:divBdr>
                    <w:top w:val="none" w:sz="0" w:space="0" w:color="auto"/>
                    <w:left w:val="none" w:sz="0" w:space="0" w:color="auto"/>
                    <w:bottom w:val="none" w:sz="0" w:space="0" w:color="auto"/>
                    <w:right w:val="none" w:sz="0" w:space="0" w:color="auto"/>
                  </w:divBdr>
                </w:div>
              </w:divsChild>
            </w:div>
            <w:div w:id="2104764726">
              <w:marLeft w:val="0"/>
              <w:marRight w:val="0"/>
              <w:marTop w:val="0"/>
              <w:marBottom w:val="0"/>
              <w:divBdr>
                <w:top w:val="none" w:sz="0" w:space="0" w:color="auto"/>
                <w:left w:val="none" w:sz="0" w:space="0" w:color="auto"/>
                <w:bottom w:val="none" w:sz="0" w:space="0" w:color="auto"/>
                <w:right w:val="none" w:sz="0" w:space="0" w:color="auto"/>
              </w:divBdr>
            </w:div>
            <w:div w:id="2104764745">
              <w:marLeft w:val="0"/>
              <w:marRight w:val="0"/>
              <w:marTop w:val="0"/>
              <w:marBottom w:val="0"/>
              <w:divBdr>
                <w:top w:val="none" w:sz="0" w:space="0" w:color="auto"/>
                <w:left w:val="none" w:sz="0" w:space="0" w:color="auto"/>
                <w:bottom w:val="none" w:sz="0" w:space="0" w:color="auto"/>
                <w:right w:val="none" w:sz="0" w:space="0" w:color="auto"/>
              </w:divBdr>
              <w:divsChild>
                <w:div w:id="2104764510">
                  <w:marLeft w:val="0"/>
                  <w:marRight w:val="0"/>
                  <w:marTop w:val="0"/>
                  <w:marBottom w:val="0"/>
                  <w:divBdr>
                    <w:top w:val="none" w:sz="0" w:space="0" w:color="auto"/>
                    <w:left w:val="none" w:sz="0" w:space="0" w:color="auto"/>
                    <w:bottom w:val="none" w:sz="0" w:space="0" w:color="auto"/>
                    <w:right w:val="none" w:sz="0" w:space="0" w:color="auto"/>
                  </w:divBdr>
                </w:div>
                <w:div w:id="21047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64469">
      <w:marLeft w:val="390"/>
      <w:marRight w:val="390"/>
      <w:marTop w:val="0"/>
      <w:marBottom w:val="0"/>
      <w:divBdr>
        <w:top w:val="none" w:sz="0" w:space="0" w:color="auto"/>
        <w:left w:val="none" w:sz="0" w:space="0" w:color="auto"/>
        <w:bottom w:val="none" w:sz="0" w:space="0" w:color="auto"/>
        <w:right w:val="none" w:sz="0" w:space="0" w:color="auto"/>
      </w:divBdr>
    </w:div>
    <w:div w:id="2104764475">
      <w:marLeft w:val="390"/>
      <w:marRight w:val="390"/>
      <w:marTop w:val="0"/>
      <w:marBottom w:val="0"/>
      <w:divBdr>
        <w:top w:val="none" w:sz="0" w:space="0" w:color="auto"/>
        <w:left w:val="none" w:sz="0" w:space="0" w:color="auto"/>
        <w:bottom w:val="none" w:sz="0" w:space="0" w:color="auto"/>
        <w:right w:val="none" w:sz="0" w:space="0" w:color="auto"/>
      </w:divBdr>
    </w:div>
    <w:div w:id="2104764478">
      <w:marLeft w:val="390"/>
      <w:marRight w:val="390"/>
      <w:marTop w:val="0"/>
      <w:marBottom w:val="0"/>
      <w:divBdr>
        <w:top w:val="none" w:sz="0" w:space="0" w:color="auto"/>
        <w:left w:val="none" w:sz="0" w:space="0" w:color="auto"/>
        <w:bottom w:val="none" w:sz="0" w:space="0" w:color="auto"/>
        <w:right w:val="none" w:sz="0" w:space="0" w:color="auto"/>
      </w:divBdr>
    </w:div>
    <w:div w:id="2104764481">
      <w:marLeft w:val="390"/>
      <w:marRight w:val="390"/>
      <w:marTop w:val="0"/>
      <w:marBottom w:val="0"/>
      <w:divBdr>
        <w:top w:val="none" w:sz="0" w:space="0" w:color="auto"/>
        <w:left w:val="none" w:sz="0" w:space="0" w:color="auto"/>
        <w:bottom w:val="none" w:sz="0" w:space="0" w:color="auto"/>
        <w:right w:val="none" w:sz="0" w:space="0" w:color="auto"/>
      </w:divBdr>
    </w:div>
    <w:div w:id="2104764495">
      <w:marLeft w:val="0"/>
      <w:marRight w:val="0"/>
      <w:marTop w:val="0"/>
      <w:marBottom w:val="0"/>
      <w:divBdr>
        <w:top w:val="none" w:sz="0" w:space="0" w:color="auto"/>
        <w:left w:val="none" w:sz="0" w:space="0" w:color="auto"/>
        <w:bottom w:val="none" w:sz="0" w:space="0" w:color="auto"/>
        <w:right w:val="none" w:sz="0" w:space="0" w:color="auto"/>
      </w:divBdr>
      <w:divsChild>
        <w:div w:id="2104764313">
          <w:marLeft w:val="0"/>
          <w:marRight w:val="0"/>
          <w:marTop w:val="0"/>
          <w:marBottom w:val="0"/>
          <w:divBdr>
            <w:top w:val="none" w:sz="0" w:space="0" w:color="auto"/>
            <w:left w:val="none" w:sz="0" w:space="0" w:color="auto"/>
            <w:bottom w:val="none" w:sz="0" w:space="0" w:color="auto"/>
            <w:right w:val="none" w:sz="0" w:space="0" w:color="auto"/>
          </w:divBdr>
        </w:div>
        <w:div w:id="2104764340">
          <w:marLeft w:val="0"/>
          <w:marRight w:val="0"/>
          <w:marTop w:val="0"/>
          <w:marBottom w:val="0"/>
          <w:divBdr>
            <w:top w:val="none" w:sz="0" w:space="0" w:color="auto"/>
            <w:left w:val="none" w:sz="0" w:space="0" w:color="auto"/>
            <w:bottom w:val="none" w:sz="0" w:space="0" w:color="auto"/>
            <w:right w:val="none" w:sz="0" w:space="0" w:color="auto"/>
          </w:divBdr>
        </w:div>
        <w:div w:id="2104764352">
          <w:marLeft w:val="0"/>
          <w:marRight w:val="0"/>
          <w:marTop w:val="0"/>
          <w:marBottom w:val="0"/>
          <w:divBdr>
            <w:top w:val="none" w:sz="0" w:space="0" w:color="auto"/>
            <w:left w:val="none" w:sz="0" w:space="0" w:color="auto"/>
            <w:bottom w:val="none" w:sz="0" w:space="0" w:color="auto"/>
            <w:right w:val="none" w:sz="0" w:space="0" w:color="auto"/>
          </w:divBdr>
        </w:div>
        <w:div w:id="2104764355">
          <w:marLeft w:val="0"/>
          <w:marRight w:val="0"/>
          <w:marTop w:val="0"/>
          <w:marBottom w:val="0"/>
          <w:divBdr>
            <w:top w:val="none" w:sz="0" w:space="0" w:color="auto"/>
            <w:left w:val="none" w:sz="0" w:space="0" w:color="auto"/>
            <w:bottom w:val="none" w:sz="0" w:space="0" w:color="auto"/>
            <w:right w:val="none" w:sz="0" w:space="0" w:color="auto"/>
          </w:divBdr>
        </w:div>
        <w:div w:id="2104764383">
          <w:marLeft w:val="0"/>
          <w:marRight w:val="0"/>
          <w:marTop w:val="0"/>
          <w:marBottom w:val="0"/>
          <w:divBdr>
            <w:top w:val="none" w:sz="0" w:space="0" w:color="auto"/>
            <w:left w:val="none" w:sz="0" w:space="0" w:color="auto"/>
            <w:bottom w:val="none" w:sz="0" w:space="0" w:color="auto"/>
            <w:right w:val="none" w:sz="0" w:space="0" w:color="auto"/>
          </w:divBdr>
        </w:div>
        <w:div w:id="2104764405">
          <w:marLeft w:val="0"/>
          <w:marRight w:val="0"/>
          <w:marTop w:val="0"/>
          <w:marBottom w:val="0"/>
          <w:divBdr>
            <w:top w:val="none" w:sz="0" w:space="0" w:color="auto"/>
            <w:left w:val="none" w:sz="0" w:space="0" w:color="auto"/>
            <w:bottom w:val="none" w:sz="0" w:space="0" w:color="auto"/>
            <w:right w:val="none" w:sz="0" w:space="0" w:color="auto"/>
          </w:divBdr>
        </w:div>
        <w:div w:id="2104764454">
          <w:marLeft w:val="0"/>
          <w:marRight w:val="0"/>
          <w:marTop w:val="0"/>
          <w:marBottom w:val="0"/>
          <w:divBdr>
            <w:top w:val="none" w:sz="0" w:space="0" w:color="auto"/>
            <w:left w:val="none" w:sz="0" w:space="0" w:color="auto"/>
            <w:bottom w:val="none" w:sz="0" w:space="0" w:color="auto"/>
            <w:right w:val="none" w:sz="0" w:space="0" w:color="auto"/>
          </w:divBdr>
        </w:div>
        <w:div w:id="2104764459">
          <w:marLeft w:val="0"/>
          <w:marRight w:val="0"/>
          <w:marTop w:val="0"/>
          <w:marBottom w:val="0"/>
          <w:divBdr>
            <w:top w:val="none" w:sz="0" w:space="0" w:color="auto"/>
            <w:left w:val="none" w:sz="0" w:space="0" w:color="auto"/>
            <w:bottom w:val="none" w:sz="0" w:space="0" w:color="auto"/>
            <w:right w:val="none" w:sz="0" w:space="0" w:color="auto"/>
          </w:divBdr>
        </w:div>
        <w:div w:id="2104764521">
          <w:marLeft w:val="0"/>
          <w:marRight w:val="0"/>
          <w:marTop w:val="0"/>
          <w:marBottom w:val="0"/>
          <w:divBdr>
            <w:top w:val="none" w:sz="0" w:space="0" w:color="auto"/>
            <w:left w:val="none" w:sz="0" w:space="0" w:color="auto"/>
            <w:bottom w:val="none" w:sz="0" w:space="0" w:color="auto"/>
            <w:right w:val="none" w:sz="0" w:space="0" w:color="auto"/>
          </w:divBdr>
        </w:div>
        <w:div w:id="2104764544">
          <w:marLeft w:val="0"/>
          <w:marRight w:val="0"/>
          <w:marTop w:val="0"/>
          <w:marBottom w:val="0"/>
          <w:divBdr>
            <w:top w:val="none" w:sz="0" w:space="0" w:color="auto"/>
            <w:left w:val="none" w:sz="0" w:space="0" w:color="auto"/>
            <w:bottom w:val="none" w:sz="0" w:space="0" w:color="auto"/>
            <w:right w:val="none" w:sz="0" w:space="0" w:color="auto"/>
          </w:divBdr>
        </w:div>
        <w:div w:id="2104764600">
          <w:marLeft w:val="0"/>
          <w:marRight w:val="0"/>
          <w:marTop w:val="0"/>
          <w:marBottom w:val="0"/>
          <w:divBdr>
            <w:top w:val="none" w:sz="0" w:space="0" w:color="auto"/>
            <w:left w:val="none" w:sz="0" w:space="0" w:color="auto"/>
            <w:bottom w:val="none" w:sz="0" w:space="0" w:color="auto"/>
            <w:right w:val="none" w:sz="0" w:space="0" w:color="auto"/>
          </w:divBdr>
        </w:div>
        <w:div w:id="2104764623">
          <w:marLeft w:val="0"/>
          <w:marRight w:val="0"/>
          <w:marTop w:val="0"/>
          <w:marBottom w:val="0"/>
          <w:divBdr>
            <w:top w:val="none" w:sz="0" w:space="0" w:color="auto"/>
            <w:left w:val="none" w:sz="0" w:space="0" w:color="auto"/>
            <w:bottom w:val="none" w:sz="0" w:space="0" w:color="auto"/>
            <w:right w:val="none" w:sz="0" w:space="0" w:color="auto"/>
          </w:divBdr>
        </w:div>
        <w:div w:id="2104764654">
          <w:marLeft w:val="0"/>
          <w:marRight w:val="0"/>
          <w:marTop w:val="0"/>
          <w:marBottom w:val="0"/>
          <w:divBdr>
            <w:top w:val="none" w:sz="0" w:space="0" w:color="auto"/>
            <w:left w:val="none" w:sz="0" w:space="0" w:color="auto"/>
            <w:bottom w:val="none" w:sz="0" w:space="0" w:color="auto"/>
            <w:right w:val="none" w:sz="0" w:space="0" w:color="auto"/>
          </w:divBdr>
        </w:div>
        <w:div w:id="2104764661">
          <w:marLeft w:val="0"/>
          <w:marRight w:val="0"/>
          <w:marTop w:val="0"/>
          <w:marBottom w:val="0"/>
          <w:divBdr>
            <w:top w:val="none" w:sz="0" w:space="0" w:color="auto"/>
            <w:left w:val="none" w:sz="0" w:space="0" w:color="auto"/>
            <w:bottom w:val="none" w:sz="0" w:space="0" w:color="auto"/>
            <w:right w:val="none" w:sz="0" w:space="0" w:color="auto"/>
          </w:divBdr>
        </w:div>
        <w:div w:id="2104764677">
          <w:marLeft w:val="0"/>
          <w:marRight w:val="0"/>
          <w:marTop w:val="0"/>
          <w:marBottom w:val="0"/>
          <w:divBdr>
            <w:top w:val="none" w:sz="0" w:space="0" w:color="auto"/>
            <w:left w:val="none" w:sz="0" w:space="0" w:color="auto"/>
            <w:bottom w:val="none" w:sz="0" w:space="0" w:color="auto"/>
            <w:right w:val="none" w:sz="0" w:space="0" w:color="auto"/>
          </w:divBdr>
        </w:div>
        <w:div w:id="2104764688">
          <w:marLeft w:val="0"/>
          <w:marRight w:val="0"/>
          <w:marTop w:val="0"/>
          <w:marBottom w:val="0"/>
          <w:divBdr>
            <w:top w:val="none" w:sz="0" w:space="0" w:color="auto"/>
            <w:left w:val="none" w:sz="0" w:space="0" w:color="auto"/>
            <w:bottom w:val="none" w:sz="0" w:space="0" w:color="auto"/>
            <w:right w:val="none" w:sz="0" w:space="0" w:color="auto"/>
          </w:divBdr>
        </w:div>
        <w:div w:id="2104764708">
          <w:marLeft w:val="0"/>
          <w:marRight w:val="0"/>
          <w:marTop w:val="0"/>
          <w:marBottom w:val="0"/>
          <w:divBdr>
            <w:top w:val="none" w:sz="0" w:space="0" w:color="auto"/>
            <w:left w:val="none" w:sz="0" w:space="0" w:color="auto"/>
            <w:bottom w:val="none" w:sz="0" w:space="0" w:color="auto"/>
            <w:right w:val="none" w:sz="0" w:space="0" w:color="auto"/>
          </w:divBdr>
        </w:div>
        <w:div w:id="2104764735">
          <w:marLeft w:val="0"/>
          <w:marRight w:val="0"/>
          <w:marTop w:val="0"/>
          <w:marBottom w:val="0"/>
          <w:divBdr>
            <w:top w:val="none" w:sz="0" w:space="0" w:color="auto"/>
            <w:left w:val="none" w:sz="0" w:space="0" w:color="auto"/>
            <w:bottom w:val="none" w:sz="0" w:space="0" w:color="auto"/>
            <w:right w:val="none" w:sz="0" w:space="0" w:color="auto"/>
          </w:divBdr>
        </w:div>
      </w:divsChild>
    </w:div>
    <w:div w:id="2104764496">
      <w:marLeft w:val="390"/>
      <w:marRight w:val="390"/>
      <w:marTop w:val="0"/>
      <w:marBottom w:val="0"/>
      <w:divBdr>
        <w:top w:val="none" w:sz="0" w:space="0" w:color="auto"/>
        <w:left w:val="none" w:sz="0" w:space="0" w:color="auto"/>
        <w:bottom w:val="none" w:sz="0" w:space="0" w:color="auto"/>
        <w:right w:val="none" w:sz="0" w:space="0" w:color="auto"/>
      </w:divBdr>
    </w:div>
    <w:div w:id="2104764499">
      <w:marLeft w:val="390"/>
      <w:marRight w:val="390"/>
      <w:marTop w:val="0"/>
      <w:marBottom w:val="0"/>
      <w:divBdr>
        <w:top w:val="none" w:sz="0" w:space="0" w:color="auto"/>
        <w:left w:val="none" w:sz="0" w:space="0" w:color="auto"/>
        <w:bottom w:val="none" w:sz="0" w:space="0" w:color="auto"/>
        <w:right w:val="none" w:sz="0" w:space="0" w:color="auto"/>
      </w:divBdr>
    </w:div>
    <w:div w:id="2104764507">
      <w:marLeft w:val="390"/>
      <w:marRight w:val="390"/>
      <w:marTop w:val="0"/>
      <w:marBottom w:val="0"/>
      <w:divBdr>
        <w:top w:val="none" w:sz="0" w:space="0" w:color="auto"/>
        <w:left w:val="none" w:sz="0" w:space="0" w:color="auto"/>
        <w:bottom w:val="none" w:sz="0" w:space="0" w:color="auto"/>
        <w:right w:val="none" w:sz="0" w:space="0" w:color="auto"/>
      </w:divBdr>
    </w:div>
    <w:div w:id="2104764511">
      <w:marLeft w:val="0"/>
      <w:marRight w:val="0"/>
      <w:marTop w:val="0"/>
      <w:marBottom w:val="0"/>
      <w:divBdr>
        <w:top w:val="none" w:sz="0" w:space="0" w:color="auto"/>
        <w:left w:val="none" w:sz="0" w:space="0" w:color="auto"/>
        <w:bottom w:val="none" w:sz="0" w:space="0" w:color="auto"/>
        <w:right w:val="none" w:sz="0" w:space="0" w:color="auto"/>
      </w:divBdr>
      <w:divsChild>
        <w:div w:id="2104764425">
          <w:marLeft w:val="0"/>
          <w:marRight w:val="0"/>
          <w:marTop w:val="0"/>
          <w:marBottom w:val="0"/>
          <w:divBdr>
            <w:top w:val="none" w:sz="0" w:space="0" w:color="auto"/>
            <w:left w:val="none" w:sz="0" w:space="0" w:color="auto"/>
            <w:bottom w:val="none" w:sz="0" w:space="0" w:color="auto"/>
            <w:right w:val="none" w:sz="0" w:space="0" w:color="auto"/>
          </w:divBdr>
        </w:div>
        <w:div w:id="2104764575">
          <w:marLeft w:val="0"/>
          <w:marRight w:val="0"/>
          <w:marTop w:val="0"/>
          <w:marBottom w:val="0"/>
          <w:divBdr>
            <w:top w:val="none" w:sz="0" w:space="0" w:color="auto"/>
            <w:left w:val="none" w:sz="0" w:space="0" w:color="auto"/>
            <w:bottom w:val="none" w:sz="0" w:space="0" w:color="auto"/>
            <w:right w:val="none" w:sz="0" w:space="0" w:color="auto"/>
          </w:divBdr>
        </w:div>
        <w:div w:id="2104764605">
          <w:marLeft w:val="0"/>
          <w:marRight w:val="0"/>
          <w:marTop w:val="0"/>
          <w:marBottom w:val="0"/>
          <w:divBdr>
            <w:top w:val="none" w:sz="0" w:space="0" w:color="auto"/>
            <w:left w:val="none" w:sz="0" w:space="0" w:color="auto"/>
            <w:bottom w:val="none" w:sz="0" w:space="0" w:color="auto"/>
            <w:right w:val="none" w:sz="0" w:space="0" w:color="auto"/>
          </w:divBdr>
        </w:div>
        <w:div w:id="2104764742">
          <w:marLeft w:val="0"/>
          <w:marRight w:val="0"/>
          <w:marTop w:val="0"/>
          <w:marBottom w:val="0"/>
          <w:divBdr>
            <w:top w:val="none" w:sz="0" w:space="0" w:color="auto"/>
            <w:left w:val="none" w:sz="0" w:space="0" w:color="auto"/>
            <w:bottom w:val="none" w:sz="0" w:space="0" w:color="auto"/>
            <w:right w:val="none" w:sz="0" w:space="0" w:color="auto"/>
          </w:divBdr>
        </w:div>
      </w:divsChild>
    </w:div>
    <w:div w:id="2104764517">
      <w:marLeft w:val="0"/>
      <w:marRight w:val="0"/>
      <w:marTop w:val="0"/>
      <w:marBottom w:val="0"/>
      <w:divBdr>
        <w:top w:val="none" w:sz="0" w:space="0" w:color="auto"/>
        <w:left w:val="none" w:sz="0" w:space="0" w:color="auto"/>
        <w:bottom w:val="none" w:sz="0" w:space="0" w:color="auto"/>
        <w:right w:val="none" w:sz="0" w:space="0" w:color="auto"/>
      </w:divBdr>
      <w:divsChild>
        <w:div w:id="2104764310">
          <w:marLeft w:val="0"/>
          <w:marRight w:val="0"/>
          <w:marTop w:val="0"/>
          <w:marBottom w:val="0"/>
          <w:divBdr>
            <w:top w:val="none" w:sz="0" w:space="0" w:color="auto"/>
            <w:left w:val="none" w:sz="0" w:space="0" w:color="auto"/>
            <w:bottom w:val="none" w:sz="0" w:space="0" w:color="auto"/>
            <w:right w:val="none" w:sz="0" w:space="0" w:color="auto"/>
          </w:divBdr>
        </w:div>
        <w:div w:id="2104764442">
          <w:marLeft w:val="0"/>
          <w:marRight w:val="0"/>
          <w:marTop w:val="0"/>
          <w:marBottom w:val="0"/>
          <w:divBdr>
            <w:top w:val="none" w:sz="0" w:space="0" w:color="auto"/>
            <w:left w:val="none" w:sz="0" w:space="0" w:color="auto"/>
            <w:bottom w:val="none" w:sz="0" w:space="0" w:color="auto"/>
            <w:right w:val="none" w:sz="0" w:space="0" w:color="auto"/>
          </w:divBdr>
        </w:div>
        <w:div w:id="2104764531">
          <w:marLeft w:val="0"/>
          <w:marRight w:val="0"/>
          <w:marTop w:val="0"/>
          <w:marBottom w:val="0"/>
          <w:divBdr>
            <w:top w:val="none" w:sz="0" w:space="0" w:color="auto"/>
            <w:left w:val="none" w:sz="0" w:space="0" w:color="auto"/>
            <w:bottom w:val="none" w:sz="0" w:space="0" w:color="auto"/>
            <w:right w:val="none" w:sz="0" w:space="0" w:color="auto"/>
          </w:divBdr>
        </w:div>
        <w:div w:id="2104764608">
          <w:marLeft w:val="0"/>
          <w:marRight w:val="0"/>
          <w:marTop w:val="0"/>
          <w:marBottom w:val="0"/>
          <w:divBdr>
            <w:top w:val="none" w:sz="0" w:space="0" w:color="auto"/>
            <w:left w:val="none" w:sz="0" w:space="0" w:color="auto"/>
            <w:bottom w:val="none" w:sz="0" w:space="0" w:color="auto"/>
            <w:right w:val="none" w:sz="0" w:space="0" w:color="auto"/>
          </w:divBdr>
        </w:div>
        <w:div w:id="2104764632">
          <w:marLeft w:val="0"/>
          <w:marRight w:val="0"/>
          <w:marTop w:val="0"/>
          <w:marBottom w:val="0"/>
          <w:divBdr>
            <w:top w:val="none" w:sz="0" w:space="0" w:color="auto"/>
            <w:left w:val="none" w:sz="0" w:space="0" w:color="auto"/>
            <w:bottom w:val="none" w:sz="0" w:space="0" w:color="auto"/>
            <w:right w:val="none" w:sz="0" w:space="0" w:color="auto"/>
          </w:divBdr>
        </w:div>
        <w:div w:id="2104764635">
          <w:marLeft w:val="0"/>
          <w:marRight w:val="0"/>
          <w:marTop w:val="0"/>
          <w:marBottom w:val="0"/>
          <w:divBdr>
            <w:top w:val="none" w:sz="0" w:space="0" w:color="auto"/>
            <w:left w:val="none" w:sz="0" w:space="0" w:color="auto"/>
            <w:bottom w:val="none" w:sz="0" w:space="0" w:color="auto"/>
            <w:right w:val="none" w:sz="0" w:space="0" w:color="auto"/>
          </w:divBdr>
        </w:div>
        <w:div w:id="2104764651">
          <w:marLeft w:val="0"/>
          <w:marRight w:val="0"/>
          <w:marTop w:val="0"/>
          <w:marBottom w:val="0"/>
          <w:divBdr>
            <w:top w:val="none" w:sz="0" w:space="0" w:color="auto"/>
            <w:left w:val="none" w:sz="0" w:space="0" w:color="auto"/>
            <w:bottom w:val="none" w:sz="0" w:space="0" w:color="auto"/>
            <w:right w:val="none" w:sz="0" w:space="0" w:color="auto"/>
          </w:divBdr>
        </w:div>
        <w:div w:id="2104764658">
          <w:marLeft w:val="0"/>
          <w:marRight w:val="0"/>
          <w:marTop w:val="0"/>
          <w:marBottom w:val="0"/>
          <w:divBdr>
            <w:top w:val="none" w:sz="0" w:space="0" w:color="auto"/>
            <w:left w:val="none" w:sz="0" w:space="0" w:color="auto"/>
            <w:bottom w:val="none" w:sz="0" w:space="0" w:color="auto"/>
            <w:right w:val="none" w:sz="0" w:space="0" w:color="auto"/>
          </w:divBdr>
        </w:div>
        <w:div w:id="2104764703">
          <w:marLeft w:val="0"/>
          <w:marRight w:val="0"/>
          <w:marTop w:val="0"/>
          <w:marBottom w:val="0"/>
          <w:divBdr>
            <w:top w:val="none" w:sz="0" w:space="0" w:color="auto"/>
            <w:left w:val="none" w:sz="0" w:space="0" w:color="auto"/>
            <w:bottom w:val="none" w:sz="0" w:space="0" w:color="auto"/>
            <w:right w:val="none" w:sz="0" w:space="0" w:color="auto"/>
          </w:divBdr>
        </w:div>
      </w:divsChild>
    </w:div>
    <w:div w:id="2104764519">
      <w:marLeft w:val="0"/>
      <w:marRight w:val="0"/>
      <w:marTop w:val="0"/>
      <w:marBottom w:val="0"/>
      <w:divBdr>
        <w:top w:val="none" w:sz="0" w:space="0" w:color="auto"/>
        <w:left w:val="none" w:sz="0" w:space="0" w:color="auto"/>
        <w:bottom w:val="none" w:sz="0" w:space="0" w:color="auto"/>
        <w:right w:val="none" w:sz="0" w:space="0" w:color="auto"/>
      </w:divBdr>
      <w:divsChild>
        <w:div w:id="2104764302">
          <w:marLeft w:val="0"/>
          <w:marRight w:val="0"/>
          <w:marTop w:val="0"/>
          <w:marBottom w:val="0"/>
          <w:divBdr>
            <w:top w:val="none" w:sz="0" w:space="0" w:color="auto"/>
            <w:left w:val="none" w:sz="0" w:space="0" w:color="auto"/>
            <w:bottom w:val="none" w:sz="0" w:space="0" w:color="auto"/>
            <w:right w:val="none" w:sz="0" w:space="0" w:color="auto"/>
          </w:divBdr>
        </w:div>
        <w:div w:id="2104764306">
          <w:marLeft w:val="0"/>
          <w:marRight w:val="0"/>
          <w:marTop w:val="0"/>
          <w:marBottom w:val="0"/>
          <w:divBdr>
            <w:top w:val="none" w:sz="0" w:space="0" w:color="auto"/>
            <w:left w:val="none" w:sz="0" w:space="0" w:color="auto"/>
            <w:bottom w:val="none" w:sz="0" w:space="0" w:color="auto"/>
            <w:right w:val="none" w:sz="0" w:space="0" w:color="auto"/>
          </w:divBdr>
        </w:div>
        <w:div w:id="2104764307">
          <w:marLeft w:val="0"/>
          <w:marRight w:val="0"/>
          <w:marTop w:val="0"/>
          <w:marBottom w:val="0"/>
          <w:divBdr>
            <w:top w:val="none" w:sz="0" w:space="0" w:color="auto"/>
            <w:left w:val="none" w:sz="0" w:space="0" w:color="auto"/>
            <w:bottom w:val="none" w:sz="0" w:space="0" w:color="auto"/>
            <w:right w:val="none" w:sz="0" w:space="0" w:color="auto"/>
          </w:divBdr>
        </w:div>
        <w:div w:id="2104764324">
          <w:marLeft w:val="0"/>
          <w:marRight w:val="0"/>
          <w:marTop w:val="0"/>
          <w:marBottom w:val="0"/>
          <w:divBdr>
            <w:top w:val="none" w:sz="0" w:space="0" w:color="auto"/>
            <w:left w:val="none" w:sz="0" w:space="0" w:color="auto"/>
            <w:bottom w:val="none" w:sz="0" w:space="0" w:color="auto"/>
            <w:right w:val="none" w:sz="0" w:space="0" w:color="auto"/>
          </w:divBdr>
        </w:div>
        <w:div w:id="2104764333">
          <w:marLeft w:val="0"/>
          <w:marRight w:val="0"/>
          <w:marTop w:val="0"/>
          <w:marBottom w:val="0"/>
          <w:divBdr>
            <w:top w:val="none" w:sz="0" w:space="0" w:color="auto"/>
            <w:left w:val="none" w:sz="0" w:space="0" w:color="auto"/>
            <w:bottom w:val="none" w:sz="0" w:space="0" w:color="auto"/>
            <w:right w:val="none" w:sz="0" w:space="0" w:color="auto"/>
          </w:divBdr>
        </w:div>
        <w:div w:id="2104764338">
          <w:marLeft w:val="0"/>
          <w:marRight w:val="0"/>
          <w:marTop w:val="0"/>
          <w:marBottom w:val="0"/>
          <w:divBdr>
            <w:top w:val="none" w:sz="0" w:space="0" w:color="auto"/>
            <w:left w:val="none" w:sz="0" w:space="0" w:color="auto"/>
            <w:bottom w:val="none" w:sz="0" w:space="0" w:color="auto"/>
            <w:right w:val="none" w:sz="0" w:space="0" w:color="auto"/>
          </w:divBdr>
        </w:div>
        <w:div w:id="2104764345">
          <w:marLeft w:val="0"/>
          <w:marRight w:val="0"/>
          <w:marTop w:val="0"/>
          <w:marBottom w:val="0"/>
          <w:divBdr>
            <w:top w:val="none" w:sz="0" w:space="0" w:color="auto"/>
            <w:left w:val="none" w:sz="0" w:space="0" w:color="auto"/>
            <w:bottom w:val="none" w:sz="0" w:space="0" w:color="auto"/>
            <w:right w:val="none" w:sz="0" w:space="0" w:color="auto"/>
          </w:divBdr>
        </w:div>
        <w:div w:id="2104764351">
          <w:marLeft w:val="0"/>
          <w:marRight w:val="0"/>
          <w:marTop w:val="0"/>
          <w:marBottom w:val="0"/>
          <w:divBdr>
            <w:top w:val="none" w:sz="0" w:space="0" w:color="auto"/>
            <w:left w:val="none" w:sz="0" w:space="0" w:color="auto"/>
            <w:bottom w:val="none" w:sz="0" w:space="0" w:color="auto"/>
            <w:right w:val="none" w:sz="0" w:space="0" w:color="auto"/>
          </w:divBdr>
        </w:div>
        <w:div w:id="2104764359">
          <w:marLeft w:val="0"/>
          <w:marRight w:val="0"/>
          <w:marTop w:val="0"/>
          <w:marBottom w:val="0"/>
          <w:divBdr>
            <w:top w:val="none" w:sz="0" w:space="0" w:color="auto"/>
            <w:left w:val="none" w:sz="0" w:space="0" w:color="auto"/>
            <w:bottom w:val="none" w:sz="0" w:space="0" w:color="auto"/>
            <w:right w:val="none" w:sz="0" w:space="0" w:color="auto"/>
          </w:divBdr>
        </w:div>
        <w:div w:id="2104764364">
          <w:marLeft w:val="0"/>
          <w:marRight w:val="0"/>
          <w:marTop w:val="0"/>
          <w:marBottom w:val="0"/>
          <w:divBdr>
            <w:top w:val="none" w:sz="0" w:space="0" w:color="auto"/>
            <w:left w:val="none" w:sz="0" w:space="0" w:color="auto"/>
            <w:bottom w:val="none" w:sz="0" w:space="0" w:color="auto"/>
            <w:right w:val="none" w:sz="0" w:space="0" w:color="auto"/>
          </w:divBdr>
        </w:div>
        <w:div w:id="2104764369">
          <w:marLeft w:val="0"/>
          <w:marRight w:val="0"/>
          <w:marTop w:val="0"/>
          <w:marBottom w:val="0"/>
          <w:divBdr>
            <w:top w:val="none" w:sz="0" w:space="0" w:color="auto"/>
            <w:left w:val="none" w:sz="0" w:space="0" w:color="auto"/>
            <w:bottom w:val="none" w:sz="0" w:space="0" w:color="auto"/>
            <w:right w:val="none" w:sz="0" w:space="0" w:color="auto"/>
          </w:divBdr>
        </w:div>
        <w:div w:id="2104764375">
          <w:marLeft w:val="0"/>
          <w:marRight w:val="0"/>
          <w:marTop w:val="0"/>
          <w:marBottom w:val="0"/>
          <w:divBdr>
            <w:top w:val="none" w:sz="0" w:space="0" w:color="auto"/>
            <w:left w:val="none" w:sz="0" w:space="0" w:color="auto"/>
            <w:bottom w:val="none" w:sz="0" w:space="0" w:color="auto"/>
            <w:right w:val="none" w:sz="0" w:space="0" w:color="auto"/>
          </w:divBdr>
        </w:div>
        <w:div w:id="2104764378">
          <w:marLeft w:val="0"/>
          <w:marRight w:val="0"/>
          <w:marTop w:val="0"/>
          <w:marBottom w:val="0"/>
          <w:divBdr>
            <w:top w:val="none" w:sz="0" w:space="0" w:color="auto"/>
            <w:left w:val="none" w:sz="0" w:space="0" w:color="auto"/>
            <w:bottom w:val="none" w:sz="0" w:space="0" w:color="auto"/>
            <w:right w:val="none" w:sz="0" w:space="0" w:color="auto"/>
          </w:divBdr>
        </w:div>
        <w:div w:id="2104764385">
          <w:marLeft w:val="0"/>
          <w:marRight w:val="0"/>
          <w:marTop w:val="0"/>
          <w:marBottom w:val="0"/>
          <w:divBdr>
            <w:top w:val="none" w:sz="0" w:space="0" w:color="auto"/>
            <w:left w:val="none" w:sz="0" w:space="0" w:color="auto"/>
            <w:bottom w:val="none" w:sz="0" w:space="0" w:color="auto"/>
            <w:right w:val="none" w:sz="0" w:space="0" w:color="auto"/>
          </w:divBdr>
        </w:div>
        <w:div w:id="2104764391">
          <w:marLeft w:val="0"/>
          <w:marRight w:val="0"/>
          <w:marTop w:val="0"/>
          <w:marBottom w:val="0"/>
          <w:divBdr>
            <w:top w:val="none" w:sz="0" w:space="0" w:color="auto"/>
            <w:left w:val="none" w:sz="0" w:space="0" w:color="auto"/>
            <w:bottom w:val="none" w:sz="0" w:space="0" w:color="auto"/>
            <w:right w:val="none" w:sz="0" w:space="0" w:color="auto"/>
          </w:divBdr>
        </w:div>
        <w:div w:id="2104764399">
          <w:marLeft w:val="0"/>
          <w:marRight w:val="0"/>
          <w:marTop w:val="0"/>
          <w:marBottom w:val="0"/>
          <w:divBdr>
            <w:top w:val="none" w:sz="0" w:space="0" w:color="auto"/>
            <w:left w:val="none" w:sz="0" w:space="0" w:color="auto"/>
            <w:bottom w:val="none" w:sz="0" w:space="0" w:color="auto"/>
            <w:right w:val="none" w:sz="0" w:space="0" w:color="auto"/>
          </w:divBdr>
        </w:div>
        <w:div w:id="2104764402">
          <w:marLeft w:val="0"/>
          <w:marRight w:val="0"/>
          <w:marTop w:val="0"/>
          <w:marBottom w:val="0"/>
          <w:divBdr>
            <w:top w:val="none" w:sz="0" w:space="0" w:color="auto"/>
            <w:left w:val="none" w:sz="0" w:space="0" w:color="auto"/>
            <w:bottom w:val="none" w:sz="0" w:space="0" w:color="auto"/>
            <w:right w:val="none" w:sz="0" w:space="0" w:color="auto"/>
          </w:divBdr>
        </w:div>
        <w:div w:id="2104764423">
          <w:marLeft w:val="0"/>
          <w:marRight w:val="0"/>
          <w:marTop w:val="0"/>
          <w:marBottom w:val="0"/>
          <w:divBdr>
            <w:top w:val="none" w:sz="0" w:space="0" w:color="auto"/>
            <w:left w:val="none" w:sz="0" w:space="0" w:color="auto"/>
            <w:bottom w:val="none" w:sz="0" w:space="0" w:color="auto"/>
            <w:right w:val="none" w:sz="0" w:space="0" w:color="auto"/>
          </w:divBdr>
        </w:div>
        <w:div w:id="2104764437">
          <w:marLeft w:val="0"/>
          <w:marRight w:val="0"/>
          <w:marTop w:val="0"/>
          <w:marBottom w:val="0"/>
          <w:divBdr>
            <w:top w:val="none" w:sz="0" w:space="0" w:color="auto"/>
            <w:left w:val="none" w:sz="0" w:space="0" w:color="auto"/>
            <w:bottom w:val="none" w:sz="0" w:space="0" w:color="auto"/>
            <w:right w:val="none" w:sz="0" w:space="0" w:color="auto"/>
          </w:divBdr>
        </w:div>
        <w:div w:id="2104764440">
          <w:marLeft w:val="0"/>
          <w:marRight w:val="0"/>
          <w:marTop w:val="0"/>
          <w:marBottom w:val="0"/>
          <w:divBdr>
            <w:top w:val="none" w:sz="0" w:space="0" w:color="auto"/>
            <w:left w:val="none" w:sz="0" w:space="0" w:color="auto"/>
            <w:bottom w:val="none" w:sz="0" w:space="0" w:color="auto"/>
            <w:right w:val="none" w:sz="0" w:space="0" w:color="auto"/>
          </w:divBdr>
        </w:div>
        <w:div w:id="2104764444">
          <w:marLeft w:val="0"/>
          <w:marRight w:val="0"/>
          <w:marTop w:val="0"/>
          <w:marBottom w:val="0"/>
          <w:divBdr>
            <w:top w:val="none" w:sz="0" w:space="0" w:color="auto"/>
            <w:left w:val="none" w:sz="0" w:space="0" w:color="auto"/>
            <w:bottom w:val="none" w:sz="0" w:space="0" w:color="auto"/>
            <w:right w:val="none" w:sz="0" w:space="0" w:color="auto"/>
          </w:divBdr>
        </w:div>
        <w:div w:id="2104764450">
          <w:marLeft w:val="0"/>
          <w:marRight w:val="0"/>
          <w:marTop w:val="0"/>
          <w:marBottom w:val="0"/>
          <w:divBdr>
            <w:top w:val="none" w:sz="0" w:space="0" w:color="auto"/>
            <w:left w:val="none" w:sz="0" w:space="0" w:color="auto"/>
            <w:bottom w:val="none" w:sz="0" w:space="0" w:color="auto"/>
            <w:right w:val="none" w:sz="0" w:space="0" w:color="auto"/>
          </w:divBdr>
        </w:div>
        <w:div w:id="2104764453">
          <w:marLeft w:val="0"/>
          <w:marRight w:val="0"/>
          <w:marTop w:val="0"/>
          <w:marBottom w:val="0"/>
          <w:divBdr>
            <w:top w:val="none" w:sz="0" w:space="0" w:color="auto"/>
            <w:left w:val="none" w:sz="0" w:space="0" w:color="auto"/>
            <w:bottom w:val="none" w:sz="0" w:space="0" w:color="auto"/>
            <w:right w:val="none" w:sz="0" w:space="0" w:color="auto"/>
          </w:divBdr>
        </w:div>
        <w:div w:id="2104764457">
          <w:marLeft w:val="0"/>
          <w:marRight w:val="0"/>
          <w:marTop w:val="0"/>
          <w:marBottom w:val="0"/>
          <w:divBdr>
            <w:top w:val="none" w:sz="0" w:space="0" w:color="auto"/>
            <w:left w:val="none" w:sz="0" w:space="0" w:color="auto"/>
            <w:bottom w:val="none" w:sz="0" w:space="0" w:color="auto"/>
            <w:right w:val="none" w:sz="0" w:space="0" w:color="auto"/>
          </w:divBdr>
        </w:div>
        <w:div w:id="2104764464">
          <w:marLeft w:val="0"/>
          <w:marRight w:val="0"/>
          <w:marTop w:val="0"/>
          <w:marBottom w:val="0"/>
          <w:divBdr>
            <w:top w:val="none" w:sz="0" w:space="0" w:color="auto"/>
            <w:left w:val="none" w:sz="0" w:space="0" w:color="auto"/>
            <w:bottom w:val="none" w:sz="0" w:space="0" w:color="auto"/>
            <w:right w:val="none" w:sz="0" w:space="0" w:color="auto"/>
          </w:divBdr>
        </w:div>
        <w:div w:id="2104764467">
          <w:marLeft w:val="0"/>
          <w:marRight w:val="0"/>
          <w:marTop w:val="0"/>
          <w:marBottom w:val="0"/>
          <w:divBdr>
            <w:top w:val="none" w:sz="0" w:space="0" w:color="auto"/>
            <w:left w:val="none" w:sz="0" w:space="0" w:color="auto"/>
            <w:bottom w:val="none" w:sz="0" w:space="0" w:color="auto"/>
            <w:right w:val="none" w:sz="0" w:space="0" w:color="auto"/>
          </w:divBdr>
        </w:div>
        <w:div w:id="2104764472">
          <w:marLeft w:val="0"/>
          <w:marRight w:val="0"/>
          <w:marTop w:val="0"/>
          <w:marBottom w:val="0"/>
          <w:divBdr>
            <w:top w:val="none" w:sz="0" w:space="0" w:color="auto"/>
            <w:left w:val="none" w:sz="0" w:space="0" w:color="auto"/>
            <w:bottom w:val="none" w:sz="0" w:space="0" w:color="auto"/>
            <w:right w:val="none" w:sz="0" w:space="0" w:color="auto"/>
          </w:divBdr>
        </w:div>
        <w:div w:id="2104764477">
          <w:marLeft w:val="0"/>
          <w:marRight w:val="0"/>
          <w:marTop w:val="0"/>
          <w:marBottom w:val="0"/>
          <w:divBdr>
            <w:top w:val="none" w:sz="0" w:space="0" w:color="auto"/>
            <w:left w:val="none" w:sz="0" w:space="0" w:color="auto"/>
            <w:bottom w:val="none" w:sz="0" w:space="0" w:color="auto"/>
            <w:right w:val="none" w:sz="0" w:space="0" w:color="auto"/>
          </w:divBdr>
        </w:div>
        <w:div w:id="2104764487">
          <w:marLeft w:val="0"/>
          <w:marRight w:val="0"/>
          <w:marTop w:val="0"/>
          <w:marBottom w:val="0"/>
          <w:divBdr>
            <w:top w:val="none" w:sz="0" w:space="0" w:color="auto"/>
            <w:left w:val="none" w:sz="0" w:space="0" w:color="auto"/>
            <w:bottom w:val="none" w:sz="0" w:space="0" w:color="auto"/>
            <w:right w:val="none" w:sz="0" w:space="0" w:color="auto"/>
          </w:divBdr>
        </w:div>
        <w:div w:id="2104764498">
          <w:marLeft w:val="0"/>
          <w:marRight w:val="0"/>
          <w:marTop w:val="0"/>
          <w:marBottom w:val="0"/>
          <w:divBdr>
            <w:top w:val="none" w:sz="0" w:space="0" w:color="auto"/>
            <w:left w:val="none" w:sz="0" w:space="0" w:color="auto"/>
            <w:bottom w:val="none" w:sz="0" w:space="0" w:color="auto"/>
            <w:right w:val="none" w:sz="0" w:space="0" w:color="auto"/>
          </w:divBdr>
        </w:div>
        <w:div w:id="2104764506">
          <w:marLeft w:val="0"/>
          <w:marRight w:val="0"/>
          <w:marTop w:val="0"/>
          <w:marBottom w:val="0"/>
          <w:divBdr>
            <w:top w:val="none" w:sz="0" w:space="0" w:color="auto"/>
            <w:left w:val="none" w:sz="0" w:space="0" w:color="auto"/>
            <w:bottom w:val="none" w:sz="0" w:space="0" w:color="auto"/>
            <w:right w:val="none" w:sz="0" w:space="0" w:color="auto"/>
          </w:divBdr>
        </w:div>
        <w:div w:id="2104764513">
          <w:marLeft w:val="0"/>
          <w:marRight w:val="0"/>
          <w:marTop w:val="0"/>
          <w:marBottom w:val="0"/>
          <w:divBdr>
            <w:top w:val="none" w:sz="0" w:space="0" w:color="auto"/>
            <w:left w:val="none" w:sz="0" w:space="0" w:color="auto"/>
            <w:bottom w:val="none" w:sz="0" w:space="0" w:color="auto"/>
            <w:right w:val="none" w:sz="0" w:space="0" w:color="auto"/>
          </w:divBdr>
        </w:div>
        <w:div w:id="2104764515">
          <w:marLeft w:val="0"/>
          <w:marRight w:val="0"/>
          <w:marTop w:val="0"/>
          <w:marBottom w:val="0"/>
          <w:divBdr>
            <w:top w:val="none" w:sz="0" w:space="0" w:color="auto"/>
            <w:left w:val="none" w:sz="0" w:space="0" w:color="auto"/>
            <w:bottom w:val="none" w:sz="0" w:space="0" w:color="auto"/>
            <w:right w:val="none" w:sz="0" w:space="0" w:color="auto"/>
          </w:divBdr>
        </w:div>
        <w:div w:id="2104764524">
          <w:marLeft w:val="0"/>
          <w:marRight w:val="0"/>
          <w:marTop w:val="0"/>
          <w:marBottom w:val="0"/>
          <w:divBdr>
            <w:top w:val="none" w:sz="0" w:space="0" w:color="auto"/>
            <w:left w:val="none" w:sz="0" w:space="0" w:color="auto"/>
            <w:bottom w:val="none" w:sz="0" w:space="0" w:color="auto"/>
            <w:right w:val="none" w:sz="0" w:space="0" w:color="auto"/>
          </w:divBdr>
        </w:div>
        <w:div w:id="2104764530">
          <w:marLeft w:val="0"/>
          <w:marRight w:val="0"/>
          <w:marTop w:val="0"/>
          <w:marBottom w:val="0"/>
          <w:divBdr>
            <w:top w:val="none" w:sz="0" w:space="0" w:color="auto"/>
            <w:left w:val="none" w:sz="0" w:space="0" w:color="auto"/>
            <w:bottom w:val="none" w:sz="0" w:space="0" w:color="auto"/>
            <w:right w:val="none" w:sz="0" w:space="0" w:color="auto"/>
          </w:divBdr>
        </w:div>
        <w:div w:id="2104764536">
          <w:marLeft w:val="0"/>
          <w:marRight w:val="0"/>
          <w:marTop w:val="0"/>
          <w:marBottom w:val="0"/>
          <w:divBdr>
            <w:top w:val="none" w:sz="0" w:space="0" w:color="auto"/>
            <w:left w:val="none" w:sz="0" w:space="0" w:color="auto"/>
            <w:bottom w:val="none" w:sz="0" w:space="0" w:color="auto"/>
            <w:right w:val="none" w:sz="0" w:space="0" w:color="auto"/>
          </w:divBdr>
        </w:div>
        <w:div w:id="2104764538">
          <w:marLeft w:val="0"/>
          <w:marRight w:val="0"/>
          <w:marTop w:val="0"/>
          <w:marBottom w:val="0"/>
          <w:divBdr>
            <w:top w:val="none" w:sz="0" w:space="0" w:color="auto"/>
            <w:left w:val="none" w:sz="0" w:space="0" w:color="auto"/>
            <w:bottom w:val="none" w:sz="0" w:space="0" w:color="auto"/>
            <w:right w:val="none" w:sz="0" w:space="0" w:color="auto"/>
          </w:divBdr>
        </w:div>
        <w:div w:id="2104764539">
          <w:marLeft w:val="0"/>
          <w:marRight w:val="0"/>
          <w:marTop w:val="0"/>
          <w:marBottom w:val="0"/>
          <w:divBdr>
            <w:top w:val="none" w:sz="0" w:space="0" w:color="auto"/>
            <w:left w:val="none" w:sz="0" w:space="0" w:color="auto"/>
            <w:bottom w:val="none" w:sz="0" w:space="0" w:color="auto"/>
            <w:right w:val="none" w:sz="0" w:space="0" w:color="auto"/>
          </w:divBdr>
        </w:div>
        <w:div w:id="2104764546">
          <w:marLeft w:val="0"/>
          <w:marRight w:val="0"/>
          <w:marTop w:val="0"/>
          <w:marBottom w:val="0"/>
          <w:divBdr>
            <w:top w:val="none" w:sz="0" w:space="0" w:color="auto"/>
            <w:left w:val="none" w:sz="0" w:space="0" w:color="auto"/>
            <w:bottom w:val="none" w:sz="0" w:space="0" w:color="auto"/>
            <w:right w:val="none" w:sz="0" w:space="0" w:color="auto"/>
          </w:divBdr>
        </w:div>
        <w:div w:id="2104764547">
          <w:marLeft w:val="0"/>
          <w:marRight w:val="0"/>
          <w:marTop w:val="0"/>
          <w:marBottom w:val="0"/>
          <w:divBdr>
            <w:top w:val="none" w:sz="0" w:space="0" w:color="auto"/>
            <w:left w:val="none" w:sz="0" w:space="0" w:color="auto"/>
            <w:bottom w:val="none" w:sz="0" w:space="0" w:color="auto"/>
            <w:right w:val="none" w:sz="0" w:space="0" w:color="auto"/>
          </w:divBdr>
        </w:div>
        <w:div w:id="2104764564">
          <w:marLeft w:val="0"/>
          <w:marRight w:val="0"/>
          <w:marTop w:val="0"/>
          <w:marBottom w:val="0"/>
          <w:divBdr>
            <w:top w:val="none" w:sz="0" w:space="0" w:color="auto"/>
            <w:left w:val="none" w:sz="0" w:space="0" w:color="auto"/>
            <w:bottom w:val="none" w:sz="0" w:space="0" w:color="auto"/>
            <w:right w:val="none" w:sz="0" w:space="0" w:color="auto"/>
          </w:divBdr>
        </w:div>
        <w:div w:id="2104764578">
          <w:marLeft w:val="0"/>
          <w:marRight w:val="0"/>
          <w:marTop w:val="0"/>
          <w:marBottom w:val="0"/>
          <w:divBdr>
            <w:top w:val="none" w:sz="0" w:space="0" w:color="auto"/>
            <w:left w:val="none" w:sz="0" w:space="0" w:color="auto"/>
            <w:bottom w:val="none" w:sz="0" w:space="0" w:color="auto"/>
            <w:right w:val="none" w:sz="0" w:space="0" w:color="auto"/>
          </w:divBdr>
        </w:div>
        <w:div w:id="2104764581">
          <w:marLeft w:val="0"/>
          <w:marRight w:val="0"/>
          <w:marTop w:val="0"/>
          <w:marBottom w:val="0"/>
          <w:divBdr>
            <w:top w:val="none" w:sz="0" w:space="0" w:color="auto"/>
            <w:left w:val="none" w:sz="0" w:space="0" w:color="auto"/>
            <w:bottom w:val="none" w:sz="0" w:space="0" w:color="auto"/>
            <w:right w:val="none" w:sz="0" w:space="0" w:color="auto"/>
          </w:divBdr>
        </w:div>
        <w:div w:id="2104764602">
          <w:marLeft w:val="0"/>
          <w:marRight w:val="0"/>
          <w:marTop w:val="0"/>
          <w:marBottom w:val="0"/>
          <w:divBdr>
            <w:top w:val="none" w:sz="0" w:space="0" w:color="auto"/>
            <w:left w:val="none" w:sz="0" w:space="0" w:color="auto"/>
            <w:bottom w:val="none" w:sz="0" w:space="0" w:color="auto"/>
            <w:right w:val="none" w:sz="0" w:space="0" w:color="auto"/>
          </w:divBdr>
        </w:div>
        <w:div w:id="2104764610">
          <w:marLeft w:val="0"/>
          <w:marRight w:val="0"/>
          <w:marTop w:val="0"/>
          <w:marBottom w:val="0"/>
          <w:divBdr>
            <w:top w:val="none" w:sz="0" w:space="0" w:color="auto"/>
            <w:left w:val="none" w:sz="0" w:space="0" w:color="auto"/>
            <w:bottom w:val="none" w:sz="0" w:space="0" w:color="auto"/>
            <w:right w:val="none" w:sz="0" w:space="0" w:color="auto"/>
          </w:divBdr>
        </w:div>
        <w:div w:id="2104764613">
          <w:marLeft w:val="0"/>
          <w:marRight w:val="0"/>
          <w:marTop w:val="0"/>
          <w:marBottom w:val="0"/>
          <w:divBdr>
            <w:top w:val="none" w:sz="0" w:space="0" w:color="auto"/>
            <w:left w:val="none" w:sz="0" w:space="0" w:color="auto"/>
            <w:bottom w:val="none" w:sz="0" w:space="0" w:color="auto"/>
            <w:right w:val="none" w:sz="0" w:space="0" w:color="auto"/>
          </w:divBdr>
        </w:div>
        <w:div w:id="2104764624">
          <w:marLeft w:val="0"/>
          <w:marRight w:val="0"/>
          <w:marTop w:val="0"/>
          <w:marBottom w:val="0"/>
          <w:divBdr>
            <w:top w:val="none" w:sz="0" w:space="0" w:color="auto"/>
            <w:left w:val="none" w:sz="0" w:space="0" w:color="auto"/>
            <w:bottom w:val="none" w:sz="0" w:space="0" w:color="auto"/>
            <w:right w:val="none" w:sz="0" w:space="0" w:color="auto"/>
          </w:divBdr>
        </w:div>
        <w:div w:id="2104764628">
          <w:marLeft w:val="0"/>
          <w:marRight w:val="0"/>
          <w:marTop w:val="0"/>
          <w:marBottom w:val="0"/>
          <w:divBdr>
            <w:top w:val="none" w:sz="0" w:space="0" w:color="auto"/>
            <w:left w:val="none" w:sz="0" w:space="0" w:color="auto"/>
            <w:bottom w:val="none" w:sz="0" w:space="0" w:color="auto"/>
            <w:right w:val="none" w:sz="0" w:space="0" w:color="auto"/>
          </w:divBdr>
        </w:div>
        <w:div w:id="2104764634">
          <w:marLeft w:val="0"/>
          <w:marRight w:val="0"/>
          <w:marTop w:val="0"/>
          <w:marBottom w:val="0"/>
          <w:divBdr>
            <w:top w:val="none" w:sz="0" w:space="0" w:color="auto"/>
            <w:left w:val="none" w:sz="0" w:space="0" w:color="auto"/>
            <w:bottom w:val="none" w:sz="0" w:space="0" w:color="auto"/>
            <w:right w:val="none" w:sz="0" w:space="0" w:color="auto"/>
          </w:divBdr>
        </w:div>
        <w:div w:id="2104764636">
          <w:marLeft w:val="0"/>
          <w:marRight w:val="0"/>
          <w:marTop w:val="0"/>
          <w:marBottom w:val="0"/>
          <w:divBdr>
            <w:top w:val="none" w:sz="0" w:space="0" w:color="auto"/>
            <w:left w:val="none" w:sz="0" w:space="0" w:color="auto"/>
            <w:bottom w:val="none" w:sz="0" w:space="0" w:color="auto"/>
            <w:right w:val="none" w:sz="0" w:space="0" w:color="auto"/>
          </w:divBdr>
        </w:div>
        <w:div w:id="2104764640">
          <w:marLeft w:val="0"/>
          <w:marRight w:val="0"/>
          <w:marTop w:val="0"/>
          <w:marBottom w:val="0"/>
          <w:divBdr>
            <w:top w:val="none" w:sz="0" w:space="0" w:color="auto"/>
            <w:left w:val="none" w:sz="0" w:space="0" w:color="auto"/>
            <w:bottom w:val="none" w:sz="0" w:space="0" w:color="auto"/>
            <w:right w:val="none" w:sz="0" w:space="0" w:color="auto"/>
          </w:divBdr>
        </w:div>
        <w:div w:id="2104764646">
          <w:marLeft w:val="0"/>
          <w:marRight w:val="0"/>
          <w:marTop w:val="0"/>
          <w:marBottom w:val="0"/>
          <w:divBdr>
            <w:top w:val="none" w:sz="0" w:space="0" w:color="auto"/>
            <w:left w:val="none" w:sz="0" w:space="0" w:color="auto"/>
            <w:bottom w:val="none" w:sz="0" w:space="0" w:color="auto"/>
            <w:right w:val="none" w:sz="0" w:space="0" w:color="auto"/>
          </w:divBdr>
        </w:div>
        <w:div w:id="2104764652">
          <w:marLeft w:val="0"/>
          <w:marRight w:val="0"/>
          <w:marTop w:val="0"/>
          <w:marBottom w:val="0"/>
          <w:divBdr>
            <w:top w:val="none" w:sz="0" w:space="0" w:color="auto"/>
            <w:left w:val="none" w:sz="0" w:space="0" w:color="auto"/>
            <w:bottom w:val="none" w:sz="0" w:space="0" w:color="auto"/>
            <w:right w:val="none" w:sz="0" w:space="0" w:color="auto"/>
          </w:divBdr>
        </w:div>
        <w:div w:id="2104764665">
          <w:marLeft w:val="0"/>
          <w:marRight w:val="0"/>
          <w:marTop w:val="0"/>
          <w:marBottom w:val="0"/>
          <w:divBdr>
            <w:top w:val="none" w:sz="0" w:space="0" w:color="auto"/>
            <w:left w:val="none" w:sz="0" w:space="0" w:color="auto"/>
            <w:bottom w:val="none" w:sz="0" w:space="0" w:color="auto"/>
            <w:right w:val="none" w:sz="0" w:space="0" w:color="auto"/>
          </w:divBdr>
        </w:div>
        <w:div w:id="2104764670">
          <w:marLeft w:val="0"/>
          <w:marRight w:val="0"/>
          <w:marTop w:val="0"/>
          <w:marBottom w:val="0"/>
          <w:divBdr>
            <w:top w:val="none" w:sz="0" w:space="0" w:color="auto"/>
            <w:left w:val="none" w:sz="0" w:space="0" w:color="auto"/>
            <w:bottom w:val="none" w:sz="0" w:space="0" w:color="auto"/>
            <w:right w:val="none" w:sz="0" w:space="0" w:color="auto"/>
          </w:divBdr>
        </w:div>
        <w:div w:id="2104764672">
          <w:marLeft w:val="0"/>
          <w:marRight w:val="0"/>
          <w:marTop w:val="0"/>
          <w:marBottom w:val="0"/>
          <w:divBdr>
            <w:top w:val="none" w:sz="0" w:space="0" w:color="auto"/>
            <w:left w:val="none" w:sz="0" w:space="0" w:color="auto"/>
            <w:bottom w:val="none" w:sz="0" w:space="0" w:color="auto"/>
            <w:right w:val="none" w:sz="0" w:space="0" w:color="auto"/>
          </w:divBdr>
        </w:div>
        <w:div w:id="2104764679">
          <w:marLeft w:val="0"/>
          <w:marRight w:val="0"/>
          <w:marTop w:val="0"/>
          <w:marBottom w:val="0"/>
          <w:divBdr>
            <w:top w:val="none" w:sz="0" w:space="0" w:color="auto"/>
            <w:left w:val="none" w:sz="0" w:space="0" w:color="auto"/>
            <w:bottom w:val="none" w:sz="0" w:space="0" w:color="auto"/>
            <w:right w:val="none" w:sz="0" w:space="0" w:color="auto"/>
          </w:divBdr>
        </w:div>
        <w:div w:id="2104764681">
          <w:marLeft w:val="0"/>
          <w:marRight w:val="0"/>
          <w:marTop w:val="0"/>
          <w:marBottom w:val="0"/>
          <w:divBdr>
            <w:top w:val="none" w:sz="0" w:space="0" w:color="auto"/>
            <w:left w:val="none" w:sz="0" w:space="0" w:color="auto"/>
            <w:bottom w:val="none" w:sz="0" w:space="0" w:color="auto"/>
            <w:right w:val="none" w:sz="0" w:space="0" w:color="auto"/>
          </w:divBdr>
        </w:div>
        <w:div w:id="2104764682">
          <w:marLeft w:val="0"/>
          <w:marRight w:val="0"/>
          <w:marTop w:val="0"/>
          <w:marBottom w:val="0"/>
          <w:divBdr>
            <w:top w:val="none" w:sz="0" w:space="0" w:color="auto"/>
            <w:left w:val="none" w:sz="0" w:space="0" w:color="auto"/>
            <w:bottom w:val="none" w:sz="0" w:space="0" w:color="auto"/>
            <w:right w:val="none" w:sz="0" w:space="0" w:color="auto"/>
          </w:divBdr>
        </w:div>
        <w:div w:id="2104764686">
          <w:marLeft w:val="0"/>
          <w:marRight w:val="0"/>
          <w:marTop w:val="0"/>
          <w:marBottom w:val="0"/>
          <w:divBdr>
            <w:top w:val="none" w:sz="0" w:space="0" w:color="auto"/>
            <w:left w:val="none" w:sz="0" w:space="0" w:color="auto"/>
            <w:bottom w:val="none" w:sz="0" w:space="0" w:color="auto"/>
            <w:right w:val="none" w:sz="0" w:space="0" w:color="auto"/>
          </w:divBdr>
        </w:div>
        <w:div w:id="2104764698">
          <w:marLeft w:val="0"/>
          <w:marRight w:val="0"/>
          <w:marTop w:val="0"/>
          <w:marBottom w:val="0"/>
          <w:divBdr>
            <w:top w:val="none" w:sz="0" w:space="0" w:color="auto"/>
            <w:left w:val="none" w:sz="0" w:space="0" w:color="auto"/>
            <w:bottom w:val="none" w:sz="0" w:space="0" w:color="auto"/>
            <w:right w:val="none" w:sz="0" w:space="0" w:color="auto"/>
          </w:divBdr>
        </w:div>
        <w:div w:id="2104764705">
          <w:marLeft w:val="0"/>
          <w:marRight w:val="0"/>
          <w:marTop w:val="0"/>
          <w:marBottom w:val="0"/>
          <w:divBdr>
            <w:top w:val="none" w:sz="0" w:space="0" w:color="auto"/>
            <w:left w:val="none" w:sz="0" w:space="0" w:color="auto"/>
            <w:bottom w:val="none" w:sz="0" w:space="0" w:color="auto"/>
            <w:right w:val="none" w:sz="0" w:space="0" w:color="auto"/>
          </w:divBdr>
        </w:div>
        <w:div w:id="2104764707">
          <w:marLeft w:val="0"/>
          <w:marRight w:val="0"/>
          <w:marTop w:val="0"/>
          <w:marBottom w:val="0"/>
          <w:divBdr>
            <w:top w:val="none" w:sz="0" w:space="0" w:color="auto"/>
            <w:left w:val="none" w:sz="0" w:space="0" w:color="auto"/>
            <w:bottom w:val="none" w:sz="0" w:space="0" w:color="auto"/>
            <w:right w:val="none" w:sz="0" w:space="0" w:color="auto"/>
          </w:divBdr>
        </w:div>
        <w:div w:id="2104764710">
          <w:marLeft w:val="0"/>
          <w:marRight w:val="0"/>
          <w:marTop w:val="0"/>
          <w:marBottom w:val="0"/>
          <w:divBdr>
            <w:top w:val="none" w:sz="0" w:space="0" w:color="auto"/>
            <w:left w:val="none" w:sz="0" w:space="0" w:color="auto"/>
            <w:bottom w:val="none" w:sz="0" w:space="0" w:color="auto"/>
            <w:right w:val="none" w:sz="0" w:space="0" w:color="auto"/>
          </w:divBdr>
        </w:div>
        <w:div w:id="2104764714">
          <w:marLeft w:val="0"/>
          <w:marRight w:val="0"/>
          <w:marTop w:val="0"/>
          <w:marBottom w:val="0"/>
          <w:divBdr>
            <w:top w:val="none" w:sz="0" w:space="0" w:color="auto"/>
            <w:left w:val="none" w:sz="0" w:space="0" w:color="auto"/>
            <w:bottom w:val="none" w:sz="0" w:space="0" w:color="auto"/>
            <w:right w:val="none" w:sz="0" w:space="0" w:color="auto"/>
          </w:divBdr>
        </w:div>
        <w:div w:id="2104764719">
          <w:marLeft w:val="0"/>
          <w:marRight w:val="0"/>
          <w:marTop w:val="0"/>
          <w:marBottom w:val="0"/>
          <w:divBdr>
            <w:top w:val="none" w:sz="0" w:space="0" w:color="auto"/>
            <w:left w:val="none" w:sz="0" w:space="0" w:color="auto"/>
            <w:bottom w:val="none" w:sz="0" w:space="0" w:color="auto"/>
            <w:right w:val="none" w:sz="0" w:space="0" w:color="auto"/>
          </w:divBdr>
        </w:div>
        <w:div w:id="2104764720">
          <w:marLeft w:val="0"/>
          <w:marRight w:val="0"/>
          <w:marTop w:val="0"/>
          <w:marBottom w:val="0"/>
          <w:divBdr>
            <w:top w:val="none" w:sz="0" w:space="0" w:color="auto"/>
            <w:left w:val="none" w:sz="0" w:space="0" w:color="auto"/>
            <w:bottom w:val="none" w:sz="0" w:space="0" w:color="auto"/>
            <w:right w:val="none" w:sz="0" w:space="0" w:color="auto"/>
          </w:divBdr>
        </w:div>
        <w:div w:id="2104764725">
          <w:marLeft w:val="0"/>
          <w:marRight w:val="0"/>
          <w:marTop w:val="0"/>
          <w:marBottom w:val="0"/>
          <w:divBdr>
            <w:top w:val="none" w:sz="0" w:space="0" w:color="auto"/>
            <w:left w:val="none" w:sz="0" w:space="0" w:color="auto"/>
            <w:bottom w:val="none" w:sz="0" w:space="0" w:color="auto"/>
            <w:right w:val="none" w:sz="0" w:space="0" w:color="auto"/>
          </w:divBdr>
        </w:div>
        <w:div w:id="2104764727">
          <w:marLeft w:val="0"/>
          <w:marRight w:val="0"/>
          <w:marTop w:val="0"/>
          <w:marBottom w:val="0"/>
          <w:divBdr>
            <w:top w:val="none" w:sz="0" w:space="0" w:color="auto"/>
            <w:left w:val="none" w:sz="0" w:space="0" w:color="auto"/>
            <w:bottom w:val="none" w:sz="0" w:space="0" w:color="auto"/>
            <w:right w:val="none" w:sz="0" w:space="0" w:color="auto"/>
          </w:divBdr>
        </w:div>
        <w:div w:id="2104764737">
          <w:marLeft w:val="0"/>
          <w:marRight w:val="0"/>
          <w:marTop w:val="0"/>
          <w:marBottom w:val="0"/>
          <w:divBdr>
            <w:top w:val="none" w:sz="0" w:space="0" w:color="auto"/>
            <w:left w:val="none" w:sz="0" w:space="0" w:color="auto"/>
            <w:bottom w:val="none" w:sz="0" w:space="0" w:color="auto"/>
            <w:right w:val="none" w:sz="0" w:space="0" w:color="auto"/>
          </w:divBdr>
        </w:div>
        <w:div w:id="2104764739">
          <w:marLeft w:val="0"/>
          <w:marRight w:val="0"/>
          <w:marTop w:val="0"/>
          <w:marBottom w:val="0"/>
          <w:divBdr>
            <w:top w:val="none" w:sz="0" w:space="0" w:color="auto"/>
            <w:left w:val="none" w:sz="0" w:space="0" w:color="auto"/>
            <w:bottom w:val="none" w:sz="0" w:space="0" w:color="auto"/>
            <w:right w:val="none" w:sz="0" w:space="0" w:color="auto"/>
          </w:divBdr>
        </w:div>
        <w:div w:id="2104764744">
          <w:marLeft w:val="0"/>
          <w:marRight w:val="0"/>
          <w:marTop w:val="0"/>
          <w:marBottom w:val="0"/>
          <w:divBdr>
            <w:top w:val="none" w:sz="0" w:space="0" w:color="auto"/>
            <w:left w:val="none" w:sz="0" w:space="0" w:color="auto"/>
            <w:bottom w:val="none" w:sz="0" w:space="0" w:color="auto"/>
            <w:right w:val="none" w:sz="0" w:space="0" w:color="auto"/>
          </w:divBdr>
        </w:div>
      </w:divsChild>
    </w:div>
    <w:div w:id="2104764525">
      <w:marLeft w:val="390"/>
      <w:marRight w:val="390"/>
      <w:marTop w:val="0"/>
      <w:marBottom w:val="0"/>
      <w:divBdr>
        <w:top w:val="none" w:sz="0" w:space="0" w:color="auto"/>
        <w:left w:val="none" w:sz="0" w:space="0" w:color="auto"/>
        <w:bottom w:val="none" w:sz="0" w:space="0" w:color="auto"/>
        <w:right w:val="none" w:sz="0" w:space="0" w:color="auto"/>
      </w:divBdr>
    </w:div>
    <w:div w:id="2104764532">
      <w:marLeft w:val="390"/>
      <w:marRight w:val="390"/>
      <w:marTop w:val="0"/>
      <w:marBottom w:val="0"/>
      <w:divBdr>
        <w:top w:val="none" w:sz="0" w:space="0" w:color="auto"/>
        <w:left w:val="none" w:sz="0" w:space="0" w:color="auto"/>
        <w:bottom w:val="none" w:sz="0" w:space="0" w:color="auto"/>
        <w:right w:val="none" w:sz="0" w:space="0" w:color="auto"/>
      </w:divBdr>
    </w:div>
    <w:div w:id="2104764550">
      <w:marLeft w:val="390"/>
      <w:marRight w:val="390"/>
      <w:marTop w:val="0"/>
      <w:marBottom w:val="0"/>
      <w:divBdr>
        <w:top w:val="none" w:sz="0" w:space="0" w:color="auto"/>
        <w:left w:val="none" w:sz="0" w:space="0" w:color="auto"/>
        <w:bottom w:val="none" w:sz="0" w:space="0" w:color="auto"/>
        <w:right w:val="none" w:sz="0" w:space="0" w:color="auto"/>
      </w:divBdr>
    </w:div>
    <w:div w:id="2104764551">
      <w:marLeft w:val="390"/>
      <w:marRight w:val="390"/>
      <w:marTop w:val="0"/>
      <w:marBottom w:val="0"/>
      <w:divBdr>
        <w:top w:val="none" w:sz="0" w:space="0" w:color="auto"/>
        <w:left w:val="none" w:sz="0" w:space="0" w:color="auto"/>
        <w:bottom w:val="none" w:sz="0" w:space="0" w:color="auto"/>
        <w:right w:val="none" w:sz="0" w:space="0" w:color="auto"/>
      </w:divBdr>
    </w:div>
    <w:div w:id="2104764552">
      <w:marLeft w:val="0"/>
      <w:marRight w:val="0"/>
      <w:marTop w:val="0"/>
      <w:marBottom w:val="0"/>
      <w:divBdr>
        <w:top w:val="none" w:sz="0" w:space="0" w:color="auto"/>
        <w:left w:val="none" w:sz="0" w:space="0" w:color="auto"/>
        <w:bottom w:val="none" w:sz="0" w:space="0" w:color="auto"/>
        <w:right w:val="none" w:sz="0" w:space="0" w:color="auto"/>
      </w:divBdr>
      <w:divsChild>
        <w:div w:id="2104764292">
          <w:marLeft w:val="0"/>
          <w:marRight w:val="0"/>
          <w:marTop w:val="0"/>
          <w:marBottom w:val="0"/>
          <w:divBdr>
            <w:top w:val="none" w:sz="0" w:space="0" w:color="auto"/>
            <w:left w:val="none" w:sz="0" w:space="0" w:color="auto"/>
            <w:bottom w:val="none" w:sz="0" w:space="0" w:color="auto"/>
            <w:right w:val="none" w:sz="0" w:space="0" w:color="auto"/>
          </w:divBdr>
        </w:div>
        <w:div w:id="2104764346">
          <w:marLeft w:val="0"/>
          <w:marRight w:val="0"/>
          <w:marTop w:val="0"/>
          <w:marBottom w:val="0"/>
          <w:divBdr>
            <w:top w:val="none" w:sz="0" w:space="0" w:color="auto"/>
            <w:left w:val="none" w:sz="0" w:space="0" w:color="auto"/>
            <w:bottom w:val="none" w:sz="0" w:space="0" w:color="auto"/>
            <w:right w:val="none" w:sz="0" w:space="0" w:color="auto"/>
          </w:divBdr>
        </w:div>
        <w:div w:id="2104764347">
          <w:marLeft w:val="0"/>
          <w:marRight w:val="0"/>
          <w:marTop w:val="0"/>
          <w:marBottom w:val="0"/>
          <w:divBdr>
            <w:top w:val="none" w:sz="0" w:space="0" w:color="auto"/>
            <w:left w:val="none" w:sz="0" w:space="0" w:color="auto"/>
            <w:bottom w:val="none" w:sz="0" w:space="0" w:color="auto"/>
            <w:right w:val="none" w:sz="0" w:space="0" w:color="auto"/>
          </w:divBdr>
        </w:div>
        <w:div w:id="2104764354">
          <w:marLeft w:val="0"/>
          <w:marRight w:val="0"/>
          <w:marTop w:val="0"/>
          <w:marBottom w:val="0"/>
          <w:divBdr>
            <w:top w:val="none" w:sz="0" w:space="0" w:color="auto"/>
            <w:left w:val="none" w:sz="0" w:space="0" w:color="auto"/>
            <w:bottom w:val="none" w:sz="0" w:space="0" w:color="auto"/>
            <w:right w:val="none" w:sz="0" w:space="0" w:color="auto"/>
          </w:divBdr>
        </w:div>
        <w:div w:id="2104764379">
          <w:marLeft w:val="0"/>
          <w:marRight w:val="0"/>
          <w:marTop w:val="0"/>
          <w:marBottom w:val="0"/>
          <w:divBdr>
            <w:top w:val="none" w:sz="0" w:space="0" w:color="auto"/>
            <w:left w:val="none" w:sz="0" w:space="0" w:color="auto"/>
            <w:bottom w:val="none" w:sz="0" w:space="0" w:color="auto"/>
            <w:right w:val="none" w:sz="0" w:space="0" w:color="auto"/>
          </w:divBdr>
        </w:div>
        <w:div w:id="2104764392">
          <w:marLeft w:val="0"/>
          <w:marRight w:val="0"/>
          <w:marTop w:val="0"/>
          <w:marBottom w:val="0"/>
          <w:divBdr>
            <w:top w:val="none" w:sz="0" w:space="0" w:color="auto"/>
            <w:left w:val="none" w:sz="0" w:space="0" w:color="auto"/>
            <w:bottom w:val="none" w:sz="0" w:space="0" w:color="auto"/>
            <w:right w:val="none" w:sz="0" w:space="0" w:color="auto"/>
          </w:divBdr>
        </w:div>
        <w:div w:id="2104764395">
          <w:marLeft w:val="0"/>
          <w:marRight w:val="0"/>
          <w:marTop w:val="0"/>
          <w:marBottom w:val="0"/>
          <w:divBdr>
            <w:top w:val="none" w:sz="0" w:space="0" w:color="auto"/>
            <w:left w:val="none" w:sz="0" w:space="0" w:color="auto"/>
            <w:bottom w:val="none" w:sz="0" w:space="0" w:color="auto"/>
            <w:right w:val="none" w:sz="0" w:space="0" w:color="auto"/>
          </w:divBdr>
        </w:div>
        <w:div w:id="2104764403">
          <w:marLeft w:val="0"/>
          <w:marRight w:val="0"/>
          <w:marTop w:val="0"/>
          <w:marBottom w:val="0"/>
          <w:divBdr>
            <w:top w:val="none" w:sz="0" w:space="0" w:color="auto"/>
            <w:left w:val="none" w:sz="0" w:space="0" w:color="auto"/>
            <w:bottom w:val="none" w:sz="0" w:space="0" w:color="auto"/>
            <w:right w:val="none" w:sz="0" w:space="0" w:color="auto"/>
          </w:divBdr>
        </w:div>
        <w:div w:id="2104764432">
          <w:marLeft w:val="0"/>
          <w:marRight w:val="0"/>
          <w:marTop w:val="0"/>
          <w:marBottom w:val="0"/>
          <w:divBdr>
            <w:top w:val="none" w:sz="0" w:space="0" w:color="auto"/>
            <w:left w:val="none" w:sz="0" w:space="0" w:color="auto"/>
            <w:bottom w:val="none" w:sz="0" w:space="0" w:color="auto"/>
            <w:right w:val="none" w:sz="0" w:space="0" w:color="auto"/>
          </w:divBdr>
        </w:div>
        <w:div w:id="2104764434">
          <w:marLeft w:val="0"/>
          <w:marRight w:val="0"/>
          <w:marTop w:val="0"/>
          <w:marBottom w:val="0"/>
          <w:divBdr>
            <w:top w:val="none" w:sz="0" w:space="0" w:color="auto"/>
            <w:left w:val="none" w:sz="0" w:space="0" w:color="auto"/>
            <w:bottom w:val="none" w:sz="0" w:space="0" w:color="auto"/>
            <w:right w:val="none" w:sz="0" w:space="0" w:color="auto"/>
          </w:divBdr>
        </w:div>
        <w:div w:id="2104764447">
          <w:marLeft w:val="0"/>
          <w:marRight w:val="0"/>
          <w:marTop w:val="0"/>
          <w:marBottom w:val="0"/>
          <w:divBdr>
            <w:top w:val="none" w:sz="0" w:space="0" w:color="auto"/>
            <w:left w:val="none" w:sz="0" w:space="0" w:color="auto"/>
            <w:bottom w:val="none" w:sz="0" w:space="0" w:color="auto"/>
            <w:right w:val="none" w:sz="0" w:space="0" w:color="auto"/>
          </w:divBdr>
        </w:div>
        <w:div w:id="2104764479">
          <w:marLeft w:val="0"/>
          <w:marRight w:val="0"/>
          <w:marTop w:val="0"/>
          <w:marBottom w:val="0"/>
          <w:divBdr>
            <w:top w:val="none" w:sz="0" w:space="0" w:color="auto"/>
            <w:left w:val="none" w:sz="0" w:space="0" w:color="auto"/>
            <w:bottom w:val="none" w:sz="0" w:space="0" w:color="auto"/>
            <w:right w:val="none" w:sz="0" w:space="0" w:color="auto"/>
          </w:divBdr>
        </w:div>
        <w:div w:id="2104764494">
          <w:marLeft w:val="0"/>
          <w:marRight w:val="0"/>
          <w:marTop w:val="0"/>
          <w:marBottom w:val="0"/>
          <w:divBdr>
            <w:top w:val="none" w:sz="0" w:space="0" w:color="auto"/>
            <w:left w:val="none" w:sz="0" w:space="0" w:color="auto"/>
            <w:bottom w:val="none" w:sz="0" w:space="0" w:color="auto"/>
            <w:right w:val="none" w:sz="0" w:space="0" w:color="auto"/>
          </w:divBdr>
        </w:div>
        <w:div w:id="2104764508">
          <w:marLeft w:val="0"/>
          <w:marRight w:val="0"/>
          <w:marTop w:val="0"/>
          <w:marBottom w:val="0"/>
          <w:divBdr>
            <w:top w:val="none" w:sz="0" w:space="0" w:color="auto"/>
            <w:left w:val="none" w:sz="0" w:space="0" w:color="auto"/>
            <w:bottom w:val="none" w:sz="0" w:space="0" w:color="auto"/>
            <w:right w:val="none" w:sz="0" w:space="0" w:color="auto"/>
          </w:divBdr>
        </w:div>
        <w:div w:id="2104764520">
          <w:marLeft w:val="0"/>
          <w:marRight w:val="0"/>
          <w:marTop w:val="0"/>
          <w:marBottom w:val="0"/>
          <w:divBdr>
            <w:top w:val="none" w:sz="0" w:space="0" w:color="auto"/>
            <w:left w:val="none" w:sz="0" w:space="0" w:color="auto"/>
            <w:bottom w:val="none" w:sz="0" w:space="0" w:color="auto"/>
            <w:right w:val="none" w:sz="0" w:space="0" w:color="auto"/>
          </w:divBdr>
        </w:div>
        <w:div w:id="2104764526">
          <w:marLeft w:val="0"/>
          <w:marRight w:val="0"/>
          <w:marTop w:val="0"/>
          <w:marBottom w:val="0"/>
          <w:divBdr>
            <w:top w:val="none" w:sz="0" w:space="0" w:color="auto"/>
            <w:left w:val="none" w:sz="0" w:space="0" w:color="auto"/>
            <w:bottom w:val="none" w:sz="0" w:space="0" w:color="auto"/>
            <w:right w:val="none" w:sz="0" w:space="0" w:color="auto"/>
          </w:divBdr>
        </w:div>
        <w:div w:id="2104764527">
          <w:marLeft w:val="0"/>
          <w:marRight w:val="0"/>
          <w:marTop w:val="0"/>
          <w:marBottom w:val="0"/>
          <w:divBdr>
            <w:top w:val="none" w:sz="0" w:space="0" w:color="auto"/>
            <w:left w:val="none" w:sz="0" w:space="0" w:color="auto"/>
            <w:bottom w:val="none" w:sz="0" w:space="0" w:color="auto"/>
            <w:right w:val="none" w:sz="0" w:space="0" w:color="auto"/>
          </w:divBdr>
        </w:div>
        <w:div w:id="2104764540">
          <w:marLeft w:val="0"/>
          <w:marRight w:val="0"/>
          <w:marTop w:val="0"/>
          <w:marBottom w:val="0"/>
          <w:divBdr>
            <w:top w:val="none" w:sz="0" w:space="0" w:color="auto"/>
            <w:left w:val="none" w:sz="0" w:space="0" w:color="auto"/>
            <w:bottom w:val="none" w:sz="0" w:space="0" w:color="auto"/>
            <w:right w:val="none" w:sz="0" w:space="0" w:color="auto"/>
          </w:divBdr>
        </w:div>
        <w:div w:id="2104764553">
          <w:marLeft w:val="0"/>
          <w:marRight w:val="0"/>
          <w:marTop w:val="0"/>
          <w:marBottom w:val="0"/>
          <w:divBdr>
            <w:top w:val="none" w:sz="0" w:space="0" w:color="auto"/>
            <w:left w:val="none" w:sz="0" w:space="0" w:color="auto"/>
            <w:bottom w:val="none" w:sz="0" w:space="0" w:color="auto"/>
            <w:right w:val="none" w:sz="0" w:space="0" w:color="auto"/>
          </w:divBdr>
        </w:div>
        <w:div w:id="2104764555">
          <w:marLeft w:val="0"/>
          <w:marRight w:val="0"/>
          <w:marTop w:val="0"/>
          <w:marBottom w:val="0"/>
          <w:divBdr>
            <w:top w:val="none" w:sz="0" w:space="0" w:color="auto"/>
            <w:left w:val="none" w:sz="0" w:space="0" w:color="auto"/>
            <w:bottom w:val="none" w:sz="0" w:space="0" w:color="auto"/>
            <w:right w:val="none" w:sz="0" w:space="0" w:color="auto"/>
          </w:divBdr>
        </w:div>
        <w:div w:id="2104764572">
          <w:marLeft w:val="0"/>
          <w:marRight w:val="0"/>
          <w:marTop w:val="0"/>
          <w:marBottom w:val="0"/>
          <w:divBdr>
            <w:top w:val="none" w:sz="0" w:space="0" w:color="auto"/>
            <w:left w:val="none" w:sz="0" w:space="0" w:color="auto"/>
            <w:bottom w:val="none" w:sz="0" w:space="0" w:color="auto"/>
            <w:right w:val="none" w:sz="0" w:space="0" w:color="auto"/>
          </w:divBdr>
        </w:div>
        <w:div w:id="2104764573">
          <w:marLeft w:val="0"/>
          <w:marRight w:val="0"/>
          <w:marTop w:val="0"/>
          <w:marBottom w:val="0"/>
          <w:divBdr>
            <w:top w:val="none" w:sz="0" w:space="0" w:color="auto"/>
            <w:left w:val="none" w:sz="0" w:space="0" w:color="auto"/>
            <w:bottom w:val="none" w:sz="0" w:space="0" w:color="auto"/>
            <w:right w:val="none" w:sz="0" w:space="0" w:color="auto"/>
          </w:divBdr>
        </w:div>
        <w:div w:id="2104764583">
          <w:marLeft w:val="0"/>
          <w:marRight w:val="0"/>
          <w:marTop w:val="0"/>
          <w:marBottom w:val="0"/>
          <w:divBdr>
            <w:top w:val="none" w:sz="0" w:space="0" w:color="auto"/>
            <w:left w:val="none" w:sz="0" w:space="0" w:color="auto"/>
            <w:bottom w:val="none" w:sz="0" w:space="0" w:color="auto"/>
            <w:right w:val="none" w:sz="0" w:space="0" w:color="auto"/>
          </w:divBdr>
        </w:div>
        <w:div w:id="2104764588">
          <w:marLeft w:val="0"/>
          <w:marRight w:val="0"/>
          <w:marTop w:val="0"/>
          <w:marBottom w:val="0"/>
          <w:divBdr>
            <w:top w:val="none" w:sz="0" w:space="0" w:color="auto"/>
            <w:left w:val="none" w:sz="0" w:space="0" w:color="auto"/>
            <w:bottom w:val="none" w:sz="0" w:space="0" w:color="auto"/>
            <w:right w:val="none" w:sz="0" w:space="0" w:color="auto"/>
          </w:divBdr>
        </w:div>
        <w:div w:id="2104764645">
          <w:marLeft w:val="0"/>
          <w:marRight w:val="0"/>
          <w:marTop w:val="0"/>
          <w:marBottom w:val="0"/>
          <w:divBdr>
            <w:top w:val="none" w:sz="0" w:space="0" w:color="auto"/>
            <w:left w:val="none" w:sz="0" w:space="0" w:color="auto"/>
            <w:bottom w:val="none" w:sz="0" w:space="0" w:color="auto"/>
            <w:right w:val="none" w:sz="0" w:space="0" w:color="auto"/>
          </w:divBdr>
        </w:div>
        <w:div w:id="2104764647">
          <w:marLeft w:val="0"/>
          <w:marRight w:val="0"/>
          <w:marTop w:val="0"/>
          <w:marBottom w:val="0"/>
          <w:divBdr>
            <w:top w:val="none" w:sz="0" w:space="0" w:color="auto"/>
            <w:left w:val="none" w:sz="0" w:space="0" w:color="auto"/>
            <w:bottom w:val="none" w:sz="0" w:space="0" w:color="auto"/>
            <w:right w:val="none" w:sz="0" w:space="0" w:color="auto"/>
          </w:divBdr>
        </w:div>
        <w:div w:id="2104764693">
          <w:marLeft w:val="0"/>
          <w:marRight w:val="0"/>
          <w:marTop w:val="0"/>
          <w:marBottom w:val="0"/>
          <w:divBdr>
            <w:top w:val="none" w:sz="0" w:space="0" w:color="auto"/>
            <w:left w:val="none" w:sz="0" w:space="0" w:color="auto"/>
            <w:bottom w:val="none" w:sz="0" w:space="0" w:color="auto"/>
            <w:right w:val="none" w:sz="0" w:space="0" w:color="auto"/>
          </w:divBdr>
        </w:div>
        <w:div w:id="2104764712">
          <w:marLeft w:val="0"/>
          <w:marRight w:val="0"/>
          <w:marTop w:val="0"/>
          <w:marBottom w:val="0"/>
          <w:divBdr>
            <w:top w:val="none" w:sz="0" w:space="0" w:color="auto"/>
            <w:left w:val="none" w:sz="0" w:space="0" w:color="auto"/>
            <w:bottom w:val="none" w:sz="0" w:space="0" w:color="auto"/>
            <w:right w:val="none" w:sz="0" w:space="0" w:color="auto"/>
          </w:divBdr>
        </w:div>
        <w:div w:id="2104764740">
          <w:marLeft w:val="0"/>
          <w:marRight w:val="0"/>
          <w:marTop w:val="0"/>
          <w:marBottom w:val="0"/>
          <w:divBdr>
            <w:top w:val="none" w:sz="0" w:space="0" w:color="auto"/>
            <w:left w:val="none" w:sz="0" w:space="0" w:color="auto"/>
            <w:bottom w:val="none" w:sz="0" w:space="0" w:color="auto"/>
            <w:right w:val="none" w:sz="0" w:space="0" w:color="auto"/>
          </w:divBdr>
        </w:div>
      </w:divsChild>
    </w:div>
    <w:div w:id="2104764557">
      <w:marLeft w:val="390"/>
      <w:marRight w:val="390"/>
      <w:marTop w:val="0"/>
      <w:marBottom w:val="0"/>
      <w:divBdr>
        <w:top w:val="none" w:sz="0" w:space="0" w:color="auto"/>
        <w:left w:val="none" w:sz="0" w:space="0" w:color="auto"/>
        <w:bottom w:val="none" w:sz="0" w:space="0" w:color="auto"/>
        <w:right w:val="none" w:sz="0" w:space="0" w:color="auto"/>
      </w:divBdr>
    </w:div>
    <w:div w:id="2104764563">
      <w:marLeft w:val="390"/>
      <w:marRight w:val="390"/>
      <w:marTop w:val="0"/>
      <w:marBottom w:val="0"/>
      <w:divBdr>
        <w:top w:val="none" w:sz="0" w:space="0" w:color="auto"/>
        <w:left w:val="none" w:sz="0" w:space="0" w:color="auto"/>
        <w:bottom w:val="none" w:sz="0" w:space="0" w:color="auto"/>
        <w:right w:val="none" w:sz="0" w:space="0" w:color="auto"/>
      </w:divBdr>
    </w:div>
    <w:div w:id="2104764571">
      <w:marLeft w:val="390"/>
      <w:marRight w:val="390"/>
      <w:marTop w:val="0"/>
      <w:marBottom w:val="0"/>
      <w:divBdr>
        <w:top w:val="none" w:sz="0" w:space="0" w:color="auto"/>
        <w:left w:val="none" w:sz="0" w:space="0" w:color="auto"/>
        <w:bottom w:val="none" w:sz="0" w:space="0" w:color="auto"/>
        <w:right w:val="none" w:sz="0" w:space="0" w:color="auto"/>
      </w:divBdr>
    </w:div>
    <w:div w:id="2104764574">
      <w:marLeft w:val="390"/>
      <w:marRight w:val="390"/>
      <w:marTop w:val="0"/>
      <w:marBottom w:val="0"/>
      <w:divBdr>
        <w:top w:val="none" w:sz="0" w:space="0" w:color="auto"/>
        <w:left w:val="none" w:sz="0" w:space="0" w:color="auto"/>
        <w:bottom w:val="none" w:sz="0" w:space="0" w:color="auto"/>
        <w:right w:val="none" w:sz="0" w:space="0" w:color="auto"/>
      </w:divBdr>
    </w:div>
    <w:div w:id="2104764580">
      <w:marLeft w:val="0"/>
      <w:marRight w:val="0"/>
      <w:marTop w:val="0"/>
      <w:marBottom w:val="0"/>
      <w:divBdr>
        <w:top w:val="none" w:sz="0" w:space="0" w:color="auto"/>
        <w:left w:val="none" w:sz="0" w:space="0" w:color="auto"/>
        <w:bottom w:val="none" w:sz="0" w:space="0" w:color="auto"/>
        <w:right w:val="none" w:sz="0" w:space="0" w:color="auto"/>
      </w:divBdr>
      <w:divsChild>
        <w:div w:id="2104764303">
          <w:marLeft w:val="0"/>
          <w:marRight w:val="0"/>
          <w:marTop w:val="0"/>
          <w:marBottom w:val="0"/>
          <w:divBdr>
            <w:top w:val="none" w:sz="0" w:space="0" w:color="auto"/>
            <w:left w:val="none" w:sz="0" w:space="0" w:color="auto"/>
            <w:bottom w:val="none" w:sz="0" w:space="0" w:color="auto"/>
            <w:right w:val="none" w:sz="0" w:space="0" w:color="auto"/>
          </w:divBdr>
        </w:div>
        <w:div w:id="2104764428">
          <w:marLeft w:val="0"/>
          <w:marRight w:val="0"/>
          <w:marTop w:val="0"/>
          <w:marBottom w:val="0"/>
          <w:divBdr>
            <w:top w:val="none" w:sz="0" w:space="0" w:color="auto"/>
            <w:left w:val="none" w:sz="0" w:space="0" w:color="auto"/>
            <w:bottom w:val="none" w:sz="0" w:space="0" w:color="auto"/>
            <w:right w:val="none" w:sz="0" w:space="0" w:color="auto"/>
          </w:divBdr>
        </w:div>
        <w:div w:id="2104764490">
          <w:marLeft w:val="0"/>
          <w:marRight w:val="0"/>
          <w:marTop w:val="0"/>
          <w:marBottom w:val="0"/>
          <w:divBdr>
            <w:top w:val="none" w:sz="0" w:space="0" w:color="auto"/>
            <w:left w:val="none" w:sz="0" w:space="0" w:color="auto"/>
            <w:bottom w:val="none" w:sz="0" w:space="0" w:color="auto"/>
            <w:right w:val="none" w:sz="0" w:space="0" w:color="auto"/>
          </w:divBdr>
        </w:div>
        <w:div w:id="2104764514">
          <w:marLeft w:val="0"/>
          <w:marRight w:val="0"/>
          <w:marTop w:val="0"/>
          <w:marBottom w:val="0"/>
          <w:divBdr>
            <w:top w:val="none" w:sz="0" w:space="0" w:color="auto"/>
            <w:left w:val="none" w:sz="0" w:space="0" w:color="auto"/>
            <w:bottom w:val="none" w:sz="0" w:space="0" w:color="auto"/>
            <w:right w:val="none" w:sz="0" w:space="0" w:color="auto"/>
          </w:divBdr>
        </w:div>
        <w:div w:id="2104764522">
          <w:marLeft w:val="0"/>
          <w:marRight w:val="0"/>
          <w:marTop w:val="0"/>
          <w:marBottom w:val="0"/>
          <w:divBdr>
            <w:top w:val="none" w:sz="0" w:space="0" w:color="auto"/>
            <w:left w:val="none" w:sz="0" w:space="0" w:color="auto"/>
            <w:bottom w:val="none" w:sz="0" w:space="0" w:color="auto"/>
            <w:right w:val="none" w:sz="0" w:space="0" w:color="auto"/>
          </w:divBdr>
        </w:div>
      </w:divsChild>
    </w:div>
    <w:div w:id="2104764582">
      <w:marLeft w:val="390"/>
      <w:marRight w:val="390"/>
      <w:marTop w:val="0"/>
      <w:marBottom w:val="0"/>
      <w:divBdr>
        <w:top w:val="none" w:sz="0" w:space="0" w:color="auto"/>
        <w:left w:val="none" w:sz="0" w:space="0" w:color="auto"/>
        <w:bottom w:val="none" w:sz="0" w:space="0" w:color="auto"/>
        <w:right w:val="none" w:sz="0" w:space="0" w:color="auto"/>
      </w:divBdr>
    </w:div>
    <w:div w:id="2104764586">
      <w:marLeft w:val="390"/>
      <w:marRight w:val="390"/>
      <w:marTop w:val="0"/>
      <w:marBottom w:val="0"/>
      <w:divBdr>
        <w:top w:val="none" w:sz="0" w:space="0" w:color="auto"/>
        <w:left w:val="none" w:sz="0" w:space="0" w:color="auto"/>
        <w:bottom w:val="none" w:sz="0" w:space="0" w:color="auto"/>
        <w:right w:val="none" w:sz="0" w:space="0" w:color="auto"/>
      </w:divBdr>
    </w:div>
    <w:div w:id="2104764587">
      <w:marLeft w:val="390"/>
      <w:marRight w:val="390"/>
      <w:marTop w:val="0"/>
      <w:marBottom w:val="0"/>
      <w:divBdr>
        <w:top w:val="none" w:sz="0" w:space="0" w:color="auto"/>
        <w:left w:val="none" w:sz="0" w:space="0" w:color="auto"/>
        <w:bottom w:val="none" w:sz="0" w:space="0" w:color="auto"/>
        <w:right w:val="none" w:sz="0" w:space="0" w:color="auto"/>
      </w:divBdr>
      <w:divsChild>
        <w:div w:id="2104764660">
          <w:marLeft w:val="810"/>
          <w:marRight w:val="810"/>
          <w:marTop w:val="360"/>
          <w:marBottom w:val="0"/>
          <w:divBdr>
            <w:top w:val="none" w:sz="0" w:space="0" w:color="auto"/>
            <w:left w:val="none" w:sz="0" w:space="0" w:color="auto"/>
            <w:bottom w:val="none" w:sz="0" w:space="0" w:color="auto"/>
            <w:right w:val="none" w:sz="0" w:space="0" w:color="auto"/>
          </w:divBdr>
          <w:divsChild>
            <w:div w:id="2104764591">
              <w:marLeft w:val="4005"/>
              <w:marRight w:val="810"/>
              <w:marTop w:val="0"/>
              <w:marBottom w:val="0"/>
              <w:divBdr>
                <w:top w:val="none" w:sz="0" w:space="0" w:color="auto"/>
                <w:left w:val="none" w:sz="0" w:space="0" w:color="auto"/>
                <w:bottom w:val="none" w:sz="0" w:space="0" w:color="auto"/>
                <w:right w:val="none" w:sz="0" w:space="0" w:color="auto"/>
              </w:divBdr>
            </w:div>
            <w:div w:id="2104764690">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2104764593">
      <w:marLeft w:val="390"/>
      <w:marRight w:val="390"/>
      <w:marTop w:val="0"/>
      <w:marBottom w:val="0"/>
      <w:divBdr>
        <w:top w:val="none" w:sz="0" w:space="0" w:color="auto"/>
        <w:left w:val="none" w:sz="0" w:space="0" w:color="auto"/>
        <w:bottom w:val="none" w:sz="0" w:space="0" w:color="auto"/>
        <w:right w:val="none" w:sz="0" w:space="0" w:color="auto"/>
      </w:divBdr>
    </w:div>
    <w:div w:id="2104764598">
      <w:marLeft w:val="0"/>
      <w:marRight w:val="0"/>
      <w:marTop w:val="0"/>
      <w:marBottom w:val="0"/>
      <w:divBdr>
        <w:top w:val="none" w:sz="0" w:space="0" w:color="auto"/>
        <w:left w:val="none" w:sz="0" w:space="0" w:color="auto"/>
        <w:bottom w:val="none" w:sz="0" w:space="0" w:color="auto"/>
        <w:right w:val="none" w:sz="0" w:space="0" w:color="auto"/>
      </w:divBdr>
      <w:divsChild>
        <w:div w:id="2104764377">
          <w:marLeft w:val="0"/>
          <w:marRight w:val="0"/>
          <w:marTop w:val="0"/>
          <w:marBottom w:val="0"/>
          <w:divBdr>
            <w:top w:val="none" w:sz="0" w:space="0" w:color="auto"/>
            <w:left w:val="none" w:sz="0" w:space="0" w:color="auto"/>
            <w:bottom w:val="none" w:sz="0" w:space="0" w:color="auto"/>
            <w:right w:val="none" w:sz="0" w:space="0" w:color="auto"/>
          </w:divBdr>
        </w:div>
        <w:div w:id="2104764497">
          <w:marLeft w:val="0"/>
          <w:marRight w:val="0"/>
          <w:marTop w:val="0"/>
          <w:marBottom w:val="0"/>
          <w:divBdr>
            <w:top w:val="none" w:sz="0" w:space="0" w:color="auto"/>
            <w:left w:val="none" w:sz="0" w:space="0" w:color="auto"/>
            <w:bottom w:val="none" w:sz="0" w:space="0" w:color="auto"/>
            <w:right w:val="none" w:sz="0" w:space="0" w:color="auto"/>
          </w:divBdr>
        </w:div>
        <w:div w:id="2104764529">
          <w:marLeft w:val="0"/>
          <w:marRight w:val="0"/>
          <w:marTop w:val="0"/>
          <w:marBottom w:val="0"/>
          <w:divBdr>
            <w:top w:val="none" w:sz="0" w:space="0" w:color="auto"/>
            <w:left w:val="none" w:sz="0" w:space="0" w:color="auto"/>
            <w:bottom w:val="none" w:sz="0" w:space="0" w:color="auto"/>
            <w:right w:val="none" w:sz="0" w:space="0" w:color="auto"/>
          </w:divBdr>
        </w:div>
        <w:div w:id="2104764664">
          <w:marLeft w:val="0"/>
          <w:marRight w:val="0"/>
          <w:marTop w:val="0"/>
          <w:marBottom w:val="0"/>
          <w:divBdr>
            <w:top w:val="none" w:sz="0" w:space="0" w:color="auto"/>
            <w:left w:val="none" w:sz="0" w:space="0" w:color="auto"/>
            <w:bottom w:val="none" w:sz="0" w:space="0" w:color="auto"/>
            <w:right w:val="none" w:sz="0" w:space="0" w:color="auto"/>
          </w:divBdr>
        </w:div>
        <w:div w:id="2104764695">
          <w:marLeft w:val="0"/>
          <w:marRight w:val="0"/>
          <w:marTop w:val="0"/>
          <w:marBottom w:val="0"/>
          <w:divBdr>
            <w:top w:val="none" w:sz="0" w:space="0" w:color="auto"/>
            <w:left w:val="none" w:sz="0" w:space="0" w:color="auto"/>
            <w:bottom w:val="none" w:sz="0" w:space="0" w:color="auto"/>
            <w:right w:val="none" w:sz="0" w:space="0" w:color="auto"/>
          </w:divBdr>
        </w:div>
      </w:divsChild>
    </w:div>
    <w:div w:id="2104764599">
      <w:marLeft w:val="390"/>
      <w:marRight w:val="390"/>
      <w:marTop w:val="0"/>
      <w:marBottom w:val="0"/>
      <w:divBdr>
        <w:top w:val="none" w:sz="0" w:space="0" w:color="auto"/>
        <w:left w:val="none" w:sz="0" w:space="0" w:color="auto"/>
        <w:bottom w:val="none" w:sz="0" w:space="0" w:color="auto"/>
        <w:right w:val="none" w:sz="0" w:space="0" w:color="auto"/>
      </w:divBdr>
    </w:div>
    <w:div w:id="2104764601">
      <w:marLeft w:val="390"/>
      <w:marRight w:val="390"/>
      <w:marTop w:val="0"/>
      <w:marBottom w:val="0"/>
      <w:divBdr>
        <w:top w:val="none" w:sz="0" w:space="0" w:color="auto"/>
        <w:left w:val="none" w:sz="0" w:space="0" w:color="auto"/>
        <w:bottom w:val="none" w:sz="0" w:space="0" w:color="auto"/>
        <w:right w:val="none" w:sz="0" w:space="0" w:color="auto"/>
      </w:divBdr>
    </w:div>
    <w:div w:id="2104764612">
      <w:marLeft w:val="390"/>
      <w:marRight w:val="390"/>
      <w:marTop w:val="0"/>
      <w:marBottom w:val="0"/>
      <w:divBdr>
        <w:top w:val="none" w:sz="0" w:space="0" w:color="auto"/>
        <w:left w:val="none" w:sz="0" w:space="0" w:color="auto"/>
        <w:bottom w:val="none" w:sz="0" w:space="0" w:color="auto"/>
        <w:right w:val="none" w:sz="0" w:space="0" w:color="auto"/>
      </w:divBdr>
    </w:div>
    <w:div w:id="2104764617">
      <w:marLeft w:val="0"/>
      <w:marRight w:val="0"/>
      <w:marTop w:val="0"/>
      <w:marBottom w:val="0"/>
      <w:divBdr>
        <w:top w:val="none" w:sz="0" w:space="0" w:color="auto"/>
        <w:left w:val="none" w:sz="0" w:space="0" w:color="auto"/>
        <w:bottom w:val="none" w:sz="0" w:space="0" w:color="auto"/>
        <w:right w:val="none" w:sz="0" w:space="0" w:color="auto"/>
      </w:divBdr>
      <w:divsChild>
        <w:div w:id="2104764319">
          <w:marLeft w:val="0"/>
          <w:marRight w:val="0"/>
          <w:marTop w:val="0"/>
          <w:marBottom w:val="0"/>
          <w:divBdr>
            <w:top w:val="none" w:sz="0" w:space="0" w:color="auto"/>
            <w:left w:val="none" w:sz="0" w:space="0" w:color="auto"/>
            <w:bottom w:val="none" w:sz="0" w:space="0" w:color="auto"/>
            <w:right w:val="none" w:sz="0" w:space="0" w:color="auto"/>
          </w:divBdr>
        </w:div>
        <w:div w:id="2104764384">
          <w:marLeft w:val="0"/>
          <w:marRight w:val="0"/>
          <w:marTop w:val="0"/>
          <w:marBottom w:val="0"/>
          <w:divBdr>
            <w:top w:val="none" w:sz="0" w:space="0" w:color="auto"/>
            <w:left w:val="none" w:sz="0" w:space="0" w:color="auto"/>
            <w:bottom w:val="none" w:sz="0" w:space="0" w:color="auto"/>
            <w:right w:val="none" w:sz="0" w:space="0" w:color="auto"/>
          </w:divBdr>
        </w:div>
        <w:div w:id="2104764406">
          <w:marLeft w:val="0"/>
          <w:marRight w:val="0"/>
          <w:marTop w:val="0"/>
          <w:marBottom w:val="0"/>
          <w:divBdr>
            <w:top w:val="none" w:sz="0" w:space="0" w:color="auto"/>
            <w:left w:val="none" w:sz="0" w:space="0" w:color="auto"/>
            <w:bottom w:val="none" w:sz="0" w:space="0" w:color="auto"/>
            <w:right w:val="none" w:sz="0" w:space="0" w:color="auto"/>
          </w:divBdr>
        </w:div>
        <w:div w:id="2104764412">
          <w:marLeft w:val="0"/>
          <w:marRight w:val="0"/>
          <w:marTop w:val="0"/>
          <w:marBottom w:val="0"/>
          <w:divBdr>
            <w:top w:val="none" w:sz="0" w:space="0" w:color="auto"/>
            <w:left w:val="none" w:sz="0" w:space="0" w:color="auto"/>
            <w:bottom w:val="none" w:sz="0" w:space="0" w:color="auto"/>
            <w:right w:val="none" w:sz="0" w:space="0" w:color="auto"/>
          </w:divBdr>
        </w:div>
        <w:div w:id="2104764422">
          <w:marLeft w:val="0"/>
          <w:marRight w:val="0"/>
          <w:marTop w:val="0"/>
          <w:marBottom w:val="0"/>
          <w:divBdr>
            <w:top w:val="none" w:sz="0" w:space="0" w:color="auto"/>
            <w:left w:val="none" w:sz="0" w:space="0" w:color="auto"/>
            <w:bottom w:val="none" w:sz="0" w:space="0" w:color="auto"/>
            <w:right w:val="none" w:sz="0" w:space="0" w:color="auto"/>
          </w:divBdr>
        </w:div>
        <w:div w:id="2104764445">
          <w:marLeft w:val="0"/>
          <w:marRight w:val="0"/>
          <w:marTop w:val="0"/>
          <w:marBottom w:val="0"/>
          <w:divBdr>
            <w:top w:val="none" w:sz="0" w:space="0" w:color="auto"/>
            <w:left w:val="none" w:sz="0" w:space="0" w:color="auto"/>
            <w:bottom w:val="none" w:sz="0" w:space="0" w:color="auto"/>
            <w:right w:val="none" w:sz="0" w:space="0" w:color="auto"/>
          </w:divBdr>
        </w:div>
        <w:div w:id="2104764502">
          <w:marLeft w:val="0"/>
          <w:marRight w:val="0"/>
          <w:marTop w:val="0"/>
          <w:marBottom w:val="0"/>
          <w:divBdr>
            <w:top w:val="none" w:sz="0" w:space="0" w:color="auto"/>
            <w:left w:val="none" w:sz="0" w:space="0" w:color="auto"/>
            <w:bottom w:val="none" w:sz="0" w:space="0" w:color="auto"/>
            <w:right w:val="none" w:sz="0" w:space="0" w:color="auto"/>
          </w:divBdr>
        </w:div>
        <w:div w:id="2104764674">
          <w:marLeft w:val="0"/>
          <w:marRight w:val="0"/>
          <w:marTop w:val="0"/>
          <w:marBottom w:val="0"/>
          <w:divBdr>
            <w:top w:val="none" w:sz="0" w:space="0" w:color="auto"/>
            <w:left w:val="none" w:sz="0" w:space="0" w:color="auto"/>
            <w:bottom w:val="none" w:sz="0" w:space="0" w:color="auto"/>
            <w:right w:val="none" w:sz="0" w:space="0" w:color="auto"/>
          </w:divBdr>
        </w:div>
        <w:div w:id="2104764696">
          <w:marLeft w:val="0"/>
          <w:marRight w:val="0"/>
          <w:marTop w:val="0"/>
          <w:marBottom w:val="0"/>
          <w:divBdr>
            <w:top w:val="none" w:sz="0" w:space="0" w:color="auto"/>
            <w:left w:val="none" w:sz="0" w:space="0" w:color="auto"/>
            <w:bottom w:val="none" w:sz="0" w:space="0" w:color="auto"/>
            <w:right w:val="none" w:sz="0" w:space="0" w:color="auto"/>
          </w:divBdr>
        </w:div>
        <w:div w:id="2104764734">
          <w:marLeft w:val="0"/>
          <w:marRight w:val="0"/>
          <w:marTop w:val="0"/>
          <w:marBottom w:val="0"/>
          <w:divBdr>
            <w:top w:val="none" w:sz="0" w:space="0" w:color="auto"/>
            <w:left w:val="none" w:sz="0" w:space="0" w:color="auto"/>
            <w:bottom w:val="none" w:sz="0" w:space="0" w:color="auto"/>
            <w:right w:val="none" w:sz="0" w:space="0" w:color="auto"/>
          </w:divBdr>
        </w:div>
      </w:divsChild>
    </w:div>
    <w:div w:id="2104764619">
      <w:marLeft w:val="390"/>
      <w:marRight w:val="390"/>
      <w:marTop w:val="0"/>
      <w:marBottom w:val="0"/>
      <w:divBdr>
        <w:top w:val="none" w:sz="0" w:space="0" w:color="auto"/>
        <w:left w:val="none" w:sz="0" w:space="0" w:color="auto"/>
        <w:bottom w:val="none" w:sz="0" w:space="0" w:color="auto"/>
        <w:right w:val="none" w:sz="0" w:space="0" w:color="auto"/>
      </w:divBdr>
    </w:div>
    <w:div w:id="2104764627">
      <w:marLeft w:val="390"/>
      <w:marRight w:val="390"/>
      <w:marTop w:val="0"/>
      <w:marBottom w:val="0"/>
      <w:divBdr>
        <w:top w:val="none" w:sz="0" w:space="0" w:color="auto"/>
        <w:left w:val="none" w:sz="0" w:space="0" w:color="auto"/>
        <w:bottom w:val="none" w:sz="0" w:space="0" w:color="auto"/>
        <w:right w:val="none" w:sz="0" w:space="0" w:color="auto"/>
      </w:divBdr>
    </w:div>
    <w:div w:id="2104764643">
      <w:marLeft w:val="390"/>
      <w:marRight w:val="390"/>
      <w:marTop w:val="0"/>
      <w:marBottom w:val="0"/>
      <w:divBdr>
        <w:top w:val="none" w:sz="0" w:space="0" w:color="auto"/>
        <w:left w:val="none" w:sz="0" w:space="0" w:color="auto"/>
        <w:bottom w:val="none" w:sz="0" w:space="0" w:color="auto"/>
        <w:right w:val="none" w:sz="0" w:space="0" w:color="auto"/>
      </w:divBdr>
    </w:div>
    <w:div w:id="2104764666">
      <w:marLeft w:val="390"/>
      <w:marRight w:val="390"/>
      <w:marTop w:val="0"/>
      <w:marBottom w:val="0"/>
      <w:divBdr>
        <w:top w:val="none" w:sz="0" w:space="0" w:color="auto"/>
        <w:left w:val="none" w:sz="0" w:space="0" w:color="auto"/>
        <w:bottom w:val="none" w:sz="0" w:space="0" w:color="auto"/>
        <w:right w:val="none" w:sz="0" w:space="0" w:color="auto"/>
      </w:divBdr>
    </w:div>
    <w:div w:id="2104764680">
      <w:marLeft w:val="390"/>
      <w:marRight w:val="390"/>
      <w:marTop w:val="0"/>
      <w:marBottom w:val="0"/>
      <w:divBdr>
        <w:top w:val="none" w:sz="0" w:space="0" w:color="auto"/>
        <w:left w:val="none" w:sz="0" w:space="0" w:color="auto"/>
        <w:bottom w:val="none" w:sz="0" w:space="0" w:color="auto"/>
        <w:right w:val="none" w:sz="0" w:space="0" w:color="auto"/>
      </w:divBdr>
    </w:div>
    <w:div w:id="2104764689">
      <w:marLeft w:val="390"/>
      <w:marRight w:val="390"/>
      <w:marTop w:val="0"/>
      <w:marBottom w:val="0"/>
      <w:divBdr>
        <w:top w:val="none" w:sz="0" w:space="0" w:color="auto"/>
        <w:left w:val="none" w:sz="0" w:space="0" w:color="auto"/>
        <w:bottom w:val="none" w:sz="0" w:space="0" w:color="auto"/>
        <w:right w:val="none" w:sz="0" w:space="0" w:color="auto"/>
      </w:divBdr>
    </w:div>
    <w:div w:id="2104764706">
      <w:marLeft w:val="0"/>
      <w:marRight w:val="0"/>
      <w:marTop w:val="0"/>
      <w:marBottom w:val="0"/>
      <w:divBdr>
        <w:top w:val="none" w:sz="0" w:space="0" w:color="auto"/>
        <w:left w:val="none" w:sz="0" w:space="0" w:color="auto"/>
        <w:bottom w:val="none" w:sz="0" w:space="0" w:color="auto"/>
        <w:right w:val="none" w:sz="0" w:space="0" w:color="auto"/>
      </w:divBdr>
      <w:divsChild>
        <w:div w:id="2104764386">
          <w:marLeft w:val="0"/>
          <w:marRight w:val="0"/>
          <w:marTop w:val="0"/>
          <w:marBottom w:val="0"/>
          <w:divBdr>
            <w:top w:val="none" w:sz="0" w:space="0" w:color="auto"/>
            <w:left w:val="none" w:sz="0" w:space="0" w:color="auto"/>
            <w:bottom w:val="none" w:sz="0" w:space="0" w:color="auto"/>
            <w:right w:val="none" w:sz="0" w:space="0" w:color="auto"/>
          </w:divBdr>
        </w:div>
        <w:div w:id="2104764488">
          <w:marLeft w:val="0"/>
          <w:marRight w:val="0"/>
          <w:marTop w:val="0"/>
          <w:marBottom w:val="0"/>
          <w:divBdr>
            <w:top w:val="none" w:sz="0" w:space="0" w:color="auto"/>
            <w:left w:val="none" w:sz="0" w:space="0" w:color="auto"/>
            <w:bottom w:val="none" w:sz="0" w:space="0" w:color="auto"/>
            <w:right w:val="none" w:sz="0" w:space="0" w:color="auto"/>
          </w:divBdr>
        </w:div>
        <w:div w:id="2104764504">
          <w:marLeft w:val="0"/>
          <w:marRight w:val="0"/>
          <w:marTop w:val="0"/>
          <w:marBottom w:val="0"/>
          <w:divBdr>
            <w:top w:val="none" w:sz="0" w:space="0" w:color="auto"/>
            <w:left w:val="none" w:sz="0" w:space="0" w:color="auto"/>
            <w:bottom w:val="none" w:sz="0" w:space="0" w:color="auto"/>
            <w:right w:val="none" w:sz="0" w:space="0" w:color="auto"/>
          </w:divBdr>
        </w:div>
        <w:div w:id="2104764592">
          <w:marLeft w:val="0"/>
          <w:marRight w:val="0"/>
          <w:marTop w:val="0"/>
          <w:marBottom w:val="0"/>
          <w:divBdr>
            <w:top w:val="none" w:sz="0" w:space="0" w:color="auto"/>
            <w:left w:val="none" w:sz="0" w:space="0" w:color="auto"/>
            <w:bottom w:val="none" w:sz="0" w:space="0" w:color="auto"/>
            <w:right w:val="none" w:sz="0" w:space="0" w:color="auto"/>
          </w:divBdr>
        </w:div>
        <w:div w:id="2104764663">
          <w:marLeft w:val="0"/>
          <w:marRight w:val="0"/>
          <w:marTop w:val="0"/>
          <w:marBottom w:val="0"/>
          <w:divBdr>
            <w:top w:val="none" w:sz="0" w:space="0" w:color="auto"/>
            <w:left w:val="none" w:sz="0" w:space="0" w:color="auto"/>
            <w:bottom w:val="none" w:sz="0" w:space="0" w:color="auto"/>
            <w:right w:val="none" w:sz="0" w:space="0" w:color="auto"/>
          </w:divBdr>
        </w:div>
      </w:divsChild>
    </w:div>
    <w:div w:id="2104764709">
      <w:marLeft w:val="0"/>
      <w:marRight w:val="0"/>
      <w:marTop w:val="0"/>
      <w:marBottom w:val="0"/>
      <w:divBdr>
        <w:top w:val="none" w:sz="0" w:space="0" w:color="auto"/>
        <w:left w:val="none" w:sz="0" w:space="0" w:color="auto"/>
        <w:bottom w:val="none" w:sz="0" w:space="0" w:color="auto"/>
        <w:right w:val="none" w:sz="0" w:space="0" w:color="auto"/>
      </w:divBdr>
      <w:divsChild>
        <w:div w:id="2104764299">
          <w:marLeft w:val="0"/>
          <w:marRight w:val="0"/>
          <w:marTop w:val="0"/>
          <w:marBottom w:val="0"/>
          <w:divBdr>
            <w:top w:val="none" w:sz="0" w:space="0" w:color="auto"/>
            <w:left w:val="none" w:sz="0" w:space="0" w:color="auto"/>
            <w:bottom w:val="none" w:sz="0" w:space="0" w:color="auto"/>
            <w:right w:val="none" w:sz="0" w:space="0" w:color="auto"/>
          </w:divBdr>
        </w:div>
        <w:div w:id="2104764309">
          <w:marLeft w:val="0"/>
          <w:marRight w:val="0"/>
          <w:marTop w:val="0"/>
          <w:marBottom w:val="0"/>
          <w:divBdr>
            <w:top w:val="none" w:sz="0" w:space="0" w:color="auto"/>
            <w:left w:val="none" w:sz="0" w:space="0" w:color="auto"/>
            <w:bottom w:val="none" w:sz="0" w:space="0" w:color="auto"/>
            <w:right w:val="none" w:sz="0" w:space="0" w:color="auto"/>
          </w:divBdr>
        </w:div>
        <w:div w:id="2104764314">
          <w:marLeft w:val="0"/>
          <w:marRight w:val="0"/>
          <w:marTop w:val="0"/>
          <w:marBottom w:val="0"/>
          <w:divBdr>
            <w:top w:val="none" w:sz="0" w:space="0" w:color="auto"/>
            <w:left w:val="none" w:sz="0" w:space="0" w:color="auto"/>
            <w:bottom w:val="none" w:sz="0" w:space="0" w:color="auto"/>
            <w:right w:val="none" w:sz="0" w:space="0" w:color="auto"/>
          </w:divBdr>
        </w:div>
        <w:div w:id="2104764322">
          <w:marLeft w:val="0"/>
          <w:marRight w:val="0"/>
          <w:marTop w:val="0"/>
          <w:marBottom w:val="0"/>
          <w:divBdr>
            <w:top w:val="none" w:sz="0" w:space="0" w:color="auto"/>
            <w:left w:val="none" w:sz="0" w:space="0" w:color="auto"/>
            <w:bottom w:val="none" w:sz="0" w:space="0" w:color="auto"/>
            <w:right w:val="none" w:sz="0" w:space="0" w:color="auto"/>
          </w:divBdr>
        </w:div>
        <w:div w:id="2104764343">
          <w:marLeft w:val="0"/>
          <w:marRight w:val="0"/>
          <w:marTop w:val="0"/>
          <w:marBottom w:val="0"/>
          <w:divBdr>
            <w:top w:val="none" w:sz="0" w:space="0" w:color="auto"/>
            <w:left w:val="none" w:sz="0" w:space="0" w:color="auto"/>
            <w:bottom w:val="none" w:sz="0" w:space="0" w:color="auto"/>
            <w:right w:val="none" w:sz="0" w:space="0" w:color="auto"/>
          </w:divBdr>
        </w:div>
        <w:div w:id="2104764415">
          <w:marLeft w:val="0"/>
          <w:marRight w:val="0"/>
          <w:marTop w:val="0"/>
          <w:marBottom w:val="0"/>
          <w:divBdr>
            <w:top w:val="none" w:sz="0" w:space="0" w:color="auto"/>
            <w:left w:val="none" w:sz="0" w:space="0" w:color="auto"/>
            <w:bottom w:val="none" w:sz="0" w:space="0" w:color="auto"/>
            <w:right w:val="none" w:sz="0" w:space="0" w:color="auto"/>
          </w:divBdr>
        </w:div>
        <w:div w:id="2104764433">
          <w:marLeft w:val="0"/>
          <w:marRight w:val="0"/>
          <w:marTop w:val="0"/>
          <w:marBottom w:val="0"/>
          <w:divBdr>
            <w:top w:val="none" w:sz="0" w:space="0" w:color="auto"/>
            <w:left w:val="none" w:sz="0" w:space="0" w:color="auto"/>
            <w:bottom w:val="none" w:sz="0" w:space="0" w:color="auto"/>
            <w:right w:val="none" w:sz="0" w:space="0" w:color="auto"/>
          </w:divBdr>
        </w:div>
        <w:div w:id="2104764492">
          <w:marLeft w:val="0"/>
          <w:marRight w:val="0"/>
          <w:marTop w:val="0"/>
          <w:marBottom w:val="0"/>
          <w:divBdr>
            <w:top w:val="none" w:sz="0" w:space="0" w:color="auto"/>
            <w:left w:val="none" w:sz="0" w:space="0" w:color="auto"/>
            <w:bottom w:val="none" w:sz="0" w:space="0" w:color="auto"/>
            <w:right w:val="none" w:sz="0" w:space="0" w:color="auto"/>
          </w:divBdr>
        </w:div>
        <w:div w:id="2104764493">
          <w:marLeft w:val="0"/>
          <w:marRight w:val="0"/>
          <w:marTop w:val="0"/>
          <w:marBottom w:val="0"/>
          <w:divBdr>
            <w:top w:val="none" w:sz="0" w:space="0" w:color="auto"/>
            <w:left w:val="none" w:sz="0" w:space="0" w:color="auto"/>
            <w:bottom w:val="none" w:sz="0" w:space="0" w:color="auto"/>
            <w:right w:val="none" w:sz="0" w:space="0" w:color="auto"/>
          </w:divBdr>
        </w:div>
        <w:div w:id="2104764585">
          <w:marLeft w:val="0"/>
          <w:marRight w:val="0"/>
          <w:marTop w:val="0"/>
          <w:marBottom w:val="0"/>
          <w:divBdr>
            <w:top w:val="none" w:sz="0" w:space="0" w:color="auto"/>
            <w:left w:val="none" w:sz="0" w:space="0" w:color="auto"/>
            <w:bottom w:val="none" w:sz="0" w:space="0" w:color="auto"/>
            <w:right w:val="none" w:sz="0" w:space="0" w:color="auto"/>
          </w:divBdr>
        </w:div>
        <w:div w:id="2104764597">
          <w:marLeft w:val="0"/>
          <w:marRight w:val="0"/>
          <w:marTop w:val="0"/>
          <w:marBottom w:val="0"/>
          <w:divBdr>
            <w:top w:val="none" w:sz="0" w:space="0" w:color="auto"/>
            <w:left w:val="none" w:sz="0" w:space="0" w:color="auto"/>
            <w:bottom w:val="none" w:sz="0" w:space="0" w:color="auto"/>
            <w:right w:val="none" w:sz="0" w:space="0" w:color="auto"/>
          </w:divBdr>
        </w:div>
        <w:div w:id="2104764711">
          <w:marLeft w:val="0"/>
          <w:marRight w:val="0"/>
          <w:marTop w:val="0"/>
          <w:marBottom w:val="0"/>
          <w:divBdr>
            <w:top w:val="none" w:sz="0" w:space="0" w:color="auto"/>
            <w:left w:val="none" w:sz="0" w:space="0" w:color="auto"/>
            <w:bottom w:val="none" w:sz="0" w:space="0" w:color="auto"/>
            <w:right w:val="none" w:sz="0" w:space="0" w:color="auto"/>
          </w:divBdr>
        </w:div>
      </w:divsChild>
    </w:div>
    <w:div w:id="2104764715">
      <w:marLeft w:val="0"/>
      <w:marRight w:val="0"/>
      <w:marTop w:val="0"/>
      <w:marBottom w:val="0"/>
      <w:divBdr>
        <w:top w:val="none" w:sz="0" w:space="0" w:color="auto"/>
        <w:left w:val="none" w:sz="0" w:space="0" w:color="auto"/>
        <w:bottom w:val="none" w:sz="0" w:space="0" w:color="auto"/>
        <w:right w:val="none" w:sz="0" w:space="0" w:color="auto"/>
      </w:divBdr>
      <w:divsChild>
        <w:div w:id="2104764317">
          <w:marLeft w:val="0"/>
          <w:marRight w:val="0"/>
          <w:marTop w:val="0"/>
          <w:marBottom w:val="0"/>
          <w:divBdr>
            <w:top w:val="none" w:sz="0" w:space="0" w:color="auto"/>
            <w:left w:val="none" w:sz="0" w:space="0" w:color="auto"/>
            <w:bottom w:val="none" w:sz="0" w:space="0" w:color="auto"/>
            <w:right w:val="none" w:sz="0" w:space="0" w:color="auto"/>
          </w:divBdr>
        </w:div>
        <w:div w:id="2104764419">
          <w:marLeft w:val="0"/>
          <w:marRight w:val="0"/>
          <w:marTop w:val="0"/>
          <w:marBottom w:val="0"/>
          <w:divBdr>
            <w:top w:val="none" w:sz="0" w:space="0" w:color="auto"/>
            <w:left w:val="none" w:sz="0" w:space="0" w:color="auto"/>
            <w:bottom w:val="none" w:sz="0" w:space="0" w:color="auto"/>
            <w:right w:val="none" w:sz="0" w:space="0" w:color="auto"/>
          </w:divBdr>
        </w:div>
        <w:div w:id="2104764424">
          <w:marLeft w:val="0"/>
          <w:marRight w:val="0"/>
          <w:marTop w:val="0"/>
          <w:marBottom w:val="0"/>
          <w:divBdr>
            <w:top w:val="none" w:sz="0" w:space="0" w:color="auto"/>
            <w:left w:val="none" w:sz="0" w:space="0" w:color="auto"/>
            <w:bottom w:val="none" w:sz="0" w:space="0" w:color="auto"/>
            <w:right w:val="none" w:sz="0" w:space="0" w:color="auto"/>
          </w:divBdr>
        </w:div>
        <w:div w:id="2104764509">
          <w:marLeft w:val="0"/>
          <w:marRight w:val="0"/>
          <w:marTop w:val="0"/>
          <w:marBottom w:val="0"/>
          <w:divBdr>
            <w:top w:val="none" w:sz="0" w:space="0" w:color="auto"/>
            <w:left w:val="none" w:sz="0" w:space="0" w:color="auto"/>
            <w:bottom w:val="none" w:sz="0" w:space="0" w:color="auto"/>
            <w:right w:val="none" w:sz="0" w:space="0" w:color="auto"/>
          </w:divBdr>
        </w:div>
        <w:div w:id="2104764584">
          <w:marLeft w:val="0"/>
          <w:marRight w:val="0"/>
          <w:marTop w:val="0"/>
          <w:marBottom w:val="0"/>
          <w:divBdr>
            <w:top w:val="none" w:sz="0" w:space="0" w:color="auto"/>
            <w:left w:val="none" w:sz="0" w:space="0" w:color="auto"/>
            <w:bottom w:val="none" w:sz="0" w:space="0" w:color="auto"/>
            <w:right w:val="none" w:sz="0" w:space="0" w:color="auto"/>
          </w:divBdr>
        </w:div>
        <w:div w:id="2104764639">
          <w:marLeft w:val="0"/>
          <w:marRight w:val="0"/>
          <w:marTop w:val="0"/>
          <w:marBottom w:val="0"/>
          <w:divBdr>
            <w:top w:val="none" w:sz="0" w:space="0" w:color="auto"/>
            <w:left w:val="none" w:sz="0" w:space="0" w:color="auto"/>
            <w:bottom w:val="none" w:sz="0" w:space="0" w:color="auto"/>
            <w:right w:val="none" w:sz="0" w:space="0" w:color="auto"/>
          </w:divBdr>
        </w:div>
        <w:div w:id="2104764678">
          <w:marLeft w:val="0"/>
          <w:marRight w:val="0"/>
          <w:marTop w:val="0"/>
          <w:marBottom w:val="0"/>
          <w:divBdr>
            <w:top w:val="none" w:sz="0" w:space="0" w:color="auto"/>
            <w:left w:val="none" w:sz="0" w:space="0" w:color="auto"/>
            <w:bottom w:val="none" w:sz="0" w:space="0" w:color="auto"/>
            <w:right w:val="none" w:sz="0" w:space="0" w:color="auto"/>
          </w:divBdr>
        </w:div>
        <w:div w:id="2104764716">
          <w:marLeft w:val="0"/>
          <w:marRight w:val="0"/>
          <w:marTop w:val="0"/>
          <w:marBottom w:val="0"/>
          <w:divBdr>
            <w:top w:val="none" w:sz="0" w:space="0" w:color="auto"/>
            <w:left w:val="none" w:sz="0" w:space="0" w:color="auto"/>
            <w:bottom w:val="none" w:sz="0" w:space="0" w:color="auto"/>
            <w:right w:val="none" w:sz="0" w:space="0" w:color="auto"/>
          </w:divBdr>
        </w:div>
      </w:divsChild>
    </w:div>
    <w:div w:id="2104764721">
      <w:marLeft w:val="390"/>
      <w:marRight w:val="390"/>
      <w:marTop w:val="0"/>
      <w:marBottom w:val="0"/>
      <w:divBdr>
        <w:top w:val="none" w:sz="0" w:space="0" w:color="auto"/>
        <w:left w:val="none" w:sz="0" w:space="0" w:color="auto"/>
        <w:bottom w:val="none" w:sz="0" w:space="0" w:color="auto"/>
        <w:right w:val="none" w:sz="0" w:space="0" w:color="auto"/>
      </w:divBdr>
    </w:div>
    <w:div w:id="2119712133">
      <w:bodyDiv w:val="1"/>
      <w:marLeft w:val="0"/>
      <w:marRight w:val="0"/>
      <w:marTop w:val="0"/>
      <w:marBottom w:val="0"/>
      <w:divBdr>
        <w:top w:val="none" w:sz="0" w:space="0" w:color="auto"/>
        <w:left w:val="none" w:sz="0" w:space="0" w:color="auto"/>
        <w:bottom w:val="none" w:sz="0" w:space="0" w:color="auto"/>
        <w:right w:val="none" w:sz="0" w:space="0" w:color="auto"/>
      </w:divBdr>
    </w:div>
    <w:div w:id="21275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SK/TXT/HTML/?uri=CELEX:32015L2193&amp;rid=1"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ur-lex.europa.eu/legal-content/SK/TXT/HTML/?uri=CELEX:32015L2193&amp;rid=1"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SK/TXT/HTML/?uri=CELEX:32015L2193&amp;rid=1"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gal-content/SK/TXT/HTML/?uri=CELEX:32015L2193&amp;r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8595A1390B114BA99AB4D8E1002926" ma:contentTypeVersion="13" ma:contentTypeDescription="Create a new document." ma:contentTypeScope="" ma:versionID="13fcbd1272315390e7e95e4304c62c5e">
  <xsd:schema xmlns:xsd="http://www.w3.org/2001/XMLSchema" xmlns:xs="http://www.w3.org/2001/XMLSchema" xmlns:p="http://schemas.microsoft.com/office/2006/metadata/properties" xmlns:ns3="b64840b9-20de-4534-89f1-9bf42146c718" xmlns:ns4="b820490d-e422-45ee-a253-29f55160f7ff" targetNamespace="http://schemas.microsoft.com/office/2006/metadata/properties" ma:root="true" ma:fieldsID="f3e9d69160764f5a4ec6d29a5ed0f3dd" ns3:_="" ns4:_="">
    <xsd:import namespace="b64840b9-20de-4534-89f1-9bf42146c718"/>
    <xsd:import namespace="b820490d-e422-45ee-a253-29f55160f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840b9-20de-4534-89f1-9bf42146c7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0490d-e422-45ee-a253-29f55160f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F183-13F3-43C5-812F-9581D40BFA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8B162-EEB7-48F2-9F99-1BA8D077C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840b9-20de-4534-89f1-9bf42146c718"/>
    <ds:schemaRef ds:uri="b820490d-e422-45ee-a253-29f55160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409ED-58B5-46C2-BFD6-D18D6ADC613C}">
  <ds:schemaRefs>
    <ds:schemaRef ds:uri="http://schemas.microsoft.com/sharepoint/v3/contenttype/forms"/>
  </ds:schemaRefs>
</ds:datastoreItem>
</file>

<file path=customXml/itemProps4.xml><?xml version="1.0" encoding="utf-8"?>
<ds:datastoreItem xmlns:ds="http://schemas.openxmlformats.org/officeDocument/2006/customXml" ds:itemID="{9054F83F-AA4C-4331-95E4-0F3C930F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15116</Words>
  <Characters>86163</Characters>
  <Application>Microsoft Office Word</Application>
  <DocSecurity>0</DocSecurity>
  <Lines>718</Lines>
  <Paragraphs>202</Paragraphs>
  <ScaleCrop>false</ScaleCrop>
  <HeadingPairs>
    <vt:vector size="2" baseType="variant">
      <vt:variant>
        <vt:lpstr>Názov</vt:lpstr>
      </vt:variant>
      <vt:variant>
        <vt:i4>1</vt:i4>
      </vt:variant>
    </vt:vector>
  </HeadingPairs>
  <TitlesOfParts>
    <vt:vector size="1" baseType="lpstr">
      <vt:lpstr>Tabuľka zhody</vt:lpstr>
    </vt:vector>
  </TitlesOfParts>
  <Company>Hewlett-Packard Company</Company>
  <LinksUpToDate>false</LinksUpToDate>
  <CharactersWithSpaces>101077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Sládková Sabina</dc:creator>
  <cp:lastModifiedBy>Solmošiová Mária</cp:lastModifiedBy>
  <cp:revision>2</cp:revision>
  <dcterms:created xsi:type="dcterms:W3CDTF">2022-09-30T09:20:00Z</dcterms:created>
  <dcterms:modified xsi:type="dcterms:W3CDTF">2022-09-30T09:20:00Z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0x010100998595A1390B114BA99AB4D8E1002926</vt:lpwstr>
  </property>
</Properties>
</file>