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C019A" w:rsidRPr="006C019A" w:rsidP="006C019A">
      <w:pPr>
        <w:pStyle w:val="Heading7"/>
        <w:jc w:val="center"/>
        <w:rPr>
          <w:b/>
          <w:sz w:val="28"/>
          <w:szCs w:val="28"/>
        </w:rPr>
      </w:pPr>
      <w:r w:rsidRPr="006C019A">
        <w:rPr>
          <w:b/>
          <w:sz w:val="28"/>
          <w:szCs w:val="28"/>
        </w:rPr>
        <w:t>TABUĽKA  ZHODY</w:t>
      </w:r>
    </w:p>
    <w:p w:rsidR="006C019A" w:rsidRPr="006C019A" w:rsidP="006C019A">
      <w:pPr>
        <w:jc w:val="center"/>
        <w:rPr>
          <w:b/>
          <w:bCs/>
          <w:sz w:val="24"/>
          <w:szCs w:val="24"/>
        </w:rPr>
      </w:pPr>
      <w:r w:rsidR="00C516DC">
        <w:rPr>
          <w:b/>
          <w:bCs/>
          <w:sz w:val="28"/>
          <w:szCs w:val="28"/>
        </w:rPr>
        <w:t>návrhu právneho predpisu s právom Európskej únie</w:t>
      </w:r>
    </w:p>
    <w:p w:rsidR="00916D65" w:rsidRPr="00DD6E7C">
      <w:pPr>
        <w:jc w:val="center"/>
        <w:rPr>
          <w:b/>
        </w:rPr>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5457"/>
        <w:gridCol w:w="8647"/>
      </w:tblGrid>
      <w:tr>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Ex>
        <w:tc>
          <w:tcPr>
            <w:tcW w:w="5457" w:type="dxa"/>
          </w:tcPr>
          <w:p w:rsidR="00916D65" w:rsidRPr="00DD6E7C" w:rsidP="00C516DC">
            <w:pPr>
              <w:pStyle w:val="Heading1"/>
              <w:jc w:val="left"/>
            </w:pPr>
            <w:r w:rsidR="00C516DC">
              <w:t>Smernica</w:t>
            </w:r>
          </w:p>
          <w:p w:rsidR="00916D65" w:rsidRPr="00DD6E7C">
            <w:pPr>
              <w:rPr>
                <w:b/>
              </w:rPr>
            </w:pPr>
          </w:p>
        </w:tc>
        <w:tc>
          <w:tcPr>
            <w:tcW w:w="8647" w:type="dxa"/>
          </w:tcPr>
          <w:p w:rsidR="00916D65" w:rsidRPr="00DD6E7C" w:rsidP="00C516DC">
            <w:pPr>
              <w:pStyle w:val="Heading1"/>
              <w:jc w:val="left"/>
            </w:pPr>
            <w:r w:rsidR="00C516DC">
              <w:t>Právne predpisy Slovenskej republiky</w:t>
            </w:r>
          </w:p>
          <w:p w:rsidR="00916D65" w:rsidRPr="00DD6E7C" w:rsidP="00C516DC">
            <w:pPr>
              <w:rPr>
                <w:b/>
              </w:rPr>
            </w:pPr>
          </w:p>
        </w:tc>
      </w:tr>
      <w:tr w:rsidTr="00D8549D">
        <w:tblPrEx>
          <w:tblW w:w="0" w:type="auto"/>
          <w:tblLayout w:type="fixed"/>
          <w:tblCellMar>
            <w:left w:w="70" w:type="dxa"/>
            <w:right w:w="70" w:type="dxa"/>
          </w:tblCellMar>
          <w:tblLook w:val="00A7"/>
        </w:tblPrEx>
        <w:tc>
          <w:tcPr>
            <w:tcW w:w="5457" w:type="dxa"/>
          </w:tcPr>
          <w:p w:rsidR="0071748E" w:rsidRPr="0071748E" w:rsidP="007F2558">
            <w:pPr>
              <w:jc w:val="both"/>
              <w:rPr>
                <w:rStyle w:val="Strong"/>
                <w:b w:val="0"/>
              </w:rPr>
            </w:pPr>
            <w:r w:rsidRPr="0071748E">
              <w:rPr>
                <w:rStyle w:val="Strong"/>
              </w:rPr>
              <w:t>Smernica Európskeho parlamentu a Rady 2009/126/ES z 21. októbra 2009 o II. stupni rekuperácie benzínových pár pri čerpaní pohonných látok do motorových vozidiel na č</w:t>
            </w:r>
            <w:r w:rsidR="00AD3768">
              <w:rPr>
                <w:rStyle w:val="Strong"/>
              </w:rPr>
              <w:t xml:space="preserve">erpacích staniciach (Ú. v. EÚ L </w:t>
            </w:r>
            <w:r w:rsidRPr="0071748E">
              <w:rPr>
                <w:rStyle w:val="Strong"/>
              </w:rPr>
              <w:t>285, 31.10.2009) v znení smernice Komisie 2014/99/EÚ z 21. októbra 2014 (Ú. v. EÚ L 304, 23.10.2014) a nariadenia Euró</w:t>
            </w:r>
            <w:r w:rsidR="00C516DC">
              <w:rPr>
                <w:rStyle w:val="Strong"/>
              </w:rPr>
              <w:t>pskeho parlamentu a Rady (EÚ)</w:t>
            </w:r>
            <w:r w:rsidRPr="0071748E">
              <w:rPr>
                <w:rStyle w:val="Strong"/>
              </w:rPr>
              <w:t xml:space="preserve"> 2019/1243 z 20. júna 2019 (Ú. v. EÚ L 198, 25.7.2019</w:t>
            </w:r>
            <w:r>
              <w:rPr>
                <w:rStyle w:val="Strong"/>
              </w:rPr>
              <w:t>)</w:t>
            </w:r>
            <w:r>
              <w:rPr>
                <w:rStyle w:val="Strong"/>
              </w:rPr>
              <w:t>.</w:t>
            </w:r>
          </w:p>
          <w:p w:rsidR="00C13A41" w:rsidRPr="006C019A" w:rsidP="007F2558">
            <w:pPr>
              <w:pStyle w:val="Heading1"/>
              <w:jc w:val="both"/>
              <w:rPr>
                <w:sz w:val="20"/>
              </w:rPr>
            </w:pPr>
          </w:p>
        </w:tc>
        <w:tc>
          <w:tcPr>
            <w:tcW w:w="8647" w:type="dxa"/>
            <w:shd w:val="clear" w:color="auto" w:fill="auto"/>
          </w:tcPr>
          <w:p w:rsidR="00D8549D" w:rsidRPr="007A70AB" w:rsidP="007F2558">
            <w:pPr>
              <w:pStyle w:val="BodyText20"/>
              <w:jc w:val="both"/>
              <w:rPr>
                <w:sz w:val="20"/>
              </w:rPr>
            </w:pPr>
            <w:r w:rsidRPr="009A1BB0" w:rsidR="009A1BB0">
              <w:rPr>
                <w:sz w:val="20"/>
              </w:rPr>
              <w:t>Tézy návrhu</w:t>
            </w:r>
            <w:r w:rsidRPr="00BA7BA6" w:rsidR="009A1BB0">
              <w:rPr>
                <w:b w:val="0"/>
              </w:rPr>
              <w:t xml:space="preserve"> </w:t>
            </w:r>
            <w:r w:rsidRPr="007A70AB">
              <w:rPr>
                <w:sz w:val="20"/>
              </w:rPr>
              <w:t>vyhlášky Ministerstva životného prostredia Slovenskej republiky</w:t>
            </w:r>
            <w:r w:rsidRPr="007A70AB" w:rsidR="00AB2D30">
              <w:rPr>
                <w:sz w:val="20"/>
              </w:rPr>
              <w:t xml:space="preserve"> o požiadavkách na skladovanie, plnenie a prepravu benzínu</w:t>
            </w:r>
            <w:r w:rsidRPr="007A70AB">
              <w:rPr>
                <w:sz w:val="20"/>
              </w:rPr>
              <w:t xml:space="preserve"> (NV)</w:t>
            </w:r>
          </w:p>
          <w:p w:rsidR="00D8549D" w:rsidRPr="00F40087" w:rsidP="007F2558">
            <w:pPr>
              <w:pStyle w:val="BodyText20"/>
              <w:jc w:val="both"/>
              <w:rPr>
                <w:sz w:val="20"/>
              </w:rPr>
            </w:pPr>
          </w:p>
          <w:p w:rsidR="0049228A" w:rsidRPr="007A70AB" w:rsidP="007F2558">
            <w:pPr>
              <w:pStyle w:val="BodyText20"/>
              <w:jc w:val="both"/>
              <w:rPr>
                <w:sz w:val="20"/>
              </w:rPr>
            </w:pPr>
            <w:r w:rsidRPr="007A70AB" w:rsidR="00AD698B">
              <w:rPr>
                <w:sz w:val="20"/>
              </w:rPr>
              <w:t xml:space="preserve">Návrh zákona </w:t>
            </w:r>
            <w:r w:rsidRPr="007A70AB" w:rsidR="00037F7C">
              <w:rPr>
                <w:sz w:val="20"/>
              </w:rPr>
              <w:t>o ochrane ovzdušia a o zmene a doplnení niektorých</w:t>
            </w:r>
            <w:r w:rsidRPr="00F40087" w:rsidR="00037F7C">
              <w:rPr>
                <w:sz w:val="20"/>
              </w:rPr>
              <w:t xml:space="preserve"> zákonov</w:t>
            </w:r>
            <w:r w:rsidRPr="007A70AB" w:rsidR="00037F7C">
              <w:rPr>
                <w:sz w:val="20"/>
              </w:rPr>
              <w:t xml:space="preserve"> </w:t>
            </w:r>
            <w:r w:rsidRPr="007A70AB">
              <w:rPr>
                <w:sz w:val="20"/>
              </w:rPr>
              <w:t>(</w:t>
            </w:r>
            <w:r w:rsidRPr="007A70AB" w:rsidR="0059089E">
              <w:rPr>
                <w:sz w:val="20"/>
              </w:rPr>
              <w:t>N</w:t>
            </w:r>
            <w:r w:rsidRPr="007A70AB">
              <w:rPr>
                <w:sz w:val="20"/>
              </w:rPr>
              <w:t>Z)</w:t>
            </w:r>
          </w:p>
          <w:p w:rsidR="00646433" w:rsidRPr="007A70AB" w:rsidP="007F2558">
            <w:pPr>
              <w:pStyle w:val="BodyText20"/>
              <w:jc w:val="both"/>
              <w:rPr>
                <w:sz w:val="20"/>
              </w:rPr>
            </w:pPr>
          </w:p>
          <w:p w:rsidR="00C13A41" w:rsidRPr="007A70AB" w:rsidP="007F2558">
            <w:pPr>
              <w:jc w:val="both"/>
            </w:pPr>
            <w:r w:rsidRPr="007A70AB" w:rsidR="00D8549D">
              <w:rPr>
                <w:b/>
              </w:rPr>
              <w:t xml:space="preserve">Zákon č. 575/2001 Z. z. o organizácii činnosti vlády a organizácii ústrednej štátnej správy v znení </w:t>
            </w:r>
            <w:r w:rsidRPr="007A70AB" w:rsidR="006076CB">
              <w:rPr>
                <w:b/>
              </w:rPr>
              <w:t>neskorších predpisov (Z 575</w:t>
            </w:r>
            <w:r w:rsidRPr="007A70AB" w:rsidR="00D8549D">
              <w:rPr>
                <w:b/>
              </w:rPr>
              <w:t>)</w:t>
            </w:r>
          </w:p>
        </w:tc>
      </w:tr>
    </w:tbl>
    <w:p w:rsidR="00916D65" w:rsidRPr="00DD6E7C">
      <w:pPr>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779"/>
        <w:gridCol w:w="3827"/>
        <w:gridCol w:w="851"/>
        <w:gridCol w:w="709"/>
        <w:gridCol w:w="850"/>
        <w:gridCol w:w="4111"/>
        <w:gridCol w:w="709"/>
        <w:gridCol w:w="2268"/>
      </w:tblGrid>
      <w:tr w:rsidTr="00C516DC">
        <w:tblPrEx>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Ex>
        <w:trPr>
          <w:tblHeader/>
        </w:trPr>
        <w:tc>
          <w:tcPr>
            <w:tcW w:w="779" w:type="dxa"/>
          </w:tcPr>
          <w:p w:rsidR="00C13A41" w:rsidRPr="00DD6E7C">
            <w:pPr>
              <w:jc w:val="center"/>
            </w:pPr>
            <w:r w:rsidRPr="00DD6E7C">
              <w:t>1</w:t>
            </w:r>
          </w:p>
        </w:tc>
        <w:tc>
          <w:tcPr>
            <w:tcW w:w="3827" w:type="dxa"/>
          </w:tcPr>
          <w:p w:rsidR="00C13A41" w:rsidRPr="00DD6E7C">
            <w:pPr>
              <w:jc w:val="center"/>
            </w:pPr>
            <w:r w:rsidRPr="00DD6E7C">
              <w:t>2</w:t>
            </w:r>
          </w:p>
        </w:tc>
        <w:tc>
          <w:tcPr>
            <w:tcW w:w="851" w:type="dxa"/>
          </w:tcPr>
          <w:p w:rsidR="00C13A41" w:rsidRPr="00DD6E7C">
            <w:pPr>
              <w:jc w:val="center"/>
            </w:pPr>
            <w:r w:rsidRPr="00DD6E7C">
              <w:t>3</w:t>
            </w:r>
          </w:p>
        </w:tc>
        <w:tc>
          <w:tcPr>
            <w:tcW w:w="709" w:type="dxa"/>
          </w:tcPr>
          <w:p w:rsidR="00C13A41" w:rsidRPr="00DD6E7C">
            <w:pPr>
              <w:jc w:val="center"/>
            </w:pPr>
            <w:r w:rsidRPr="00DD6E7C">
              <w:t>4</w:t>
            </w:r>
          </w:p>
        </w:tc>
        <w:tc>
          <w:tcPr>
            <w:tcW w:w="850" w:type="dxa"/>
          </w:tcPr>
          <w:p w:rsidR="00C13A41" w:rsidRPr="00DD6E7C">
            <w:pPr>
              <w:jc w:val="center"/>
            </w:pPr>
            <w:r w:rsidRPr="00DD6E7C">
              <w:t>5</w:t>
            </w:r>
          </w:p>
        </w:tc>
        <w:tc>
          <w:tcPr>
            <w:tcW w:w="4111" w:type="dxa"/>
          </w:tcPr>
          <w:p w:rsidR="00C13A41" w:rsidRPr="00DD6E7C">
            <w:pPr>
              <w:jc w:val="center"/>
            </w:pPr>
            <w:r w:rsidRPr="00DD6E7C">
              <w:t>6</w:t>
            </w:r>
          </w:p>
        </w:tc>
        <w:tc>
          <w:tcPr>
            <w:tcW w:w="709" w:type="dxa"/>
          </w:tcPr>
          <w:p w:rsidR="00C13A41" w:rsidRPr="00DD6E7C">
            <w:pPr>
              <w:jc w:val="center"/>
            </w:pPr>
            <w:r w:rsidRPr="00DD6E7C">
              <w:t>7</w:t>
            </w:r>
          </w:p>
        </w:tc>
        <w:tc>
          <w:tcPr>
            <w:tcW w:w="2268" w:type="dxa"/>
            <w:tcBorders>
              <w:right w:val="single" w:sz="4" w:space="0" w:color="auto"/>
            </w:tcBorders>
          </w:tcPr>
          <w:p w:rsidR="00C13A41" w:rsidRPr="00DD6E7C">
            <w:pPr>
              <w:jc w:val="center"/>
            </w:pPr>
            <w:r w:rsidR="006C019A">
              <w:t>8</w:t>
            </w:r>
          </w:p>
        </w:tc>
      </w:tr>
      <w:tr w:rsidTr="00C516DC">
        <w:tblPrEx>
          <w:tblW w:w="0" w:type="auto"/>
          <w:tblLayout w:type="fixed"/>
          <w:tblCellMar>
            <w:left w:w="70" w:type="dxa"/>
            <w:right w:w="70" w:type="dxa"/>
          </w:tblCellMar>
          <w:tblLook w:val="00A7"/>
        </w:tblPrEx>
        <w:tc>
          <w:tcPr>
            <w:tcW w:w="779" w:type="dxa"/>
            <w:vAlign w:val="center"/>
          </w:tcPr>
          <w:p w:rsidR="00C13A41" w:rsidRPr="00DD6E7C">
            <w:pPr>
              <w:jc w:val="center"/>
            </w:pPr>
            <w:r w:rsidRPr="00DD6E7C">
              <w:rPr>
                <w:b/>
              </w:rPr>
              <w:t>Článok</w:t>
            </w:r>
          </w:p>
        </w:tc>
        <w:tc>
          <w:tcPr>
            <w:tcW w:w="3827" w:type="dxa"/>
            <w:vAlign w:val="center"/>
          </w:tcPr>
          <w:p w:rsidR="00C13A41" w:rsidRPr="00DD6E7C" w:rsidP="00C516DC">
            <w:pPr>
              <w:jc w:val="center"/>
            </w:pPr>
            <w:r w:rsidRPr="00DD6E7C">
              <w:rPr>
                <w:b/>
              </w:rPr>
              <w:t xml:space="preserve">Text </w:t>
            </w:r>
          </w:p>
        </w:tc>
        <w:tc>
          <w:tcPr>
            <w:tcW w:w="851" w:type="dxa"/>
            <w:vAlign w:val="center"/>
          </w:tcPr>
          <w:p w:rsidR="00C13A41" w:rsidRPr="00DD6E7C">
            <w:pPr>
              <w:jc w:val="center"/>
              <w:rPr>
                <w:b/>
              </w:rPr>
            </w:pPr>
            <w:r w:rsidRPr="00DD6E7C">
              <w:rPr>
                <w:b/>
              </w:rPr>
              <w:t>Spôsob trans-pozície</w:t>
            </w:r>
          </w:p>
        </w:tc>
        <w:tc>
          <w:tcPr>
            <w:tcW w:w="709" w:type="dxa"/>
          </w:tcPr>
          <w:p w:rsidR="00C13A41" w:rsidRPr="00DD6E7C">
            <w:pPr>
              <w:jc w:val="center"/>
              <w:rPr>
                <w:b/>
              </w:rPr>
            </w:pPr>
          </w:p>
          <w:p w:rsidR="00C13A41" w:rsidRPr="00DD6E7C">
            <w:pPr>
              <w:jc w:val="center"/>
              <w:rPr>
                <w:b/>
              </w:rPr>
            </w:pPr>
            <w:r w:rsidR="00C516DC">
              <w:rPr>
                <w:b/>
              </w:rPr>
              <w:t>Č</w:t>
            </w:r>
            <w:r w:rsidRPr="00DD6E7C">
              <w:rPr>
                <w:b/>
              </w:rPr>
              <w:t>íslo</w:t>
            </w:r>
          </w:p>
        </w:tc>
        <w:tc>
          <w:tcPr>
            <w:tcW w:w="850" w:type="dxa"/>
            <w:vAlign w:val="center"/>
          </w:tcPr>
          <w:p w:rsidR="00C13A41" w:rsidRPr="00DD6E7C">
            <w:pPr>
              <w:jc w:val="center"/>
              <w:rPr>
                <w:b/>
              </w:rPr>
            </w:pPr>
            <w:r w:rsidR="00C516DC">
              <w:rPr>
                <w:b/>
              </w:rPr>
              <w:t>Č</w:t>
            </w:r>
            <w:r w:rsidRPr="00DD6E7C">
              <w:rPr>
                <w:b/>
              </w:rPr>
              <w:t>lánok</w:t>
            </w:r>
          </w:p>
        </w:tc>
        <w:tc>
          <w:tcPr>
            <w:tcW w:w="4111" w:type="dxa"/>
            <w:vAlign w:val="center"/>
          </w:tcPr>
          <w:p w:rsidR="00C13A41" w:rsidRPr="00DD6E7C" w:rsidP="00C516DC">
            <w:pPr>
              <w:jc w:val="center"/>
              <w:rPr>
                <w:b/>
              </w:rPr>
            </w:pPr>
            <w:r w:rsidRPr="00DD6E7C">
              <w:rPr>
                <w:b/>
              </w:rPr>
              <w:t xml:space="preserve">Text </w:t>
            </w:r>
          </w:p>
        </w:tc>
        <w:tc>
          <w:tcPr>
            <w:tcW w:w="709" w:type="dxa"/>
            <w:vAlign w:val="center"/>
          </w:tcPr>
          <w:p w:rsidR="00C13A41" w:rsidRPr="00DD6E7C">
            <w:pPr>
              <w:jc w:val="center"/>
            </w:pPr>
            <w:r w:rsidRPr="00DD6E7C">
              <w:rPr>
                <w:b/>
              </w:rPr>
              <w:t>Zhoda</w:t>
            </w:r>
          </w:p>
        </w:tc>
        <w:tc>
          <w:tcPr>
            <w:tcW w:w="2268" w:type="dxa"/>
            <w:tcBorders>
              <w:right w:val="single" w:sz="4" w:space="0" w:color="auto"/>
            </w:tcBorders>
            <w:vAlign w:val="center"/>
          </w:tcPr>
          <w:p w:rsidR="00C13A41" w:rsidRPr="00C13A41">
            <w:pPr>
              <w:jc w:val="center"/>
              <w:rPr>
                <w:b/>
              </w:rPr>
            </w:pPr>
            <w:r w:rsidRPr="00DD6E7C">
              <w:rPr>
                <w:b/>
              </w:rPr>
              <w:t>Poznámky</w:t>
            </w:r>
          </w:p>
        </w:tc>
      </w:tr>
      <w:tr w:rsidTr="00C516DC">
        <w:tblPrEx>
          <w:tblW w:w="0" w:type="auto"/>
          <w:tblLayout w:type="fixed"/>
          <w:tblCellMar>
            <w:left w:w="70" w:type="dxa"/>
            <w:right w:w="70" w:type="dxa"/>
          </w:tblCellMar>
          <w:tblLook w:val="00A7"/>
        </w:tblPrEx>
        <w:trPr>
          <w:cantSplit/>
          <w:trHeight w:val="1462"/>
        </w:trPr>
        <w:tc>
          <w:tcPr>
            <w:tcW w:w="779" w:type="dxa"/>
            <w:tcBorders>
              <w:bottom w:val="single" w:sz="4" w:space="0" w:color="auto"/>
            </w:tcBorders>
          </w:tcPr>
          <w:p w:rsidR="00C13A41" w:rsidRPr="00DD6E7C" w:rsidP="00117FAD">
            <w:pPr>
              <w:jc w:val="both"/>
            </w:pPr>
            <w:r w:rsidR="00D8549D">
              <w:t>Č</w:t>
            </w:r>
            <w:r w:rsidRPr="00DD6E7C">
              <w:t>1</w:t>
            </w:r>
          </w:p>
        </w:tc>
        <w:tc>
          <w:tcPr>
            <w:tcW w:w="3827" w:type="dxa"/>
            <w:tcBorders>
              <w:bottom w:val="single" w:sz="4" w:space="0" w:color="auto"/>
            </w:tcBorders>
          </w:tcPr>
          <w:p w:rsidR="00D8549D" w:rsidP="00117FAD">
            <w:pPr>
              <w:jc w:val="both"/>
            </w:pPr>
            <w:r>
              <w:t>Článok 1</w:t>
            </w:r>
          </w:p>
          <w:p w:rsidR="00117FAD" w:rsidRPr="00116126" w:rsidP="00117FAD">
            <w:pPr>
              <w:jc w:val="both"/>
            </w:pPr>
            <w:r w:rsidRPr="00116126">
              <w:t>Predmet úpravy</w:t>
            </w:r>
          </w:p>
          <w:p w:rsidR="00C13A41" w:rsidRPr="00117FAD" w:rsidP="00117FAD">
            <w:pPr>
              <w:jc w:val="both"/>
            </w:pPr>
            <w:r w:rsidRPr="00116126" w:rsidR="00117FAD">
              <w:t>Táto smernica stanovuje opatrenia zamerané na zníženie množstva benzínových pár unikajúcich do ovzdušia pri čerpaní pohonných látok do motorových vozidiel na čerpacích staniciach.</w:t>
            </w:r>
          </w:p>
        </w:tc>
        <w:tc>
          <w:tcPr>
            <w:tcW w:w="851" w:type="dxa"/>
            <w:tcBorders>
              <w:bottom w:val="single" w:sz="4" w:space="0" w:color="auto"/>
            </w:tcBorders>
          </w:tcPr>
          <w:p w:rsidR="00C13A41" w:rsidRPr="00DD6E7C">
            <w:pPr>
              <w:jc w:val="center"/>
            </w:pPr>
            <w:r w:rsidRPr="00DD6E7C">
              <w:t>N</w:t>
            </w:r>
          </w:p>
        </w:tc>
        <w:tc>
          <w:tcPr>
            <w:tcW w:w="709" w:type="dxa"/>
            <w:tcBorders>
              <w:bottom w:val="single" w:sz="4" w:space="0" w:color="auto"/>
            </w:tcBorders>
          </w:tcPr>
          <w:p w:rsidR="00C13A41" w:rsidRPr="00DD6E7C">
            <w:r w:rsidR="00F20563">
              <w:t>NV</w:t>
            </w:r>
          </w:p>
        </w:tc>
        <w:tc>
          <w:tcPr>
            <w:tcW w:w="850" w:type="dxa"/>
            <w:tcBorders>
              <w:bottom w:val="single" w:sz="4" w:space="0" w:color="auto"/>
            </w:tcBorders>
          </w:tcPr>
          <w:p w:rsidR="00C13A41" w:rsidRPr="00DD6E7C" w:rsidP="00D8549D">
            <w:r w:rsidR="00F20563">
              <w:t>§1</w:t>
            </w:r>
          </w:p>
        </w:tc>
        <w:tc>
          <w:tcPr>
            <w:tcW w:w="4111" w:type="dxa"/>
            <w:tcBorders>
              <w:bottom w:val="single" w:sz="4" w:space="0" w:color="auto"/>
            </w:tcBorders>
          </w:tcPr>
          <w:p w:rsidR="00EC4CF3" w:rsidRPr="00D25DA2" w:rsidP="00EC4CF3">
            <w:pPr>
              <w:rPr>
                <w:b/>
              </w:rPr>
            </w:pPr>
            <w:r w:rsidRPr="00D25DA2">
              <w:rPr>
                <w:b/>
              </w:rPr>
              <w:t>§ 1</w:t>
            </w:r>
          </w:p>
          <w:p w:rsidR="00EC4CF3" w:rsidRPr="00D25DA2" w:rsidP="00EC4CF3">
            <w:pPr>
              <w:rPr>
                <w:b/>
              </w:rPr>
            </w:pPr>
            <w:r w:rsidRPr="00D25DA2">
              <w:rPr>
                <w:b/>
              </w:rPr>
              <w:t>Predmet vyhlášky</w:t>
            </w:r>
          </w:p>
          <w:p w:rsidR="00C13A41" w:rsidRPr="00DD6E7C" w:rsidP="00D8549D">
            <w:pPr>
              <w:jc w:val="both"/>
            </w:pPr>
            <w:r w:rsidR="00D8549D">
              <w:t xml:space="preserve">Táto vyhláška ustanovuje </w:t>
            </w:r>
            <w:r w:rsidRPr="00E403AC" w:rsidR="00D8549D">
              <w:t>technické požiadavky a podmienky prevádzkovania</w:t>
            </w:r>
            <w:r w:rsidR="00D8549D">
              <w:t xml:space="preserve"> </w:t>
            </w:r>
            <w:r w:rsidRPr="00215B1E" w:rsidR="00D8549D">
              <w:t>pre</w:t>
            </w:r>
            <w:r w:rsidR="00D8549D">
              <w:t xml:space="preserve"> </w:t>
            </w:r>
            <w:r w:rsidRPr="009A46F2" w:rsidR="00D8549D">
              <w:t>skladovacie zariadenia, plniace zariadenia a mobilné zásobníky používané na skladovanie, plnenie a prepravu benzínu z jedného distribučného skladu do iného distribučného skladu alebo z distribučného skladu na čerpaciu stanicu a na plnenie benzínu do nádrží motorových vozi</w:t>
            </w:r>
            <w:r w:rsidRPr="009A46F2" w:rsidR="00D8549D">
              <w:t>diel</w:t>
            </w:r>
            <w:r w:rsidR="00D8549D">
              <w:t xml:space="preserve"> a spôsob a požiadavky na zisťovanie a preukazovanie údajov o ich dodržaní.</w:t>
            </w:r>
          </w:p>
        </w:tc>
        <w:tc>
          <w:tcPr>
            <w:tcW w:w="709" w:type="dxa"/>
            <w:tcBorders>
              <w:bottom w:val="single" w:sz="4" w:space="0" w:color="auto"/>
            </w:tcBorders>
          </w:tcPr>
          <w:p w:rsidR="00C13A41" w:rsidRPr="00DD6E7C">
            <w:pPr>
              <w:jc w:val="center"/>
            </w:pPr>
            <w:r w:rsidR="00F20563">
              <w:t>U</w:t>
            </w:r>
          </w:p>
        </w:tc>
        <w:tc>
          <w:tcPr>
            <w:tcW w:w="2268" w:type="dxa"/>
            <w:tcBorders>
              <w:bottom w:val="single" w:sz="4" w:space="0" w:color="auto"/>
              <w:right w:val="single" w:sz="4" w:space="0" w:color="auto"/>
            </w:tcBorders>
          </w:tcPr>
          <w:p w:rsidR="00C13A41" w:rsidRPr="00DD6E7C" w:rsidP="00C13A41">
            <w:pPr>
              <w:pStyle w:val="Heading1"/>
              <w:jc w:val="both"/>
            </w:pPr>
          </w:p>
        </w:tc>
      </w:tr>
      <w:tr w:rsidTr="00C516DC">
        <w:tblPrEx>
          <w:tblW w:w="0" w:type="auto"/>
          <w:tblLayout w:type="fixed"/>
          <w:tblCellMar>
            <w:left w:w="70" w:type="dxa"/>
            <w:right w:w="70" w:type="dxa"/>
          </w:tblCellMar>
          <w:tblLook w:val="00A7"/>
        </w:tblPrEx>
        <w:trPr>
          <w:cantSplit/>
          <w:trHeight w:val="992"/>
        </w:trPr>
        <w:tc>
          <w:tcPr>
            <w:tcW w:w="779" w:type="dxa"/>
            <w:tcBorders>
              <w:top w:val="single" w:sz="4" w:space="0" w:color="auto"/>
              <w:bottom w:val="single" w:sz="4" w:space="0" w:color="auto"/>
            </w:tcBorders>
          </w:tcPr>
          <w:p w:rsidR="00C13A41" w:rsidRPr="00DD6E7C">
            <w:r w:rsidR="00D8549D">
              <w:t>Č</w:t>
            </w:r>
            <w:r w:rsidRPr="00DD6E7C">
              <w:t>2</w:t>
            </w:r>
          </w:p>
          <w:p w:rsidR="00117FAD">
            <w:r w:rsidR="00D8549D">
              <w:t>O1</w:t>
            </w:r>
          </w:p>
          <w:p w:rsidR="00C13A41" w:rsidRPr="00DD6E7C"/>
        </w:tc>
        <w:tc>
          <w:tcPr>
            <w:tcW w:w="3827" w:type="dxa"/>
            <w:tcBorders>
              <w:top w:val="single" w:sz="4" w:space="0" w:color="auto"/>
              <w:bottom w:val="single" w:sz="4" w:space="0" w:color="auto"/>
            </w:tcBorders>
          </w:tcPr>
          <w:p w:rsidR="00D8549D" w:rsidP="006A5F80">
            <w:pPr>
              <w:jc w:val="both"/>
            </w:pPr>
            <w:r>
              <w:t>Článok 2</w:t>
            </w:r>
          </w:p>
          <w:p w:rsidR="00117FAD" w:rsidRPr="00116126" w:rsidP="006A5F80">
            <w:pPr>
              <w:jc w:val="both"/>
            </w:pPr>
            <w:r w:rsidRPr="00116126">
              <w:t>Vymedzenie pojmov</w:t>
            </w:r>
          </w:p>
          <w:p w:rsidR="00117FAD" w:rsidRPr="00116126" w:rsidP="006A5F80">
            <w:pPr>
              <w:jc w:val="both"/>
            </w:pPr>
            <w:r w:rsidRPr="00116126">
              <w:t>Na účely tejto smernice:</w:t>
            </w:r>
          </w:p>
          <w:p w:rsidR="00C13A41" w:rsidRPr="0004654A" w:rsidP="006A5F80">
            <w:pPr>
              <w:jc w:val="both"/>
            </w:pPr>
            <w:r w:rsidRPr="00116126" w:rsidR="00117FAD">
              <w:t>1. "benzín" znamená benzín vymedzený v článku 2 písm. a) smernice 94/63/ES;</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F20563">
              <w:t>ŃV</w:t>
            </w:r>
          </w:p>
        </w:tc>
        <w:tc>
          <w:tcPr>
            <w:tcW w:w="850" w:type="dxa"/>
            <w:tcBorders>
              <w:top w:val="single" w:sz="4" w:space="0" w:color="auto"/>
              <w:bottom w:val="single" w:sz="4" w:space="0" w:color="auto"/>
            </w:tcBorders>
          </w:tcPr>
          <w:p w:rsidR="00C13A41">
            <w:r w:rsidR="00D8549D">
              <w:t>§</w:t>
            </w:r>
            <w:r w:rsidR="00F20563">
              <w:t>2</w:t>
            </w:r>
          </w:p>
          <w:p w:rsidR="00F20563" w:rsidRPr="00DD6E7C">
            <w:r>
              <w:t>Pa</w:t>
            </w:r>
          </w:p>
        </w:tc>
        <w:tc>
          <w:tcPr>
            <w:tcW w:w="4111" w:type="dxa"/>
            <w:tcBorders>
              <w:top w:val="single" w:sz="4" w:space="0" w:color="auto"/>
              <w:bottom w:val="single" w:sz="4" w:space="0" w:color="auto"/>
            </w:tcBorders>
          </w:tcPr>
          <w:p w:rsidR="00014806" w:rsidRPr="00D25DA2" w:rsidP="00014806">
            <w:pPr>
              <w:rPr>
                <w:b/>
              </w:rPr>
            </w:pPr>
            <w:r w:rsidRPr="00D25DA2">
              <w:rPr>
                <w:b/>
              </w:rPr>
              <w:t>§ 2</w:t>
            </w:r>
          </w:p>
          <w:p w:rsidR="00014806" w:rsidRPr="00D25DA2" w:rsidP="00014806">
            <w:pPr>
              <w:rPr>
                <w:b/>
              </w:rPr>
            </w:pPr>
            <w:r w:rsidRPr="00D25DA2">
              <w:rPr>
                <w:b/>
              </w:rPr>
              <w:t xml:space="preserve">Vymedzenie základných </w:t>
            </w:r>
            <w:r w:rsidRPr="00D25DA2">
              <w:rPr>
                <w:b/>
              </w:rPr>
              <w:t>pojmov</w:t>
            </w:r>
          </w:p>
          <w:p w:rsidR="00D8549D" w:rsidRPr="00D8549D" w:rsidP="00D8549D">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lang w:val="sk-SK"/>
              </w:rPr>
            </w:pPr>
            <w:r w:rsidRPr="00D8549D">
              <w:rPr>
                <w:rFonts w:ascii="Times New Roman" w:hAnsi="Times New Roman"/>
                <w:sz w:val="20"/>
                <w:lang w:val="sk-SK"/>
              </w:rPr>
              <w:t xml:space="preserve">Na účely tejto vyhlášky sa rozumie </w:t>
            </w:r>
          </w:p>
          <w:p w:rsidR="00C13A41" w:rsidRPr="00D8549D" w:rsidP="00D8549D">
            <w:pPr>
              <w:pStyle w:val="Import2"/>
              <w:tabs>
                <w:tab w:val="clear" w:pos="720"/>
                <w:tab w:val="left" w:pos="993"/>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line="240" w:lineRule="auto"/>
              <w:jc w:val="both"/>
              <w:rPr>
                <w:rFonts w:ascii="Times New Roman" w:hAnsi="Times New Roman"/>
                <w:sz w:val="20"/>
                <w:lang w:val="sk-SK"/>
              </w:rPr>
            </w:pPr>
            <w:r w:rsidRPr="00D8549D" w:rsidR="00D8549D">
              <w:rPr>
                <w:rFonts w:ascii="Times New Roman" w:hAnsi="Times New Roman"/>
                <w:sz w:val="20"/>
                <w:lang w:val="sk-SK"/>
              </w:rPr>
              <w:t>a) benzínom derivát ropy s prísadami alebo bez prísad s tlakom pár najmenej 27,6 kPa, ktorý je určený ako palivo do spaľovacích motorov, okrem skvapalnených uhľovodíkových plynov,</w:t>
            </w:r>
          </w:p>
        </w:tc>
        <w:tc>
          <w:tcPr>
            <w:tcW w:w="709" w:type="dxa"/>
            <w:tcBorders>
              <w:top w:val="single" w:sz="4" w:space="0" w:color="auto"/>
              <w:bottom w:val="single" w:sz="4" w:space="0" w:color="auto"/>
            </w:tcBorders>
          </w:tcPr>
          <w:p w:rsidR="00C13A41" w:rsidRPr="00DD6E7C">
            <w:pPr>
              <w:jc w:val="center"/>
            </w:pPr>
            <w:r w:rsidR="00F20563">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571"/>
        </w:trPr>
        <w:tc>
          <w:tcPr>
            <w:tcW w:w="779" w:type="dxa"/>
            <w:tcBorders>
              <w:top w:val="single" w:sz="4" w:space="0" w:color="auto"/>
              <w:bottom w:val="single" w:sz="4" w:space="0" w:color="auto"/>
            </w:tcBorders>
          </w:tcPr>
          <w:p w:rsidR="006A5F80" w:rsidRPr="00DD6E7C" w:rsidP="006A5F80">
            <w:r>
              <w:t>Č</w:t>
            </w:r>
            <w:r w:rsidRPr="00DD6E7C">
              <w:t>2</w:t>
            </w:r>
          </w:p>
          <w:p w:rsidR="006A5F80" w:rsidP="006A5F80">
            <w:r>
              <w:t>O2</w:t>
            </w:r>
          </w:p>
          <w:p w:rsidR="00C13A41" w:rsidRPr="00DD6E7C"/>
        </w:tc>
        <w:tc>
          <w:tcPr>
            <w:tcW w:w="3827" w:type="dxa"/>
            <w:tcBorders>
              <w:top w:val="single" w:sz="4" w:space="0" w:color="auto"/>
              <w:bottom w:val="single" w:sz="4" w:space="0" w:color="auto"/>
            </w:tcBorders>
          </w:tcPr>
          <w:p w:rsidR="00C13A41" w:rsidRPr="0004654A" w:rsidP="006A5F80">
            <w:pPr>
              <w:tabs>
                <w:tab w:val="left" w:pos="540"/>
              </w:tabs>
              <w:jc w:val="both"/>
            </w:pPr>
            <w:r w:rsidRPr="00116126" w:rsidR="0004654A">
              <w:t>2. "benzínové pary" znamenajú akékoľvek plynné zlúčeniny, ktoré sa vyparujú z benzínu;</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F20563">
              <w:t>NV</w:t>
            </w:r>
          </w:p>
        </w:tc>
        <w:tc>
          <w:tcPr>
            <w:tcW w:w="850" w:type="dxa"/>
            <w:tcBorders>
              <w:top w:val="single" w:sz="4" w:space="0" w:color="auto"/>
              <w:bottom w:val="single" w:sz="4" w:space="0" w:color="auto"/>
            </w:tcBorders>
          </w:tcPr>
          <w:p w:rsidR="00C13A41">
            <w:r w:rsidR="006A5F80">
              <w:t>§</w:t>
            </w:r>
            <w:r w:rsidR="00F20563">
              <w:t>2</w:t>
            </w:r>
          </w:p>
          <w:p w:rsidR="00F20563" w:rsidRPr="00DD6E7C">
            <w:r>
              <w:t>Pb</w:t>
            </w:r>
          </w:p>
        </w:tc>
        <w:tc>
          <w:tcPr>
            <w:tcW w:w="4111" w:type="dxa"/>
            <w:tcBorders>
              <w:top w:val="single" w:sz="4" w:space="0" w:color="auto"/>
              <w:bottom w:val="single" w:sz="4" w:space="0" w:color="auto"/>
            </w:tcBorders>
          </w:tcPr>
          <w:p w:rsidR="00014806" w:rsidRPr="00D25DA2" w:rsidP="00014806">
            <w:pPr>
              <w:rPr>
                <w:b/>
              </w:rPr>
            </w:pPr>
            <w:r w:rsidRPr="00D25DA2">
              <w:rPr>
                <w:b/>
              </w:rPr>
              <w:t>§ 2</w:t>
            </w:r>
          </w:p>
          <w:p w:rsidR="00014806" w:rsidRPr="00D25DA2" w:rsidP="00014806">
            <w:pPr>
              <w:rPr>
                <w:b/>
              </w:rPr>
            </w:pPr>
            <w:r w:rsidRPr="00D25DA2">
              <w:rPr>
                <w:b/>
              </w:rPr>
              <w:t>Vymedzenie základných pojmov</w:t>
            </w:r>
          </w:p>
          <w:p w:rsidR="00C13A41" w:rsidRPr="006A5F80" w:rsidP="00FB0B75">
            <w:pPr>
              <w:pStyle w:val="BodyText"/>
              <w:tabs>
                <w:tab w:val="left" w:pos="284"/>
              </w:tabs>
              <w:spacing w:before="0" w:after="0"/>
              <w:rPr>
                <w:color w:val="000000"/>
                <w:sz w:val="20"/>
              </w:rPr>
            </w:pPr>
            <w:r w:rsidRPr="006A5F80" w:rsidR="00F20563">
              <w:rPr>
                <w:color w:val="000000"/>
                <w:sz w:val="20"/>
              </w:rPr>
              <w:t xml:space="preserve">b) </w:t>
            </w:r>
            <w:r w:rsidRPr="006A5F80" w:rsidR="006A5F80">
              <w:rPr>
                <w:color w:val="000000"/>
                <w:sz w:val="20"/>
              </w:rPr>
              <w:t>benzínovými parami plynné zlúčeniny, ktoré sa vyparujú z benzínu</w:t>
            </w:r>
            <w:r w:rsidRPr="006A5F80" w:rsidR="00F20563">
              <w:rPr>
                <w:color w:val="000000"/>
                <w:sz w:val="20"/>
              </w:rPr>
              <w:t>,</w:t>
            </w:r>
          </w:p>
        </w:tc>
        <w:tc>
          <w:tcPr>
            <w:tcW w:w="709" w:type="dxa"/>
            <w:tcBorders>
              <w:top w:val="single" w:sz="4" w:space="0" w:color="auto"/>
              <w:bottom w:val="single" w:sz="4" w:space="0" w:color="auto"/>
            </w:tcBorders>
          </w:tcPr>
          <w:p w:rsidR="00C13A41" w:rsidRPr="00DD6E7C">
            <w:pPr>
              <w:jc w:val="center"/>
            </w:pPr>
            <w:r w:rsidR="00F20563">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740"/>
        </w:trPr>
        <w:tc>
          <w:tcPr>
            <w:tcW w:w="779" w:type="dxa"/>
            <w:tcBorders>
              <w:top w:val="single" w:sz="4" w:space="0" w:color="auto"/>
              <w:bottom w:val="single" w:sz="4" w:space="0" w:color="auto"/>
            </w:tcBorders>
          </w:tcPr>
          <w:p w:rsidR="006A5F80" w:rsidRPr="00DD6E7C" w:rsidP="006A5F80">
            <w:r>
              <w:t>Č</w:t>
            </w:r>
            <w:r w:rsidRPr="00DD6E7C">
              <w:t>2</w:t>
            </w:r>
          </w:p>
          <w:p w:rsidR="006A5F80" w:rsidP="006A5F80">
            <w:r>
              <w:t>O3</w:t>
            </w:r>
          </w:p>
          <w:p w:rsidR="00C13A41" w:rsidRPr="00DD6E7C"/>
        </w:tc>
        <w:tc>
          <w:tcPr>
            <w:tcW w:w="3827" w:type="dxa"/>
            <w:tcBorders>
              <w:top w:val="single" w:sz="4" w:space="0" w:color="auto"/>
              <w:bottom w:val="single" w:sz="4" w:space="0" w:color="auto"/>
            </w:tcBorders>
          </w:tcPr>
          <w:p w:rsidR="00C13A41" w:rsidRPr="0004654A" w:rsidP="006A5F80">
            <w:pPr>
              <w:tabs>
                <w:tab w:val="left" w:pos="540"/>
              </w:tabs>
              <w:jc w:val="both"/>
            </w:pPr>
            <w:r w:rsidRPr="00116126" w:rsidR="0004654A">
              <w:t>3. "čerpacia stanica" znamená čerpaciu stanicu, ako je vymedzená v článku 2 písm. f) smernice 94/63/ES;</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F20563">
              <w:t>NV</w:t>
            </w:r>
          </w:p>
        </w:tc>
        <w:tc>
          <w:tcPr>
            <w:tcW w:w="850" w:type="dxa"/>
            <w:tcBorders>
              <w:top w:val="single" w:sz="4" w:space="0" w:color="auto"/>
              <w:bottom w:val="single" w:sz="4" w:space="0" w:color="auto"/>
            </w:tcBorders>
          </w:tcPr>
          <w:p w:rsidR="005E4679">
            <w:r w:rsidR="006A5F80">
              <w:t>§</w:t>
            </w:r>
            <w:r>
              <w:t>2</w:t>
            </w:r>
          </w:p>
          <w:p w:rsidR="00C13A41" w:rsidRPr="00DD6E7C">
            <w:r w:rsidR="005E4679">
              <w:t>Pf</w:t>
            </w:r>
          </w:p>
        </w:tc>
        <w:tc>
          <w:tcPr>
            <w:tcW w:w="4111" w:type="dxa"/>
            <w:tcBorders>
              <w:top w:val="single" w:sz="4" w:space="0" w:color="auto"/>
              <w:bottom w:val="single" w:sz="4" w:space="0" w:color="auto"/>
            </w:tcBorders>
          </w:tcPr>
          <w:p w:rsidR="00014806" w:rsidRPr="00D25DA2" w:rsidP="00014806">
            <w:pPr>
              <w:rPr>
                <w:b/>
              </w:rPr>
            </w:pPr>
            <w:r w:rsidRPr="00D25DA2">
              <w:rPr>
                <w:b/>
              </w:rPr>
              <w:t>§ 2</w:t>
            </w:r>
          </w:p>
          <w:p w:rsidR="00014806" w:rsidRPr="00D25DA2" w:rsidP="00014806">
            <w:pPr>
              <w:rPr>
                <w:b/>
              </w:rPr>
            </w:pPr>
            <w:r w:rsidRPr="00D25DA2">
              <w:rPr>
                <w:b/>
              </w:rPr>
              <w:t>Vymedzenie základných pojmov</w:t>
            </w:r>
          </w:p>
          <w:p w:rsidR="00C13A41" w:rsidRPr="006A5F80" w:rsidP="006A5F80">
            <w:pPr>
              <w:pStyle w:val="BodyText30"/>
              <w:tabs>
                <w:tab w:val="left" w:pos="284"/>
              </w:tabs>
              <w:rPr>
                <w:color w:val="auto"/>
                <w:sz w:val="20"/>
              </w:rPr>
            </w:pPr>
            <w:r w:rsidRPr="006A5F80" w:rsidR="005E4679">
              <w:rPr>
                <w:color w:val="auto"/>
                <w:sz w:val="20"/>
              </w:rPr>
              <w:t xml:space="preserve">f) </w:t>
            </w:r>
            <w:r w:rsidRPr="006A5F80" w:rsidR="006A5F80">
              <w:rPr>
                <w:color w:val="auto"/>
                <w:sz w:val="20"/>
              </w:rPr>
              <w:t>čerpacou stanicou technologický celok, kde sa čerpá benzín zo stacionárnej nádrže do palivovej nádrže motorového vozidla</w:t>
            </w:r>
            <w:r w:rsidRPr="006A5F80" w:rsidR="005E4679">
              <w:rPr>
                <w:color w:val="auto"/>
                <w:sz w:val="20"/>
              </w:rPr>
              <w:t>,</w:t>
            </w:r>
          </w:p>
        </w:tc>
        <w:tc>
          <w:tcPr>
            <w:tcW w:w="709" w:type="dxa"/>
            <w:tcBorders>
              <w:top w:val="single" w:sz="4" w:space="0" w:color="auto"/>
              <w:bottom w:val="single" w:sz="4" w:space="0" w:color="auto"/>
            </w:tcBorders>
          </w:tcPr>
          <w:p w:rsidR="00C13A41" w:rsidRPr="00DD6E7C">
            <w:pPr>
              <w:jc w:val="center"/>
            </w:pPr>
            <w:r w:rsidR="005E4679">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840"/>
        </w:trPr>
        <w:tc>
          <w:tcPr>
            <w:tcW w:w="779" w:type="dxa"/>
            <w:tcBorders>
              <w:top w:val="single" w:sz="4" w:space="0" w:color="auto"/>
              <w:bottom w:val="single" w:sz="4" w:space="0" w:color="auto"/>
            </w:tcBorders>
          </w:tcPr>
          <w:p w:rsidR="006A5F80" w:rsidRPr="00DD6E7C" w:rsidP="006A5F80">
            <w:r>
              <w:t>Č</w:t>
            </w:r>
            <w:r w:rsidRPr="00DD6E7C">
              <w:t>2</w:t>
            </w:r>
          </w:p>
          <w:p w:rsidR="006A5F80" w:rsidP="006A5F80">
            <w:r>
              <w:t>O4</w:t>
            </w:r>
          </w:p>
          <w:p w:rsidR="00C13A41" w:rsidRPr="00DD6E7C"/>
        </w:tc>
        <w:tc>
          <w:tcPr>
            <w:tcW w:w="3827" w:type="dxa"/>
            <w:tcBorders>
              <w:top w:val="single" w:sz="4" w:space="0" w:color="auto"/>
              <w:bottom w:val="single" w:sz="4" w:space="0" w:color="auto"/>
            </w:tcBorders>
          </w:tcPr>
          <w:p w:rsidR="00C13A41" w:rsidRPr="00DD6E7C" w:rsidP="006A5F80">
            <w:pPr>
              <w:spacing w:line="240" w:lineRule="atLeast"/>
              <w:jc w:val="both"/>
              <w:rPr>
                <w:snapToGrid w:val="0"/>
              </w:rPr>
            </w:pPr>
            <w:r w:rsidRPr="00116126" w:rsidR="0004654A">
              <w:t>4. "existujúca čerpacia stanica" znamená čerpaciu stanicu, ktorá je vybudovaná alebo pre ktorú bolo vydané územné rozhodnutie, stavebné povolenie alebo povolenie na prevádzku pred 1. januárom 2012;</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F20563">
              <w:t>NV</w:t>
            </w:r>
          </w:p>
        </w:tc>
        <w:tc>
          <w:tcPr>
            <w:tcW w:w="850" w:type="dxa"/>
            <w:tcBorders>
              <w:top w:val="single" w:sz="4" w:space="0" w:color="auto"/>
              <w:bottom w:val="single" w:sz="4" w:space="0" w:color="auto"/>
            </w:tcBorders>
          </w:tcPr>
          <w:p w:rsidR="00C13A41">
            <w:r w:rsidR="006A5F80">
              <w:t>§</w:t>
            </w:r>
            <w:r w:rsidR="005E4679">
              <w:t>2</w:t>
            </w:r>
          </w:p>
          <w:p w:rsidR="005E4679" w:rsidRPr="005E4679">
            <w:r>
              <w:t>Pj</w:t>
            </w:r>
          </w:p>
        </w:tc>
        <w:tc>
          <w:tcPr>
            <w:tcW w:w="4111" w:type="dxa"/>
            <w:tcBorders>
              <w:top w:val="single" w:sz="4" w:space="0" w:color="auto"/>
              <w:bottom w:val="single" w:sz="4" w:space="0" w:color="auto"/>
            </w:tcBorders>
          </w:tcPr>
          <w:p w:rsidR="00014806" w:rsidRPr="00D25DA2" w:rsidP="00014806">
            <w:pPr>
              <w:rPr>
                <w:b/>
              </w:rPr>
            </w:pPr>
            <w:r w:rsidRPr="00D25DA2">
              <w:rPr>
                <w:b/>
              </w:rPr>
              <w:t>§ 2</w:t>
            </w:r>
          </w:p>
          <w:p w:rsidR="00014806" w:rsidRPr="00D25DA2" w:rsidP="00014806">
            <w:pPr>
              <w:rPr>
                <w:b/>
              </w:rPr>
            </w:pPr>
            <w:r w:rsidRPr="00D25DA2">
              <w:rPr>
                <w:b/>
              </w:rPr>
              <w:t>Vymedzenie základných pojmov</w:t>
            </w:r>
          </w:p>
          <w:p w:rsidR="00C13A41" w:rsidRPr="005E4679" w:rsidP="006A5F80">
            <w:pPr>
              <w:spacing w:line="240" w:lineRule="atLeast"/>
              <w:ind w:left="-45" w:firstLine="45"/>
              <w:jc w:val="both"/>
            </w:pPr>
            <w:r w:rsidR="005E4679">
              <w:t xml:space="preserve">j) </w:t>
            </w:r>
            <w:r w:rsidRPr="009A46F2" w:rsidR="006A5F80">
              <w:t>jestvujúcou čerpacou stanicou čerpacia stanica, ktorá je vybudovaná alebo pre ktorú bolo vydané územné rozhodnutie, stavebné povolenie alebo rozhodnutie o jej užívaní do 31. decembra 2011</w:t>
            </w:r>
            <w:r w:rsidRPr="005E4679" w:rsidR="005E4679">
              <w:t>,</w:t>
            </w:r>
          </w:p>
        </w:tc>
        <w:tc>
          <w:tcPr>
            <w:tcW w:w="709" w:type="dxa"/>
            <w:tcBorders>
              <w:top w:val="single" w:sz="4" w:space="0" w:color="auto"/>
              <w:bottom w:val="single" w:sz="4" w:space="0" w:color="auto"/>
            </w:tcBorders>
          </w:tcPr>
          <w:p w:rsidR="00C13A41" w:rsidRPr="00DD6E7C">
            <w:pPr>
              <w:jc w:val="center"/>
            </w:pPr>
            <w:r w:rsidR="005E4679">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Pr>
        <w:tc>
          <w:tcPr>
            <w:tcW w:w="779" w:type="dxa"/>
            <w:tcBorders>
              <w:top w:val="single" w:sz="4" w:space="0" w:color="auto"/>
              <w:bottom w:val="single" w:sz="4" w:space="0" w:color="auto"/>
            </w:tcBorders>
          </w:tcPr>
          <w:p w:rsidR="006A5F80" w:rsidRPr="00DD6E7C" w:rsidP="006A5F80">
            <w:r>
              <w:t>Č</w:t>
            </w:r>
            <w:r w:rsidRPr="00DD6E7C">
              <w:t>2</w:t>
            </w:r>
          </w:p>
          <w:p w:rsidR="006A5F80" w:rsidP="006A5F80">
            <w:r>
              <w:t>O5</w:t>
            </w:r>
          </w:p>
          <w:p w:rsidR="00C13A41" w:rsidRPr="00DD6E7C"/>
        </w:tc>
        <w:tc>
          <w:tcPr>
            <w:tcW w:w="3827" w:type="dxa"/>
            <w:tcBorders>
              <w:top w:val="single" w:sz="4" w:space="0" w:color="auto"/>
              <w:bottom w:val="single" w:sz="4" w:space="0" w:color="auto"/>
            </w:tcBorders>
          </w:tcPr>
          <w:p w:rsidR="00C13A41" w:rsidRPr="0004654A" w:rsidP="006A5F80">
            <w:pPr>
              <w:tabs>
                <w:tab w:val="left" w:pos="540"/>
              </w:tabs>
              <w:jc w:val="both"/>
            </w:pPr>
            <w:r w:rsidRPr="00116126" w:rsidR="0004654A">
              <w:t>5. "nová čerpacia stanica" znamená čerpaciu stanicu, ktorá je vybudovaná alebo pre ktorú bolo vydané územn</w:t>
            </w:r>
            <w:r w:rsidRPr="00116126" w:rsidR="0004654A">
              <w:t>é rozhodnutie, stavebné povolenie alebo povolenie na prevádzku 1. januára 2012 alebo po 1. januári 2012;</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F20563">
              <w:t>NV</w:t>
            </w:r>
          </w:p>
        </w:tc>
        <w:tc>
          <w:tcPr>
            <w:tcW w:w="850" w:type="dxa"/>
            <w:tcBorders>
              <w:top w:val="single" w:sz="4" w:space="0" w:color="auto"/>
              <w:bottom w:val="single" w:sz="4" w:space="0" w:color="auto"/>
            </w:tcBorders>
          </w:tcPr>
          <w:p w:rsidR="00C13A41" w:rsidP="005E4679">
            <w:r w:rsidR="006A5F80">
              <w:t>§</w:t>
            </w:r>
            <w:r w:rsidR="005E4679">
              <w:t>2</w:t>
            </w:r>
          </w:p>
          <w:p w:rsidR="005E4679" w:rsidRPr="005E4679" w:rsidP="005E4679">
            <w:r>
              <w:t>Pk</w:t>
            </w:r>
          </w:p>
        </w:tc>
        <w:tc>
          <w:tcPr>
            <w:tcW w:w="4111" w:type="dxa"/>
            <w:tcBorders>
              <w:top w:val="single" w:sz="4" w:space="0" w:color="auto"/>
              <w:bottom w:val="single" w:sz="4" w:space="0" w:color="auto"/>
            </w:tcBorders>
          </w:tcPr>
          <w:p w:rsidR="00014806" w:rsidRPr="00D25DA2" w:rsidP="00014806">
            <w:pPr>
              <w:rPr>
                <w:b/>
              </w:rPr>
            </w:pPr>
            <w:r w:rsidRPr="00D25DA2">
              <w:rPr>
                <w:b/>
              </w:rPr>
              <w:t>§ 2</w:t>
            </w:r>
          </w:p>
          <w:p w:rsidR="00014806" w:rsidRPr="00D25DA2" w:rsidP="00014806">
            <w:pPr>
              <w:rPr>
                <w:b/>
              </w:rPr>
            </w:pPr>
            <w:r w:rsidRPr="00D25DA2">
              <w:rPr>
                <w:b/>
              </w:rPr>
              <w:t>Vymedzenie základných pojmov</w:t>
            </w:r>
          </w:p>
          <w:p w:rsidR="005E4679" w:rsidRPr="005E4679" w:rsidP="006A5F80">
            <w:pPr>
              <w:pStyle w:val="BodyText20"/>
              <w:tabs>
                <w:tab w:val="left" w:pos="284"/>
              </w:tabs>
              <w:jc w:val="both"/>
              <w:rPr>
                <w:b w:val="0"/>
                <w:sz w:val="20"/>
              </w:rPr>
            </w:pPr>
            <w:r>
              <w:rPr>
                <w:b w:val="0"/>
                <w:sz w:val="20"/>
              </w:rPr>
              <w:t xml:space="preserve">k) </w:t>
            </w:r>
            <w:r w:rsidRPr="006A5F80" w:rsidR="006A5F80">
              <w:rPr>
                <w:b w:val="0"/>
                <w:sz w:val="20"/>
              </w:rPr>
              <w:t>novou čerpacou stanicou čerpacia stanica, ktorá nie je uvedená v písmene j</w:t>
            </w:r>
            <w:r w:rsidRPr="005E4679">
              <w:rPr>
                <w:b w:val="0"/>
                <w:sz w:val="20"/>
              </w:rPr>
              <w:t>),</w:t>
            </w:r>
          </w:p>
          <w:p w:rsidR="00C13A41" w:rsidRPr="005E4679" w:rsidP="006A5F80">
            <w:pPr>
              <w:pStyle w:val="BodyText"/>
              <w:tabs>
                <w:tab w:val="left" w:pos="284"/>
              </w:tabs>
              <w:spacing w:before="0" w:after="0"/>
              <w:rPr>
                <w:sz w:val="20"/>
              </w:rPr>
            </w:pPr>
          </w:p>
        </w:tc>
        <w:tc>
          <w:tcPr>
            <w:tcW w:w="709" w:type="dxa"/>
            <w:tcBorders>
              <w:top w:val="single" w:sz="4" w:space="0" w:color="auto"/>
              <w:bottom w:val="single" w:sz="4" w:space="0" w:color="auto"/>
            </w:tcBorders>
          </w:tcPr>
          <w:p w:rsidR="00C13A41" w:rsidRPr="00DD6E7C">
            <w:pPr>
              <w:jc w:val="center"/>
            </w:pPr>
            <w:r w:rsidR="005E4679">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080"/>
        </w:trPr>
        <w:tc>
          <w:tcPr>
            <w:tcW w:w="779" w:type="dxa"/>
            <w:tcBorders>
              <w:top w:val="single" w:sz="4" w:space="0" w:color="auto"/>
              <w:bottom w:val="single" w:sz="4" w:space="0" w:color="auto"/>
            </w:tcBorders>
          </w:tcPr>
          <w:p w:rsidR="006A5F80" w:rsidRPr="00DD6E7C" w:rsidP="006A5F80">
            <w:r>
              <w:t>Č</w:t>
            </w:r>
            <w:r w:rsidRPr="00DD6E7C">
              <w:t>2</w:t>
            </w:r>
          </w:p>
          <w:p w:rsidR="006A5F80" w:rsidP="006A5F80">
            <w:r>
              <w:t>O6</w:t>
            </w:r>
          </w:p>
          <w:p w:rsidR="00C13A41" w:rsidRPr="00DD6E7C"/>
        </w:tc>
        <w:tc>
          <w:tcPr>
            <w:tcW w:w="3827" w:type="dxa"/>
            <w:tcBorders>
              <w:top w:val="single" w:sz="4" w:space="0" w:color="auto"/>
              <w:bottom w:val="single" w:sz="4" w:space="0" w:color="auto"/>
            </w:tcBorders>
          </w:tcPr>
          <w:p w:rsidR="00C13A41" w:rsidRPr="00DD6E7C" w:rsidP="006A5F80">
            <w:pPr>
              <w:spacing w:line="240" w:lineRule="atLeast"/>
              <w:jc w:val="both"/>
              <w:rPr>
                <w:snapToGrid w:val="0"/>
              </w:rPr>
            </w:pPr>
            <w:r w:rsidRPr="00116126" w:rsidR="0004654A">
              <w:t>6. "systém II. stupňa rekuperácie benzínových pár" znamená zariadenie na rekuperáciu benzínových pár uvoľnených z palivovej nádrže motorového vozidla pri čerpaní pohonných látok na čerpacej stanici, ktoré prenáša tieto benzínové pary do skladovacej nádrže alebo späť do výdajného stojana za účelom opätovného predaja;</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F20563">
              <w:t>NV</w:t>
            </w:r>
          </w:p>
        </w:tc>
        <w:tc>
          <w:tcPr>
            <w:tcW w:w="850" w:type="dxa"/>
            <w:tcBorders>
              <w:top w:val="single" w:sz="4" w:space="0" w:color="auto"/>
              <w:bottom w:val="single" w:sz="4" w:space="0" w:color="auto"/>
            </w:tcBorders>
          </w:tcPr>
          <w:p w:rsidR="00C13A41">
            <w:r w:rsidR="006A5F80">
              <w:t>§</w:t>
            </w:r>
            <w:r w:rsidR="005E4679">
              <w:t>2</w:t>
            </w:r>
          </w:p>
          <w:p w:rsidR="005E4679" w:rsidRPr="00DD6E7C">
            <w:r>
              <w:t>Pt</w:t>
            </w:r>
          </w:p>
        </w:tc>
        <w:tc>
          <w:tcPr>
            <w:tcW w:w="4111" w:type="dxa"/>
            <w:tcBorders>
              <w:top w:val="single" w:sz="4" w:space="0" w:color="auto"/>
              <w:bottom w:val="single" w:sz="4" w:space="0" w:color="auto"/>
            </w:tcBorders>
          </w:tcPr>
          <w:p w:rsidR="00014806" w:rsidRPr="00D25DA2" w:rsidP="00014806">
            <w:pPr>
              <w:rPr>
                <w:b/>
              </w:rPr>
            </w:pPr>
            <w:r w:rsidRPr="00D25DA2">
              <w:rPr>
                <w:b/>
              </w:rPr>
              <w:t>§ 2</w:t>
            </w:r>
          </w:p>
          <w:p w:rsidR="00014806" w:rsidRPr="00D25DA2" w:rsidP="00014806">
            <w:pPr>
              <w:rPr>
                <w:b/>
              </w:rPr>
            </w:pPr>
            <w:r w:rsidRPr="00D25DA2">
              <w:rPr>
                <w:b/>
              </w:rPr>
              <w:t>Vymedzenie základných pojmov</w:t>
            </w:r>
          </w:p>
          <w:p w:rsidR="00C13A41" w:rsidRPr="005E4679" w:rsidP="005E4679">
            <w:pPr>
              <w:pStyle w:val="BodyText"/>
              <w:tabs>
                <w:tab w:val="left" w:pos="284"/>
              </w:tabs>
              <w:spacing w:before="0" w:after="0"/>
              <w:rPr>
                <w:sz w:val="20"/>
              </w:rPr>
            </w:pPr>
            <w:r w:rsidR="005E4679">
              <w:rPr>
                <w:sz w:val="20"/>
              </w:rPr>
              <w:t xml:space="preserve">t) </w:t>
            </w:r>
            <w:r w:rsidRPr="006A5F80" w:rsidR="006A5F80">
              <w:rPr>
                <w:sz w:val="20"/>
              </w:rPr>
              <w:t>systémom II. stupňa rekuperácie benzínových pár zariadenie na rekuperáciu benzínových pár uvoľnených z palivovej nádrže motorového vozidla pri čerpaní benzínu na čerpacej stanici, ktoré prenáša tieto benzínové pary do skladovacej nádrže alebo späť do výdajného stojana na účel opätovného predaja</w:t>
            </w:r>
            <w:r w:rsidRPr="005E4679" w:rsidR="005E4679">
              <w:rPr>
                <w:sz w:val="20"/>
              </w:rPr>
              <w:t>,</w:t>
            </w:r>
          </w:p>
        </w:tc>
        <w:tc>
          <w:tcPr>
            <w:tcW w:w="709" w:type="dxa"/>
            <w:tcBorders>
              <w:top w:val="single" w:sz="4" w:space="0" w:color="auto"/>
              <w:bottom w:val="single" w:sz="4" w:space="0" w:color="auto"/>
            </w:tcBorders>
          </w:tcPr>
          <w:p w:rsidR="00C13A41" w:rsidRPr="00DD6E7C">
            <w:pPr>
              <w:jc w:val="center"/>
            </w:pPr>
            <w:r w:rsidR="005E4679">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643"/>
        </w:trPr>
        <w:tc>
          <w:tcPr>
            <w:tcW w:w="779" w:type="dxa"/>
            <w:tcBorders>
              <w:top w:val="single" w:sz="4" w:space="0" w:color="auto"/>
              <w:bottom w:val="single" w:sz="4" w:space="0" w:color="auto"/>
            </w:tcBorders>
          </w:tcPr>
          <w:p w:rsidR="006A5F80" w:rsidRPr="00DD6E7C" w:rsidP="006A5F80">
            <w:r>
              <w:t>Č</w:t>
            </w:r>
            <w:r w:rsidRPr="00DD6E7C">
              <w:t>2</w:t>
            </w:r>
          </w:p>
          <w:p w:rsidR="00C13A41" w:rsidRPr="00DD6E7C">
            <w:r w:rsidR="006A5F80">
              <w:t>O7</w:t>
            </w:r>
          </w:p>
        </w:tc>
        <w:tc>
          <w:tcPr>
            <w:tcW w:w="3827" w:type="dxa"/>
            <w:tcBorders>
              <w:top w:val="single" w:sz="4" w:space="0" w:color="auto"/>
              <w:bottom w:val="single" w:sz="4" w:space="0" w:color="auto"/>
            </w:tcBorders>
          </w:tcPr>
          <w:p w:rsidR="00C13A41" w:rsidRPr="00DD6E7C" w:rsidP="006A5F80">
            <w:pPr>
              <w:tabs>
                <w:tab w:val="left" w:pos="540"/>
              </w:tabs>
              <w:jc w:val="both"/>
            </w:pPr>
            <w:r w:rsidRPr="00116126" w:rsidR="0004654A">
              <w:t>7. "účinnosť zachytávania benzínových pár" znamená množstvo benzínových pár zachytených systémom II. stupňa rekuperácie benzínových pár v porovnaní s množstvom benzínových pár, ktoré by sa inak uvoľnili do ovzdušia pri neexistencii takéhoto systému, a je vyjadrená v percentách;</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F20563">
              <w:t>NV</w:t>
            </w:r>
          </w:p>
        </w:tc>
        <w:tc>
          <w:tcPr>
            <w:tcW w:w="850" w:type="dxa"/>
            <w:tcBorders>
              <w:top w:val="single" w:sz="4" w:space="0" w:color="auto"/>
              <w:bottom w:val="single" w:sz="4" w:space="0" w:color="auto"/>
            </w:tcBorders>
          </w:tcPr>
          <w:p w:rsidR="00C13A41">
            <w:r w:rsidR="006A5F80">
              <w:t>§</w:t>
            </w:r>
            <w:r w:rsidR="005E4679">
              <w:t>2</w:t>
            </w:r>
          </w:p>
          <w:p w:rsidR="005E4679" w:rsidRPr="00DD6E7C">
            <w:r>
              <w:t>Pu</w:t>
            </w:r>
          </w:p>
        </w:tc>
        <w:tc>
          <w:tcPr>
            <w:tcW w:w="4111" w:type="dxa"/>
            <w:tcBorders>
              <w:top w:val="single" w:sz="4" w:space="0" w:color="auto"/>
              <w:bottom w:val="single" w:sz="4" w:space="0" w:color="auto"/>
            </w:tcBorders>
          </w:tcPr>
          <w:p w:rsidR="00014806" w:rsidRPr="00D25DA2" w:rsidP="00014806">
            <w:pPr>
              <w:rPr>
                <w:b/>
              </w:rPr>
            </w:pPr>
            <w:r w:rsidRPr="00D25DA2">
              <w:rPr>
                <w:b/>
              </w:rPr>
              <w:t>§ 2</w:t>
            </w:r>
          </w:p>
          <w:p w:rsidR="00014806" w:rsidRPr="00D25DA2" w:rsidP="00014806">
            <w:pPr>
              <w:rPr>
                <w:b/>
              </w:rPr>
            </w:pPr>
            <w:r w:rsidRPr="00D25DA2">
              <w:rPr>
                <w:b/>
              </w:rPr>
              <w:t>Vymedzenie základných pojmov</w:t>
            </w:r>
          </w:p>
          <w:p w:rsidR="00C13A41" w:rsidRPr="005E4679" w:rsidP="00FC7871">
            <w:pPr>
              <w:pStyle w:val="BodyText20"/>
              <w:tabs>
                <w:tab w:val="left" w:pos="284"/>
              </w:tabs>
              <w:jc w:val="both"/>
              <w:rPr>
                <w:b w:val="0"/>
                <w:sz w:val="20"/>
              </w:rPr>
            </w:pPr>
            <w:r w:rsidR="005E4679">
              <w:rPr>
                <w:b w:val="0"/>
                <w:sz w:val="20"/>
              </w:rPr>
              <w:t xml:space="preserve">u) </w:t>
            </w:r>
            <w:r w:rsidRPr="006A5F80" w:rsidR="006A5F80">
              <w:rPr>
                <w:b w:val="0"/>
                <w:sz w:val="20"/>
              </w:rPr>
              <w:t>účinnosťou zachytávania benzínových pár množstvo benzínových pár zachytených systémom II. stupňa rekuperácie benzínových pár v porovnaní s množstvom benzínových pár, ktoré by sa inak uvoľnili do ovzdušia pri neexistencii takého systému, ktorá je vyjadrená v percentách</w:t>
            </w:r>
            <w:r w:rsidRPr="005E4679" w:rsidR="005E4679">
              <w:rPr>
                <w:b w:val="0"/>
                <w:sz w:val="20"/>
              </w:rPr>
              <w:t>,</w:t>
            </w:r>
          </w:p>
        </w:tc>
        <w:tc>
          <w:tcPr>
            <w:tcW w:w="709" w:type="dxa"/>
            <w:tcBorders>
              <w:top w:val="single" w:sz="4" w:space="0" w:color="auto"/>
              <w:bottom w:val="single" w:sz="4" w:space="0" w:color="auto"/>
            </w:tcBorders>
          </w:tcPr>
          <w:p w:rsidR="00C13A41" w:rsidRPr="00DD6E7C">
            <w:pPr>
              <w:jc w:val="center"/>
            </w:pPr>
            <w:r w:rsidR="005E4679">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164"/>
        </w:trPr>
        <w:tc>
          <w:tcPr>
            <w:tcW w:w="779" w:type="dxa"/>
            <w:tcBorders>
              <w:top w:val="single" w:sz="4" w:space="0" w:color="auto"/>
              <w:bottom w:val="single" w:sz="4" w:space="0" w:color="auto"/>
            </w:tcBorders>
          </w:tcPr>
          <w:p w:rsidR="006A5F80" w:rsidRPr="00DD6E7C" w:rsidP="006A5F80">
            <w:r>
              <w:t>Č</w:t>
            </w:r>
            <w:r w:rsidRPr="00DD6E7C">
              <w:t>2</w:t>
            </w:r>
          </w:p>
          <w:p w:rsidR="006A5F80" w:rsidP="006A5F80">
            <w:r>
              <w:t>O8</w:t>
            </w:r>
          </w:p>
          <w:p w:rsidR="00C13A41" w:rsidRPr="00DD6E7C"/>
        </w:tc>
        <w:tc>
          <w:tcPr>
            <w:tcW w:w="3827" w:type="dxa"/>
            <w:tcBorders>
              <w:top w:val="single" w:sz="4" w:space="0" w:color="auto"/>
              <w:bottom w:val="single" w:sz="4" w:space="0" w:color="auto"/>
            </w:tcBorders>
          </w:tcPr>
          <w:p w:rsidR="00C13A41" w:rsidRPr="0004654A" w:rsidP="006A5F80">
            <w:pPr>
              <w:tabs>
                <w:tab w:val="left" w:pos="540"/>
              </w:tabs>
              <w:jc w:val="both"/>
            </w:pPr>
            <w:r w:rsidRPr="00116126" w:rsidR="0004654A">
              <w:t>8. "pomer pary/benzín" znamená pomer medzi objemom benzínových pár pri atmosférickom tlaku, ktoré prechádzajú cez systém II. stupňa rekuperácie benzínových pár, a objemom dávkovaného benzínu;</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F20563">
              <w:t>NV</w:t>
            </w:r>
          </w:p>
        </w:tc>
        <w:tc>
          <w:tcPr>
            <w:tcW w:w="850" w:type="dxa"/>
            <w:tcBorders>
              <w:top w:val="single" w:sz="4" w:space="0" w:color="auto"/>
              <w:bottom w:val="single" w:sz="4" w:space="0" w:color="auto"/>
            </w:tcBorders>
          </w:tcPr>
          <w:p w:rsidR="00C13A41" w:rsidP="005E4679">
            <w:r w:rsidR="006A5F80">
              <w:t>§</w:t>
            </w:r>
            <w:r w:rsidR="005E4679">
              <w:t>2</w:t>
            </w:r>
          </w:p>
          <w:p w:rsidR="005E4679" w:rsidRPr="005E4679" w:rsidP="005E4679">
            <w:r>
              <w:t>Pv</w:t>
            </w:r>
          </w:p>
        </w:tc>
        <w:tc>
          <w:tcPr>
            <w:tcW w:w="4111" w:type="dxa"/>
            <w:tcBorders>
              <w:top w:val="single" w:sz="4" w:space="0" w:color="auto"/>
              <w:bottom w:val="single" w:sz="4" w:space="0" w:color="auto"/>
            </w:tcBorders>
          </w:tcPr>
          <w:p w:rsidR="00014806" w:rsidRPr="00D25DA2" w:rsidP="00014806">
            <w:pPr>
              <w:rPr>
                <w:b/>
              </w:rPr>
            </w:pPr>
            <w:r w:rsidRPr="00D25DA2">
              <w:rPr>
                <w:b/>
              </w:rPr>
              <w:t>§ 2</w:t>
            </w:r>
          </w:p>
          <w:p w:rsidR="00014806" w:rsidRPr="00D25DA2" w:rsidP="00014806">
            <w:pPr>
              <w:rPr>
                <w:b/>
              </w:rPr>
            </w:pPr>
            <w:r w:rsidRPr="00D25DA2">
              <w:rPr>
                <w:b/>
              </w:rPr>
              <w:t>Vymedzenie základných pojmov</w:t>
            </w:r>
          </w:p>
          <w:p w:rsidR="00C13A41" w:rsidRPr="005E4679" w:rsidP="005E4679">
            <w:pPr>
              <w:pStyle w:val="BodyText"/>
              <w:tabs>
                <w:tab w:val="left" w:pos="284"/>
              </w:tabs>
              <w:spacing w:before="0" w:after="0"/>
              <w:rPr>
                <w:sz w:val="20"/>
              </w:rPr>
            </w:pPr>
            <w:r w:rsidRPr="005E4679" w:rsidR="005E4679">
              <w:rPr>
                <w:sz w:val="20"/>
              </w:rPr>
              <w:t xml:space="preserve">v) </w:t>
            </w:r>
            <w:r w:rsidRPr="006A5F80" w:rsidR="006A5F80">
              <w:rPr>
                <w:sz w:val="20"/>
              </w:rPr>
              <w:t>pomerom pár a benzínu pomer medzi objemom benzínových pár pri atmosférickom tlaku, ktoré prechádzajú cez systém II. stupňa rekuperácie benzínových pár a objemom dávkovaného benzínu</w:t>
            </w:r>
            <w:r w:rsidR="006A5F80">
              <w:rPr>
                <w:sz w:val="20"/>
              </w:rPr>
              <w:t>,</w:t>
            </w:r>
          </w:p>
        </w:tc>
        <w:tc>
          <w:tcPr>
            <w:tcW w:w="709" w:type="dxa"/>
            <w:tcBorders>
              <w:top w:val="single" w:sz="4" w:space="0" w:color="auto"/>
              <w:bottom w:val="single" w:sz="4" w:space="0" w:color="auto"/>
            </w:tcBorders>
          </w:tcPr>
          <w:p w:rsidR="00C13A41" w:rsidRPr="00DD6E7C">
            <w:pPr>
              <w:jc w:val="center"/>
            </w:pPr>
            <w:r w:rsidR="005E4679">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881"/>
        </w:trPr>
        <w:tc>
          <w:tcPr>
            <w:tcW w:w="779" w:type="dxa"/>
            <w:tcBorders>
              <w:top w:val="single" w:sz="4" w:space="0" w:color="auto"/>
              <w:bottom w:val="single" w:sz="4" w:space="0" w:color="auto"/>
            </w:tcBorders>
          </w:tcPr>
          <w:p w:rsidR="006A5F80" w:rsidRPr="00DD6E7C" w:rsidP="006A5F80">
            <w:r>
              <w:t>Č</w:t>
            </w:r>
            <w:r w:rsidRPr="00DD6E7C">
              <w:t>2</w:t>
            </w:r>
          </w:p>
          <w:p w:rsidR="006A5F80" w:rsidP="006A5F80">
            <w:r>
              <w:t>O9</w:t>
            </w:r>
          </w:p>
          <w:p w:rsidR="00C13A41" w:rsidRPr="00DD6E7C"/>
        </w:tc>
        <w:tc>
          <w:tcPr>
            <w:tcW w:w="3827" w:type="dxa"/>
            <w:tcBorders>
              <w:top w:val="single" w:sz="4" w:space="0" w:color="auto"/>
              <w:bottom w:val="single" w:sz="4" w:space="0" w:color="auto"/>
            </w:tcBorders>
          </w:tcPr>
          <w:p w:rsidR="00C13A41" w:rsidRPr="00DD6E7C" w:rsidP="006A5F80">
            <w:pPr>
              <w:spacing w:line="240" w:lineRule="atLeast"/>
              <w:jc w:val="both"/>
              <w:rPr>
                <w:snapToGrid w:val="0"/>
              </w:rPr>
            </w:pPr>
            <w:r w:rsidRPr="00116126" w:rsidR="0004654A">
              <w:t>9. "naložené množstvo" znamená celkové ročné množstvo benzínu stočeného z mobilných zásobníkov na čerpacej stanici.</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F20563">
              <w:t>NV</w:t>
            </w:r>
          </w:p>
        </w:tc>
        <w:tc>
          <w:tcPr>
            <w:tcW w:w="850" w:type="dxa"/>
            <w:tcBorders>
              <w:top w:val="single" w:sz="4" w:space="0" w:color="auto"/>
              <w:bottom w:val="single" w:sz="4" w:space="0" w:color="auto"/>
            </w:tcBorders>
          </w:tcPr>
          <w:p w:rsidR="005E4679" w:rsidP="005E4679">
            <w:r w:rsidR="006A5F80">
              <w:t>§</w:t>
            </w:r>
            <w:r>
              <w:t>2</w:t>
            </w:r>
          </w:p>
          <w:p w:rsidR="00C13A41" w:rsidP="005E4679">
            <w:r w:rsidR="005E4679">
              <w:t xml:space="preserve">Pn </w:t>
            </w:r>
          </w:p>
          <w:p w:rsidR="005E4679" w:rsidRPr="005E4679" w:rsidP="005E4679"/>
        </w:tc>
        <w:tc>
          <w:tcPr>
            <w:tcW w:w="4111" w:type="dxa"/>
            <w:tcBorders>
              <w:top w:val="single" w:sz="4" w:space="0" w:color="auto"/>
              <w:bottom w:val="single" w:sz="4" w:space="0" w:color="auto"/>
            </w:tcBorders>
          </w:tcPr>
          <w:p w:rsidR="00014806" w:rsidRPr="00D25DA2" w:rsidP="00014806">
            <w:pPr>
              <w:rPr>
                <w:b/>
              </w:rPr>
            </w:pPr>
            <w:r w:rsidRPr="00D25DA2">
              <w:rPr>
                <w:b/>
              </w:rPr>
              <w:t>§ 2</w:t>
            </w:r>
          </w:p>
          <w:p w:rsidR="00014806" w:rsidRPr="00D25DA2" w:rsidP="00014806">
            <w:pPr>
              <w:rPr>
                <w:b/>
              </w:rPr>
            </w:pPr>
            <w:r w:rsidRPr="00D25DA2">
              <w:rPr>
                <w:b/>
              </w:rPr>
              <w:t>Vymedzenie základných pojmov</w:t>
            </w:r>
          </w:p>
          <w:p w:rsidR="00C13A41" w:rsidRPr="006A5F80" w:rsidP="005E4679">
            <w:pPr>
              <w:pStyle w:val="BodyText30"/>
              <w:tabs>
                <w:tab w:val="left" w:pos="284"/>
              </w:tabs>
              <w:rPr>
                <w:color w:val="auto"/>
                <w:sz w:val="20"/>
              </w:rPr>
            </w:pPr>
            <w:r w:rsidRPr="006A5F80" w:rsidR="008E129C">
              <w:rPr>
                <w:color w:val="auto"/>
                <w:sz w:val="20"/>
              </w:rPr>
              <w:t xml:space="preserve">n) </w:t>
            </w:r>
            <w:r w:rsidRPr="006A5F80" w:rsidR="006A5F80">
              <w:rPr>
                <w:color w:val="auto"/>
                <w:sz w:val="20"/>
              </w:rPr>
              <w:t>obratom na čerpacej stanici celkové ročné množstvo benzínu, ktoré sa prečerpalo z mobilných zásobníkov na čerpacej stanici</w:t>
            </w:r>
            <w:r w:rsidRPr="006A5F80" w:rsidR="005E4679">
              <w:rPr>
                <w:color w:val="auto"/>
                <w:sz w:val="20"/>
              </w:rPr>
              <w:t>,</w:t>
            </w:r>
          </w:p>
        </w:tc>
        <w:tc>
          <w:tcPr>
            <w:tcW w:w="709" w:type="dxa"/>
            <w:tcBorders>
              <w:top w:val="single" w:sz="4" w:space="0" w:color="auto"/>
              <w:bottom w:val="single" w:sz="4" w:space="0" w:color="auto"/>
            </w:tcBorders>
          </w:tcPr>
          <w:p w:rsidR="00C13A41" w:rsidRPr="00DD6E7C">
            <w:pPr>
              <w:jc w:val="center"/>
            </w:pPr>
            <w:r w:rsidR="005E4679">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447"/>
        </w:trPr>
        <w:tc>
          <w:tcPr>
            <w:tcW w:w="779" w:type="dxa"/>
            <w:tcBorders>
              <w:top w:val="single" w:sz="4" w:space="0" w:color="auto"/>
              <w:bottom w:val="single" w:sz="4" w:space="0" w:color="auto"/>
            </w:tcBorders>
          </w:tcPr>
          <w:p w:rsidR="0016519E">
            <w:r w:rsidR="005C348B">
              <w:t>Č</w:t>
            </w:r>
            <w:r w:rsidR="0004654A">
              <w:t>3</w:t>
            </w:r>
          </w:p>
          <w:p w:rsidR="005C348B">
            <w:r>
              <w:t>O1</w:t>
            </w:r>
          </w:p>
          <w:p w:rsidR="005C348B">
            <w:r>
              <w:t>Pa</w:t>
            </w:r>
          </w:p>
          <w:p w:rsidR="0016519E" w:rsidP="0016519E">
            <w:pPr>
              <w:ind w:left="360"/>
            </w:pPr>
          </w:p>
          <w:p w:rsidR="0016519E" w:rsidP="0016519E"/>
          <w:p w:rsidR="0016519E" w:rsidRPr="00DD6E7C" w:rsidP="0016519E"/>
        </w:tc>
        <w:tc>
          <w:tcPr>
            <w:tcW w:w="3827" w:type="dxa"/>
            <w:tcBorders>
              <w:top w:val="single" w:sz="4" w:space="0" w:color="auto"/>
              <w:bottom w:val="single" w:sz="4" w:space="0" w:color="auto"/>
            </w:tcBorders>
          </w:tcPr>
          <w:p w:rsidR="005C348B" w:rsidP="005C348B">
            <w:pPr>
              <w:tabs>
                <w:tab w:val="left" w:pos="540"/>
              </w:tabs>
              <w:jc w:val="both"/>
            </w:pPr>
            <w:r>
              <w:t>Článok 3</w:t>
            </w:r>
          </w:p>
          <w:p w:rsidR="0004654A" w:rsidRPr="00116126" w:rsidP="005C348B">
            <w:pPr>
              <w:tabs>
                <w:tab w:val="left" w:pos="540"/>
              </w:tabs>
              <w:jc w:val="both"/>
            </w:pPr>
            <w:r w:rsidRPr="00116126">
              <w:t>Čerpacie stanice</w:t>
            </w:r>
          </w:p>
          <w:p w:rsidR="0004654A" w:rsidRPr="00116126" w:rsidP="005C348B">
            <w:pPr>
              <w:tabs>
                <w:tab w:val="left" w:pos="540"/>
              </w:tabs>
              <w:jc w:val="both"/>
            </w:pPr>
            <w:r w:rsidRPr="00116126">
              <w:t>1. Členské štáty zabezpečia, aby každá nová čerpacia stanica bola vybavená systémom II. stupňa rekuperácie benzínových pár, ak:</w:t>
            </w:r>
          </w:p>
          <w:p w:rsidR="00C13A41" w:rsidRPr="0004654A" w:rsidP="005C348B">
            <w:pPr>
              <w:tabs>
                <w:tab w:val="left" w:pos="540"/>
              </w:tabs>
              <w:jc w:val="both"/>
            </w:pPr>
            <w:r w:rsidRPr="00116126" w:rsidR="0004654A">
              <w:t xml:space="preserve">a) jej skutočné alebo plánované naložené množstvo je väčšie ako </w:t>
            </w:r>
            <w:smartTag w:uri="urn:schemas-microsoft-com:office:smarttags" w:element="metricconverter">
              <w:smartTagPr>
                <w:attr w:name="ProductID" w:val="500 m3"/>
              </w:smartTagPr>
              <w:r w:rsidRPr="00116126" w:rsidR="0004654A">
                <w:t>500 m</w:t>
              </w:r>
              <w:r w:rsidRPr="005C348B" w:rsidR="0004654A">
                <w:rPr>
                  <w:vertAlign w:val="superscript"/>
                </w:rPr>
                <w:t>3</w:t>
              </w:r>
            </w:smartTag>
            <w:r w:rsidRPr="00116126" w:rsidR="0004654A">
              <w:t xml:space="preserve"> ročne alebo</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F20563">
              <w:t>NV</w:t>
            </w:r>
          </w:p>
        </w:tc>
        <w:tc>
          <w:tcPr>
            <w:tcW w:w="850" w:type="dxa"/>
            <w:tcBorders>
              <w:top w:val="single" w:sz="4" w:space="0" w:color="auto"/>
              <w:bottom w:val="single" w:sz="4" w:space="0" w:color="auto"/>
            </w:tcBorders>
          </w:tcPr>
          <w:p w:rsidR="00C13A41">
            <w:r w:rsidR="005C348B">
              <w:t>§</w:t>
            </w:r>
            <w:r w:rsidR="008E129C">
              <w:t>7</w:t>
            </w:r>
          </w:p>
          <w:p w:rsidR="008E129C">
            <w:r>
              <w:t>O1</w:t>
            </w:r>
          </w:p>
          <w:p w:rsidR="008E129C" w:rsidRPr="008E129C">
            <w:r>
              <w:t>Pa</w:t>
            </w:r>
          </w:p>
        </w:tc>
        <w:tc>
          <w:tcPr>
            <w:tcW w:w="4111" w:type="dxa"/>
            <w:tcBorders>
              <w:top w:val="single" w:sz="4" w:space="0" w:color="auto"/>
              <w:bottom w:val="single" w:sz="4" w:space="0" w:color="auto"/>
            </w:tcBorders>
          </w:tcPr>
          <w:p w:rsidR="00014806" w:rsidRPr="00D25DA2" w:rsidP="00F50837">
            <w:pPr>
              <w:jc w:val="both"/>
              <w:rPr>
                <w:b/>
              </w:rPr>
            </w:pPr>
            <w:r w:rsidRPr="00D25DA2">
              <w:rPr>
                <w:b/>
              </w:rPr>
              <w:t>§ 7</w:t>
            </w:r>
          </w:p>
          <w:p w:rsidR="00014806" w:rsidRPr="00D25DA2" w:rsidP="00F50837">
            <w:pPr>
              <w:jc w:val="both"/>
              <w:rPr>
                <w:b/>
              </w:rPr>
            </w:pPr>
            <w:r w:rsidRPr="00D25DA2">
              <w:rPr>
                <w:b/>
              </w:rPr>
              <w:t>Čerpacie stanice</w:t>
            </w:r>
          </w:p>
          <w:p w:rsidR="008E129C" w:rsidRPr="008E129C" w:rsidP="008E129C">
            <w:pPr>
              <w:pStyle w:val="Import2"/>
              <w:numPr>
                <w:ilvl w:val="0"/>
                <w:numId w:val="34"/>
              </w:numPr>
              <w:tabs>
                <w:tab w:val="clear" w:pos="1584"/>
              </w:tabs>
              <w:overflowPunct/>
              <w:autoSpaceDE/>
              <w:autoSpaceDN/>
              <w:adjustRightInd/>
              <w:spacing w:line="240" w:lineRule="auto"/>
              <w:jc w:val="both"/>
              <w:textAlignment w:val="auto"/>
              <w:rPr>
                <w:rFonts w:ascii="Times New Roman" w:hAnsi="Times New Roman"/>
                <w:sz w:val="20"/>
                <w:lang w:val="sk-SK"/>
              </w:rPr>
            </w:pPr>
            <w:r w:rsidRPr="008E129C">
              <w:rPr>
                <w:rFonts w:ascii="Times New Roman" w:hAnsi="Times New Roman"/>
                <w:sz w:val="20"/>
                <w:lang w:val="sk-SK"/>
              </w:rPr>
              <w:t xml:space="preserve">Nová čerpacia stanica musí byť vybavená a prevádzkovaná so systémom II. stupňa rekuperácie benzínových pár, ak jej skutočný obrat alebo plánovaný obrat je väčší ako </w:t>
            </w:r>
          </w:p>
          <w:p w:rsidR="00C13A41" w:rsidRPr="008E129C" w:rsidP="008E129C">
            <w:pPr>
              <w:pStyle w:val="Import2"/>
              <w:numPr>
                <w:ilvl w:val="1"/>
                <w:numId w:val="34"/>
              </w:numPr>
              <w:tabs>
                <w:tab w:val="clear" w:pos="1584"/>
              </w:tabs>
              <w:overflowPunct/>
              <w:autoSpaceDE/>
              <w:autoSpaceDN/>
              <w:adjustRightInd/>
              <w:spacing w:line="240" w:lineRule="auto"/>
              <w:jc w:val="both"/>
              <w:textAlignment w:val="auto"/>
              <w:rPr>
                <w:rFonts w:ascii="Times New Roman" w:hAnsi="Times New Roman"/>
                <w:sz w:val="20"/>
                <w:lang w:val="sk-SK"/>
              </w:rPr>
            </w:pPr>
            <w:r w:rsidRPr="005C348B" w:rsidR="005C348B">
              <w:rPr>
                <w:rFonts w:ascii="Times New Roman" w:hAnsi="Times New Roman"/>
                <w:sz w:val="20"/>
                <w:lang w:val="sk-SK"/>
              </w:rPr>
              <w:t>500 m</w:t>
            </w:r>
            <w:r w:rsidRPr="005C348B" w:rsidR="005C348B">
              <w:rPr>
                <w:rFonts w:ascii="Times New Roman" w:hAnsi="Times New Roman"/>
                <w:sz w:val="20"/>
                <w:vertAlign w:val="superscript"/>
                <w:lang w:val="sk-SK"/>
              </w:rPr>
              <w:t>3</w:t>
            </w:r>
            <w:r w:rsidRPr="005C348B" w:rsidR="005C348B">
              <w:rPr>
                <w:rFonts w:ascii="Times New Roman" w:hAnsi="Times New Roman"/>
                <w:sz w:val="20"/>
                <w:lang w:val="sk-SK"/>
              </w:rPr>
              <w:t>/rok</w:t>
            </w:r>
            <w:r w:rsidRPr="008E129C" w:rsidR="008E129C">
              <w:rPr>
                <w:rFonts w:ascii="Times New Roman" w:hAnsi="Times New Roman"/>
                <w:sz w:val="20"/>
                <w:lang w:val="sk-SK"/>
              </w:rPr>
              <w:t>,</w:t>
            </w:r>
          </w:p>
        </w:tc>
        <w:tc>
          <w:tcPr>
            <w:tcW w:w="709" w:type="dxa"/>
            <w:tcBorders>
              <w:top w:val="single" w:sz="4" w:space="0" w:color="auto"/>
              <w:bottom w:val="single" w:sz="4" w:space="0" w:color="auto"/>
            </w:tcBorders>
          </w:tcPr>
          <w:p w:rsidR="00C13A41" w:rsidRPr="00DD6E7C">
            <w:pPr>
              <w:jc w:val="center"/>
            </w:pPr>
            <w:r w:rsidR="008E129C">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128"/>
        </w:trPr>
        <w:tc>
          <w:tcPr>
            <w:tcW w:w="779" w:type="dxa"/>
            <w:tcBorders>
              <w:top w:val="single" w:sz="4" w:space="0" w:color="auto"/>
              <w:bottom w:val="single" w:sz="4" w:space="0" w:color="auto"/>
            </w:tcBorders>
          </w:tcPr>
          <w:p w:rsidR="005C348B" w:rsidP="005C348B">
            <w:r>
              <w:t>Č3</w:t>
            </w:r>
          </w:p>
          <w:p w:rsidR="005C348B" w:rsidP="005C348B">
            <w:r>
              <w:t>O1</w:t>
            </w:r>
          </w:p>
          <w:p w:rsidR="005C348B" w:rsidP="005C348B">
            <w:r>
              <w:t>Pb</w:t>
            </w:r>
          </w:p>
          <w:p w:rsidR="0016519E" w:rsidRPr="00DD6E7C"/>
        </w:tc>
        <w:tc>
          <w:tcPr>
            <w:tcW w:w="3827" w:type="dxa"/>
            <w:tcBorders>
              <w:top w:val="single" w:sz="4" w:space="0" w:color="auto"/>
              <w:bottom w:val="single" w:sz="4" w:space="0" w:color="auto"/>
            </w:tcBorders>
          </w:tcPr>
          <w:p w:rsidR="00C13A41" w:rsidRPr="0016519E" w:rsidP="005C348B">
            <w:pPr>
              <w:tabs>
                <w:tab w:val="left" w:pos="540"/>
              </w:tabs>
              <w:spacing w:before="75" w:after="75"/>
              <w:ind w:right="225"/>
              <w:jc w:val="both"/>
            </w:pPr>
            <w:r w:rsidRPr="00DD6E7C">
              <w:rPr>
                <w:snapToGrid w:val="0"/>
              </w:rPr>
              <w:t>(</w:t>
            </w:r>
            <w:r w:rsidRPr="00116126" w:rsidR="0016519E">
              <w:t xml:space="preserve">b) jej skutočné alebo plánované naložené </w:t>
            </w:r>
            <w:r w:rsidR="005C348B">
              <w:t>m</w:t>
            </w:r>
            <w:r w:rsidRPr="00116126" w:rsidR="0016519E">
              <w:t xml:space="preserve">nožstvo je väčšie ako </w:t>
            </w:r>
            <w:smartTag w:uri="urn:schemas-microsoft-com:office:smarttags" w:element="metricconverter">
              <w:smartTagPr>
                <w:attr w:name="ProductID" w:val="100 m3"/>
              </w:smartTagPr>
              <w:r w:rsidRPr="00116126" w:rsidR="0016519E">
                <w:t>100 m</w:t>
              </w:r>
              <w:r w:rsidRPr="005C348B" w:rsidR="0016519E">
                <w:rPr>
                  <w:vertAlign w:val="superscript"/>
                </w:rPr>
                <w:t>3</w:t>
              </w:r>
            </w:smartTag>
            <w:r w:rsidRPr="00116126" w:rsidR="0016519E">
              <w:t xml:space="preserve"> ročne a nachádza sa na </w:t>
            </w:r>
            <w:r w:rsidRPr="00116126" w:rsidR="0016519E">
              <w:t>územiach s bytovou zástavbou alebo v priemyselných areáloch.</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1404E3">
            <w:r w:rsidR="00F20563">
              <w:t>NV</w:t>
            </w:r>
          </w:p>
        </w:tc>
        <w:tc>
          <w:tcPr>
            <w:tcW w:w="850" w:type="dxa"/>
            <w:tcBorders>
              <w:top w:val="single" w:sz="4" w:space="0" w:color="auto"/>
              <w:bottom w:val="single" w:sz="4" w:space="0" w:color="auto"/>
            </w:tcBorders>
          </w:tcPr>
          <w:p w:rsidR="00C13A41">
            <w:r w:rsidR="005C348B">
              <w:t>§</w:t>
            </w:r>
            <w:r w:rsidR="008E129C">
              <w:t>7</w:t>
            </w:r>
          </w:p>
          <w:p w:rsidR="008E129C">
            <w:r>
              <w:t>O1</w:t>
            </w:r>
          </w:p>
          <w:p w:rsidR="008E129C" w:rsidRPr="00DD6E7C">
            <w:r>
              <w:t>Pb</w:t>
            </w:r>
          </w:p>
        </w:tc>
        <w:tc>
          <w:tcPr>
            <w:tcW w:w="4111" w:type="dxa"/>
            <w:tcBorders>
              <w:top w:val="single" w:sz="4" w:space="0" w:color="auto"/>
              <w:bottom w:val="single" w:sz="4" w:space="0" w:color="auto"/>
            </w:tcBorders>
          </w:tcPr>
          <w:p w:rsidR="00F50837" w:rsidRPr="00D25DA2" w:rsidP="00F50837">
            <w:pPr>
              <w:jc w:val="both"/>
              <w:rPr>
                <w:b/>
              </w:rPr>
            </w:pPr>
            <w:r w:rsidRPr="00D25DA2">
              <w:rPr>
                <w:b/>
              </w:rPr>
              <w:t>§ 7</w:t>
            </w:r>
          </w:p>
          <w:p w:rsidR="00F50837" w:rsidRPr="00D25DA2" w:rsidP="00F50837">
            <w:pPr>
              <w:jc w:val="both"/>
              <w:rPr>
                <w:b/>
              </w:rPr>
            </w:pPr>
            <w:r w:rsidRPr="00D25DA2">
              <w:rPr>
                <w:b/>
              </w:rPr>
              <w:t>Čerpacie stanice</w:t>
            </w:r>
          </w:p>
          <w:p w:rsidR="00C13A41" w:rsidRPr="007A778E" w:rsidP="00F50837">
            <w:pPr>
              <w:spacing w:line="240" w:lineRule="atLeast"/>
              <w:ind w:left="-44"/>
              <w:jc w:val="both"/>
            </w:pPr>
            <w:r w:rsidRPr="007A778E" w:rsidR="008E129C">
              <w:t>(1) Nová čerpacia stanica musí byť vybavená a prevádzkovaná so systémom II. stupňa rekuperácie benzínových pár, ak jej skutočný obrat alebo plánovaný obrat je väčší ako</w:t>
            </w:r>
          </w:p>
          <w:p w:rsidR="005C348B" w:rsidP="005C348B">
            <w:pPr>
              <w:pStyle w:val="Import2"/>
              <w:numPr>
                <w:ilvl w:val="1"/>
                <w:numId w:val="34"/>
              </w:numPr>
              <w:tabs>
                <w:tab w:val="clear" w:pos="1584"/>
              </w:tabs>
              <w:overflowPunct/>
              <w:autoSpaceDE/>
              <w:autoSpaceDN/>
              <w:adjustRightInd/>
              <w:spacing w:line="240" w:lineRule="auto"/>
              <w:jc w:val="both"/>
              <w:textAlignment w:val="auto"/>
              <w:rPr>
                <w:rFonts w:ascii="Times New Roman" w:hAnsi="Times New Roman"/>
                <w:sz w:val="20"/>
                <w:lang w:val="sk-SK"/>
              </w:rPr>
            </w:pPr>
            <w:r w:rsidRPr="005C348B">
              <w:rPr>
                <w:rFonts w:ascii="Times New Roman" w:hAnsi="Times New Roman"/>
                <w:sz w:val="20"/>
                <w:lang w:val="sk-SK"/>
              </w:rPr>
              <w:t>100 m</w:t>
            </w:r>
            <w:r w:rsidRPr="005C348B">
              <w:rPr>
                <w:rFonts w:ascii="Times New Roman" w:hAnsi="Times New Roman"/>
                <w:sz w:val="20"/>
                <w:vertAlign w:val="superscript"/>
                <w:lang w:val="sk-SK"/>
              </w:rPr>
              <w:t>3</w:t>
            </w:r>
            <w:r w:rsidRPr="005C348B">
              <w:rPr>
                <w:rFonts w:ascii="Times New Roman" w:hAnsi="Times New Roman"/>
                <w:sz w:val="20"/>
                <w:lang w:val="sk-SK"/>
              </w:rPr>
              <w:t>/rok, ak je alebo bude</w:t>
            </w:r>
            <w:r>
              <w:rPr>
                <w:rFonts w:ascii="Times New Roman" w:hAnsi="Times New Roman"/>
                <w:sz w:val="20"/>
                <w:lang w:val="sk-SK"/>
              </w:rPr>
              <w:t xml:space="preserve"> umiestnená na</w:t>
            </w:r>
          </w:p>
          <w:p w:rsidR="008E129C" w:rsidRPr="005C348B" w:rsidP="005C348B">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r w:rsidRPr="005C348B" w:rsidR="005C348B">
              <w:rPr>
                <w:rFonts w:ascii="Times New Roman" w:hAnsi="Times New Roman"/>
                <w:sz w:val="20"/>
                <w:lang w:val="sk-SK"/>
              </w:rPr>
              <w:t>území s bytovou zástavbou alebo na území</w:t>
            </w:r>
            <w:r w:rsidR="005C348B">
              <w:rPr>
                <w:rFonts w:ascii="Times New Roman" w:hAnsi="Times New Roman"/>
                <w:sz w:val="20"/>
                <w:lang w:val="sk-SK"/>
              </w:rPr>
              <w:t xml:space="preserve"> </w:t>
            </w:r>
            <w:r w:rsidRPr="005C348B" w:rsidR="005C348B">
              <w:rPr>
                <w:rFonts w:ascii="Times New Roman" w:hAnsi="Times New Roman"/>
                <w:sz w:val="20"/>
                <w:lang w:val="sk-SK"/>
              </w:rPr>
              <w:t>priemyselného areálu</w:t>
            </w:r>
            <w:r w:rsidRPr="005C348B">
              <w:rPr>
                <w:rFonts w:ascii="Times New Roman" w:hAnsi="Times New Roman"/>
                <w:sz w:val="20"/>
                <w:lang w:val="sk-SK"/>
              </w:rPr>
              <w:t>.</w:t>
            </w:r>
          </w:p>
        </w:tc>
        <w:tc>
          <w:tcPr>
            <w:tcW w:w="709" w:type="dxa"/>
            <w:tcBorders>
              <w:top w:val="single" w:sz="4" w:space="0" w:color="auto"/>
              <w:bottom w:val="single" w:sz="4" w:space="0" w:color="auto"/>
            </w:tcBorders>
          </w:tcPr>
          <w:p w:rsidR="00C13A41" w:rsidRPr="00DD6E7C">
            <w:pPr>
              <w:jc w:val="center"/>
            </w:pPr>
            <w:r w:rsidR="008E129C">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477"/>
        </w:trPr>
        <w:tc>
          <w:tcPr>
            <w:tcW w:w="779" w:type="dxa"/>
            <w:tcBorders>
              <w:top w:val="single" w:sz="4" w:space="0" w:color="auto"/>
              <w:bottom w:val="single" w:sz="4" w:space="0" w:color="auto"/>
            </w:tcBorders>
          </w:tcPr>
          <w:p w:rsidR="00C13A41" w:rsidRPr="00D527A3">
            <w:r w:rsidRPr="00D527A3" w:rsidR="005C348B">
              <w:t>Č3</w:t>
            </w:r>
          </w:p>
          <w:p w:rsidR="005C348B" w:rsidRPr="00D527A3">
            <w:r w:rsidRPr="00D527A3">
              <w:t>O2</w:t>
            </w:r>
          </w:p>
          <w:p w:rsidR="005C348B" w:rsidRPr="00D527A3">
            <w:r w:rsidRPr="00D527A3">
              <w:t>Pa</w:t>
            </w:r>
          </w:p>
          <w:p w:rsidR="0016519E" w:rsidRPr="00D527A3"/>
          <w:p w:rsidR="0016519E" w:rsidRPr="00D527A3"/>
          <w:p w:rsidR="0016519E" w:rsidRPr="00D527A3"/>
          <w:p w:rsidR="0016519E" w:rsidRPr="00D527A3"/>
          <w:p w:rsidR="0016519E" w:rsidRPr="00D527A3"/>
        </w:tc>
        <w:tc>
          <w:tcPr>
            <w:tcW w:w="3827" w:type="dxa"/>
            <w:tcBorders>
              <w:top w:val="single" w:sz="4" w:space="0" w:color="auto"/>
              <w:bottom w:val="single" w:sz="4" w:space="0" w:color="auto"/>
            </w:tcBorders>
          </w:tcPr>
          <w:p w:rsidR="0016519E" w:rsidRPr="00D527A3" w:rsidP="007C023F">
            <w:pPr>
              <w:tabs>
                <w:tab w:val="left" w:pos="540"/>
              </w:tabs>
              <w:jc w:val="both"/>
            </w:pPr>
            <w:r w:rsidRPr="00D527A3">
              <w:t>2. Členské štáty zabezpečia, aby každá existujúca čerpacia stanica, ktorá prechádza zásadnou rekonštrukciou, bola počas rekonštrukcie vybavená systémom II. stupňa rekuperácie benzínových pár, ak:</w:t>
            </w:r>
          </w:p>
          <w:p w:rsidR="00C13A41" w:rsidRPr="00D527A3" w:rsidP="007C023F">
            <w:pPr>
              <w:tabs>
                <w:tab w:val="left" w:pos="540"/>
              </w:tabs>
              <w:jc w:val="both"/>
            </w:pPr>
            <w:r w:rsidRPr="00D527A3" w:rsidR="0016519E">
              <w:t xml:space="preserve">a) jej skutočné alebo plánované naložené množstvo je väčšie ako </w:t>
            </w:r>
            <w:smartTag w:uri="urn:schemas-microsoft-com:office:smarttags" w:element="metricconverter">
              <w:smartTagPr>
                <w:attr w:name="ProductID" w:val="500 m3"/>
              </w:smartTagPr>
              <w:r w:rsidRPr="00D527A3" w:rsidR="0016519E">
                <w:t>500 m</w:t>
              </w:r>
              <w:r w:rsidRPr="00D527A3" w:rsidR="0016519E">
                <w:rPr>
                  <w:vertAlign w:val="superscript"/>
                </w:rPr>
                <w:t>3</w:t>
              </w:r>
            </w:smartTag>
            <w:r w:rsidRPr="00D527A3" w:rsidR="0016519E">
              <w:t xml:space="preserve"> ročne alebo</w:t>
            </w:r>
          </w:p>
        </w:tc>
        <w:tc>
          <w:tcPr>
            <w:tcW w:w="851" w:type="dxa"/>
            <w:tcBorders>
              <w:top w:val="single" w:sz="4" w:space="0" w:color="auto"/>
              <w:bottom w:val="single" w:sz="4" w:space="0" w:color="auto"/>
            </w:tcBorders>
          </w:tcPr>
          <w:p w:rsidR="00C13A41" w:rsidRPr="00D527A3">
            <w:pPr>
              <w:jc w:val="center"/>
            </w:pPr>
            <w:r w:rsidRPr="00D527A3">
              <w:t>N</w:t>
            </w:r>
          </w:p>
        </w:tc>
        <w:tc>
          <w:tcPr>
            <w:tcW w:w="709" w:type="dxa"/>
            <w:tcBorders>
              <w:top w:val="single" w:sz="4" w:space="0" w:color="auto"/>
              <w:bottom w:val="single" w:sz="4" w:space="0" w:color="auto"/>
            </w:tcBorders>
          </w:tcPr>
          <w:p w:rsidR="00C13A41" w:rsidRPr="00D527A3">
            <w:r w:rsidRPr="00D527A3" w:rsidR="00F20563">
              <w:t>NV</w:t>
            </w:r>
          </w:p>
        </w:tc>
        <w:tc>
          <w:tcPr>
            <w:tcW w:w="850" w:type="dxa"/>
            <w:tcBorders>
              <w:top w:val="single" w:sz="4" w:space="0" w:color="auto"/>
              <w:bottom w:val="single" w:sz="4" w:space="0" w:color="auto"/>
            </w:tcBorders>
          </w:tcPr>
          <w:p w:rsidR="00C13A41" w:rsidRPr="00D527A3">
            <w:r w:rsidRPr="00D527A3" w:rsidR="007C023F">
              <w:t>§</w:t>
            </w:r>
            <w:r w:rsidRPr="00D527A3" w:rsidR="008E129C">
              <w:t>7</w:t>
            </w:r>
          </w:p>
          <w:p w:rsidR="008E129C" w:rsidRPr="00D527A3">
            <w:r w:rsidRPr="00D527A3">
              <w:t>O2</w:t>
            </w:r>
          </w:p>
          <w:p w:rsidR="008E129C" w:rsidRPr="00D527A3">
            <w:r w:rsidRPr="00D527A3">
              <w:t>Pa</w:t>
            </w:r>
          </w:p>
          <w:p w:rsidR="007A778E" w:rsidRPr="00D527A3"/>
          <w:p w:rsidR="007A778E" w:rsidRPr="00D527A3"/>
          <w:p w:rsidR="007A778E" w:rsidRPr="00D527A3"/>
          <w:p w:rsidR="00044119" w:rsidRPr="00D527A3"/>
          <w:p w:rsidR="00044119" w:rsidRPr="00D527A3"/>
          <w:p w:rsidR="007A778E" w:rsidRPr="00D527A3"/>
          <w:p w:rsidR="007A778E" w:rsidRPr="00D527A3">
            <w:r w:rsidRPr="00D527A3" w:rsidR="007C023F">
              <w:t>§</w:t>
            </w:r>
            <w:r w:rsidRPr="00D527A3">
              <w:t xml:space="preserve">7 </w:t>
            </w:r>
          </w:p>
          <w:p w:rsidR="007A778E" w:rsidRPr="00D527A3">
            <w:r w:rsidRPr="00D527A3">
              <w:t>O3</w:t>
            </w:r>
          </w:p>
        </w:tc>
        <w:tc>
          <w:tcPr>
            <w:tcW w:w="4111" w:type="dxa"/>
            <w:tcBorders>
              <w:top w:val="single" w:sz="4" w:space="0" w:color="auto"/>
              <w:bottom w:val="single" w:sz="4" w:space="0" w:color="auto"/>
            </w:tcBorders>
          </w:tcPr>
          <w:p w:rsidR="00F50837" w:rsidRPr="00D527A3" w:rsidP="00F50837">
            <w:pPr>
              <w:jc w:val="both"/>
              <w:rPr>
                <w:b/>
              </w:rPr>
            </w:pPr>
            <w:r w:rsidRPr="00D527A3">
              <w:rPr>
                <w:b/>
              </w:rPr>
              <w:t>§ 7</w:t>
            </w:r>
          </w:p>
          <w:p w:rsidR="00F50837" w:rsidRPr="00D527A3" w:rsidP="00F50837">
            <w:pPr>
              <w:jc w:val="both"/>
              <w:rPr>
                <w:b/>
              </w:rPr>
            </w:pPr>
            <w:r w:rsidRPr="00D527A3">
              <w:rPr>
                <w:b/>
              </w:rPr>
              <w:t>Čerpacie stanice</w:t>
            </w:r>
          </w:p>
          <w:p w:rsidR="008E129C" w:rsidRPr="00D527A3" w:rsidP="00F50837">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r w:rsidRPr="00D527A3" w:rsidR="007A778E">
              <w:rPr>
                <w:rFonts w:ascii="Times New Roman" w:hAnsi="Times New Roman"/>
                <w:sz w:val="20"/>
                <w:lang w:val="sk-SK"/>
              </w:rPr>
              <w:t xml:space="preserve">(2) </w:t>
            </w:r>
            <w:r w:rsidRPr="00D527A3" w:rsidR="007C023F">
              <w:rPr>
                <w:rFonts w:ascii="Times New Roman" w:hAnsi="Times New Roman"/>
                <w:sz w:val="20"/>
                <w:lang w:val="sk-SK"/>
              </w:rPr>
              <w:t>Jestvujúca čerpacia stanica musí byť vybavená a prevádzkovaná so systémom II. stupňa rekuperácie benzínových pár, ak jej skutočný obrat alebo plánovaný obrat je väčší ako</w:t>
            </w:r>
          </w:p>
          <w:p w:rsidR="00C13A41" w:rsidRPr="00D527A3" w:rsidP="007A778E">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r w:rsidRPr="00D527A3" w:rsidR="007A778E">
              <w:rPr>
                <w:rFonts w:ascii="Times New Roman" w:hAnsi="Times New Roman"/>
                <w:sz w:val="20"/>
                <w:lang w:val="sk-SK"/>
              </w:rPr>
              <w:t xml:space="preserve">a) </w:t>
            </w:r>
            <w:r w:rsidRPr="00D527A3" w:rsidR="007C023F">
              <w:rPr>
                <w:rFonts w:ascii="Times New Roman" w:hAnsi="Times New Roman"/>
                <w:sz w:val="20"/>
                <w:lang w:val="sk-SK"/>
              </w:rPr>
              <w:t>1 000 m</w:t>
            </w:r>
            <w:r w:rsidRPr="00D527A3" w:rsidR="007C023F">
              <w:rPr>
                <w:rFonts w:ascii="Times New Roman" w:hAnsi="Times New Roman"/>
                <w:sz w:val="20"/>
                <w:vertAlign w:val="superscript"/>
                <w:lang w:val="sk-SK"/>
              </w:rPr>
              <w:t>3</w:t>
            </w:r>
            <w:r w:rsidRPr="00D527A3" w:rsidR="007C023F">
              <w:rPr>
                <w:rFonts w:ascii="Times New Roman" w:hAnsi="Times New Roman"/>
                <w:sz w:val="20"/>
                <w:lang w:val="sk-SK"/>
              </w:rPr>
              <w:t>/rok</w:t>
            </w:r>
            <w:r w:rsidRPr="00D527A3" w:rsidR="008E129C">
              <w:rPr>
                <w:rFonts w:ascii="Times New Roman" w:hAnsi="Times New Roman"/>
                <w:sz w:val="20"/>
                <w:lang w:val="sk-SK"/>
              </w:rPr>
              <w:t>,</w:t>
            </w:r>
          </w:p>
          <w:p w:rsidR="007A778E" w:rsidRPr="00D527A3" w:rsidP="007A778E">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p>
          <w:p w:rsidR="007A778E" w:rsidRPr="00D527A3" w:rsidP="007C023F">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r w:rsidRPr="00D527A3">
              <w:rPr>
                <w:rFonts w:ascii="Times New Roman" w:hAnsi="Times New Roman"/>
                <w:sz w:val="20"/>
                <w:lang w:val="sk-SK"/>
              </w:rPr>
              <w:t>(3)</w:t>
            </w:r>
            <w:r w:rsidRPr="00D527A3" w:rsidR="007C023F">
              <w:t xml:space="preserve"> </w:t>
            </w:r>
            <w:r w:rsidRPr="00D527A3" w:rsidR="007C023F">
              <w:rPr>
                <w:rFonts w:ascii="Times New Roman" w:hAnsi="Times New Roman"/>
                <w:sz w:val="20"/>
                <w:lang w:val="sk-SK"/>
              </w:rPr>
              <w:t>Jestvujúca čerpacia stanica so skutočným obratom alebo plánovaným obratom väčším ako 500 m</w:t>
            </w:r>
            <w:r w:rsidRPr="00D527A3" w:rsidR="007C023F">
              <w:rPr>
                <w:rFonts w:ascii="Times New Roman" w:hAnsi="Times New Roman"/>
                <w:sz w:val="20"/>
                <w:vertAlign w:val="superscript"/>
                <w:lang w:val="sk-SK"/>
              </w:rPr>
              <w:t>3</w:t>
            </w:r>
            <w:r w:rsidRPr="00D527A3" w:rsidR="007C023F">
              <w:rPr>
                <w:rFonts w:ascii="Times New Roman" w:hAnsi="Times New Roman"/>
                <w:sz w:val="20"/>
                <w:lang w:val="sk-SK"/>
              </w:rPr>
              <w:t>/rok, ktorá nie je umiestnená na území s bytovou zástavbou alebo na území priemyselného areálu, musí byť počas výmeny výdajných stojanov vybavená a následne prevádzkovaná so systémom II. stupňa rekuperácie benzínových pár</w:t>
            </w:r>
            <w:r w:rsidRPr="00D527A3">
              <w:rPr>
                <w:rFonts w:ascii="Times New Roman" w:hAnsi="Times New Roman"/>
                <w:sz w:val="20"/>
                <w:lang w:val="sk-SK"/>
              </w:rPr>
              <w:t>.</w:t>
            </w:r>
          </w:p>
        </w:tc>
        <w:tc>
          <w:tcPr>
            <w:tcW w:w="709" w:type="dxa"/>
            <w:tcBorders>
              <w:top w:val="single" w:sz="4" w:space="0" w:color="auto"/>
              <w:bottom w:val="single" w:sz="4" w:space="0" w:color="auto"/>
            </w:tcBorders>
          </w:tcPr>
          <w:p w:rsidR="00C13A41" w:rsidRPr="00D527A3">
            <w:pPr>
              <w:jc w:val="center"/>
            </w:pPr>
            <w:r w:rsidRPr="00D527A3" w:rsidR="00525871">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054"/>
        </w:trPr>
        <w:tc>
          <w:tcPr>
            <w:tcW w:w="779" w:type="dxa"/>
            <w:tcBorders>
              <w:top w:val="single" w:sz="4" w:space="0" w:color="auto"/>
              <w:bottom w:val="single" w:sz="4" w:space="0" w:color="auto"/>
            </w:tcBorders>
          </w:tcPr>
          <w:p w:rsidR="005C348B" w:rsidRPr="00D527A3" w:rsidP="005C348B">
            <w:r w:rsidRPr="00D527A3">
              <w:t>Č3</w:t>
            </w:r>
          </w:p>
          <w:p w:rsidR="005C348B" w:rsidRPr="00D527A3" w:rsidP="005C348B">
            <w:r w:rsidRPr="00D527A3">
              <w:t>O2</w:t>
            </w:r>
          </w:p>
          <w:p w:rsidR="005C348B" w:rsidRPr="00D527A3" w:rsidP="005C348B">
            <w:r w:rsidRPr="00D527A3">
              <w:t>Pb</w:t>
            </w:r>
          </w:p>
          <w:p w:rsidR="0016519E" w:rsidRPr="00D527A3"/>
        </w:tc>
        <w:tc>
          <w:tcPr>
            <w:tcW w:w="3827" w:type="dxa"/>
            <w:tcBorders>
              <w:top w:val="single" w:sz="4" w:space="0" w:color="auto"/>
              <w:bottom w:val="single" w:sz="4" w:space="0" w:color="auto"/>
            </w:tcBorders>
          </w:tcPr>
          <w:p w:rsidR="00C13A41" w:rsidRPr="00D527A3" w:rsidP="007C023F">
            <w:pPr>
              <w:tabs>
                <w:tab w:val="left" w:pos="540"/>
              </w:tabs>
              <w:jc w:val="both"/>
            </w:pPr>
            <w:r w:rsidRPr="00D527A3" w:rsidR="0016519E">
              <w:t xml:space="preserve">b) jej skutočné alebo plánované naložené množstvo je väčšie ako </w:t>
            </w:r>
            <w:smartTag w:uri="urn:schemas-microsoft-com:office:smarttags" w:element="metricconverter">
              <w:smartTagPr>
                <w:attr w:name="ProductID" w:val="100 m3"/>
              </w:smartTagPr>
              <w:r w:rsidRPr="00D527A3" w:rsidR="0016519E">
                <w:t>100 m</w:t>
              </w:r>
              <w:r w:rsidRPr="00D527A3" w:rsidR="0016519E">
                <w:rPr>
                  <w:vertAlign w:val="superscript"/>
                </w:rPr>
                <w:t>3</w:t>
              </w:r>
            </w:smartTag>
            <w:r w:rsidRPr="00D527A3" w:rsidR="0016519E">
              <w:t xml:space="preserve"> ročne a nachádza sa na územiach s bytovou zástavbou alebo v priemyselných areáloch.</w:t>
            </w:r>
          </w:p>
        </w:tc>
        <w:tc>
          <w:tcPr>
            <w:tcW w:w="851" w:type="dxa"/>
            <w:tcBorders>
              <w:top w:val="single" w:sz="4" w:space="0" w:color="auto"/>
              <w:bottom w:val="single" w:sz="4" w:space="0" w:color="auto"/>
            </w:tcBorders>
          </w:tcPr>
          <w:p w:rsidR="00C13A41" w:rsidRPr="00D527A3">
            <w:pPr>
              <w:jc w:val="center"/>
            </w:pPr>
            <w:r w:rsidRPr="00D527A3">
              <w:t>N</w:t>
            </w:r>
          </w:p>
        </w:tc>
        <w:tc>
          <w:tcPr>
            <w:tcW w:w="709" w:type="dxa"/>
            <w:tcBorders>
              <w:top w:val="single" w:sz="4" w:space="0" w:color="auto"/>
              <w:bottom w:val="single" w:sz="4" w:space="0" w:color="auto"/>
            </w:tcBorders>
          </w:tcPr>
          <w:p w:rsidR="00C13A41" w:rsidRPr="00D527A3">
            <w:r w:rsidRPr="00D527A3" w:rsidR="00F20563">
              <w:t>NV</w:t>
            </w:r>
          </w:p>
        </w:tc>
        <w:tc>
          <w:tcPr>
            <w:tcW w:w="850" w:type="dxa"/>
            <w:tcBorders>
              <w:top w:val="single" w:sz="4" w:space="0" w:color="auto"/>
              <w:bottom w:val="single" w:sz="4" w:space="0" w:color="auto"/>
            </w:tcBorders>
          </w:tcPr>
          <w:p w:rsidR="007C023F" w:rsidRPr="00D527A3" w:rsidP="007C023F">
            <w:r w:rsidRPr="00D527A3">
              <w:t>§7</w:t>
            </w:r>
          </w:p>
          <w:p w:rsidR="007C023F" w:rsidRPr="00D527A3" w:rsidP="007C023F">
            <w:r w:rsidRPr="00D527A3">
              <w:t>O2</w:t>
            </w:r>
          </w:p>
          <w:p w:rsidR="007C023F" w:rsidRPr="00D527A3" w:rsidP="007C023F">
            <w:r w:rsidRPr="00D527A3">
              <w:t>Pb</w:t>
            </w:r>
          </w:p>
          <w:p w:rsidR="00C13A41" w:rsidRPr="00D527A3"/>
        </w:tc>
        <w:tc>
          <w:tcPr>
            <w:tcW w:w="4111" w:type="dxa"/>
            <w:tcBorders>
              <w:top w:val="single" w:sz="4" w:space="0" w:color="auto"/>
              <w:bottom w:val="single" w:sz="4" w:space="0" w:color="auto"/>
            </w:tcBorders>
          </w:tcPr>
          <w:p w:rsidR="00F50837" w:rsidRPr="00D527A3" w:rsidP="00F50837">
            <w:pPr>
              <w:jc w:val="both"/>
              <w:rPr>
                <w:b/>
              </w:rPr>
            </w:pPr>
            <w:r w:rsidRPr="00D527A3">
              <w:rPr>
                <w:b/>
              </w:rPr>
              <w:t>§ 7</w:t>
            </w:r>
          </w:p>
          <w:p w:rsidR="00F50837" w:rsidRPr="00D527A3" w:rsidP="00F50837">
            <w:pPr>
              <w:jc w:val="both"/>
              <w:rPr>
                <w:b/>
              </w:rPr>
            </w:pPr>
            <w:r w:rsidRPr="00D527A3">
              <w:rPr>
                <w:b/>
              </w:rPr>
              <w:t>Čerpacie stanice</w:t>
            </w:r>
          </w:p>
          <w:p w:rsidR="008E129C" w:rsidRPr="00D527A3" w:rsidP="00F50837">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r w:rsidRPr="00D527A3" w:rsidR="007A778E">
              <w:rPr>
                <w:rFonts w:ascii="Times New Roman" w:hAnsi="Times New Roman"/>
                <w:sz w:val="20"/>
                <w:lang w:val="sk-SK"/>
              </w:rPr>
              <w:t xml:space="preserve">(2) </w:t>
            </w:r>
            <w:r w:rsidRPr="00D527A3">
              <w:rPr>
                <w:rFonts w:ascii="Times New Roman" w:hAnsi="Times New Roman"/>
                <w:sz w:val="20"/>
                <w:lang w:val="sk-SK"/>
              </w:rPr>
              <w:t xml:space="preserve">Jestvujúca čerpacia stanica musí byť vybavená a prevádzkovaná so systémom II. stupňa rekuperácie benzínových pár, ak jej skutočný obrat alebo plánovaný obrat je väčší ako </w:t>
            </w:r>
          </w:p>
          <w:p w:rsidR="00C13A41" w:rsidRPr="00D527A3" w:rsidP="007A778E">
            <w:pPr>
              <w:pStyle w:val="Import2"/>
              <w:tabs>
                <w:tab w:val="clear" w:pos="1584"/>
              </w:tabs>
              <w:overflowPunct/>
              <w:autoSpaceDE/>
              <w:autoSpaceDN/>
              <w:adjustRightInd/>
              <w:spacing w:line="240" w:lineRule="auto"/>
              <w:jc w:val="both"/>
              <w:textAlignment w:val="auto"/>
              <w:rPr>
                <w:rFonts w:ascii="Times New Roman" w:hAnsi="Times New Roman"/>
                <w:lang w:val="sk-SK"/>
              </w:rPr>
            </w:pPr>
            <w:r w:rsidRPr="00D527A3" w:rsidR="007A778E">
              <w:rPr>
                <w:rFonts w:ascii="Times New Roman" w:hAnsi="Times New Roman"/>
                <w:sz w:val="20"/>
                <w:lang w:val="sk-SK"/>
              </w:rPr>
              <w:t xml:space="preserve">b) </w:t>
            </w:r>
            <w:r w:rsidRPr="00D527A3" w:rsidR="007C023F">
              <w:rPr>
                <w:rFonts w:ascii="Times New Roman" w:hAnsi="Times New Roman"/>
                <w:sz w:val="20"/>
                <w:lang w:val="sk-SK"/>
              </w:rPr>
              <w:t>100 m</w:t>
            </w:r>
            <w:r w:rsidRPr="00D527A3" w:rsidR="007C023F">
              <w:rPr>
                <w:rFonts w:ascii="Times New Roman" w:hAnsi="Times New Roman"/>
                <w:sz w:val="20"/>
                <w:vertAlign w:val="superscript"/>
                <w:lang w:val="sk-SK"/>
              </w:rPr>
              <w:t>3</w:t>
            </w:r>
            <w:r w:rsidRPr="00D527A3" w:rsidR="007C023F">
              <w:rPr>
                <w:rFonts w:ascii="Times New Roman" w:hAnsi="Times New Roman"/>
                <w:sz w:val="20"/>
                <w:lang w:val="sk-SK"/>
              </w:rPr>
              <w:t>/rok, ak je umiestnená na území s bytovou zástavbou alebo na území priemyselného areálu</w:t>
            </w:r>
            <w:r w:rsidRPr="00D527A3" w:rsidR="008E129C">
              <w:rPr>
                <w:rFonts w:ascii="Times New Roman" w:hAnsi="Times New Roman"/>
                <w:sz w:val="20"/>
                <w:lang w:val="sk-SK"/>
              </w:rPr>
              <w:t>.</w:t>
            </w:r>
          </w:p>
        </w:tc>
        <w:tc>
          <w:tcPr>
            <w:tcW w:w="709" w:type="dxa"/>
            <w:tcBorders>
              <w:top w:val="single" w:sz="4" w:space="0" w:color="auto"/>
              <w:bottom w:val="single" w:sz="4" w:space="0" w:color="auto"/>
            </w:tcBorders>
          </w:tcPr>
          <w:p w:rsidR="00C13A41" w:rsidRPr="00D527A3">
            <w:pPr>
              <w:jc w:val="center"/>
            </w:pPr>
            <w:r w:rsidRPr="00D527A3" w:rsidR="00525871">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320"/>
        </w:trPr>
        <w:tc>
          <w:tcPr>
            <w:tcW w:w="779" w:type="dxa"/>
            <w:tcBorders>
              <w:top w:val="single" w:sz="4" w:space="0" w:color="auto"/>
              <w:bottom w:val="single" w:sz="4" w:space="0" w:color="auto"/>
            </w:tcBorders>
          </w:tcPr>
          <w:p w:rsidR="00AC44C6" w:rsidRPr="00D527A3" w:rsidP="00AC44C6">
            <w:r w:rsidRPr="00D527A3">
              <w:t>Č3</w:t>
            </w:r>
          </w:p>
          <w:p w:rsidR="00AC44C6" w:rsidRPr="00D527A3" w:rsidP="00AC44C6">
            <w:r w:rsidRPr="00D527A3">
              <w:t>O3</w:t>
            </w:r>
          </w:p>
        </w:tc>
        <w:tc>
          <w:tcPr>
            <w:tcW w:w="3827" w:type="dxa"/>
            <w:tcBorders>
              <w:top w:val="single" w:sz="4" w:space="0" w:color="auto"/>
              <w:bottom w:val="single" w:sz="4" w:space="0" w:color="auto"/>
            </w:tcBorders>
          </w:tcPr>
          <w:p w:rsidR="00AC44C6" w:rsidRPr="00D527A3" w:rsidP="00AC44C6">
            <w:pPr>
              <w:tabs>
                <w:tab w:val="left" w:pos="540"/>
              </w:tabs>
              <w:jc w:val="both"/>
            </w:pPr>
            <w:r w:rsidRPr="00D527A3">
              <w:t xml:space="preserve">3. Členské štáty zabezpečia, aby každá existujúca čerpacia stanica s naloženým množstvom väčším ako </w:t>
            </w:r>
            <w:smartTag w:uri="urn:schemas-microsoft-com:office:smarttags" w:element="metricconverter">
              <w:smartTagPr>
                <w:attr w:name="ProductID" w:val="3000 m3"/>
              </w:smartTagPr>
              <w:r w:rsidRPr="00D527A3">
                <w:t>3000 m</w:t>
              </w:r>
              <w:r w:rsidRPr="00D527A3">
                <w:rPr>
                  <w:vertAlign w:val="superscript"/>
                </w:rPr>
                <w:t>3</w:t>
              </w:r>
            </w:smartTag>
            <w:r w:rsidRPr="00D527A3">
              <w:t xml:space="preserve"> ročne bola vybavená systémom II. stupňa rekuperácie benzínových pár najneskôr do 31. decembra 2018.</w:t>
            </w:r>
          </w:p>
        </w:tc>
        <w:tc>
          <w:tcPr>
            <w:tcW w:w="851" w:type="dxa"/>
            <w:tcBorders>
              <w:top w:val="single" w:sz="4" w:space="0" w:color="auto"/>
              <w:bottom w:val="single" w:sz="4" w:space="0" w:color="auto"/>
            </w:tcBorders>
          </w:tcPr>
          <w:p w:rsidR="00AC44C6" w:rsidRPr="00D527A3" w:rsidP="00AC44C6">
            <w:pPr>
              <w:jc w:val="center"/>
            </w:pPr>
            <w:r w:rsidRPr="00D527A3" w:rsidR="00D527A3">
              <w:t>N</w:t>
            </w:r>
          </w:p>
        </w:tc>
        <w:tc>
          <w:tcPr>
            <w:tcW w:w="709" w:type="dxa"/>
            <w:tcBorders>
              <w:top w:val="single" w:sz="4" w:space="0" w:color="auto"/>
              <w:bottom w:val="single" w:sz="4" w:space="0" w:color="auto"/>
            </w:tcBorders>
          </w:tcPr>
          <w:p w:rsidR="00AC44C6" w:rsidRPr="00D527A3" w:rsidP="00AC44C6">
            <w:r w:rsidRPr="00D527A3" w:rsidR="00D527A3">
              <w:t>NV</w:t>
            </w:r>
          </w:p>
        </w:tc>
        <w:tc>
          <w:tcPr>
            <w:tcW w:w="850" w:type="dxa"/>
            <w:tcBorders>
              <w:top w:val="single" w:sz="4" w:space="0" w:color="auto"/>
              <w:bottom w:val="single" w:sz="4" w:space="0" w:color="auto"/>
            </w:tcBorders>
          </w:tcPr>
          <w:p w:rsidR="00D527A3" w:rsidRPr="00D527A3" w:rsidP="00D527A3">
            <w:r w:rsidRPr="00D527A3">
              <w:t>§7</w:t>
            </w:r>
          </w:p>
          <w:p w:rsidR="00D527A3" w:rsidRPr="00D527A3" w:rsidP="00D527A3">
            <w:r w:rsidRPr="00D527A3">
              <w:t>O2</w:t>
            </w:r>
          </w:p>
          <w:p w:rsidR="00D527A3" w:rsidRPr="00D527A3" w:rsidP="00D527A3">
            <w:r w:rsidRPr="00D527A3">
              <w:t>Pa</w:t>
            </w:r>
          </w:p>
          <w:p w:rsidR="00AC44C6" w:rsidRPr="00D527A3" w:rsidP="00AC44C6"/>
        </w:tc>
        <w:tc>
          <w:tcPr>
            <w:tcW w:w="4111" w:type="dxa"/>
            <w:tcBorders>
              <w:top w:val="single" w:sz="4" w:space="0" w:color="auto"/>
              <w:bottom w:val="single" w:sz="4" w:space="0" w:color="auto"/>
            </w:tcBorders>
          </w:tcPr>
          <w:p w:rsidR="00D527A3" w:rsidRPr="00D527A3" w:rsidP="00D527A3">
            <w:pPr>
              <w:jc w:val="both"/>
              <w:rPr>
                <w:b/>
              </w:rPr>
            </w:pPr>
            <w:r w:rsidRPr="00D527A3">
              <w:rPr>
                <w:b/>
              </w:rPr>
              <w:t>§ 7</w:t>
            </w:r>
          </w:p>
          <w:p w:rsidR="00D527A3" w:rsidRPr="00D527A3" w:rsidP="00D527A3">
            <w:pPr>
              <w:jc w:val="both"/>
              <w:rPr>
                <w:b/>
              </w:rPr>
            </w:pPr>
            <w:r w:rsidRPr="00D527A3">
              <w:rPr>
                <w:b/>
              </w:rPr>
              <w:t>Čerpacie stanice</w:t>
            </w:r>
          </w:p>
          <w:p w:rsidR="00D527A3" w:rsidRPr="00D527A3" w:rsidP="00D527A3">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r w:rsidRPr="00D527A3">
              <w:rPr>
                <w:rFonts w:ascii="Times New Roman" w:hAnsi="Times New Roman"/>
                <w:sz w:val="20"/>
                <w:lang w:val="sk-SK"/>
              </w:rPr>
              <w:t>(2) Jestvujúca čerpacia stanica musí byť vybavená a prevádzkovaná so systémom II. stupňa rekuperácie benzínových pár, ak jej skutočný obrat alebo plánovaný obrat je väčší ako</w:t>
            </w:r>
          </w:p>
          <w:p w:rsidR="00D527A3" w:rsidRPr="00D527A3" w:rsidP="00D527A3">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r w:rsidRPr="00D527A3">
              <w:rPr>
                <w:rFonts w:ascii="Times New Roman" w:hAnsi="Times New Roman"/>
                <w:sz w:val="20"/>
                <w:lang w:val="sk-SK"/>
              </w:rPr>
              <w:t>a) 1 000 m</w:t>
            </w:r>
            <w:r w:rsidRPr="00D527A3">
              <w:rPr>
                <w:rFonts w:ascii="Times New Roman" w:hAnsi="Times New Roman"/>
                <w:sz w:val="20"/>
                <w:vertAlign w:val="superscript"/>
                <w:lang w:val="sk-SK"/>
              </w:rPr>
              <w:t>3</w:t>
            </w:r>
            <w:r w:rsidRPr="00D527A3">
              <w:rPr>
                <w:rFonts w:ascii="Times New Roman" w:hAnsi="Times New Roman"/>
                <w:sz w:val="20"/>
                <w:lang w:val="sk-SK"/>
              </w:rPr>
              <w:t>/rok,</w:t>
            </w:r>
          </w:p>
          <w:p w:rsidR="00AC44C6" w:rsidRPr="00D527A3" w:rsidP="001C7687">
            <w:pPr>
              <w:tabs>
                <w:tab w:val="left" w:pos="142"/>
                <w:tab w:val="left" w:pos="360"/>
              </w:tabs>
              <w:ind w:left="360" w:hanging="360"/>
              <w:jc w:val="both"/>
            </w:pPr>
          </w:p>
        </w:tc>
        <w:tc>
          <w:tcPr>
            <w:tcW w:w="709" w:type="dxa"/>
            <w:tcBorders>
              <w:top w:val="single" w:sz="4" w:space="0" w:color="auto"/>
              <w:bottom w:val="single" w:sz="4" w:space="0" w:color="auto"/>
            </w:tcBorders>
          </w:tcPr>
          <w:p w:rsidR="00AC44C6" w:rsidRPr="00D527A3" w:rsidP="00AC44C6">
            <w:pPr>
              <w:jc w:val="center"/>
            </w:pPr>
            <w:r w:rsidR="00D527A3">
              <w:t>U</w:t>
            </w:r>
          </w:p>
        </w:tc>
        <w:tc>
          <w:tcPr>
            <w:tcW w:w="2268" w:type="dxa"/>
            <w:tcBorders>
              <w:top w:val="single" w:sz="4" w:space="0" w:color="auto"/>
              <w:bottom w:val="single" w:sz="4" w:space="0" w:color="auto"/>
              <w:right w:val="single" w:sz="4" w:space="0" w:color="auto"/>
            </w:tcBorders>
          </w:tcPr>
          <w:p w:rsidR="00AC44C6" w:rsidRPr="00DD6E7C" w:rsidP="00AC44C6">
            <w:pPr>
              <w:jc w:val="both"/>
            </w:pPr>
          </w:p>
        </w:tc>
      </w:tr>
      <w:tr w:rsidTr="00C516DC">
        <w:tblPrEx>
          <w:tblW w:w="0" w:type="auto"/>
          <w:tblLayout w:type="fixed"/>
          <w:tblCellMar>
            <w:left w:w="70" w:type="dxa"/>
            <w:right w:w="70" w:type="dxa"/>
          </w:tblCellMar>
          <w:tblLook w:val="00A7"/>
        </w:tblPrEx>
        <w:trPr>
          <w:cantSplit/>
          <w:trHeight w:val="1040"/>
        </w:trPr>
        <w:tc>
          <w:tcPr>
            <w:tcW w:w="779" w:type="dxa"/>
            <w:tcBorders>
              <w:top w:val="single" w:sz="4" w:space="0" w:color="auto"/>
              <w:bottom w:val="single" w:sz="4" w:space="0" w:color="auto"/>
            </w:tcBorders>
          </w:tcPr>
          <w:p w:rsidR="00C757DF">
            <w:r>
              <w:t>Č</w:t>
            </w:r>
            <w:r w:rsidR="00CB2919">
              <w:t xml:space="preserve">3 </w:t>
            </w:r>
          </w:p>
          <w:p w:rsidR="00C13A41" w:rsidRPr="00DD6E7C" w:rsidP="00C757DF">
            <w:r w:rsidR="00C757DF">
              <w:t>O</w:t>
            </w:r>
            <w:r w:rsidR="00CB2919">
              <w:t>4</w:t>
            </w:r>
          </w:p>
        </w:tc>
        <w:tc>
          <w:tcPr>
            <w:tcW w:w="3827" w:type="dxa"/>
            <w:tcBorders>
              <w:top w:val="single" w:sz="4" w:space="0" w:color="auto"/>
              <w:bottom w:val="single" w:sz="4" w:space="0" w:color="auto"/>
            </w:tcBorders>
          </w:tcPr>
          <w:p w:rsidR="00C13A41" w:rsidRPr="00CB2919" w:rsidP="008F09A2">
            <w:pPr>
              <w:tabs>
                <w:tab w:val="left" w:pos="540"/>
              </w:tabs>
              <w:jc w:val="both"/>
            </w:pPr>
            <w:r w:rsidRPr="00116126" w:rsidR="00CB2919">
              <w:t xml:space="preserve">4. Odseky 1, </w:t>
            </w:r>
            <w:smartTag w:uri="urn:schemas-microsoft-com:office:smarttags" w:element="metricconverter">
              <w:smartTagPr>
                <w:attr w:name="ProductID" w:val="2 a"/>
              </w:smartTagPr>
              <w:r w:rsidRPr="00116126" w:rsidR="00CB2919">
                <w:t>2 a</w:t>
              </w:r>
            </w:smartTag>
            <w:r w:rsidRPr="00116126" w:rsidR="00CB2919">
              <w:t xml:space="preserve"> 3 sa neuplatňujú na čerpacie stanice využívané výlučne v súvislosti s konštrukciou a dodávaním nových motorových vozidiel.</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F20563">
              <w:t>NV</w:t>
            </w:r>
          </w:p>
        </w:tc>
        <w:tc>
          <w:tcPr>
            <w:tcW w:w="850" w:type="dxa"/>
            <w:tcBorders>
              <w:top w:val="single" w:sz="4" w:space="0" w:color="auto"/>
              <w:bottom w:val="single" w:sz="4" w:space="0" w:color="auto"/>
            </w:tcBorders>
          </w:tcPr>
          <w:p w:rsidR="00C13A41" w:rsidP="00525871">
            <w:r w:rsidR="008F09A2">
              <w:t>§</w:t>
            </w:r>
            <w:r w:rsidR="00525871">
              <w:t>7</w:t>
            </w:r>
          </w:p>
          <w:p w:rsidR="00525871" w:rsidRPr="00525871" w:rsidP="00525871">
            <w:r>
              <w:t>O4</w:t>
            </w:r>
          </w:p>
        </w:tc>
        <w:tc>
          <w:tcPr>
            <w:tcW w:w="4111" w:type="dxa"/>
            <w:tcBorders>
              <w:top w:val="single" w:sz="4" w:space="0" w:color="auto"/>
              <w:bottom w:val="single" w:sz="4" w:space="0" w:color="auto"/>
            </w:tcBorders>
          </w:tcPr>
          <w:p w:rsidR="00F50837" w:rsidRPr="00D25DA2" w:rsidP="00F50837">
            <w:pPr>
              <w:jc w:val="both"/>
              <w:rPr>
                <w:b/>
              </w:rPr>
            </w:pPr>
            <w:r w:rsidRPr="00D25DA2">
              <w:rPr>
                <w:b/>
              </w:rPr>
              <w:t>§ 7</w:t>
            </w:r>
          </w:p>
          <w:p w:rsidR="00F50837" w:rsidRPr="00D25DA2" w:rsidP="00F50837">
            <w:pPr>
              <w:jc w:val="both"/>
              <w:rPr>
                <w:b/>
              </w:rPr>
            </w:pPr>
            <w:r w:rsidRPr="00D25DA2">
              <w:rPr>
                <w:b/>
              </w:rPr>
              <w:t>Čerpacie stanice</w:t>
            </w:r>
          </w:p>
          <w:p w:rsidR="00C13A41" w:rsidRPr="00525871" w:rsidP="00F50837">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r w:rsidRPr="00525871" w:rsidR="00525871">
              <w:rPr>
                <w:rFonts w:ascii="Times New Roman" w:hAnsi="Times New Roman"/>
                <w:sz w:val="20"/>
                <w:lang w:val="sk-SK"/>
              </w:rPr>
              <w:t xml:space="preserve">(4) </w:t>
            </w:r>
            <w:r w:rsidRPr="008F09A2" w:rsidR="008F09A2">
              <w:rPr>
                <w:rFonts w:ascii="Times New Roman" w:hAnsi="Times New Roman"/>
                <w:sz w:val="20"/>
                <w:lang w:val="sk-SK"/>
              </w:rPr>
              <w:t>Ustanovenia odsekov 1 až 3 sa nevzťahujú na čerpacie stanice využívané výlučne na plnenie benzínu do nádrží nových motorových vozidiel, ktoré sú plnené prvýkrát</w:t>
            </w:r>
            <w:r w:rsidRPr="00525871" w:rsidR="00525871">
              <w:rPr>
                <w:rFonts w:ascii="Times New Roman" w:hAnsi="Times New Roman"/>
                <w:sz w:val="20"/>
                <w:lang w:val="sk-SK"/>
              </w:rPr>
              <w:t>.</w:t>
            </w:r>
          </w:p>
        </w:tc>
        <w:tc>
          <w:tcPr>
            <w:tcW w:w="709" w:type="dxa"/>
            <w:tcBorders>
              <w:top w:val="single" w:sz="4" w:space="0" w:color="auto"/>
              <w:bottom w:val="single" w:sz="4" w:space="0" w:color="auto"/>
            </w:tcBorders>
          </w:tcPr>
          <w:p w:rsidR="00C13A41" w:rsidRPr="00DD6E7C">
            <w:pPr>
              <w:jc w:val="center"/>
            </w:pPr>
            <w:r w:rsidR="00525871">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2780"/>
        </w:trPr>
        <w:tc>
          <w:tcPr>
            <w:tcW w:w="779" w:type="dxa"/>
            <w:tcBorders>
              <w:top w:val="single" w:sz="4" w:space="0" w:color="auto"/>
              <w:bottom w:val="single" w:sz="4" w:space="0" w:color="auto"/>
            </w:tcBorders>
          </w:tcPr>
          <w:p w:rsidR="00C13A41" w:rsidRPr="00E81B8B">
            <w:r w:rsidRPr="00E81B8B" w:rsidR="00334358">
              <w:t>Č</w:t>
            </w:r>
            <w:r w:rsidRPr="00E81B8B" w:rsidR="00CB2919">
              <w:t>4</w:t>
            </w:r>
          </w:p>
          <w:p w:rsidR="00334358" w:rsidRPr="00E81B8B">
            <w:r w:rsidRPr="00E81B8B">
              <w:t>O1</w:t>
            </w:r>
          </w:p>
          <w:p w:rsidR="00CB2919" w:rsidRPr="00E81B8B"/>
          <w:p w:rsidR="00CB2919" w:rsidRPr="00E81B8B"/>
          <w:p w:rsidR="00C13A41" w:rsidRPr="00E81B8B"/>
        </w:tc>
        <w:tc>
          <w:tcPr>
            <w:tcW w:w="3827" w:type="dxa"/>
            <w:tcBorders>
              <w:top w:val="single" w:sz="4" w:space="0" w:color="auto"/>
              <w:bottom w:val="single" w:sz="4" w:space="0" w:color="auto"/>
            </w:tcBorders>
          </w:tcPr>
          <w:p w:rsidR="00334358" w:rsidRPr="00E81B8B" w:rsidP="00334358">
            <w:pPr>
              <w:tabs>
                <w:tab w:val="left" w:pos="540"/>
              </w:tabs>
              <w:jc w:val="both"/>
            </w:pPr>
            <w:r w:rsidRPr="00E81B8B">
              <w:t>Článok 4</w:t>
            </w:r>
          </w:p>
          <w:p w:rsidR="00CB2919" w:rsidRPr="00E81B8B" w:rsidP="00334358">
            <w:pPr>
              <w:tabs>
                <w:tab w:val="left" w:pos="540"/>
              </w:tabs>
              <w:jc w:val="both"/>
            </w:pPr>
            <w:r w:rsidRPr="00E81B8B">
              <w:t>Minimálna úroveň rekuperácie</w:t>
            </w:r>
            <w:r w:rsidRPr="00E81B8B" w:rsidR="006C304A">
              <w:t xml:space="preserve"> </w:t>
            </w:r>
            <w:r w:rsidRPr="00E81B8B">
              <w:t>benzíno</w:t>
            </w:r>
            <w:r w:rsidRPr="00E81B8B">
              <w:t>vých pár</w:t>
            </w:r>
          </w:p>
          <w:p w:rsidR="00C13A41" w:rsidRPr="00E81B8B" w:rsidP="00334358">
            <w:pPr>
              <w:tabs>
                <w:tab w:val="left" w:pos="540"/>
              </w:tabs>
              <w:jc w:val="both"/>
            </w:pPr>
            <w:r w:rsidRPr="00E81B8B" w:rsidR="00CB2919">
              <w:t xml:space="preserve">1. </w:t>
            </w:r>
            <w:r w:rsidRPr="00E81B8B" w:rsidR="00334358">
              <w:t>Členské štáty zabezpečia, s účinnosťou od dátumu, od ktorého sa stanú systémy II. stupňa rekuperácie benzínových pár povinnými podľa článku 3, aby účinnosť zachytávania benzínových pár týchto systémov bola rovnaká alebo väčšia ako 85 %, ako potvrdzuje výrobca v súlade s normou EN 16321-1:2013</w:t>
            </w:r>
            <w:r w:rsidRPr="00E81B8B" w:rsidR="00CB2919">
              <w:t>.</w:t>
            </w:r>
          </w:p>
        </w:tc>
        <w:tc>
          <w:tcPr>
            <w:tcW w:w="851" w:type="dxa"/>
            <w:tcBorders>
              <w:top w:val="single" w:sz="4" w:space="0" w:color="auto"/>
              <w:bottom w:val="single" w:sz="4" w:space="0" w:color="auto"/>
            </w:tcBorders>
          </w:tcPr>
          <w:p w:rsidR="00C13A41" w:rsidRPr="00E81B8B">
            <w:pPr>
              <w:jc w:val="center"/>
            </w:pPr>
            <w:r w:rsidRPr="00E81B8B">
              <w:t>N</w:t>
            </w:r>
          </w:p>
        </w:tc>
        <w:tc>
          <w:tcPr>
            <w:tcW w:w="709" w:type="dxa"/>
            <w:tcBorders>
              <w:top w:val="single" w:sz="4" w:space="0" w:color="auto"/>
              <w:bottom w:val="single" w:sz="4" w:space="0" w:color="auto"/>
            </w:tcBorders>
          </w:tcPr>
          <w:p w:rsidR="00C13A41" w:rsidRPr="00E81B8B">
            <w:r w:rsidRPr="00E81B8B" w:rsidR="00F20563">
              <w:t>NV</w:t>
            </w:r>
          </w:p>
        </w:tc>
        <w:tc>
          <w:tcPr>
            <w:tcW w:w="850" w:type="dxa"/>
            <w:tcBorders>
              <w:top w:val="single" w:sz="4" w:space="0" w:color="auto"/>
              <w:bottom w:val="single" w:sz="4" w:space="0" w:color="auto"/>
            </w:tcBorders>
          </w:tcPr>
          <w:p w:rsidR="00C13A41" w:rsidRPr="00E81B8B">
            <w:r w:rsidRPr="00E81B8B" w:rsidR="00334358">
              <w:t>§</w:t>
            </w:r>
            <w:r w:rsidRPr="00E81B8B" w:rsidR="00525871">
              <w:t>7</w:t>
            </w:r>
          </w:p>
          <w:p w:rsidR="00525871" w:rsidRPr="00E81B8B">
            <w:r w:rsidRPr="00E81B8B">
              <w:t>O5</w:t>
            </w:r>
          </w:p>
        </w:tc>
        <w:tc>
          <w:tcPr>
            <w:tcW w:w="4111" w:type="dxa"/>
            <w:tcBorders>
              <w:top w:val="single" w:sz="4" w:space="0" w:color="auto"/>
              <w:bottom w:val="single" w:sz="4" w:space="0" w:color="auto"/>
            </w:tcBorders>
          </w:tcPr>
          <w:p w:rsidR="00F50837" w:rsidRPr="00E81B8B" w:rsidP="00F50837">
            <w:pPr>
              <w:jc w:val="both"/>
              <w:rPr>
                <w:b/>
              </w:rPr>
            </w:pPr>
            <w:r w:rsidRPr="00E81B8B">
              <w:rPr>
                <w:b/>
              </w:rPr>
              <w:t>§ 7</w:t>
            </w:r>
          </w:p>
          <w:p w:rsidR="00F50837" w:rsidRPr="00E81B8B" w:rsidP="00F50837">
            <w:pPr>
              <w:jc w:val="both"/>
              <w:rPr>
                <w:b/>
              </w:rPr>
            </w:pPr>
            <w:r w:rsidRPr="00E81B8B">
              <w:rPr>
                <w:b/>
              </w:rPr>
              <w:t>Čerpacie stanice</w:t>
            </w:r>
          </w:p>
          <w:p w:rsidR="00E17F15" w:rsidRPr="00E81B8B" w:rsidP="00E17F15">
            <w:pPr>
              <w:spacing w:line="240" w:lineRule="atLeast"/>
              <w:ind w:left="-44" w:firstLine="44"/>
              <w:jc w:val="both"/>
            </w:pPr>
            <w:r w:rsidRPr="00E81B8B" w:rsidR="00525871">
              <w:t xml:space="preserve">(5) </w:t>
            </w:r>
            <w:r w:rsidRPr="00E81B8B" w:rsidR="00334358">
              <w:t>Účinnosť zachytávania benzínových pár zachytených systémom II. stupňa rekuperácie benzínových pár sa musí rovnať alebo byť väčšia ako 85 %; účinnosť potvrdzuje výrobca systému podľa technickej normy.</w:t>
            </w:r>
            <w:r w:rsidRPr="00E81B8B">
              <w:rPr>
                <w:vertAlign w:val="superscript"/>
              </w:rPr>
              <w:t>2</w:t>
            </w:r>
            <w:r w:rsidRPr="00E81B8B">
              <w:t>)</w:t>
            </w:r>
          </w:p>
          <w:p w:rsidR="00E17F15" w:rsidRPr="00E81B8B" w:rsidP="00E17F15">
            <w:pPr>
              <w:spacing w:line="240" w:lineRule="atLeast"/>
              <w:ind w:left="-44" w:firstLine="44"/>
              <w:jc w:val="both"/>
            </w:pPr>
          </w:p>
          <w:p w:rsidR="00E17F15" w:rsidRPr="00E81B8B" w:rsidP="00E17F15">
            <w:pPr>
              <w:spacing w:line="240" w:lineRule="atLeast"/>
              <w:ind w:left="-44" w:firstLine="44"/>
              <w:jc w:val="both"/>
            </w:pPr>
            <w:r>
              <w:rPr>
                <w:noProof/>
              </w:rPr>
              <w:pict>
                <v:shapetype id="_x0000_t32" coordsize="21600,21600" o:spt="32" o:oned="t" path="m,l21600,21600e" filled="f">
                  <v:path arrowok="t" fillok="f" o:connecttype="none"/>
                  <o:lock v:ext="edit" shapetype="t"/>
                </v:shapetype>
                <v:shape id="_x0000_s1025" type="#_x0000_t32" style="width:58.2pt;height:0;margin-top:5.4pt;margin-left:0.1pt;position:absolute;z-index:251658240" o:connectortype="straight"/>
              </w:pict>
            </w:r>
          </w:p>
          <w:p w:rsidR="00E17F15" w:rsidRPr="00E81B8B" w:rsidP="00E17F15">
            <w:pPr>
              <w:pStyle w:val="FootnoteText"/>
              <w:jc w:val="both"/>
              <w:rPr>
                <w:sz w:val="18"/>
                <w:szCs w:val="18"/>
              </w:rPr>
            </w:pPr>
            <w:r w:rsidRPr="00E81B8B">
              <w:rPr>
                <w:sz w:val="18"/>
                <w:szCs w:val="18"/>
                <w:vertAlign w:val="superscript"/>
              </w:rPr>
              <w:t>2</w:t>
            </w:r>
            <w:r w:rsidRPr="00E81B8B">
              <w:rPr>
                <w:sz w:val="18"/>
                <w:szCs w:val="18"/>
              </w:rPr>
              <w:t xml:space="preserve">) STN EN 16321-1 Rekuperácia benzínových pár pri čerpaní pohonných látok do motorových vozidiel na čerpacích staniciach. Časť 1: Skúšobné metódy na schválenie typu pri posudzovaní účinnosti systémov rekuperácie benzínových pár (65 6553). </w:t>
            </w:r>
          </w:p>
          <w:p w:rsidR="00E17F15" w:rsidRPr="00E81B8B" w:rsidP="00E17F15">
            <w:pPr>
              <w:spacing w:line="240" w:lineRule="atLeast"/>
              <w:jc w:val="both"/>
            </w:pPr>
          </w:p>
        </w:tc>
        <w:tc>
          <w:tcPr>
            <w:tcW w:w="709" w:type="dxa"/>
            <w:tcBorders>
              <w:top w:val="single" w:sz="4" w:space="0" w:color="auto"/>
              <w:bottom w:val="single" w:sz="4" w:space="0" w:color="auto"/>
            </w:tcBorders>
          </w:tcPr>
          <w:p w:rsidR="00C13A41" w:rsidRPr="00E81B8B">
            <w:pPr>
              <w:jc w:val="center"/>
            </w:pPr>
            <w:r w:rsidRPr="00E81B8B" w:rsidR="00525871">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300"/>
        </w:trPr>
        <w:tc>
          <w:tcPr>
            <w:tcW w:w="779" w:type="dxa"/>
            <w:tcBorders>
              <w:top w:val="single" w:sz="4" w:space="0" w:color="auto"/>
              <w:bottom w:val="single" w:sz="4" w:space="0" w:color="auto"/>
            </w:tcBorders>
          </w:tcPr>
          <w:p w:rsidR="00434F86" w:rsidP="00434F86">
            <w:r>
              <w:t>Č4</w:t>
            </w:r>
          </w:p>
          <w:p w:rsidR="00434F86" w:rsidP="00434F86">
            <w:r>
              <w:t>O2</w:t>
            </w:r>
          </w:p>
          <w:p w:rsidR="00C13A41" w:rsidRPr="00DD6E7C"/>
        </w:tc>
        <w:tc>
          <w:tcPr>
            <w:tcW w:w="3827" w:type="dxa"/>
            <w:tcBorders>
              <w:top w:val="single" w:sz="4" w:space="0" w:color="auto"/>
              <w:bottom w:val="single" w:sz="4" w:space="0" w:color="auto"/>
            </w:tcBorders>
          </w:tcPr>
          <w:p w:rsidR="00C13A41" w:rsidRPr="00DD6E7C" w:rsidP="00434F86">
            <w:pPr>
              <w:tabs>
                <w:tab w:val="left" w:pos="540"/>
              </w:tabs>
              <w:jc w:val="both"/>
            </w:pPr>
            <w:r w:rsidRPr="00116126" w:rsidR="00075FDE">
              <w:t>2. S účinnosťou od dátumu, od ktorého sa podľa článku 3 stanú povinnými systémy II. stupňa rekuperácie benzínových pár, v ktorých sa rekuperované benzínové pary prečerpávajú do skladovacej nádrže na čerpacej stanici, je pomer pary/benzín rovný alebo väčší ako 0,95, ale menší ako alebo rovný 1,05.</w:t>
            </w:r>
          </w:p>
        </w:tc>
        <w:tc>
          <w:tcPr>
            <w:tcW w:w="851" w:type="dxa"/>
            <w:tcBorders>
              <w:top w:val="single" w:sz="4" w:space="0" w:color="auto"/>
              <w:bottom w:val="single" w:sz="4" w:space="0" w:color="auto"/>
            </w:tcBorders>
          </w:tcPr>
          <w:p w:rsidR="00C13A41" w:rsidRPr="00DD6E7C">
            <w:pPr>
              <w:jc w:val="center"/>
            </w:pPr>
            <w:r w:rsidR="00525871">
              <w:t>N</w:t>
            </w:r>
          </w:p>
        </w:tc>
        <w:tc>
          <w:tcPr>
            <w:tcW w:w="709" w:type="dxa"/>
            <w:tcBorders>
              <w:top w:val="single" w:sz="4" w:space="0" w:color="auto"/>
              <w:bottom w:val="single" w:sz="4" w:space="0" w:color="auto"/>
            </w:tcBorders>
          </w:tcPr>
          <w:p w:rsidR="00C13A41" w:rsidRPr="00DD6E7C">
            <w:r w:rsidR="00F20563">
              <w:t>NV</w:t>
            </w:r>
          </w:p>
        </w:tc>
        <w:tc>
          <w:tcPr>
            <w:tcW w:w="850" w:type="dxa"/>
            <w:tcBorders>
              <w:top w:val="single" w:sz="4" w:space="0" w:color="auto"/>
              <w:bottom w:val="single" w:sz="4" w:space="0" w:color="auto"/>
            </w:tcBorders>
          </w:tcPr>
          <w:p w:rsidR="00C13A41">
            <w:r w:rsidR="00434F86">
              <w:t>§</w:t>
            </w:r>
            <w:r w:rsidR="00525871">
              <w:t>7</w:t>
            </w:r>
          </w:p>
          <w:p w:rsidR="00525871" w:rsidRPr="00DD6E7C">
            <w:r>
              <w:t>O6</w:t>
            </w:r>
          </w:p>
        </w:tc>
        <w:tc>
          <w:tcPr>
            <w:tcW w:w="4111" w:type="dxa"/>
            <w:tcBorders>
              <w:top w:val="single" w:sz="4" w:space="0" w:color="auto"/>
              <w:bottom w:val="single" w:sz="4" w:space="0" w:color="auto"/>
            </w:tcBorders>
          </w:tcPr>
          <w:p w:rsidR="00F50837" w:rsidRPr="00D25DA2" w:rsidP="00F50837">
            <w:pPr>
              <w:jc w:val="both"/>
              <w:rPr>
                <w:b/>
              </w:rPr>
            </w:pPr>
            <w:r w:rsidRPr="00D25DA2">
              <w:rPr>
                <w:b/>
              </w:rPr>
              <w:t>§ 7</w:t>
            </w:r>
          </w:p>
          <w:p w:rsidR="00F50837" w:rsidRPr="00D25DA2" w:rsidP="00F50837">
            <w:pPr>
              <w:jc w:val="both"/>
              <w:rPr>
                <w:b/>
              </w:rPr>
            </w:pPr>
            <w:r w:rsidRPr="00D25DA2">
              <w:rPr>
                <w:b/>
              </w:rPr>
              <w:t>Čerpacie stanice</w:t>
            </w:r>
          </w:p>
          <w:p w:rsidR="00C13A41" w:rsidRPr="001F7851" w:rsidP="00F50837">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r w:rsidRPr="001F7851" w:rsidR="00525871">
              <w:rPr>
                <w:rFonts w:ascii="Times New Roman" w:hAnsi="Times New Roman"/>
                <w:sz w:val="20"/>
                <w:lang w:val="sk-SK"/>
              </w:rPr>
              <w:t xml:space="preserve">(6) </w:t>
            </w:r>
            <w:r w:rsidRPr="00434F86" w:rsidR="00434F86">
              <w:rPr>
                <w:rFonts w:ascii="Times New Roman" w:hAnsi="Times New Roman"/>
                <w:sz w:val="20"/>
                <w:lang w:val="sk-SK"/>
              </w:rPr>
              <w:t>Pomer pár a benzínu systému II. stupňa rekuperácie benzínových pár, ktorým sa rekuperované benzínové pary pr</w:t>
            </w:r>
            <w:r w:rsidRPr="00434F86" w:rsidR="00434F86">
              <w:rPr>
                <w:rFonts w:ascii="Times New Roman" w:hAnsi="Times New Roman"/>
                <w:sz w:val="20"/>
                <w:lang w:val="sk-SK"/>
              </w:rPr>
              <w:t>ečerpávajú do skladovacej nádrže na čerpacej stanici, musí byť 0,95 až 1,05</w:t>
            </w:r>
            <w:r w:rsidRPr="001F7851" w:rsidR="00525871">
              <w:rPr>
                <w:rFonts w:ascii="Times New Roman" w:hAnsi="Times New Roman"/>
                <w:sz w:val="20"/>
                <w:lang w:val="sk-SK"/>
              </w:rPr>
              <w:t>.</w:t>
            </w:r>
          </w:p>
        </w:tc>
        <w:tc>
          <w:tcPr>
            <w:tcW w:w="709" w:type="dxa"/>
            <w:tcBorders>
              <w:top w:val="single" w:sz="4" w:space="0" w:color="auto"/>
              <w:bottom w:val="single" w:sz="4" w:space="0" w:color="auto"/>
            </w:tcBorders>
          </w:tcPr>
          <w:p w:rsidR="00C13A41" w:rsidRPr="00DD6E7C">
            <w:pPr>
              <w:jc w:val="center"/>
            </w:pPr>
            <w:r w:rsidR="002E0E35">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486"/>
        </w:trPr>
        <w:tc>
          <w:tcPr>
            <w:tcW w:w="779" w:type="dxa"/>
            <w:tcBorders>
              <w:top w:val="single" w:sz="4" w:space="0" w:color="auto"/>
              <w:bottom w:val="single" w:sz="4" w:space="0" w:color="auto"/>
            </w:tcBorders>
          </w:tcPr>
          <w:p w:rsidR="00C13A41" w:rsidRPr="00E81B8B">
            <w:r w:rsidRPr="00E81B8B" w:rsidR="00434F86">
              <w:t>Č</w:t>
            </w:r>
            <w:r w:rsidRPr="00E81B8B" w:rsidR="00075FDE">
              <w:t>5</w:t>
            </w:r>
          </w:p>
          <w:p w:rsidR="00C13A41" w:rsidRPr="00E81B8B" w:rsidP="00434F86">
            <w:r w:rsidRPr="00E81B8B" w:rsidR="00434F86">
              <w:t>O1</w:t>
            </w:r>
          </w:p>
        </w:tc>
        <w:tc>
          <w:tcPr>
            <w:tcW w:w="3827" w:type="dxa"/>
            <w:tcBorders>
              <w:top w:val="single" w:sz="4" w:space="0" w:color="auto"/>
              <w:bottom w:val="single" w:sz="4" w:space="0" w:color="auto"/>
            </w:tcBorders>
          </w:tcPr>
          <w:p w:rsidR="00434F86" w:rsidRPr="00E81B8B" w:rsidP="00434F86">
            <w:pPr>
              <w:tabs>
                <w:tab w:val="left" w:pos="540"/>
              </w:tabs>
              <w:jc w:val="both"/>
            </w:pPr>
            <w:r w:rsidRPr="00E81B8B">
              <w:t>Článok 5</w:t>
            </w:r>
          </w:p>
          <w:p w:rsidR="00075FDE" w:rsidRPr="00E81B8B" w:rsidP="00434F86">
            <w:pPr>
              <w:tabs>
                <w:tab w:val="left" w:pos="540"/>
              </w:tabs>
              <w:jc w:val="both"/>
            </w:pPr>
            <w:r w:rsidRPr="00E81B8B">
              <w:t>Pravidelné skúšky a informácie pre spotrebiteľov</w:t>
            </w:r>
          </w:p>
          <w:p w:rsidR="00C13A41" w:rsidRPr="00E81B8B" w:rsidP="00434F86">
            <w:pPr>
              <w:tabs>
                <w:tab w:val="left" w:pos="540"/>
              </w:tabs>
              <w:jc w:val="both"/>
            </w:pPr>
            <w:r w:rsidRPr="00E81B8B" w:rsidR="00075FDE">
              <w:t xml:space="preserve">1. </w:t>
            </w:r>
            <w:r w:rsidRPr="00E81B8B" w:rsidR="00434F86">
              <w:t xml:space="preserve">Členské štáty zabezpečia, aby </w:t>
            </w:r>
            <w:r w:rsidRPr="00E81B8B" w:rsidR="00B75EBD">
              <w:t>sa prevádzková účinnosť zachytá</w:t>
            </w:r>
            <w:r w:rsidRPr="00E81B8B" w:rsidR="00434F86">
              <w:t>vania benzínových pár systémov II. stupňa rekuperácie benzínových pár testovala aspoň raz za rok v súlade s normou EN 16321-2:2013</w:t>
            </w:r>
            <w:r w:rsidRPr="00E81B8B" w:rsidR="00075FDE">
              <w:t>.</w:t>
            </w:r>
          </w:p>
        </w:tc>
        <w:tc>
          <w:tcPr>
            <w:tcW w:w="851" w:type="dxa"/>
            <w:tcBorders>
              <w:top w:val="single" w:sz="4" w:space="0" w:color="auto"/>
              <w:bottom w:val="single" w:sz="4" w:space="0" w:color="auto"/>
            </w:tcBorders>
          </w:tcPr>
          <w:p w:rsidR="00C13A41" w:rsidRPr="00E81B8B">
            <w:pPr>
              <w:jc w:val="center"/>
            </w:pPr>
            <w:r w:rsidRPr="00E81B8B" w:rsidR="009B6F89">
              <w:t>N</w:t>
            </w:r>
          </w:p>
        </w:tc>
        <w:tc>
          <w:tcPr>
            <w:tcW w:w="709" w:type="dxa"/>
            <w:tcBorders>
              <w:top w:val="single" w:sz="4" w:space="0" w:color="auto"/>
              <w:bottom w:val="single" w:sz="4" w:space="0" w:color="auto"/>
            </w:tcBorders>
          </w:tcPr>
          <w:p w:rsidR="00C13A41" w:rsidRPr="00E81B8B">
            <w:r w:rsidRPr="00E81B8B" w:rsidR="00F20563">
              <w:t>NV</w:t>
            </w:r>
          </w:p>
        </w:tc>
        <w:tc>
          <w:tcPr>
            <w:tcW w:w="850" w:type="dxa"/>
            <w:tcBorders>
              <w:top w:val="single" w:sz="4" w:space="0" w:color="auto"/>
              <w:bottom w:val="single" w:sz="4" w:space="0" w:color="auto"/>
            </w:tcBorders>
          </w:tcPr>
          <w:p w:rsidR="00C13A41" w:rsidRPr="00E81B8B">
            <w:r w:rsidRPr="00E81B8B" w:rsidR="00434F86">
              <w:t>§</w:t>
            </w:r>
            <w:r w:rsidRPr="00E81B8B" w:rsidR="00525871">
              <w:t>7</w:t>
            </w:r>
          </w:p>
          <w:p w:rsidR="00525871" w:rsidRPr="00E81B8B">
            <w:r w:rsidRPr="00E81B8B">
              <w:t>O7</w:t>
            </w:r>
          </w:p>
        </w:tc>
        <w:tc>
          <w:tcPr>
            <w:tcW w:w="4111" w:type="dxa"/>
            <w:tcBorders>
              <w:top w:val="single" w:sz="4" w:space="0" w:color="auto"/>
              <w:bottom w:val="single" w:sz="4" w:space="0" w:color="auto"/>
            </w:tcBorders>
          </w:tcPr>
          <w:p w:rsidR="00F50837" w:rsidRPr="00E81B8B" w:rsidP="00F50837">
            <w:pPr>
              <w:jc w:val="both"/>
              <w:rPr>
                <w:b/>
              </w:rPr>
            </w:pPr>
            <w:r w:rsidRPr="00E81B8B">
              <w:rPr>
                <w:b/>
              </w:rPr>
              <w:t>§ 7</w:t>
            </w:r>
          </w:p>
          <w:p w:rsidR="00F50837" w:rsidRPr="00E81B8B" w:rsidP="00F50837">
            <w:pPr>
              <w:jc w:val="both"/>
              <w:rPr>
                <w:b/>
              </w:rPr>
            </w:pPr>
            <w:r w:rsidRPr="00E81B8B">
              <w:rPr>
                <w:b/>
              </w:rPr>
              <w:t>Čerpacie stanice</w:t>
            </w:r>
          </w:p>
          <w:p w:rsidR="00C13A41" w:rsidRPr="00E81B8B" w:rsidP="00F50837">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r w:rsidRPr="00E81B8B" w:rsidR="00525871">
              <w:rPr>
                <w:rFonts w:ascii="Times New Roman" w:hAnsi="Times New Roman"/>
                <w:sz w:val="20"/>
                <w:lang w:val="sk-SK"/>
              </w:rPr>
              <w:t xml:space="preserve">(7) </w:t>
            </w:r>
            <w:r w:rsidRPr="00E81B8B" w:rsidR="00434F86">
              <w:rPr>
                <w:rFonts w:ascii="Times New Roman" w:hAnsi="Times New Roman"/>
                <w:sz w:val="20"/>
                <w:lang w:val="sk-SK"/>
              </w:rPr>
              <w:t>Prevádzkovateľ čerpacej stanice najmenej jedenkrát za rok zabezpečí prostredníctvom oprávnenej osoby kontrolu prevádzkovej účinnosti systému II. stupňa rekuperácie benzínových pár podľa technickej normy;</w:t>
            </w:r>
            <w:r w:rsidRPr="00E81B8B" w:rsidR="00265C4A">
              <w:rPr>
                <w:rFonts w:ascii="Times New Roman" w:hAnsi="Times New Roman"/>
                <w:sz w:val="20"/>
                <w:vertAlign w:val="superscript"/>
                <w:lang w:val="sk-SK"/>
              </w:rPr>
              <w:t>3</w:t>
            </w:r>
            <w:r w:rsidRPr="00E81B8B" w:rsidR="00265C4A">
              <w:rPr>
                <w:rFonts w:ascii="Times New Roman" w:hAnsi="Times New Roman"/>
                <w:sz w:val="20"/>
                <w:lang w:val="sk-SK"/>
              </w:rPr>
              <w:t>)</w:t>
            </w:r>
            <w:r w:rsidRPr="00E81B8B" w:rsidR="00434F86">
              <w:rPr>
                <w:rFonts w:ascii="Times New Roman" w:hAnsi="Times New Roman"/>
                <w:sz w:val="20"/>
                <w:lang w:val="sk-SK"/>
              </w:rPr>
              <w:t xml:space="preserve"> prevádzkovú účinnosť systému II. stupňa rekuperácie benzínových pár preukazuje správou o oprávnenom meraní</w:t>
            </w:r>
            <w:r w:rsidRPr="00E81B8B" w:rsidR="00525871">
              <w:rPr>
                <w:rFonts w:ascii="Times New Roman" w:hAnsi="Times New Roman"/>
                <w:sz w:val="20"/>
                <w:lang w:val="sk-SK"/>
              </w:rPr>
              <w:t>.</w:t>
            </w:r>
          </w:p>
          <w:p w:rsidR="00265C4A" w:rsidRPr="00E81B8B" w:rsidP="00F50837">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p>
          <w:p w:rsidR="00265C4A" w:rsidRPr="00E81B8B" w:rsidP="00265C4A">
            <w:pPr>
              <w:spacing w:line="240" w:lineRule="atLeast"/>
              <w:ind w:left="-44" w:firstLine="44"/>
              <w:jc w:val="both"/>
            </w:pPr>
            <w:r>
              <w:rPr>
                <w:noProof/>
              </w:rPr>
              <w:pict>
                <v:shape id="_x0000_s1026" type="#_x0000_t32" style="width:58.2pt;height:0;margin-top:5.4pt;margin-left:0.1pt;position:absolute;z-index:251659264" o:connectortype="straight"/>
              </w:pict>
            </w:r>
          </w:p>
          <w:p w:rsidR="00265C4A" w:rsidRPr="00E81B8B" w:rsidP="00265C4A">
            <w:pPr>
              <w:pStyle w:val="FootnoteText"/>
              <w:jc w:val="both"/>
              <w:rPr>
                <w:sz w:val="18"/>
                <w:szCs w:val="18"/>
              </w:rPr>
            </w:pPr>
            <w:r w:rsidRPr="00E81B8B">
              <w:rPr>
                <w:sz w:val="18"/>
                <w:szCs w:val="18"/>
                <w:vertAlign w:val="superscript"/>
              </w:rPr>
              <w:t>3</w:t>
            </w:r>
            <w:r w:rsidRPr="00E81B8B">
              <w:rPr>
                <w:sz w:val="18"/>
                <w:szCs w:val="18"/>
              </w:rPr>
              <w:t>) STN EN 16321-2 Rekuperácia benzínových pár pri čerpaní pohonných látok do motorových vozidiel na čerpacích staniciach. Časť 2: Skúšobné metódy na overovanie systémov rekuperácie benzínových pár na čerpacích staniciach (65 6553).</w:t>
            </w:r>
          </w:p>
          <w:p w:rsidR="00265C4A" w:rsidRPr="00E81B8B" w:rsidP="00F50837">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p>
        </w:tc>
        <w:tc>
          <w:tcPr>
            <w:tcW w:w="709" w:type="dxa"/>
            <w:tcBorders>
              <w:top w:val="single" w:sz="4" w:space="0" w:color="auto"/>
              <w:bottom w:val="single" w:sz="4" w:space="0" w:color="auto"/>
            </w:tcBorders>
          </w:tcPr>
          <w:p w:rsidR="00C13A41" w:rsidRPr="00E81B8B">
            <w:pPr>
              <w:jc w:val="center"/>
            </w:pPr>
            <w:r w:rsidRPr="00E81B8B" w:rsidR="002E0E35">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3432"/>
        </w:trPr>
        <w:tc>
          <w:tcPr>
            <w:tcW w:w="779" w:type="dxa"/>
            <w:tcBorders>
              <w:top w:val="single" w:sz="4" w:space="0" w:color="auto"/>
              <w:bottom w:val="single" w:sz="4" w:space="0" w:color="auto"/>
            </w:tcBorders>
          </w:tcPr>
          <w:p w:rsidR="00434F86" w:rsidP="00434F86">
            <w:r>
              <w:t>Č5</w:t>
            </w:r>
          </w:p>
          <w:p w:rsidR="00C13A41" w:rsidRPr="00DD6E7C" w:rsidP="00434F86">
            <w:r w:rsidR="00434F86">
              <w:t>O2</w:t>
            </w:r>
          </w:p>
        </w:tc>
        <w:tc>
          <w:tcPr>
            <w:tcW w:w="3827" w:type="dxa"/>
            <w:tcBorders>
              <w:top w:val="single" w:sz="4" w:space="0" w:color="auto"/>
              <w:bottom w:val="single" w:sz="4" w:space="0" w:color="auto"/>
            </w:tcBorders>
          </w:tcPr>
          <w:p w:rsidR="00C13A41" w:rsidRPr="00075FDE" w:rsidP="00434F86">
            <w:pPr>
              <w:tabs>
                <w:tab w:val="left" w:pos="540"/>
              </w:tabs>
              <w:jc w:val="both"/>
            </w:pPr>
            <w:r w:rsidRPr="00116126" w:rsidR="00075FDE">
              <w:t>2. V prípade, že bol nainštalovaný systém automatického monitorovania, členské štáty zabezpečia, aby sa účinnosť zachytávania benzínových pár testovala aspoň raz za tri roky. Každý takýto systém automatického monitorovania automaticky zisťuje nedostatky v správnom fungovaní systému II. stupňa rekuperácie benzínových pár a v samotnom systéme automatického monitorovania, upozorňuje na chyby prevádzkovateľa čerpacej stanice a automaticky zastaví tok benzínu z chybnej nádrže, ak sa chyba neodstráni do siedmich dní.</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F20563">
              <w:t>NV</w:t>
            </w:r>
          </w:p>
        </w:tc>
        <w:tc>
          <w:tcPr>
            <w:tcW w:w="850" w:type="dxa"/>
            <w:tcBorders>
              <w:top w:val="single" w:sz="4" w:space="0" w:color="auto"/>
              <w:bottom w:val="single" w:sz="4" w:space="0" w:color="auto"/>
            </w:tcBorders>
          </w:tcPr>
          <w:p w:rsidR="00C13A41" w:rsidP="005E0FBA">
            <w:r w:rsidR="00434F86">
              <w:t>§</w:t>
            </w:r>
            <w:r w:rsidR="005E0FBA">
              <w:t>7</w:t>
            </w:r>
          </w:p>
          <w:p w:rsidR="005E0FBA" w:rsidRPr="005E0FBA" w:rsidP="005E0FBA">
            <w:r>
              <w:t>O8</w:t>
            </w:r>
          </w:p>
        </w:tc>
        <w:tc>
          <w:tcPr>
            <w:tcW w:w="4111" w:type="dxa"/>
            <w:tcBorders>
              <w:top w:val="single" w:sz="4" w:space="0" w:color="auto"/>
              <w:bottom w:val="single" w:sz="4" w:space="0" w:color="auto"/>
            </w:tcBorders>
          </w:tcPr>
          <w:p w:rsidR="00F50837" w:rsidRPr="00D25DA2" w:rsidP="00F50837">
            <w:pPr>
              <w:jc w:val="both"/>
              <w:rPr>
                <w:b/>
              </w:rPr>
            </w:pPr>
            <w:r w:rsidRPr="00D25DA2">
              <w:rPr>
                <w:b/>
              </w:rPr>
              <w:t>§ 7</w:t>
            </w:r>
          </w:p>
          <w:p w:rsidR="00F50837" w:rsidRPr="00D25DA2" w:rsidP="00F50837">
            <w:pPr>
              <w:jc w:val="both"/>
              <w:rPr>
                <w:b/>
              </w:rPr>
            </w:pPr>
            <w:r w:rsidRPr="00D25DA2">
              <w:rPr>
                <w:b/>
              </w:rPr>
              <w:t>Čerpacie stanice</w:t>
            </w:r>
          </w:p>
          <w:p w:rsidR="004541F8" w:rsidRPr="004541F8" w:rsidP="00F50837">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r w:rsidRPr="001F7851" w:rsidR="002E0E35">
              <w:rPr>
                <w:rFonts w:ascii="Times New Roman" w:hAnsi="Times New Roman"/>
                <w:sz w:val="20"/>
                <w:lang w:val="sk-SK"/>
              </w:rPr>
              <w:t>(8)</w:t>
            </w:r>
            <w:r w:rsidRPr="004541F8" w:rsidR="002E0E35">
              <w:rPr>
                <w:rFonts w:ascii="Times New Roman" w:hAnsi="Times New Roman"/>
                <w:sz w:val="20"/>
                <w:lang w:val="sk-SK"/>
              </w:rPr>
              <w:t xml:space="preserve"> </w:t>
            </w:r>
            <w:r w:rsidRPr="00434F86" w:rsidR="00434F86">
              <w:rPr>
                <w:rFonts w:ascii="Times New Roman" w:hAnsi="Times New Roman"/>
                <w:sz w:val="20"/>
                <w:lang w:val="sk-SK"/>
              </w:rPr>
              <w:t>Prevádzkovateľ čerpacej stanice zabezpečí kontrolu prevádzkovej účinnosti systému II. stupňa rekuperácie benzínových pár spôsobom podľa odseku 7 najmenej jedenkrát za tri roky, ak je na čerpacej stanici nainštalovaný systém automatického monitorovania</w:t>
            </w:r>
            <w:r w:rsidR="00017B3D">
              <w:rPr>
                <w:rFonts w:ascii="Times New Roman" w:hAnsi="Times New Roman"/>
                <w:sz w:val="20"/>
                <w:lang w:val="sk-SK"/>
              </w:rPr>
              <w:t xml:space="preserve"> </w:t>
            </w:r>
            <w:r w:rsidRPr="00017B3D" w:rsidR="00017B3D">
              <w:rPr>
                <w:rFonts w:ascii="Times New Roman" w:hAnsi="Times New Roman"/>
                <w:sz w:val="20"/>
                <w:lang w:val="sk-SK"/>
              </w:rPr>
              <w:t>plne funkčný počas celého obdobia prevádzkovania.</w:t>
            </w:r>
          </w:p>
          <w:p w:rsidR="00C13A41" w:rsidRPr="001F7851" w:rsidP="005E0FBA">
            <w:pPr>
              <w:pStyle w:val="Import2"/>
              <w:tabs>
                <w:tab w:val="clear" w:pos="1584"/>
              </w:tabs>
              <w:overflowPunct/>
              <w:autoSpaceDE/>
              <w:autoSpaceDN/>
              <w:adjustRightInd/>
              <w:spacing w:line="240" w:lineRule="auto"/>
              <w:jc w:val="both"/>
              <w:textAlignment w:val="auto"/>
              <w:rPr>
                <w:rFonts w:ascii="Times New Roman" w:hAnsi="Times New Roman"/>
                <w:sz w:val="20"/>
                <w:lang w:val="sk-SK"/>
              </w:rPr>
            </w:pPr>
          </w:p>
        </w:tc>
        <w:tc>
          <w:tcPr>
            <w:tcW w:w="709" w:type="dxa"/>
            <w:tcBorders>
              <w:top w:val="single" w:sz="4" w:space="0" w:color="auto"/>
              <w:bottom w:val="single" w:sz="4" w:space="0" w:color="auto"/>
            </w:tcBorders>
          </w:tcPr>
          <w:p w:rsidR="00C13A41" w:rsidRPr="00DD6E7C">
            <w:pPr>
              <w:jc w:val="center"/>
            </w:pPr>
            <w:r w:rsidR="002E0E35">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040"/>
        </w:trPr>
        <w:tc>
          <w:tcPr>
            <w:tcW w:w="779" w:type="dxa"/>
            <w:tcBorders>
              <w:top w:val="single" w:sz="4" w:space="0" w:color="auto"/>
              <w:bottom w:val="single" w:sz="4" w:space="0" w:color="auto"/>
            </w:tcBorders>
          </w:tcPr>
          <w:p w:rsidR="007D5985" w:rsidP="007D5985">
            <w:r>
              <w:t>Č5</w:t>
            </w:r>
          </w:p>
          <w:p w:rsidR="00C13A41" w:rsidRPr="00DD6E7C" w:rsidP="007D5985">
            <w:r w:rsidR="007D5985">
              <w:t>O3</w:t>
            </w:r>
          </w:p>
        </w:tc>
        <w:tc>
          <w:tcPr>
            <w:tcW w:w="3827" w:type="dxa"/>
            <w:tcBorders>
              <w:top w:val="single" w:sz="4" w:space="0" w:color="auto"/>
              <w:bottom w:val="single" w:sz="4" w:space="0" w:color="auto"/>
            </w:tcBorders>
          </w:tcPr>
          <w:p w:rsidR="00C13A41" w:rsidRPr="00075FDE" w:rsidP="007D5985">
            <w:pPr>
              <w:tabs>
                <w:tab w:val="left" w:pos="540"/>
              </w:tabs>
              <w:jc w:val="both"/>
            </w:pPr>
            <w:r w:rsidRPr="00116126" w:rsidR="00075FDE">
              <w:t>3. Ak je na čerpacej stanici nainštalovaný systém II. stupňa rekuperácie benzínových pár, členské štáty zabezpečia, aby sa na výdajnom stojane alebo v jeho blízkosti umiestnil symbol, nálepka alebo iné oznámenie, ktoré informuje spotrebiteľov o tejto skutočnosti.</w:t>
            </w:r>
          </w:p>
        </w:tc>
        <w:tc>
          <w:tcPr>
            <w:tcW w:w="851" w:type="dxa"/>
            <w:tcBorders>
              <w:top w:val="single" w:sz="4" w:space="0" w:color="auto"/>
              <w:bottom w:val="single" w:sz="4" w:space="0" w:color="auto"/>
            </w:tcBorders>
          </w:tcPr>
          <w:p w:rsidR="00C13A41" w:rsidRPr="00DD6E7C">
            <w:pPr>
              <w:jc w:val="center"/>
            </w:pPr>
            <w:r w:rsidRPr="00DD6E7C">
              <w:t>N</w:t>
            </w:r>
          </w:p>
        </w:tc>
        <w:tc>
          <w:tcPr>
            <w:tcW w:w="709" w:type="dxa"/>
            <w:tcBorders>
              <w:top w:val="single" w:sz="4" w:space="0" w:color="auto"/>
              <w:bottom w:val="single" w:sz="4" w:space="0" w:color="auto"/>
            </w:tcBorders>
          </w:tcPr>
          <w:p w:rsidR="00C13A41" w:rsidRPr="00DD6E7C">
            <w:r w:rsidR="00F20563">
              <w:t>NV</w:t>
            </w:r>
          </w:p>
        </w:tc>
        <w:tc>
          <w:tcPr>
            <w:tcW w:w="850" w:type="dxa"/>
            <w:tcBorders>
              <w:top w:val="single" w:sz="4" w:space="0" w:color="auto"/>
              <w:bottom w:val="single" w:sz="4" w:space="0" w:color="auto"/>
            </w:tcBorders>
          </w:tcPr>
          <w:p w:rsidR="00C13A41">
            <w:r w:rsidR="007D5985">
              <w:t>§</w:t>
            </w:r>
            <w:r w:rsidR="002E0E35">
              <w:t>7</w:t>
            </w:r>
          </w:p>
          <w:p w:rsidR="002E0E35" w:rsidRPr="00DD6E7C">
            <w:r>
              <w:t>O9</w:t>
            </w:r>
          </w:p>
        </w:tc>
        <w:tc>
          <w:tcPr>
            <w:tcW w:w="4111" w:type="dxa"/>
            <w:tcBorders>
              <w:top w:val="single" w:sz="4" w:space="0" w:color="auto"/>
              <w:bottom w:val="single" w:sz="4" w:space="0" w:color="auto"/>
            </w:tcBorders>
          </w:tcPr>
          <w:p w:rsidR="00F50837" w:rsidRPr="00D25DA2" w:rsidP="00F50837">
            <w:pPr>
              <w:jc w:val="both"/>
              <w:rPr>
                <w:b/>
              </w:rPr>
            </w:pPr>
            <w:r w:rsidRPr="00D25DA2">
              <w:rPr>
                <w:b/>
              </w:rPr>
              <w:t>§ 7</w:t>
            </w:r>
          </w:p>
          <w:p w:rsidR="00F50837" w:rsidRPr="00D25DA2" w:rsidP="00F50837">
            <w:pPr>
              <w:jc w:val="both"/>
              <w:rPr>
                <w:b/>
              </w:rPr>
            </w:pPr>
            <w:r w:rsidRPr="00D25DA2">
              <w:rPr>
                <w:b/>
              </w:rPr>
              <w:t>Čerpacie stanice</w:t>
            </w:r>
          </w:p>
          <w:p w:rsidR="00C13A41" w:rsidRPr="001F7851" w:rsidP="00F50837">
            <w:pPr>
              <w:tabs>
                <w:tab w:val="left" w:pos="142"/>
              </w:tabs>
              <w:jc w:val="both"/>
            </w:pPr>
            <w:r w:rsidRPr="001F7851" w:rsidR="002E0E35">
              <w:t xml:space="preserve">(9) </w:t>
            </w:r>
            <w:r w:rsidRPr="00315EDD" w:rsidR="007D5985">
              <w:t>Ak je na čerpacej stanici nainštalovaný systém II. stupňa rekuperácie benzínových pár, prevádzkovateľ čerpacej stanice umiestni na výdajnom stojane alebo v jeho blízkosti oznámenie, ktoré informuje spotrebiteľov o tejto skutočnosti</w:t>
            </w:r>
            <w:r w:rsidRPr="001F7851" w:rsidR="002E0E35">
              <w:t>.</w:t>
            </w:r>
          </w:p>
        </w:tc>
        <w:tc>
          <w:tcPr>
            <w:tcW w:w="709" w:type="dxa"/>
            <w:tcBorders>
              <w:top w:val="single" w:sz="4" w:space="0" w:color="auto"/>
              <w:bottom w:val="single" w:sz="4" w:space="0" w:color="auto"/>
            </w:tcBorders>
          </w:tcPr>
          <w:p w:rsidR="00C13A41" w:rsidRPr="00DD6E7C">
            <w:pPr>
              <w:jc w:val="center"/>
            </w:pPr>
            <w:r w:rsidR="001F7851">
              <w:t>U</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020"/>
        </w:trPr>
        <w:tc>
          <w:tcPr>
            <w:tcW w:w="779" w:type="dxa"/>
            <w:tcBorders>
              <w:top w:val="single" w:sz="4" w:space="0" w:color="auto"/>
              <w:bottom w:val="single" w:sz="4" w:space="0" w:color="auto"/>
            </w:tcBorders>
          </w:tcPr>
          <w:p w:rsidR="00C46FD3" w:rsidRPr="00DD6E7C" w:rsidP="00C46FD3">
            <w:r>
              <w:t>Č6</w:t>
            </w:r>
          </w:p>
        </w:tc>
        <w:tc>
          <w:tcPr>
            <w:tcW w:w="3827" w:type="dxa"/>
            <w:tcBorders>
              <w:top w:val="single" w:sz="4" w:space="0" w:color="auto"/>
              <w:bottom w:val="single" w:sz="4" w:space="0" w:color="auto"/>
            </w:tcBorders>
          </w:tcPr>
          <w:p w:rsidR="00C46FD3" w:rsidP="00C46FD3">
            <w:pPr>
              <w:tabs>
                <w:tab w:val="left" w:pos="540"/>
              </w:tabs>
              <w:jc w:val="both"/>
            </w:pPr>
            <w:r>
              <w:t>Článok 6</w:t>
            </w:r>
          </w:p>
          <w:p w:rsidR="00C46FD3" w:rsidRPr="00116126" w:rsidP="00C46FD3">
            <w:pPr>
              <w:tabs>
                <w:tab w:val="left" w:pos="540"/>
              </w:tabs>
              <w:jc w:val="both"/>
            </w:pPr>
            <w:r w:rsidRPr="00116126">
              <w:t>Pokuty</w:t>
            </w:r>
          </w:p>
          <w:p w:rsidR="00C46FD3" w:rsidRPr="00075FDE" w:rsidP="00C46FD3">
            <w:pPr>
              <w:tabs>
                <w:tab w:val="left" w:pos="540"/>
              </w:tabs>
              <w:jc w:val="both"/>
            </w:pPr>
            <w:r w:rsidRPr="00116126">
              <w:t xml:space="preserve">Členské štáty stanovia pravidlá týkajúce sa pokút za porušenie vnútroštátnych ustanovení prijatých podľa tejto smernice a prijmú všetky nevyhnutné opatrenia na zabezpečenie ich uplatňovania. Stanovené pokuty musia byť účinné, primerané a odradzujúce. Členské štáty oznámia tieto ustanovenia Komisii do 1. januára </w:t>
            </w:r>
            <w:smartTag w:uri="urn:schemas-microsoft-com:office:smarttags" w:element="metricconverter">
              <w:smartTagPr>
                <w:attr w:name="ProductID" w:val="2012 a"/>
              </w:smartTagPr>
              <w:r w:rsidRPr="00116126">
                <w:t>2012 a</w:t>
              </w:r>
            </w:smartTag>
            <w:r w:rsidRPr="00116126">
              <w:t xml:space="preserve"> bezodkladne ju informujú o akejkoľvek ich následnej zmene a doplnení.</w:t>
            </w:r>
          </w:p>
        </w:tc>
        <w:tc>
          <w:tcPr>
            <w:tcW w:w="851" w:type="dxa"/>
            <w:tcBorders>
              <w:top w:val="single" w:sz="4" w:space="0" w:color="auto"/>
              <w:bottom w:val="single" w:sz="4" w:space="0" w:color="auto"/>
            </w:tcBorders>
          </w:tcPr>
          <w:p w:rsidR="00C46FD3" w:rsidRPr="00DD6E7C" w:rsidP="00C46FD3">
            <w:pPr>
              <w:jc w:val="center"/>
            </w:pPr>
            <w:r w:rsidRPr="00DD6E7C">
              <w:t>N</w:t>
            </w:r>
          </w:p>
        </w:tc>
        <w:tc>
          <w:tcPr>
            <w:tcW w:w="709" w:type="dxa"/>
            <w:tcBorders>
              <w:top w:val="single" w:sz="4" w:space="0" w:color="auto"/>
              <w:bottom w:val="single" w:sz="4" w:space="0" w:color="auto"/>
            </w:tcBorders>
          </w:tcPr>
          <w:p w:rsidR="00C46FD3" w:rsidRPr="00DD6E7C" w:rsidP="00C46FD3">
            <w:r>
              <w:t>NZ</w:t>
            </w:r>
          </w:p>
        </w:tc>
        <w:tc>
          <w:tcPr>
            <w:tcW w:w="850" w:type="dxa"/>
            <w:tcBorders>
              <w:top w:val="single" w:sz="4" w:space="0" w:color="auto"/>
              <w:bottom w:val="single" w:sz="4" w:space="0" w:color="auto"/>
            </w:tcBorders>
          </w:tcPr>
          <w:p w:rsidR="00C46FD3" w:rsidP="00C46FD3">
            <w:r w:rsidRPr="00E45558">
              <w:t>§</w:t>
            </w:r>
            <w:r>
              <w:t>55</w:t>
            </w:r>
          </w:p>
          <w:p w:rsidR="00C46FD3" w:rsidRPr="00E45558" w:rsidP="00C46FD3"/>
          <w:p w:rsidR="00C46FD3" w:rsidP="00C46FD3">
            <w:r>
              <w:t>O1</w:t>
            </w:r>
          </w:p>
          <w:p w:rsidR="00C46FD3" w:rsidRPr="00E45558" w:rsidP="00C46FD3">
            <w:r>
              <w:t>Pb</w:t>
            </w:r>
          </w:p>
          <w:p w:rsidR="00C46FD3" w:rsidP="00C46FD3"/>
          <w:p w:rsidR="00C46FD3" w:rsidP="00C46FD3"/>
          <w:p w:rsidR="00C46FD3" w:rsidP="00C46FD3"/>
          <w:p w:rsidR="00C46FD3" w:rsidP="00C46FD3"/>
          <w:p w:rsidR="00C46FD3" w:rsidP="00C46FD3"/>
          <w:p w:rsidR="00C46FD3" w:rsidP="00C46FD3"/>
          <w:p w:rsidR="00C46FD3" w:rsidP="00C46FD3"/>
          <w:p w:rsidR="00C46FD3" w:rsidP="00C46FD3"/>
          <w:p w:rsidR="00C46FD3" w:rsidP="00C46FD3"/>
          <w:p w:rsidR="00A75DF2" w:rsidP="00C46FD3"/>
          <w:p w:rsidR="00C46FD3" w:rsidP="00C46FD3"/>
          <w:p w:rsidR="00C46FD3" w:rsidP="00C46FD3"/>
          <w:p w:rsidR="00C46FD3" w:rsidP="00C46FD3">
            <w:r>
              <w:t>O2</w:t>
            </w:r>
          </w:p>
          <w:p w:rsidR="00C46FD3" w:rsidP="00C46FD3">
            <w:r>
              <w:t>Pb</w:t>
            </w:r>
          </w:p>
          <w:p w:rsidR="00C46FD3" w:rsidP="00C46FD3"/>
          <w:p w:rsidR="00C46FD3" w:rsidP="00C46FD3"/>
          <w:p w:rsidR="00C46FD3" w:rsidP="00C46FD3"/>
          <w:p w:rsidR="00C46FD3" w:rsidP="00C46FD3"/>
          <w:p w:rsidR="00C46FD3" w:rsidP="00C46FD3"/>
          <w:p w:rsidR="00C46FD3" w:rsidP="00C46FD3"/>
          <w:p w:rsidR="00C46FD3" w:rsidP="00C46FD3"/>
          <w:p w:rsidR="00A75DF2" w:rsidP="00C46FD3"/>
          <w:p w:rsidR="00C46FD3" w:rsidP="00C46FD3"/>
          <w:p w:rsidR="00C46FD3" w:rsidP="00C46FD3"/>
          <w:p w:rsidR="00C46FD3" w:rsidP="00C46FD3">
            <w:r>
              <w:t>O3</w:t>
            </w:r>
          </w:p>
          <w:p w:rsidR="00C46FD3" w:rsidP="00C46FD3"/>
          <w:p w:rsidR="00C46FD3" w:rsidP="00C46FD3"/>
          <w:p w:rsidR="00C46FD3" w:rsidP="00C46FD3"/>
          <w:p w:rsidR="00C46FD3" w:rsidP="00C46FD3"/>
          <w:p w:rsidR="00C46FD3" w:rsidP="00C46FD3"/>
          <w:p w:rsidR="00C46FD3" w:rsidP="00C46FD3"/>
          <w:p w:rsidR="00C46FD3" w:rsidRPr="00E45558" w:rsidP="00C46FD3"/>
          <w:p w:rsidR="00C46FD3" w:rsidRPr="00E45558" w:rsidP="00C46FD3">
            <w:r>
              <w:t>O11</w:t>
            </w:r>
          </w:p>
          <w:p w:rsidR="00C46FD3" w:rsidRPr="00E45558" w:rsidP="00C46FD3"/>
        </w:tc>
        <w:tc>
          <w:tcPr>
            <w:tcW w:w="4111" w:type="dxa"/>
            <w:tcBorders>
              <w:top w:val="single" w:sz="4" w:space="0" w:color="auto"/>
              <w:bottom w:val="single" w:sz="4" w:space="0" w:color="auto"/>
            </w:tcBorders>
          </w:tcPr>
          <w:p w:rsidR="00C46FD3" w:rsidRPr="00BE3704" w:rsidP="00C46FD3">
            <w:pPr>
              <w:jc w:val="both"/>
              <w:rPr>
                <w:b/>
              </w:rPr>
            </w:pPr>
            <w:r w:rsidRPr="00BE3704">
              <w:rPr>
                <w:b/>
              </w:rPr>
              <w:t>§ 55</w:t>
            </w:r>
          </w:p>
          <w:p w:rsidR="00C46FD3" w:rsidRPr="00BE3704" w:rsidP="00C46FD3">
            <w:pPr>
              <w:jc w:val="both"/>
              <w:rPr>
                <w:b/>
              </w:rPr>
            </w:pPr>
            <w:r w:rsidR="00A75DF2">
              <w:rPr>
                <w:b/>
              </w:rPr>
              <w:t>Iné správne delikty</w:t>
            </w:r>
          </w:p>
          <w:p w:rsidR="00C46FD3" w:rsidRPr="00BE3704" w:rsidP="00C46FD3">
            <w:pPr>
              <w:pStyle w:val="ListParagraph"/>
              <w:widowControl/>
              <w:tabs>
                <w:tab w:val="left" w:pos="1276"/>
              </w:tabs>
              <w:autoSpaceDE/>
              <w:autoSpaceDN/>
              <w:adjustRightInd/>
              <w:ind w:left="0"/>
              <w:contextualSpacing w:val="0"/>
              <w:jc w:val="both"/>
              <w:rPr>
                <w:sz w:val="20"/>
                <w:szCs w:val="20"/>
                <w:lang w:val="sk-SK"/>
              </w:rPr>
            </w:pPr>
            <w:r w:rsidRPr="00BE3704">
              <w:rPr>
                <w:sz w:val="20"/>
                <w:szCs w:val="20"/>
                <w:lang w:val="sk-SK"/>
              </w:rPr>
              <w:t xml:space="preserve">(1) </w:t>
            </w:r>
            <w:r w:rsidRPr="00EE1E35">
              <w:rPr>
                <w:sz w:val="20"/>
                <w:szCs w:val="20"/>
                <w:lang w:val="sk-SK"/>
              </w:rPr>
              <w:t xml:space="preserve">Okresný úrad alebo inšpekcia </w:t>
            </w:r>
            <w:r w:rsidRPr="00A75DF2" w:rsidR="00A75DF2">
              <w:t xml:space="preserve">uloží pokutu za </w:t>
            </w:r>
            <w:r w:rsidRPr="00A75DF2" w:rsidR="00A75DF2">
              <w:rPr>
                <w:sz w:val="20"/>
                <w:szCs w:val="20"/>
                <w:lang w:val="sk-SK"/>
              </w:rPr>
              <w:t>porušenie zákazu podľa § 32 písm. a), b) a e) a povinností podľa § 34 ods. 1 písm. a) až g), § 34 ods. 2 písm. g), § 34 ods. 3 písm. a) a d) až f), § 34 ods. 4 písm. a) až c), § 34 ods. 5 písm. b), § 34 ods. 6, § 34 ods. 7 písm. a) až c), § 34 ods. 8 písm. a) a e), § 34 ods. 9 písm. a), § 34 ods. 10 písm. a) až c) a povinnosti ustanovenej v § 34 ods. 11, prevádzkovateľovi zdroja, ak ide o porušenie pre</w:t>
            </w:r>
          </w:p>
          <w:p w:rsidR="00C46FD3" w:rsidRPr="00BE3704" w:rsidP="00C46FD3">
            <w:pPr>
              <w:pStyle w:val="ListParagraph"/>
              <w:widowControl/>
              <w:tabs>
                <w:tab w:val="left" w:pos="1134"/>
              </w:tabs>
              <w:autoSpaceDE/>
              <w:autoSpaceDN/>
              <w:adjustRightInd/>
              <w:spacing w:after="360"/>
              <w:ind w:left="0"/>
              <w:contextualSpacing w:val="0"/>
              <w:jc w:val="both"/>
              <w:rPr>
                <w:sz w:val="20"/>
                <w:szCs w:val="20"/>
                <w:lang w:val="sk-SK"/>
              </w:rPr>
            </w:pPr>
            <w:r w:rsidRPr="00BE3704">
              <w:rPr>
                <w:sz w:val="20"/>
                <w:szCs w:val="20"/>
                <w:lang w:val="sk-SK"/>
              </w:rPr>
              <w:t>b) stredného zdroja vo výške od 2 500 eur do 250 000 eur.</w:t>
            </w:r>
          </w:p>
          <w:p w:rsidR="00C46FD3" w:rsidRPr="00EE1E35" w:rsidP="00C46FD3">
            <w:pPr>
              <w:pStyle w:val="ListParagraph"/>
              <w:widowControl/>
              <w:tabs>
                <w:tab w:val="left" w:pos="0"/>
              </w:tabs>
              <w:autoSpaceDE/>
              <w:autoSpaceDN/>
              <w:adjustRightInd/>
              <w:ind w:left="0"/>
              <w:contextualSpacing w:val="0"/>
              <w:jc w:val="both"/>
              <w:rPr>
                <w:sz w:val="20"/>
                <w:szCs w:val="20"/>
                <w:lang w:val="sk-SK"/>
              </w:rPr>
            </w:pPr>
            <w:r w:rsidRPr="00BE3704">
              <w:rPr>
                <w:sz w:val="20"/>
                <w:szCs w:val="20"/>
                <w:lang w:val="sk-SK"/>
              </w:rPr>
              <w:t xml:space="preserve">(2) </w:t>
            </w:r>
            <w:r w:rsidRPr="00EE1E35">
              <w:rPr>
                <w:sz w:val="20"/>
                <w:szCs w:val="20"/>
                <w:lang w:val="sk-SK"/>
              </w:rPr>
              <w:t xml:space="preserve">Okresný úrad alebo inšpekcia uloží pokutu za porušenie povinností podľa § 34 ods. 1 písm. h) a i), § 34 ods. 2 písm. b), c), e), f), h) až j), § 34 ods. 3 písm. b), c) a g), § 34 ods. 4 písm. d) až f), § 34 ods. 5 písm. a), § 34 ods. 7 písm. d), § 34 ods. 8 písm. b) až d), § 34 ods. 9 písm. b) a c) a povinnosti ustanovenej v § 34 ods. 10 písm. d) a e), prevádzkovateľovi zdroja, ak ide o </w:t>
            </w:r>
          </w:p>
          <w:p w:rsidR="00C46FD3" w:rsidRPr="00BE3704" w:rsidP="00C46FD3">
            <w:pPr>
              <w:pStyle w:val="ListParagraph"/>
              <w:widowControl/>
              <w:autoSpaceDE/>
              <w:autoSpaceDN/>
              <w:adjustRightInd/>
              <w:spacing w:after="360"/>
              <w:ind w:left="0"/>
              <w:contextualSpacing w:val="0"/>
              <w:jc w:val="both"/>
              <w:rPr>
                <w:sz w:val="20"/>
                <w:szCs w:val="20"/>
                <w:lang w:val="sk-SK"/>
              </w:rPr>
            </w:pPr>
            <w:r w:rsidRPr="00BE3704">
              <w:rPr>
                <w:sz w:val="20"/>
                <w:szCs w:val="20"/>
                <w:lang w:val="sk-SK"/>
              </w:rPr>
              <w:t>b) stredného zdroja vo výške od 500 eur do 50 000 eur.</w:t>
            </w:r>
          </w:p>
          <w:p w:rsidR="00C46FD3" w:rsidRPr="00BE3704" w:rsidP="00C46FD3">
            <w:pPr>
              <w:pStyle w:val="ListParagraph"/>
              <w:widowControl/>
              <w:tabs>
                <w:tab w:val="left" w:pos="0"/>
                <w:tab w:val="left" w:pos="1276"/>
              </w:tabs>
              <w:autoSpaceDE/>
              <w:autoSpaceDN/>
              <w:adjustRightInd/>
              <w:ind w:left="0"/>
              <w:jc w:val="both"/>
            </w:pPr>
            <w:r w:rsidRPr="00BE3704">
              <w:rPr>
                <w:sz w:val="20"/>
                <w:szCs w:val="20"/>
                <w:lang w:val="sk-SK"/>
              </w:rPr>
              <w:t xml:space="preserve">(3) </w:t>
            </w:r>
            <w:r w:rsidRPr="00EE1E35">
              <w:rPr>
                <w:sz w:val="20"/>
                <w:szCs w:val="20"/>
                <w:lang w:val="sk-SK"/>
              </w:rPr>
              <w:t xml:space="preserve">Okresný úrad alebo inšpekcia </w:t>
            </w:r>
            <w:r w:rsidRPr="00A75DF2" w:rsidR="00A75DF2">
              <w:rPr>
                <w:sz w:val="20"/>
                <w:szCs w:val="20"/>
                <w:lang w:val="sk-SK"/>
              </w:rPr>
              <w:t>za porušenie povinností v § 34 ods. 1 písm. j) a ods. 2 písm. a), d) a k) a § 61 ods. 8 a 11 uloží pokutu prevádzkovateľovi veľkého zdroja a prevádzkovateľovi stredného zdroja od 100 eur do 5000 eur</w:t>
            </w:r>
            <w:r w:rsidRPr="00BE3704">
              <w:rPr>
                <w:sz w:val="20"/>
                <w:szCs w:val="20"/>
                <w:lang w:val="sk-SK"/>
              </w:rPr>
              <w:t>.</w:t>
            </w:r>
          </w:p>
          <w:p w:rsidR="00C46FD3" w:rsidRPr="00BE3704" w:rsidP="00C46FD3">
            <w:pPr>
              <w:pStyle w:val="ListParagraph"/>
              <w:widowControl/>
              <w:tabs>
                <w:tab w:val="left" w:pos="1276"/>
              </w:tabs>
              <w:autoSpaceDE/>
              <w:autoSpaceDN/>
              <w:adjustRightInd/>
              <w:ind w:left="0"/>
              <w:contextualSpacing w:val="0"/>
              <w:jc w:val="both"/>
              <w:rPr>
                <w:sz w:val="20"/>
                <w:szCs w:val="20"/>
                <w:lang w:val="sk-SK"/>
              </w:rPr>
            </w:pPr>
          </w:p>
          <w:p w:rsidR="00C46FD3" w:rsidRPr="00BE3704" w:rsidP="00C46FD3">
            <w:pPr>
              <w:tabs>
                <w:tab w:val="left" w:pos="142"/>
              </w:tabs>
              <w:jc w:val="both"/>
            </w:pPr>
          </w:p>
          <w:p w:rsidR="00C46FD3" w:rsidRPr="00BE3704" w:rsidP="00C46FD3">
            <w:pPr>
              <w:pStyle w:val="ListParagraph"/>
              <w:widowControl/>
              <w:autoSpaceDE/>
              <w:autoSpaceDN/>
              <w:adjustRightInd/>
              <w:spacing w:after="360"/>
              <w:ind w:left="0"/>
              <w:contextualSpacing w:val="0"/>
              <w:jc w:val="both"/>
              <w:rPr>
                <w:sz w:val="20"/>
                <w:szCs w:val="20"/>
                <w:lang w:val="sk-SK"/>
              </w:rPr>
            </w:pPr>
            <w:r w:rsidRPr="00BE3704">
              <w:rPr>
                <w:sz w:val="20"/>
                <w:szCs w:val="20"/>
                <w:lang w:val="sk-SK"/>
              </w:rPr>
              <w:t xml:space="preserve">(11) </w:t>
            </w:r>
            <w:r w:rsidRPr="00EE1E35">
              <w:rPr>
                <w:sz w:val="20"/>
                <w:szCs w:val="20"/>
                <w:lang w:val="sk-SK"/>
              </w:rPr>
              <w:t>Ak v lehote do jedného roka odo dňa nadobudnutia právoplatnosti rozhodnutia o uložení pokuty dôjde k opätovnému porušeniu povinnosti, za ktoré bola pokuta uložená alebo neboli splnené opatrenia na nápravu v určenej lehote, konajúci orgán uloží pokutu až do dvojnásobku hornej hranice pokút za príslušný správny delikt</w:t>
            </w:r>
            <w:r w:rsidRPr="00BE3704">
              <w:rPr>
                <w:sz w:val="20"/>
                <w:szCs w:val="20"/>
                <w:lang w:val="sk-SK"/>
              </w:rPr>
              <w:t xml:space="preserve">. </w:t>
            </w:r>
          </w:p>
          <w:p w:rsidR="00C46FD3" w:rsidRPr="00BE3704" w:rsidP="00C46FD3">
            <w:pPr>
              <w:tabs>
                <w:tab w:val="left" w:pos="142"/>
              </w:tabs>
              <w:jc w:val="both"/>
            </w:pPr>
          </w:p>
        </w:tc>
        <w:tc>
          <w:tcPr>
            <w:tcW w:w="709" w:type="dxa"/>
            <w:tcBorders>
              <w:top w:val="single" w:sz="4" w:space="0" w:color="auto"/>
              <w:bottom w:val="single" w:sz="4" w:space="0" w:color="auto"/>
            </w:tcBorders>
          </w:tcPr>
          <w:p w:rsidR="00C46FD3" w:rsidRPr="00DD6E7C" w:rsidP="00C46FD3">
            <w:pPr>
              <w:jc w:val="center"/>
            </w:pPr>
            <w:r>
              <w:t>U</w:t>
            </w:r>
          </w:p>
        </w:tc>
        <w:tc>
          <w:tcPr>
            <w:tcW w:w="2268" w:type="dxa"/>
            <w:tcBorders>
              <w:top w:val="single" w:sz="4" w:space="0" w:color="auto"/>
              <w:bottom w:val="single" w:sz="4" w:space="0" w:color="auto"/>
              <w:right w:val="single" w:sz="4" w:space="0" w:color="auto"/>
            </w:tcBorders>
          </w:tcPr>
          <w:p w:rsidR="00C46FD3" w:rsidRPr="00DD6E7C" w:rsidP="00C46FD3">
            <w:pPr>
              <w:jc w:val="both"/>
            </w:pPr>
          </w:p>
        </w:tc>
      </w:tr>
      <w:tr w:rsidTr="00C516DC">
        <w:tblPrEx>
          <w:tblW w:w="0" w:type="auto"/>
          <w:tblLayout w:type="fixed"/>
          <w:tblCellMar>
            <w:left w:w="70" w:type="dxa"/>
            <w:right w:w="70" w:type="dxa"/>
          </w:tblCellMar>
          <w:tblLook w:val="00A7"/>
        </w:tblPrEx>
        <w:trPr>
          <w:cantSplit/>
          <w:trHeight w:val="782"/>
        </w:trPr>
        <w:tc>
          <w:tcPr>
            <w:tcW w:w="779" w:type="dxa"/>
            <w:tcBorders>
              <w:top w:val="single" w:sz="4" w:space="0" w:color="auto"/>
              <w:bottom w:val="single" w:sz="4" w:space="0" w:color="auto"/>
            </w:tcBorders>
          </w:tcPr>
          <w:p w:rsidR="00C13A41">
            <w:r w:rsidR="0045240B">
              <w:t>Č</w:t>
            </w:r>
            <w:r w:rsidR="00075FDE">
              <w:t>7</w:t>
            </w:r>
          </w:p>
          <w:p w:rsidR="0045240B">
            <w:r>
              <w:t>Pa</w:t>
            </w:r>
          </w:p>
          <w:p w:rsidR="00FA0C0A"/>
          <w:p w:rsidR="00FA0C0A"/>
          <w:p w:rsidR="00FA0C0A"/>
          <w:p w:rsidR="00FA0C0A" w:rsidRPr="00DD6E7C"/>
        </w:tc>
        <w:tc>
          <w:tcPr>
            <w:tcW w:w="3827" w:type="dxa"/>
            <w:tcBorders>
              <w:top w:val="single" w:sz="4" w:space="0" w:color="auto"/>
              <w:bottom w:val="single" w:sz="4" w:space="0" w:color="auto"/>
            </w:tcBorders>
          </w:tcPr>
          <w:p w:rsidR="0045240B" w:rsidP="0045240B">
            <w:pPr>
              <w:tabs>
                <w:tab w:val="left" w:pos="540"/>
              </w:tabs>
              <w:jc w:val="both"/>
            </w:pPr>
            <w:r>
              <w:t>Článok 7</w:t>
            </w:r>
          </w:p>
          <w:p w:rsidR="00FA0C0A" w:rsidRPr="00116126" w:rsidP="0045240B">
            <w:pPr>
              <w:tabs>
                <w:tab w:val="left" w:pos="540"/>
              </w:tabs>
              <w:jc w:val="both"/>
            </w:pPr>
            <w:r w:rsidRPr="00116126">
              <w:t>Preskúmanie</w:t>
            </w:r>
          </w:p>
          <w:p w:rsidR="00FA0C0A" w:rsidRPr="00116126" w:rsidP="0045240B">
            <w:pPr>
              <w:tabs>
                <w:tab w:val="left" w:pos="540"/>
              </w:tabs>
              <w:jc w:val="both"/>
            </w:pPr>
            <w:r w:rsidRPr="00116126">
              <w:t>Komisia do 31. decembra 2014 preskúma vykonávanie tejto smernice, a najmä:</w:t>
            </w:r>
          </w:p>
          <w:p w:rsidR="00C13A41" w:rsidRPr="00DD6E7C" w:rsidP="0045240B">
            <w:pPr>
              <w:tabs>
                <w:tab w:val="left" w:pos="540"/>
              </w:tabs>
              <w:jc w:val="both"/>
              <w:rPr>
                <w:snapToGrid w:val="0"/>
              </w:rPr>
            </w:pPr>
            <w:r w:rsidRPr="00116126" w:rsidR="00FA0C0A">
              <w:t xml:space="preserve">a) hranicu </w:t>
            </w:r>
            <w:smartTag w:uri="urn:schemas-microsoft-com:office:smarttags" w:element="metricconverter">
              <w:smartTagPr>
                <w:attr w:name="ProductID" w:val="100 m3"/>
              </w:smartTagPr>
              <w:r w:rsidRPr="00116126" w:rsidR="00FA0C0A">
                <w:t>100 m</w:t>
              </w:r>
              <w:r w:rsidRPr="0045240B" w:rsidR="00FA0C0A">
                <w:rPr>
                  <w:vertAlign w:val="superscript"/>
                </w:rPr>
                <w:t>3</w:t>
              </w:r>
            </w:smartTag>
            <w:r w:rsidRPr="00116126" w:rsidR="00FA0C0A">
              <w:t xml:space="preserve"> ročne, ktorá sa uvádza v článku 3 ods. 1 písm. b) a ods. 2 písm. b) tejto smernice a v článku 6 ods. 3 smernice 94/63/ES;</w:t>
            </w:r>
          </w:p>
        </w:tc>
        <w:tc>
          <w:tcPr>
            <w:tcW w:w="851" w:type="dxa"/>
            <w:tcBorders>
              <w:top w:val="single" w:sz="4" w:space="0" w:color="auto"/>
              <w:bottom w:val="single" w:sz="4" w:space="0" w:color="auto"/>
            </w:tcBorders>
          </w:tcPr>
          <w:p w:rsidR="00C13A41" w:rsidRPr="00DD6E7C">
            <w:pPr>
              <w:jc w:val="center"/>
            </w:pPr>
            <w:r w:rsidR="0049228A">
              <w:t>n.a.</w:t>
            </w:r>
          </w:p>
        </w:tc>
        <w:tc>
          <w:tcPr>
            <w:tcW w:w="709" w:type="dxa"/>
            <w:tcBorders>
              <w:top w:val="single" w:sz="4" w:space="0" w:color="auto"/>
              <w:bottom w:val="single" w:sz="4" w:space="0" w:color="auto"/>
            </w:tcBorders>
          </w:tcPr>
          <w:p w:rsidR="00C13A41" w:rsidRPr="00DD6E7C"/>
        </w:tc>
        <w:tc>
          <w:tcPr>
            <w:tcW w:w="850" w:type="dxa"/>
            <w:tcBorders>
              <w:top w:val="single" w:sz="4" w:space="0" w:color="auto"/>
              <w:bottom w:val="single" w:sz="4" w:space="0" w:color="auto"/>
            </w:tcBorders>
          </w:tcPr>
          <w:p w:rsidR="00C13A41" w:rsidRPr="00DD6E7C"/>
        </w:tc>
        <w:tc>
          <w:tcPr>
            <w:tcW w:w="4111" w:type="dxa"/>
            <w:tcBorders>
              <w:top w:val="single" w:sz="4" w:space="0" w:color="auto"/>
              <w:bottom w:val="single" w:sz="4" w:space="0" w:color="auto"/>
            </w:tcBorders>
          </w:tcPr>
          <w:p w:rsidR="00C13A41" w:rsidRPr="0045240B" w:rsidP="0045240B">
            <w:pPr>
              <w:tabs>
                <w:tab w:val="left" w:pos="142"/>
                <w:tab w:val="left" w:pos="360"/>
              </w:tabs>
              <w:ind w:left="360" w:hanging="360"/>
              <w:jc w:val="both"/>
            </w:pPr>
          </w:p>
        </w:tc>
        <w:tc>
          <w:tcPr>
            <w:tcW w:w="709" w:type="dxa"/>
            <w:tcBorders>
              <w:top w:val="single" w:sz="4" w:space="0" w:color="auto"/>
              <w:bottom w:val="single" w:sz="4" w:space="0" w:color="auto"/>
            </w:tcBorders>
          </w:tcPr>
          <w:p w:rsidR="00C13A41" w:rsidRPr="00DD6E7C">
            <w:pPr>
              <w:jc w:val="center"/>
            </w:pPr>
            <w:r w:rsidR="00044119">
              <w:t>n.a.</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70"/>
        </w:trPr>
        <w:tc>
          <w:tcPr>
            <w:tcW w:w="779" w:type="dxa"/>
            <w:tcBorders>
              <w:top w:val="single" w:sz="4" w:space="0" w:color="auto"/>
              <w:bottom w:val="single" w:sz="4" w:space="0" w:color="auto"/>
            </w:tcBorders>
          </w:tcPr>
          <w:p w:rsidR="0045240B" w:rsidP="0045240B">
            <w:r>
              <w:t>Č7</w:t>
            </w:r>
          </w:p>
          <w:p w:rsidR="0045240B" w:rsidP="0045240B">
            <w:r>
              <w:t>Pb</w:t>
            </w:r>
          </w:p>
          <w:p w:rsidR="00C13A41" w:rsidRPr="00DD6E7C"/>
        </w:tc>
        <w:tc>
          <w:tcPr>
            <w:tcW w:w="3827" w:type="dxa"/>
            <w:tcBorders>
              <w:top w:val="single" w:sz="4" w:space="0" w:color="auto"/>
              <w:bottom w:val="single" w:sz="4" w:space="0" w:color="auto"/>
            </w:tcBorders>
          </w:tcPr>
          <w:p w:rsidR="00C13A41" w:rsidRPr="00FA0C0A" w:rsidP="00080EF5">
            <w:pPr>
              <w:tabs>
                <w:tab w:val="left" w:pos="540"/>
              </w:tabs>
            </w:pPr>
            <w:r w:rsidRPr="00116126" w:rsidR="00FA0C0A">
              <w:t>b) záznam o plnení požiadaviek týkajúcich sa prevádzky systémov II. stupňa rekuperácie benzínových pár a</w:t>
            </w:r>
          </w:p>
        </w:tc>
        <w:tc>
          <w:tcPr>
            <w:tcW w:w="851" w:type="dxa"/>
            <w:tcBorders>
              <w:top w:val="single" w:sz="4" w:space="0" w:color="auto"/>
              <w:bottom w:val="single" w:sz="4" w:space="0" w:color="auto"/>
            </w:tcBorders>
          </w:tcPr>
          <w:p w:rsidR="00C13A41" w:rsidRPr="00DD6E7C">
            <w:pPr>
              <w:jc w:val="center"/>
            </w:pPr>
            <w:r w:rsidR="0049228A">
              <w:t>n.a.</w:t>
            </w:r>
          </w:p>
        </w:tc>
        <w:tc>
          <w:tcPr>
            <w:tcW w:w="709" w:type="dxa"/>
            <w:tcBorders>
              <w:top w:val="single" w:sz="4" w:space="0" w:color="auto"/>
              <w:bottom w:val="single" w:sz="4" w:space="0" w:color="auto"/>
            </w:tcBorders>
          </w:tcPr>
          <w:p w:rsidR="00C13A41" w:rsidRPr="00DD6E7C"/>
        </w:tc>
        <w:tc>
          <w:tcPr>
            <w:tcW w:w="850" w:type="dxa"/>
            <w:tcBorders>
              <w:top w:val="single" w:sz="4" w:space="0" w:color="auto"/>
              <w:bottom w:val="single" w:sz="4" w:space="0" w:color="auto"/>
            </w:tcBorders>
          </w:tcPr>
          <w:p w:rsidR="00C13A41" w:rsidRPr="00DD6E7C"/>
        </w:tc>
        <w:tc>
          <w:tcPr>
            <w:tcW w:w="4111" w:type="dxa"/>
            <w:tcBorders>
              <w:top w:val="single" w:sz="4" w:space="0" w:color="auto"/>
              <w:bottom w:val="single" w:sz="4" w:space="0" w:color="auto"/>
            </w:tcBorders>
          </w:tcPr>
          <w:p w:rsidR="00C13A41" w:rsidRPr="001F7851">
            <w:pPr>
              <w:spacing w:line="240" w:lineRule="atLeast"/>
            </w:pPr>
          </w:p>
        </w:tc>
        <w:tc>
          <w:tcPr>
            <w:tcW w:w="709" w:type="dxa"/>
            <w:tcBorders>
              <w:top w:val="single" w:sz="4" w:space="0" w:color="auto"/>
              <w:bottom w:val="single" w:sz="4" w:space="0" w:color="auto"/>
            </w:tcBorders>
          </w:tcPr>
          <w:p w:rsidR="00C13A41" w:rsidRPr="00DD6E7C">
            <w:pPr>
              <w:jc w:val="center"/>
            </w:pPr>
            <w:r w:rsidR="00044119">
              <w:t>n.a.</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535"/>
        </w:trPr>
        <w:tc>
          <w:tcPr>
            <w:tcW w:w="779" w:type="dxa"/>
            <w:tcBorders>
              <w:top w:val="single" w:sz="4" w:space="0" w:color="auto"/>
              <w:bottom w:val="single" w:sz="4" w:space="0" w:color="auto"/>
            </w:tcBorders>
          </w:tcPr>
          <w:p w:rsidR="0045240B" w:rsidP="0045240B">
            <w:r>
              <w:t>Č7</w:t>
            </w:r>
          </w:p>
          <w:p w:rsidR="00C13A41">
            <w:r w:rsidR="0045240B">
              <w:t>Pc</w:t>
            </w:r>
          </w:p>
          <w:p w:rsidR="00FA0C0A" w:rsidRPr="00DD6E7C"/>
        </w:tc>
        <w:tc>
          <w:tcPr>
            <w:tcW w:w="3827" w:type="dxa"/>
            <w:tcBorders>
              <w:top w:val="single" w:sz="4" w:space="0" w:color="auto"/>
              <w:bottom w:val="single" w:sz="4" w:space="0" w:color="auto"/>
            </w:tcBorders>
          </w:tcPr>
          <w:p w:rsidR="00FA0C0A" w:rsidRPr="00116126" w:rsidP="0045240B">
            <w:pPr>
              <w:tabs>
                <w:tab w:val="left" w:pos="540"/>
              </w:tabs>
              <w:jc w:val="both"/>
            </w:pPr>
            <w:r>
              <w:t xml:space="preserve">c) </w:t>
            </w:r>
            <w:r w:rsidRPr="00116126">
              <w:t>potrebu automatického monitorovacieho zariadenia.</w:t>
            </w:r>
          </w:p>
          <w:p w:rsidR="00C13A41" w:rsidRPr="00DD6E7C" w:rsidP="0045240B">
            <w:pPr>
              <w:tabs>
                <w:tab w:val="left" w:pos="540"/>
              </w:tabs>
              <w:jc w:val="both"/>
            </w:pPr>
            <w:r w:rsidRPr="00116126" w:rsidR="00FA0C0A">
              <w:t>Výsledky preskúmania oznámi Európskemu parlamentu a Rade a podľa potreby priloží legislatívny návrh.</w:t>
            </w:r>
          </w:p>
        </w:tc>
        <w:tc>
          <w:tcPr>
            <w:tcW w:w="851" w:type="dxa"/>
            <w:tcBorders>
              <w:top w:val="single" w:sz="4" w:space="0" w:color="auto"/>
              <w:bottom w:val="single" w:sz="4" w:space="0" w:color="auto"/>
            </w:tcBorders>
          </w:tcPr>
          <w:p w:rsidR="00C13A41" w:rsidRPr="00DD6E7C">
            <w:pPr>
              <w:jc w:val="center"/>
            </w:pPr>
            <w:r w:rsidR="0049228A">
              <w:t>n.a.</w:t>
            </w:r>
          </w:p>
        </w:tc>
        <w:tc>
          <w:tcPr>
            <w:tcW w:w="709" w:type="dxa"/>
            <w:tcBorders>
              <w:top w:val="single" w:sz="4" w:space="0" w:color="auto"/>
              <w:bottom w:val="single" w:sz="4" w:space="0" w:color="auto"/>
            </w:tcBorders>
          </w:tcPr>
          <w:p w:rsidR="00C13A41" w:rsidRPr="00DD6E7C"/>
        </w:tc>
        <w:tc>
          <w:tcPr>
            <w:tcW w:w="850" w:type="dxa"/>
            <w:tcBorders>
              <w:top w:val="single" w:sz="4" w:space="0" w:color="auto"/>
              <w:bottom w:val="single" w:sz="4" w:space="0" w:color="auto"/>
            </w:tcBorders>
          </w:tcPr>
          <w:p w:rsidR="00C13A41" w:rsidRPr="00DD6E7C"/>
        </w:tc>
        <w:tc>
          <w:tcPr>
            <w:tcW w:w="4111" w:type="dxa"/>
            <w:tcBorders>
              <w:top w:val="single" w:sz="4" w:space="0" w:color="auto"/>
              <w:bottom w:val="single" w:sz="4" w:space="0" w:color="auto"/>
            </w:tcBorders>
          </w:tcPr>
          <w:p w:rsidR="00C13A41" w:rsidRPr="001F7851">
            <w:pPr>
              <w:spacing w:line="240" w:lineRule="atLeast"/>
              <w:ind w:left="-44" w:firstLine="44"/>
            </w:pPr>
          </w:p>
        </w:tc>
        <w:tc>
          <w:tcPr>
            <w:tcW w:w="709" w:type="dxa"/>
            <w:tcBorders>
              <w:top w:val="single" w:sz="4" w:space="0" w:color="auto"/>
              <w:bottom w:val="single" w:sz="4" w:space="0" w:color="auto"/>
            </w:tcBorders>
          </w:tcPr>
          <w:p w:rsidR="00C13A41" w:rsidRPr="00DD6E7C">
            <w:pPr>
              <w:jc w:val="center"/>
            </w:pPr>
            <w:r w:rsidR="00044119">
              <w:t>n.a.</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640"/>
        </w:trPr>
        <w:tc>
          <w:tcPr>
            <w:tcW w:w="779" w:type="dxa"/>
            <w:tcBorders>
              <w:top w:val="single" w:sz="4" w:space="0" w:color="auto"/>
              <w:bottom w:val="single" w:sz="4" w:space="0" w:color="auto"/>
            </w:tcBorders>
          </w:tcPr>
          <w:p w:rsidR="00C13A41" w:rsidRPr="00DD6E7C">
            <w:r w:rsidR="0045240B">
              <w:t>Č</w:t>
            </w:r>
            <w:r w:rsidR="00FA0C0A">
              <w:t>8</w:t>
            </w:r>
          </w:p>
          <w:p w:rsidR="00C13A41" w:rsidRPr="00DD6E7C"/>
        </w:tc>
        <w:tc>
          <w:tcPr>
            <w:tcW w:w="3827" w:type="dxa"/>
            <w:tcBorders>
              <w:top w:val="single" w:sz="4" w:space="0" w:color="auto"/>
              <w:bottom w:val="single" w:sz="4" w:space="0" w:color="auto"/>
            </w:tcBorders>
          </w:tcPr>
          <w:p w:rsidR="0045240B" w:rsidP="0045240B">
            <w:pPr>
              <w:tabs>
                <w:tab w:val="left" w:pos="540"/>
              </w:tabs>
              <w:jc w:val="both"/>
            </w:pPr>
            <w:r>
              <w:t>Článok 8</w:t>
            </w:r>
          </w:p>
          <w:p w:rsidR="00FA0C0A" w:rsidRPr="00116126" w:rsidP="0045240B">
            <w:pPr>
              <w:tabs>
                <w:tab w:val="left" w:pos="540"/>
              </w:tabs>
              <w:jc w:val="both"/>
            </w:pPr>
            <w:r w:rsidRPr="00116126">
              <w:t>Technické úpravy</w:t>
            </w:r>
          </w:p>
          <w:p w:rsidR="00C13A41" w:rsidP="0045240B">
            <w:pPr>
              <w:tabs>
                <w:tab w:val="left" w:pos="540"/>
              </w:tabs>
              <w:jc w:val="both"/>
            </w:pPr>
            <w:r w:rsidR="0045240B">
              <w:t>Komisia je splnomocnená prijímať delegované akty v súlade s článkom 8a, ktorými sa menia články 4 a 5, s cieľom prispôsobiť ich technickému pokroku tak, aby bola zaručená konzistentnosť s každou príslušnou normou, ktorú vydá Európsky výbor pre normalizáciu (CEN).</w:t>
            </w:r>
          </w:p>
          <w:p w:rsidR="0045240B" w:rsidRPr="00DD6E7C" w:rsidP="0045240B">
            <w:pPr>
              <w:tabs>
                <w:tab w:val="left" w:pos="540"/>
              </w:tabs>
              <w:jc w:val="both"/>
            </w:pPr>
            <w:r>
              <w:t>Delegovanie právomoci uvedené v prvom odseku sa nevzťahuje na účinnosť zachytávania benzínových pár a pomer pary/benzín stanovené článku 4 ani na časové rozmedzia stanovené v článku 5.</w:t>
            </w:r>
          </w:p>
        </w:tc>
        <w:tc>
          <w:tcPr>
            <w:tcW w:w="851" w:type="dxa"/>
            <w:tcBorders>
              <w:top w:val="single" w:sz="4" w:space="0" w:color="auto"/>
              <w:bottom w:val="single" w:sz="4" w:space="0" w:color="auto"/>
            </w:tcBorders>
          </w:tcPr>
          <w:p w:rsidR="00C13A41" w:rsidRPr="00DD6E7C">
            <w:pPr>
              <w:jc w:val="center"/>
            </w:pPr>
            <w:r w:rsidR="00747A0F">
              <w:t>n.a.</w:t>
            </w:r>
          </w:p>
        </w:tc>
        <w:tc>
          <w:tcPr>
            <w:tcW w:w="709" w:type="dxa"/>
            <w:tcBorders>
              <w:top w:val="single" w:sz="4" w:space="0" w:color="auto"/>
              <w:bottom w:val="single" w:sz="4" w:space="0" w:color="auto"/>
            </w:tcBorders>
          </w:tcPr>
          <w:p w:rsidR="00C13A41" w:rsidRPr="00DD6E7C"/>
        </w:tc>
        <w:tc>
          <w:tcPr>
            <w:tcW w:w="850" w:type="dxa"/>
            <w:tcBorders>
              <w:top w:val="single" w:sz="4" w:space="0" w:color="auto"/>
              <w:bottom w:val="single" w:sz="4" w:space="0" w:color="auto"/>
            </w:tcBorders>
          </w:tcPr>
          <w:p w:rsidR="00C13A41" w:rsidRPr="00DD6E7C"/>
        </w:tc>
        <w:tc>
          <w:tcPr>
            <w:tcW w:w="4111" w:type="dxa"/>
            <w:tcBorders>
              <w:top w:val="single" w:sz="4" w:space="0" w:color="auto"/>
              <w:bottom w:val="single" w:sz="4" w:space="0" w:color="auto"/>
            </w:tcBorders>
          </w:tcPr>
          <w:p w:rsidR="00C13A41" w:rsidRPr="001F7851">
            <w:pPr>
              <w:spacing w:line="240" w:lineRule="atLeast"/>
              <w:ind w:left="-44" w:firstLine="44"/>
            </w:pPr>
          </w:p>
        </w:tc>
        <w:tc>
          <w:tcPr>
            <w:tcW w:w="709" w:type="dxa"/>
            <w:tcBorders>
              <w:top w:val="single" w:sz="4" w:space="0" w:color="auto"/>
              <w:bottom w:val="single" w:sz="4" w:space="0" w:color="auto"/>
            </w:tcBorders>
          </w:tcPr>
          <w:p w:rsidR="00C13A41" w:rsidRPr="00DD6E7C">
            <w:pPr>
              <w:jc w:val="center"/>
            </w:pPr>
            <w:r w:rsidR="00044119">
              <w:t>n.a.</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323"/>
        </w:trPr>
        <w:tc>
          <w:tcPr>
            <w:tcW w:w="779" w:type="dxa"/>
            <w:tcBorders>
              <w:top w:val="single" w:sz="4" w:space="0" w:color="auto"/>
              <w:bottom w:val="single" w:sz="4" w:space="0" w:color="auto"/>
            </w:tcBorders>
          </w:tcPr>
          <w:p w:rsidR="00C13A41" w:rsidRPr="00DD6E7C">
            <w:r w:rsidR="00492FE6">
              <w:t>Č8a</w:t>
            </w:r>
          </w:p>
          <w:p w:rsidR="00FA0C0A" w:rsidRPr="00DD6E7C">
            <w:r w:rsidR="00492FE6">
              <w:t>O1</w:t>
            </w:r>
          </w:p>
        </w:tc>
        <w:tc>
          <w:tcPr>
            <w:tcW w:w="3827" w:type="dxa"/>
            <w:tcBorders>
              <w:top w:val="single" w:sz="4" w:space="0" w:color="auto"/>
              <w:bottom w:val="single" w:sz="4" w:space="0" w:color="auto"/>
            </w:tcBorders>
          </w:tcPr>
          <w:p w:rsidR="00492FE6" w:rsidP="00492FE6">
            <w:pPr>
              <w:tabs>
                <w:tab w:val="left" w:pos="540"/>
              </w:tabs>
              <w:jc w:val="both"/>
            </w:pPr>
            <w:r>
              <w:t>Článok 8a</w:t>
            </w:r>
          </w:p>
          <w:p w:rsidR="00FA0C0A" w:rsidRPr="00116126" w:rsidP="00492FE6">
            <w:pPr>
              <w:tabs>
                <w:tab w:val="left" w:pos="540"/>
              </w:tabs>
              <w:jc w:val="both"/>
            </w:pPr>
            <w:r w:rsidR="00492FE6">
              <w:t>Vykonávanie delegovania právomocí</w:t>
            </w:r>
          </w:p>
          <w:p w:rsidR="00C13A41" w:rsidRPr="00DD6E7C" w:rsidP="00492FE6">
            <w:pPr>
              <w:tabs>
                <w:tab w:val="left" w:pos="540"/>
              </w:tabs>
              <w:jc w:val="both"/>
              <w:rPr>
                <w:snapToGrid w:val="0"/>
              </w:rPr>
            </w:pPr>
            <w:r w:rsidR="00492FE6">
              <w:t>1. Komisii sa udeľuje právomoc prijímať delegované akty za podmienok stanovených v tomto článku.</w:t>
            </w:r>
          </w:p>
        </w:tc>
        <w:tc>
          <w:tcPr>
            <w:tcW w:w="851" w:type="dxa"/>
            <w:tcBorders>
              <w:top w:val="single" w:sz="4" w:space="0" w:color="auto"/>
              <w:bottom w:val="single" w:sz="4" w:space="0" w:color="auto"/>
            </w:tcBorders>
          </w:tcPr>
          <w:p w:rsidR="00C13A41" w:rsidRPr="00DD6E7C">
            <w:pPr>
              <w:jc w:val="center"/>
            </w:pPr>
            <w:r w:rsidR="0049228A">
              <w:t>n.a.</w:t>
            </w:r>
          </w:p>
        </w:tc>
        <w:tc>
          <w:tcPr>
            <w:tcW w:w="709" w:type="dxa"/>
            <w:tcBorders>
              <w:top w:val="single" w:sz="4" w:space="0" w:color="auto"/>
              <w:bottom w:val="single" w:sz="4" w:space="0" w:color="auto"/>
            </w:tcBorders>
          </w:tcPr>
          <w:p w:rsidR="00C13A41" w:rsidRPr="00DD6E7C"/>
        </w:tc>
        <w:tc>
          <w:tcPr>
            <w:tcW w:w="850" w:type="dxa"/>
            <w:tcBorders>
              <w:top w:val="single" w:sz="4" w:space="0" w:color="auto"/>
              <w:bottom w:val="single" w:sz="4" w:space="0" w:color="auto"/>
            </w:tcBorders>
          </w:tcPr>
          <w:p w:rsidR="00C13A41" w:rsidRPr="00DD6E7C"/>
        </w:tc>
        <w:tc>
          <w:tcPr>
            <w:tcW w:w="4111" w:type="dxa"/>
            <w:tcBorders>
              <w:top w:val="single" w:sz="4" w:space="0" w:color="auto"/>
              <w:bottom w:val="single" w:sz="4" w:space="0" w:color="auto"/>
            </w:tcBorders>
          </w:tcPr>
          <w:p w:rsidR="00C13A41" w:rsidRPr="001F7851" w:rsidP="00537843">
            <w:pPr>
              <w:pStyle w:val="BodyText"/>
              <w:rPr>
                <w:sz w:val="20"/>
              </w:rPr>
            </w:pPr>
          </w:p>
        </w:tc>
        <w:tc>
          <w:tcPr>
            <w:tcW w:w="709" w:type="dxa"/>
            <w:tcBorders>
              <w:top w:val="single" w:sz="4" w:space="0" w:color="auto"/>
              <w:bottom w:val="single" w:sz="4" w:space="0" w:color="auto"/>
            </w:tcBorders>
          </w:tcPr>
          <w:p w:rsidR="00C13A41" w:rsidRPr="00DD6E7C">
            <w:pPr>
              <w:jc w:val="center"/>
            </w:pPr>
            <w:r w:rsidR="00044119">
              <w:t>n.a.</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200"/>
        </w:trPr>
        <w:tc>
          <w:tcPr>
            <w:tcW w:w="779" w:type="dxa"/>
            <w:tcBorders>
              <w:top w:val="single" w:sz="4" w:space="0" w:color="auto"/>
              <w:bottom w:val="single" w:sz="4" w:space="0" w:color="auto"/>
            </w:tcBorders>
          </w:tcPr>
          <w:p w:rsidR="00492FE6" w:rsidRPr="00DD6E7C" w:rsidP="00492FE6">
            <w:r>
              <w:t>Č8a</w:t>
            </w:r>
          </w:p>
          <w:p w:rsidR="00C13A41" w:rsidRPr="00DD6E7C" w:rsidP="00492FE6">
            <w:r w:rsidR="00492FE6">
              <w:t>O2</w:t>
            </w:r>
          </w:p>
        </w:tc>
        <w:tc>
          <w:tcPr>
            <w:tcW w:w="3827" w:type="dxa"/>
            <w:tcBorders>
              <w:top w:val="single" w:sz="4" w:space="0" w:color="auto"/>
              <w:bottom w:val="single" w:sz="4" w:space="0" w:color="auto"/>
            </w:tcBorders>
          </w:tcPr>
          <w:p w:rsidR="00C13A41" w:rsidRPr="00DD6E7C" w:rsidP="00492FE6">
            <w:pPr>
              <w:tabs>
                <w:tab w:val="left" w:pos="540"/>
              </w:tabs>
              <w:jc w:val="both"/>
            </w:pPr>
            <w:r w:rsidRPr="00116126" w:rsidR="00FA0C0A">
              <w:t xml:space="preserve">2. </w:t>
            </w:r>
            <w:r w:rsidR="00492FE6">
              <w:t>Právomoc prijímať delegované akty uvedené v článku 8 sa Komisii udeľuje na obdobie piatich rokov od 26. júla 2019. Komisia vypracuje správu týkajúcu sa delegovania právomoci najneskôr deväť mesiacov pred uplynutím tohto päťroč ného obdobia. Delegovanie právomoci sa automaticky predlžuje o rovnako dlhé obdobia, pokiaľ Európsky parlament alebo Rada nevznesú voči takémuto predĺženiu námietku najneskôr tri mesiace pred koncom každého obdobia.</w:t>
            </w:r>
          </w:p>
        </w:tc>
        <w:tc>
          <w:tcPr>
            <w:tcW w:w="851" w:type="dxa"/>
            <w:tcBorders>
              <w:top w:val="single" w:sz="4" w:space="0" w:color="auto"/>
              <w:bottom w:val="single" w:sz="4" w:space="0" w:color="auto"/>
            </w:tcBorders>
          </w:tcPr>
          <w:p w:rsidR="00C13A41" w:rsidRPr="00DD6E7C">
            <w:pPr>
              <w:jc w:val="center"/>
            </w:pPr>
            <w:r w:rsidR="0049228A">
              <w:t>n.a.</w:t>
            </w:r>
          </w:p>
        </w:tc>
        <w:tc>
          <w:tcPr>
            <w:tcW w:w="709" w:type="dxa"/>
            <w:tcBorders>
              <w:top w:val="single" w:sz="4" w:space="0" w:color="auto"/>
              <w:bottom w:val="single" w:sz="4" w:space="0" w:color="auto"/>
            </w:tcBorders>
          </w:tcPr>
          <w:p w:rsidR="00C13A41" w:rsidRPr="00DD6E7C"/>
        </w:tc>
        <w:tc>
          <w:tcPr>
            <w:tcW w:w="850" w:type="dxa"/>
            <w:tcBorders>
              <w:top w:val="single" w:sz="4" w:space="0" w:color="auto"/>
              <w:bottom w:val="single" w:sz="4" w:space="0" w:color="auto"/>
            </w:tcBorders>
          </w:tcPr>
          <w:p w:rsidR="00C13A41" w:rsidRPr="00DD6E7C"/>
        </w:tc>
        <w:tc>
          <w:tcPr>
            <w:tcW w:w="4111" w:type="dxa"/>
            <w:tcBorders>
              <w:top w:val="single" w:sz="4" w:space="0" w:color="auto"/>
              <w:bottom w:val="single" w:sz="4" w:space="0" w:color="auto"/>
            </w:tcBorders>
          </w:tcPr>
          <w:p w:rsidR="00C13A41" w:rsidRPr="001F7851">
            <w:pPr>
              <w:spacing w:line="240" w:lineRule="atLeast"/>
              <w:ind w:left="-44" w:firstLine="44"/>
            </w:pPr>
          </w:p>
        </w:tc>
        <w:tc>
          <w:tcPr>
            <w:tcW w:w="709" w:type="dxa"/>
            <w:tcBorders>
              <w:top w:val="single" w:sz="4" w:space="0" w:color="auto"/>
              <w:bottom w:val="single" w:sz="4" w:space="0" w:color="auto"/>
            </w:tcBorders>
          </w:tcPr>
          <w:p w:rsidR="00C13A41" w:rsidRPr="00DD6E7C">
            <w:pPr>
              <w:jc w:val="center"/>
            </w:pPr>
            <w:r w:rsidR="00044119">
              <w:t>n.a.</w:t>
            </w:r>
          </w:p>
        </w:tc>
        <w:tc>
          <w:tcPr>
            <w:tcW w:w="2268" w:type="dxa"/>
            <w:tcBorders>
              <w:top w:val="single" w:sz="4" w:space="0" w:color="auto"/>
              <w:bottom w:val="single" w:sz="4" w:space="0" w:color="auto"/>
              <w:right w:val="single" w:sz="4" w:space="0" w:color="auto"/>
            </w:tcBorders>
          </w:tcPr>
          <w:p w:rsidR="00C13A41" w:rsidRPr="00DD6E7C" w:rsidP="00C13A41">
            <w:pPr>
              <w:jc w:val="both"/>
            </w:pPr>
          </w:p>
        </w:tc>
      </w:tr>
      <w:tr w:rsidTr="00C516DC">
        <w:tblPrEx>
          <w:tblW w:w="0" w:type="auto"/>
          <w:tblLayout w:type="fixed"/>
          <w:tblCellMar>
            <w:left w:w="70" w:type="dxa"/>
            <w:right w:w="70" w:type="dxa"/>
          </w:tblCellMar>
          <w:tblLook w:val="00A7"/>
        </w:tblPrEx>
        <w:trPr>
          <w:cantSplit/>
          <w:trHeight w:val="1200"/>
        </w:trPr>
        <w:tc>
          <w:tcPr>
            <w:tcW w:w="779" w:type="dxa"/>
            <w:tcBorders>
              <w:top w:val="single" w:sz="4" w:space="0" w:color="auto"/>
              <w:bottom w:val="single" w:sz="4" w:space="0" w:color="auto"/>
            </w:tcBorders>
          </w:tcPr>
          <w:p w:rsidR="00492FE6" w:rsidRPr="00DD6E7C" w:rsidP="00492FE6">
            <w:r>
              <w:t>Č8a</w:t>
            </w:r>
          </w:p>
          <w:p w:rsidR="00492FE6" w:rsidP="00492FE6">
            <w:r>
              <w:t>O3</w:t>
            </w:r>
          </w:p>
        </w:tc>
        <w:tc>
          <w:tcPr>
            <w:tcW w:w="3827" w:type="dxa"/>
            <w:tcBorders>
              <w:top w:val="single" w:sz="4" w:space="0" w:color="auto"/>
              <w:bottom w:val="single" w:sz="4" w:space="0" w:color="auto"/>
            </w:tcBorders>
          </w:tcPr>
          <w:p w:rsidR="00492FE6" w:rsidRPr="00116126" w:rsidP="00492FE6">
            <w:pPr>
              <w:tabs>
                <w:tab w:val="left" w:pos="540"/>
              </w:tabs>
              <w:jc w:val="both"/>
            </w:pPr>
            <w:r>
              <w:t>3. Delegovanie právomoci uvedené v článku 8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tc>
        <w:tc>
          <w:tcPr>
            <w:tcW w:w="851" w:type="dxa"/>
            <w:tcBorders>
              <w:top w:val="single" w:sz="4" w:space="0" w:color="auto"/>
              <w:bottom w:val="single" w:sz="4" w:space="0" w:color="auto"/>
            </w:tcBorders>
          </w:tcPr>
          <w:p w:rsidR="00492FE6">
            <w:pPr>
              <w:jc w:val="center"/>
            </w:pPr>
            <w:r>
              <w:t>n.a.</w:t>
            </w:r>
          </w:p>
        </w:tc>
        <w:tc>
          <w:tcPr>
            <w:tcW w:w="709" w:type="dxa"/>
            <w:tcBorders>
              <w:top w:val="single" w:sz="4" w:space="0" w:color="auto"/>
              <w:bottom w:val="single" w:sz="4" w:space="0" w:color="auto"/>
            </w:tcBorders>
          </w:tcPr>
          <w:p w:rsidR="00492FE6" w:rsidRPr="00DD6E7C"/>
        </w:tc>
        <w:tc>
          <w:tcPr>
            <w:tcW w:w="850" w:type="dxa"/>
            <w:tcBorders>
              <w:top w:val="single" w:sz="4" w:space="0" w:color="auto"/>
              <w:bottom w:val="single" w:sz="4" w:space="0" w:color="auto"/>
            </w:tcBorders>
          </w:tcPr>
          <w:p w:rsidR="00492FE6" w:rsidRPr="00DD6E7C"/>
        </w:tc>
        <w:tc>
          <w:tcPr>
            <w:tcW w:w="4111" w:type="dxa"/>
            <w:tcBorders>
              <w:top w:val="single" w:sz="4" w:space="0" w:color="auto"/>
              <w:bottom w:val="single" w:sz="4" w:space="0" w:color="auto"/>
            </w:tcBorders>
          </w:tcPr>
          <w:p w:rsidR="00492FE6" w:rsidRPr="001F7851">
            <w:pPr>
              <w:spacing w:line="240" w:lineRule="atLeast"/>
              <w:ind w:left="-44" w:firstLine="44"/>
            </w:pPr>
          </w:p>
        </w:tc>
        <w:tc>
          <w:tcPr>
            <w:tcW w:w="709" w:type="dxa"/>
            <w:tcBorders>
              <w:top w:val="single" w:sz="4" w:space="0" w:color="auto"/>
              <w:bottom w:val="single" w:sz="4" w:space="0" w:color="auto"/>
            </w:tcBorders>
          </w:tcPr>
          <w:p w:rsidR="00492FE6" w:rsidRPr="00DD6E7C">
            <w:pPr>
              <w:jc w:val="center"/>
            </w:pPr>
            <w:r w:rsidR="00044119">
              <w:t>n.a.</w:t>
            </w:r>
          </w:p>
        </w:tc>
        <w:tc>
          <w:tcPr>
            <w:tcW w:w="2268" w:type="dxa"/>
            <w:tcBorders>
              <w:top w:val="single" w:sz="4" w:space="0" w:color="auto"/>
              <w:bottom w:val="single" w:sz="4" w:space="0" w:color="auto"/>
              <w:right w:val="single" w:sz="4" w:space="0" w:color="auto"/>
            </w:tcBorders>
          </w:tcPr>
          <w:p w:rsidR="00492FE6" w:rsidRPr="00DD6E7C" w:rsidP="00C13A41">
            <w:pPr>
              <w:jc w:val="both"/>
            </w:pPr>
          </w:p>
        </w:tc>
      </w:tr>
      <w:tr w:rsidTr="00C516DC">
        <w:tblPrEx>
          <w:tblW w:w="0" w:type="auto"/>
          <w:tblLayout w:type="fixed"/>
          <w:tblCellMar>
            <w:left w:w="70" w:type="dxa"/>
            <w:right w:w="70" w:type="dxa"/>
          </w:tblCellMar>
          <w:tblLook w:val="00A7"/>
        </w:tblPrEx>
        <w:trPr>
          <w:cantSplit/>
          <w:trHeight w:val="1200"/>
        </w:trPr>
        <w:tc>
          <w:tcPr>
            <w:tcW w:w="779" w:type="dxa"/>
            <w:tcBorders>
              <w:top w:val="single" w:sz="4" w:space="0" w:color="auto"/>
              <w:bottom w:val="single" w:sz="4" w:space="0" w:color="auto"/>
            </w:tcBorders>
          </w:tcPr>
          <w:p w:rsidR="00492FE6" w:rsidRPr="00DD6E7C" w:rsidP="00492FE6">
            <w:r>
              <w:t>Č8a</w:t>
            </w:r>
          </w:p>
          <w:p w:rsidR="00492FE6" w:rsidP="00492FE6">
            <w:r>
              <w:t>O4</w:t>
            </w:r>
          </w:p>
        </w:tc>
        <w:tc>
          <w:tcPr>
            <w:tcW w:w="3827" w:type="dxa"/>
            <w:tcBorders>
              <w:top w:val="single" w:sz="4" w:space="0" w:color="auto"/>
              <w:bottom w:val="single" w:sz="4" w:space="0" w:color="auto"/>
            </w:tcBorders>
          </w:tcPr>
          <w:p w:rsidR="00492FE6" w:rsidRPr="00116126" w:rsidP="00492FE6">
            <w:pPr>
              <w:tabs>
                <w:tab w:val="left" w:pos="540"/>
              </w:tabs>
              <w:jc w:val="both"/>
            </w:pPr>
            <w:r>
              <w:t>4. Komisia pred prijatím delegovaného aktu konzultuje s odborníkmi určenými jednotlivými členskými štátmi v súlade so zásadami stanovenými v Medziinštitucionálnej dohode z 13. apríla 2016 o lepšej tvorbe práva (</w:t>
            </w:r>
            <w:r w:rsidRPr="00492FE6">
              <w:rPr>
                <w:sz w:val="15"/>
                <w:szCs w:val="15"/>
                <w:vertAlign w:val="superscript"/>
              </w:rPr>
              <w:t>1</w:t>
            </w:r>
            <w:r>
              <w:t>).</w:t>
            </w:r>
          </w:p>
        </w:tc>
        <w:tc>
          <w:tcPr>
            <w:tcW w:w="851" w:type="dxa"/>
            <w:tcBorders>
              <w:top w:val="single" w:sz="4" w:space="0" w:color="auto"/>
              <w:bottom w:val="single" w:sz="4" w:space="0" w:color="auto"/>
            </w:tcBorders>
          </w:tcPr>
          <w:p w:rsidR="00492FE6">
            <w:pPr>
              <w:jc w:val="center"/>
            </w:pPr>
            <w:r>
              <w:t>n.a.</w:t>
            </w:r>
          </w:p>
        </w:tc>
        <w:tc>
          <w:tcPr>
            <w:tcW w:w="709" w:type="dxa"/>
            <w:tcBorders>
              <w:top w:val="single" w:sz="4" w:space="0" w:color="auto"/>
              <w:bottom w:val="single" w:sz="4" w:space="0" w:color="auto"/>
            </w:tcBorders>
          </w:tcPr>
          <w:p w:rsidR="00492FE6" w:rsidRPr="00DD6E7C"/>
        </w:tc>
        <w:tc>
          <w:tcPr>
            <w:tcW w:w="850" w:type="dxa"/>
            <w:tcBorders>
              <w:top w:val="single" w:sz="4" w:space="0" w:color="auto"/>
              <w:bottom w:val="single" w:sz="4" w:space="0" w:color="auto"/>
            </w:tcBorders>
          </w:tcPr>
          <w:p w:rsidR="00492FE6" w:rsidRPr="00DD6E7C"/>
        </w:tc>
        <w:tc>
          <w:tcPr>
            <w:tcW w:w="4111" w:type="dxa"/>
            <w:tcBorders>
              <w:top w:val="single" w:sz="4" w:space="0" w:color="auto"/>
              <w:bottom w:val="single" w:sz="4" w:space="0" w:color="auto"/>
            </w:tcBorders>
          </w:tcPr>
          <w:p w:rsidR="00492FE6" w:rsidRPr="001F7851">
            <w:pPr>
              <w:spacing w:line="240" w:lineRule="atLeast"/>
              <w:ind w:left="-44" w:firstLine="44"/>
            </w:pPr>
          </w:p>
        </w:tc>
        <w:tc>
          <w:tcPr>
            <w:tcW w:w="709" w:type="dxa"/>
            <w:tcBorders>
              <w:top w:val="single" w:sz="4" w:space="0" w:color="auto"/>
              <w:bottom w:val="single" w:sz="4" w:space="0" w:color="auto"/>
            </w:tcBorders>
          </w:tcPr>
          <w:p w:rsidR="00492FE6" w:rsidRPr="00DD6E7C">
            <w:pPr>
              <w:jc w:val="center"/>
            </w:pPr>
            <w:r w:rsidR="00044119">
              <w:t>n.a.</w:t>
            </w:r>
          </w:p>
        </w:tc>
        <w:tc>
          <w:tcPr>
            <w:tcW w:w="2268" w:type="dxa"/>
            <w:tcBorders>
              <w:top w:val="single" w:sz="4" w:space="0" w:color="auto"/>
              <w:bottom w:val="single" w:sz="4" w:space="0" w:color="auto"/>
              <w:right w:val="single" w:sz="4" w:space="0" w:color="auto"/>
            </w:tcBorders>
          </w:tcPr>
          <w:p w:rsidR="00492FE6" w:rsidRPr="00DD6E7C" w:rsidP="00C13A41">
            <w:pPr>
              <w:jc w:val="both"/>
            </w:pPr>
          </w:p>
        </w:tc>
      </w:tr>
      <w:tr w:rsidTr="00C516DC">
        <w:tblPrEx>
          <w:tblW w:w="0" w:type="auto"/>
          <w:tblLayout w:type="fixed"/>
          <w:tblCellMar>
            <w:left w:w="70" w:type="dxa"/>
            <w:right w:w="70" w:type="dxa"/>
          </w:tblCellMar>
          <w:tblLook w:val="00A7"/>
        </w:tblPrEx>
        <w:trPr>
          <w:cantSplit/>
          <w:trHeight w:val="766"/>
        </w:trPr>
        <w:tc>
          <w:tcPr>
            <w:tcW w:w="779" w:type="dxa"/>
            <w:tcBorders>
              <w:top w:val="single" w:sz="4" w:space="0" w:color="auto"/>
              <w:bottom w:val="single" w:sz="4" w:space="0" w:color="auto"/>
            </w:tcBorders>
          </w:tcPr>
          <w:p w:rsidR="00492FE6" w:rsidRPr="00DD6E7C" w:rsidP="00492FE6">
            <w:r>
              <w:t>Č8a</w:t>
            </w:r>
          </w:p>
          <w:p w:rsidR="00492FE6" w:rsidP="00492FE6">
            <w:r>
              <w:t>O5</w:t>
            </w:r>
          </w:p>
        </w:tc>
        <w:tc>
          <w:tcPr>
            <w:tcW w:w="3827" w:type="dxa"/>
            <w:tcBorders>
              <w:top w:val="single" w:sz="4" w:space="0" w:color="auto"/>
              <w:bottom w:val="single" w:sz="4" w:space="0" w:color="auto"/>
            </w:tcBorders>
          </w:tcPr>
          <w:p w:rsidR="00492FE6" w:rsidRPr="00116126" w:rsidP="00492FE6">
            <w:pPr>
              <w:tabs>
                <w:tab w:val="left" w:pos="540"/>
              </w:tabs>
              <w:jc w:val="both"/>
            </w:pPr>
            <w:r>
              <w:t>5. Komisia oznamuje delegovaný akt hneď po prijatí súčasne Európskemu parlamentu a Rade.</w:t>
            </w:r>
          </w:p>
        </w:tc>
        <w:tc>
          <w:tcPr>
            <w:tcW w:w="851" w:type="dxa"/>
            <w:tcBorders>
              <w:top w:val="single" w:sz="4" w:space="0" w:color="auto"/>
              <w:bottom w:val="single" w:sz="4" w:space="0" w:color="auto"/>
            </w:tcBorders>
          </w:tcPr>
          <w:p w:rsidR="00492FE6">
            <w:pPr>
              <w:jc w:val="center"/>
            </w:pPr>
            <w:r>
              <w:t>n.a.</w:t>
            </w:r>
          </w:p>
        </w:tc>
        <w:tc>
          <w:tcPr>
            <w:tcW w:w="709" w:type="dxa"/>
            <w:tcBorders>
              <w:top w:val="single" w:sz="4" w:space="0" w:color="auto"/>
              <w:bottom w:val="single" w:sz="4" w:space="0" w:color="auto"/>
            </w:tcBorders>
          </w:tcPr>
          <w:p w:rsidR="00492FE6" w:rsidRPr="00DD6E7C"/>
        </w:tc>
        <w:tc>
          <w:tcPr>
            <w:tcW w:w="850" w:type="dxa"/>
            <w:tcBorders>
              <w:top w:val="single" w:sz="4" w:space="0" w:color="auto"/>
              <w:bottom w:val="single" w:sz="4" w:space="0" w:color="auto"/>
            </w:tcBorders>
          </w:tcPr>
          <w:p w:rsidR="00492FE6" w:rsidRPr="00DD6E7C"/>
        </w:tc>
        <w:tc>
          <w:tcPr>
            <w:tcW w:w="4111" w:type="dxa"/>
            <w:tcBorders>
              <w:top w:val="single" w:sz="4" w:space="0" w:color="auto"/>
              <w:bottom w:val="single" w:sz="4" w:space="0" w:color="auto"/>
            </w:tcBorders>
          </w:tcPr>
          <w:p w:rsidR="00492FE6" w:rsidRPr="001F7851">
            <w:pPr>
              <w:spacing w:line="240" w:lineRule="atLeast"/>
              <w:ind w:left="-44" w:firstLine="44"/>
            </w:pPr>
          </w:p>
        </w:tc>
        <w:tc>
          <w:tcPr>
            <w:tcW w:w="709" w:type="dxa"/>
            <w:tcBorders>
              <w:top w:val="single" w:sz="4" w:space="0" w:color="auto"/>
              <w:bottom w:val="single" w:sz="4" w:space="0" w:color="auto"/>
            </w:tcBorders>
          </w:tcPr>
          <w:p w:rsidR="00492FE6" w:rsidRPr="00DD6E7C">
            <w:pPr>
              <w:jc w:val="center"/>
            </w:pPr>
            <w:r w:rsidR="00044119">
              <w:t>n.a.</w:t>
            </w:r>
          </w:p>
        </w:tc>
        <w:tc>
          <w:tcPr>
            <w:tcW w:w="2268" w:type="dxa"/>
            <w:tcBorders>
              <w:top w:val="single" w:sz="4" w:space="0" w:color="auto"/>
              <w:bottom w:val="single" w:sz="4" w:space="0" w:color="auto"/>
              <w:right w:val="single" w:sz="4" w:space="0" w:color="auto"/>
            </w:tcBorders>
          </w:tcPr>
          <w:p w:rsidR="00492FE6" w:rsidRPr="00DD6E7C" w:rsidP="00C13A41">
            <w:pPr>
              <w:jc w:val="both"/>
            </w:pPr>
          </w:p>
        </w:tc>
      </w:tr>
      <w:tr w:rsidTr="00C516DC">
        <w:tblPrEx>
          <w:tblW w:w="0" w:type="auto"/>
          <w:tblLayout w:type="fixed"/>
          <w:tblCellMar>
            <w:left w:w="70" w:type="dxa"/>
            <w:right w:w="70" w:type="dxa"/>
          </w:tblCellMar>
          <w:tblLook w:val="00A7"/>
        </w:tblPrEx>
        <w:trPr>
          <w:cantSplit/>
          <w:trHeight w:val="1200"/>
        </w:trPr>
        <w:tc>
          <w:tcPr>
            <w:tcW w:w="779" w:type="dxa"/>
            <w:tcBorders>
              <w:top w:val="single" w:sz="4" w:space="0" w:color="auto"/>
              <w:bottom w:val="single" w:sz="4" w:space="0" w:color="auto"/>
            </w:tcBorders>
          </w:tcPr>
          <w:p w:rsidR="00492FE6" w:rsidRPr="00DD6E7C" w:rsidP="00492FE6">
            <w:r>
              <w:t>Č8a</w:t>
            </w:r>
          </w:p>
          <w:p w:rsidR="00492FE6" w:rsidP="00492FE6">
            <w:r>
              <w:t>O6</w:t>
            </w:r>
          </w:p>
        </w:tc>
        <w:tc>
          <w:tcPr>
            <w:tcW w:w="3827" w:type="dxa"/>
            <w:tcBorders>
              <w:top w:val="single" w:sz="4" w:space="0" w:color="auto"/>
              <w:bottom w:val="single" w:sz="4" w:space="0" w:color="auto"/>
            </w:tcBorders>
          </w:tcPr>
          <w:p w:rsidR="00492FE6" w:rsidRPr="00116126" w:rsidP="00492FE6">
            <w:pPr>
              <w:tabs>
                <w:tab w:val="left" w:pos="540"/>
              </w:tabs>
              <w:jc w:val="both"/>
            </w:pPr>
            <w:r>
              <w:t>6. Delegovaný akt prijatý podľa článku 8 nadobudne účinnosť, len ak Európsky parlament alebo Rada voči nemu nevzniesli námietku v lehote dvoch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dva mesiace.</w:t>
            </w:r>
          </w:p>
        </w:tc>
        <w:tc>
          <w:tcPr>
            <w:tcW w:w="851" w:type="dxa"/>
            <w:tcBorders>
              <w:top w:val="single" w:sz="4" w:space="0" w:color="auto"/>
              <w:bottom w:val="single" w:sz="4" w:space="0" w:color="auto"/>
            </w:tcBorders>
          </w:tcPr>
          <w:p w:rsidR="00492FE6">
            <w:pPr>
              <w:jc w:val="center"/>
            </w:pPr>
            <w:r>
              <w:t>n.a.</w:t>
            </w:r>
          </w:p>
        </w:tc>
        <w:tc>
          <w:tcPr>
            <w:tcW w:w="709" w:type="dxa"/>
            <w:tcBorders>
              <w:top w:val="single" w:sz="4" w:space="0" w:color="auto"/>
              <w:bottom w:val="single" w:sz="4" w:space="0" w:color="auto"/>
            </w:tcBorders>
          </w:tcPr>
          <w:p w:rsidR="00492FE6" w:rsidRPr="00DD6E7C"/>
        </w:tc>
        <w:tc>
          <w:tcPr>
            <w:tcW w:w="850" w:type="dxa"/>
            <w:tcBorders>
              <w:top w:val="single" w:sz="4" w:space="0" w:color="auto"/>
              <w:bottom w:val="single" w:sz="4" w:space="0" w:color="auto"/>
            </w:tcBorders>
          </w:tcPr>
          <w:p w:rsidR="00492FE6" w:rsidRPr="00DD6E7C"/>
        </w:tc>
        <w:tc>
          <w:tcPr>
            <w:tcW w:w="4111" w:type="dxa"/>
            <w:tcBorders>
              <w:top w:val="single" w:sz="4" w:space="0" w:color="auto"/>
              <w:bottom w:val="single" w:sz="4" w:space="0" w:color="auto"/>
            </w:tcBorders>
          </w:tcPr>
          <w:p w:rsidR="00492FE6" w:rsidRPr="001F7851">
            <w:pPr>
              <w:spacing w:line="240" w:lineRule="atLeast"/>
              <w:ind w:left="-44" w:firstLine="44"/>
            </w:pPr>
          </w:p>
        </w:tc>
        <w:tc>
          <w:tcPr>
            <w:tcW w:w="709" w:type="dxa"/>
            <w:tcBorders>
              <w:top w:val="single" w:sz="4" w:space="0" w:color="auto"/>
              <w:bottom w:val="single" w:sz="4" w:space="0" w:color="auto"/>
            </w:tcBorders>
          </w:tcPr>
          <w:p w:rsidR="00492FE6" w:rsidRPr="00DD6E7C">
            <w:pPr>
              <w:jc w:val="center"/>
            </w:pPr>
            <w:r w:rsidR="00044119">
              <w:t>n.a.</w:t>
            </w:r>
          </w:p>
        </w:tc>
        <w:tc>
          <w:tcPr>
            <w:tcW w:w="2268" w:type="dxa"/>
            <w:tcBorders>
              <w:top w:val="single" w:sz="4" w:space="0" w:color="auto"/>
              <w:bottom w:val="single" w:sz="4" w:space="0" w:color="auto"/>
              <w:right w:val="single" w:sz="4" w:space="0" w:color="auto"/>
            </w:tcBorders>
          </w:tcPr>
          <w:p w:rsidR="00492FE6" w:rsidRPr="00DD6E7C" w:rsidP="00C13A41">
            <w:pPr>
              <w:jc w:val="both"/>
            </w:pPr>
          </w:p>
        </w:tc>
      </w:tr>
      <w:tr w:rsidTr="00C516DC">
        <w:tblPrEx>
          <w:tblW w:w="0" w:type="auto"/>
          <w:tblLayout w:type="fixed"/>
          <w:tblCellMar>
            <w:left w:w="70" w:type="dxa"/>
            <w:right w:w="70" w:type="dxa"/>
          </w:tblCellMar>
          <w:tblLook w:val="00A7"/>
        </w:tblPrEx>
        <w:trPr>
          <w:cantSplit/>
          <w:trHeight w:val="1260"/>
        </w:trPr>
        <w:tc>
          <w:tcPr>
            <w:tcW w:w="779" w:type="dxa"/>
            <w:tcBorders>
              <w:top w:val="single" w:sz="4" w:space="0" w:color="auto"/>
              <w:bottom w:val="single" w:sz="4" w:space="0" w:color="auto"/>
            </w:tcBorders>
          </w:tcPr>
          <w:p w:rsidR="00F40087" w:rsidP="00F40087">
            <w:r>
              <w:t>Č10</w:t>
            </w:r>
          </w:p>
          <w:p w:rsidR="00F40087" w:rsidRPr="00DD6E7C" w:rsidP="00F40087">
            <w:r>
              <w:t>O1</w:t>
            </w:r>
          </w:p>
        </w:tc>
        <w:tc>
          <w:tcPr>
            <w:tcW w:w="3827" w:type="dxa"/>
            <w:tcBorders>
              <w:top w:val="single" w:sz="4" w:space="0" w:color="auto"/>
              <w:bottom w:val="single" w:sz="4" w:space="0" w:color="auto"/>
            </w:tcBorders>
          </w:tcPr>
          <w:p w:rsidR="00F40087" w:rsidP="00F40087">
            <w:pPr>
              <w:tabs>
                <w:tab w:val="left" w:pos="540"/>
              </w:tabs>
              <w:jc w:val="both"/>
            </w:pPr>
            <w:r>
              <w:t>Článok 10</w:t>
            </w:r>
          </w:p>
          <w:p w:rsidR="00F40087" w:rsidRPr="00116126" w:rsidP="00F40087">
            <w:pPr>
              <w:tabs>
                <w:tab w:val="left" w:pos="540"/>
              </w:tabs>
              <w:jc w:val="both"/>
            </w:pPr>
            <w:r w:rsidRPr="00116126">
              <w:t>Transpozícia</w:t>
            </w:r>
          </w:p>
          <w:p w:rsidR="00F40087" w:rsidP="00F40087">
            <w:pPr>
              <w:tabs>
                <w:tab w:val="left" w:pos="540"/>
              </w:tabs>
              <w:jc w:val="both"/>
            </w:pPr>
            <w:r w:rsidRPr="00116126">
              <w:t>1. Členské štáty uvedú do účinnosti zákony, iné právne predpisy a správne opatrenia potrebné na dosiahnutie súladu s touto smernicou pred 1. januárom 2012. Komisii bezodkladne oznámia znenie týchto opatrení.</w:t>
            </w:r>
          </w:p>
          <w:p w:rsidR="00F40087" w:rsidRPr="00DD6E7C" w:rsidP="00F40087">
            <w:pPr>
              <w:tabs>
                <w:tab w:val="left" w:pos="540"/>
              </w:tabs>
              <w:jc w:val="both"/>
            </w:pPr>
            <w:r w:rsidRPr="00116126">
              <w:t>Členské štáty uvedú priamo v prijatých opatreniach alebo pri ich úradnom uverejnení odkaz na túto smernicu. Podrobnosti o odkaze upravia členské štáty.</w:t>
            </w:r>
          </w:p>
        </w:tc>
        <w:tc>
          <w:tcPr>
            <w:tcW w:w="851" w:type="dxa"/>
            <w:tcBorders>
              <w:top w:val="single" w:sz="4" w:space="0" w:color="auto"/>
              <w:bottom w:val="single" w:sz="4" w:space="0" w:color="auto"/>
            </w:tcBorders>
          </w:tcPr>
          <w:p w:rsidR="00F40087" w:rsidRPr="00DD6E7C" w:rsidP="00F40087">
            <w:pPr>
              <w:jc w:val="center"/>
            </w:pPr>
            <w:r w:rsidRPr="00DD6E7C">
              <w:t>N</w:t>
            </w:r>
          </w:p>
        </w:tc>
        <w:tc>
          <w:tcPr>
            <w:tcW w:w="709" w:type="dxa"/>
            <w:tcBorders>
              <w:top w:val="single" w:sz="4" w:space="0" w:color="auto"/>
              <w:bottom w:val="single" w:sz="4" w:space="0" w:color="auto"/>
            </w:tcBorders>
          </w:tcPr>
          <w:p w:rsidR="00F40087" w:rsidP="00F40087">
            <w:r>
              <w:t>NZ</w:t>
            </w:r>
          </w:p>
          <w:p w:rsidR="00F40087" w:rsidP="00F40087"/>
          <w:p w:rsidR="00F40087" w:rsidP="00F40087"/>
          <w:p w:rsidR="00F40087" w:rsidP="00F40087"/>
          <w:p w:rsidR="00F40087" w:rsidP="00F40087"/>
          <w:p w:rsidR="00F40087" w:rsidP="00F40087"/>
          <w:p w:rsidR="00F40087" w:rsidP="00F40087"/>
          <w:p w:rsidR="00F40087" w:rsidP="00F40087"/>
          <w:p w:rsidR="00F40087" w:rsidP="00F40087"/>
          <w:p w:rsidR="00F40087" w:rsidP="00F40087"/>
          <w:p w:rsidR="00F40087" w:rsidP="00F40087"/>
          <w:p w:rsidR="00F40087" w:rsidP="00F40087"/>
          <w:p w:rsidR="00F40087" w:rsidP="00F40087"/>
          <w:p w:rsidR="00801764" w:rsidP="00F40087"/>
          <w:p w:rsidR="00801764" w:rsidP="00F40087"/>
          <w:p w:rsidR="00801764" w:rsidP="00F40087"/>
          <w:p w:rsidR="00801764" w:rsidP="00F40087"/>
          <w:p w:rsidR="00801764" w:rsidP="00F40087"/>
          <w:p w:rsidR="00801764" w:rsidP="00F40087"/>
          <w:p w:rsidR="00F40087" w:rsidP="00F40087"/>
          <w:p w:rsidR="00F40087" w:rsidRPr="00DD6E7C" w:rsidP="00F40087">
            <w:r>
              <w:t>NV</w:t>
            </w:r>
          </w:p>
        </w:tc>
        <w:tc>
          <w:tcPr>
            <w:tcW w:w="850" w:type="dxa"/>
            <w:tcBorders>
              <w:top w:val="single" w:sz="4" w:space="0" w:color="auto"/>
              <w:bottom w:val="single" w:sz="4" w:space="0" w:color="auto"/>
            </w:tcBorders>
          </w:tcPr>
          <w:p w:rsidR="00801764" w:rsidP="00F40087">
            <w:r>
              <w:t>§ 64</w:t>
            </w:r>
          </w:p>
          <w:p w:rsidR="00801764" w:rsidP="00F40087">
            <w:r>
              <w:t>O1</w:t>
            </w:r>
          </w:p>
          <w:p w:rsidR="00801764" w:rsidP="00F40087"/>
          <w:p w:rsidR="00801764" w:rsidP="00F40087"/>
          <w:p w:rsidR="00801764" w:rsidP="00F40087"/>
          <w:p w:rsidR="00801764" w:rsidP="00F40087"/>
          <w:p w:rsidR="00F40087" w:rsidP="00F40087">
            <w:r w:rsidR="00475FC0">
              <w:t>P</w:t>
            </w:r>
            <w:r w:rsidRPr="00DD6E7C">
              <w:t>ríl</w:t>
            </w:r>
            <w:r>
              <w:t>oha č. 11</w:t>
            </w:r>
          </w:p>
          <w:p w:rsidR="00F40087" w:rsidP="00F40087">
            <w:r>
              <w:t>O7</w:t>
            </w:r>
          </w:p>
          <w:p w:rsidR="00F40087" w:rsidP="00F40087"/>
          <w:p w:rsidR="00F40087" w:rsidP="00F40087"/>
          <w:p w:rsidR="00F40087" w:rsidP="00F40087"/>
          <w:p w:rsidR="00F40087" w:rsidP="00F40087"/>
          <w:p w:rsidR="00F40087" w:rsidP="00F40087"/>
          <w:p w:rsidR="00F40087" w:rsidP="00F40087"/>
          <w:p w:rsidR="00F40087" w:rsidP="00F40087"/>
          <w:p w:rsidR="00F40087" w:rsidP="00F40087"/>
          <w:p w:rsidR="00A50271" w:rsidP="00F40087"/>
          <w:p w:rsidR="00475FC0" w:rsidP="00F40087"/>
          <w:p w:rsidR="00801764" w:rsidP="00F40087"/>
          <w:p w:rsidR="00801764" w:rsidP="00F40087">
            <w:r>
              <w:t>§ 8</w:t>
            </w:r>
          </w:p>
          <w:p w:rsidR="00801764" w:rsidP="00F40087"/>
          <w:p w:rsidR="00801764" w:rsidP="00F40087"/>
          <w:p w:rsidR="00801764" w:rsidP="00F40087"/>
          <w:p w:rsidR="00801764" w:rsidP="00F40087"/>
          <w:p w:rsidR="00801764" w:rsidP="00F40087"/>
          <w:p w:rsidR="00F40087" w:rsidP="00F40087"/>
          <w:p w:rsidR="00F40087" w:rsidRPr="00DD6E7C" w:rsidP="00F40087">
            <w:r w:rsidRPr="00DD6E7C">
              <w:t>Príl</w:t>
            </w:r>
            <w:r>
              <w:t>oha č. 5</w:t>
            </w:r>
          </w:p>
          <w:p w:rsidR="00F40087" w:rsidRPr="00DD6E7C" w:rsidP="00F40087">
            <w:r>
              <w:t>O2</w:t>
            </w:r>
          </w:p>
        </w:tc>
        <w:tc>
          <w:tcPr>
            <w:tcW w:w="4111" w:type="dxa"/>
            <w:tcBorders>
              <w:top w:val="single" w:sz="4" w:space="0" w:color="auto"/>
              <w:bottom w:val="single" w:sz="4" w:space="0" w:color="auto"/>
            </w:tcBorders>
          </w:tcPr>
          <w:p w:rsidR="00801764" w:rsidRPr="00E81B8B" w:rsidP="00801764">
            <w:pPr>
              <w:jc w:val="both"/>
              <w:rPr>
                <w:b/>
                <w:sz w:val="19"/>
                <w:szCs w:val="19"/>
              </w:rPr>
            </w:pPr>
            <w:r w:rsidRPr="00E81B8B">
              <w:rPr>
                <w:b/>
                <w:sz w:val="19"/>
                <w:szCs w:val="19"/>
              </w:rPr>
              <w:t>§ 64</w:t>
            </w:r>
          </w:p>
          <w:p w:rsidR="00801764" w:rsidRPr="00E81B8B" w:rsidP="00801764">
            <w:pPr>
              <w:rPr>
                <w:b/>
                <w:sz w:val="19"/>
                <w:szCs w:val="19"/>
              </w:rPr>
            </w:pPr>
            <w:r w:rsidRPr="00E81B8B">
              <w:rPr>
                <w:b/>
                <w:sz w:val="19"/>
                <w:szCs w:val="19"/>
              </w:rPr>
              <w:t>Transpozičné ustanovenie</w:t>
            </w:r>
          </w:p>
          <w:p w:rsidR="00801764" w:rsidRPr="00E81B8B" w:rsidP="00801764">
            <w:pPr>
              <w:pStyle w:val="ListParagraph"/>
              <w:keepNext/>
              <w:widowControl/>
              <w:numPr>
                <w:ilvl w:val="0"/>
                <w:numId w:val="42"/>
              </w:numPr>
              <w:autoSpaceDE/>
              <w:autoSpaceDN/>
              <w:adjustRightInd/>
              <w:spacing w:after="360"/>
              <w:ind w:left="352" w:hanging="352"/>
              <w:contextualSpacing w:val="0"/>
              <w:jc w:val="both"/>
              <w:rPr>
                <w:sz w:val="19"/>
                <w:szCs w:val="19"/>
              </w:rPr>
            </w:pPr>
            <w:r w:rsidRPr="00E81B8B">
              <w:rPr>
                <w:sz w:val="19"/>
                <w:szCs w:val="19"/>
              </w:rPr>
              <w:t>Týmto zákonom sa preberajú právne záväzné akty Európskej únie uvedené v prílohe č. 11.</w:t>
            </w:r>
          </w:p>
          <w:p w:rsidR="00F40087" w:rsidRPr="00E81B8B" w:rsidP="00F40087">
            <w:pPr>
              <w:pStyle w:val="BodyTextIndent"/>
              <w:ind w:left="0"/>
              <w:rPr>
                <w:b/>
                <w:sz w:val="19"/>
                <w:szCs w:val="19"/>
              </w:rPr>
            </w:pPr>
            <w:r w:rsidRPr="00E81B8B">
              <w:rPr>
                <w:b/>
                <w:sz w:val="19"/>
                <w:szCs w:val="19"/>
              </w:rPr>
              <w:t>Príloha č. 11</w:t>
            </w:r>
          </w:p>
          <w:p w:rsidR="00F40087" w:rsidRPr="00E81B8B" w:rsidP="00F40087">
            <w:pPr>
              <w:pStyle w:val="BodyTextIndent"/>
              <w:ind w:left="0"/>
              <w:rPr>
                <w:b/>
                <w:sz w:val="19"/>
                <w:szCs w:val="19"/>
              </w:rPr>
            </w:pPr>
            <w:r w:rsidRPr="00E81B8B">
              <w:rPr>
                <w:b/>
                <w:sz w:val="19"/>
                <w:szCs w:val="19"/>
              </w:rPr>
              <w:t>ZOZNAM PREBERANÝCH PRÁVNE ZÁVÄZNÝCH AKTOV EURÓPSKEJ ÚNIE</w:t>
            </w:r>
          </w:p>
          <w:p w:rsidR="00F40087" w:rsidRPr="00E81B8B" w:rsidP="00F40087">
            <w:pPr>
              <w:numPr>
                <w:ilvl w:val="3"/>
                <w:numId w:val="40"/>
              </w:numPr>
              <w:spacing w:after="240"/>
              <w:jc w:val="both"/>
              <w:rPr>
                <w:sz w:val="19"/>
                <w:szCs w:val="19"/>
              </w:rPr>
            </w:pPr>
            <w:r w:rsidRPr="00E81B8B">
              <w:rPr>
                <w:sz w:val="19"/>
                <w:szCs w:val="19"/>
              </w:rPr>
              <w:t>Smernica Európskeho parlamentu a Rady 2009/126/ES z 21. októbra 2009 o II. stupni rekuperácie benzínových pár pri čerpaní pohonných látok do motorových vozidiel na čerpacích staniciach (Ú. v. EÚ L 285, 31.10.2009) v znení smernice Komisie 2014/99/EÚ z 21. októbra 2014 (Ú. v. EÚ L 304, 23.10.2014) a nariadenia Európskeho parlamentu a Rady (EÚ) 2019/1243 z 20. júna 2019 (Ú. v. EÚ L 19</w:t>
            </w:r>
            <w:r w:rsidRPr="00E81B8B" w:rsidR="00A50271">
              <w:rPr>
                <w:sz w:val="19"/>
                <w:szCs w:val="19"/>
              </w:rPr>
              <w:t xml:space="preserve">8, 25.7.2019). </w:t>
            </w:r>
          </w:p>
          <w:p w:rsidR="00801764" w:rsidRPr="00E81B8B" w:rsidP="00801764">
            <w:pPr>
              <w:jc w:val="both"/>
              <w:rPr>
                <w:b/>
                <w:sz w:val="19"/>
                <w:szCs w:val="19"/>
              </w:rPr>
            </w:pPr>
            <w:r w:rsidRPr="00E81B8B">
              <w:rPr>
                <w:b/>
                <w:sz w:val="19"/>
                <w:szCs w:val="19"/>
              </w:rPr>
              <w:t>§ 8</w:t>
            </w:r>
          </w:p>
          <w:p w:rsidR="00801764" w:rsidRPr="00E81B8B" w:rsidP="00801764">
            <w:pPr>
              <w:rPr>
                <w:b/>
                <w:sz w:val="19"/>
                <w:szCs w:val="19"/>
              </w:rPr>
            </w:pPr>
            <w:r w:rsidRPr="00E81B8B">
              <w:rPr>
                <w:b/>
                <w:sz w:val="19"/>
                <w:szCs w:val="19"/>
              </w:rPr>
              <w:t>Zoznam preberaných právne záväzných aktov Európskej únie</w:t>
            </w:r>
          </w:p>
          <w:p w:rsidR="00801764" w:rsidRPr="00E81B8B" w:rsidP="00801764">
            <w:pPr>
              <w:rPr>
                <w:sz w:val="19"/>
                <w:szCs w:val="19"/>
              </w:rPr>
            </w:pPr>
          </w:p>
          <w:p w:rsidR="00801764" w:rsidRPr="00E81B8B" w:rsidP="00801764">
            <w:pPr>
              <w:jc w:val="both"/>
              <w:rPr>
                <w:b/>
                <w:sz w:val="19"/>
                <w:szCs w:val="19"/>
              </w:rPr>
            </w:pPr>
            <w:r w:rsidRPr="00E81B8B">
              <w:rPr>
                <w:sz w:val="19"/>
                <w:szCs w:val="19"/>
              </w:rPr>
              <w:t>Touto vyhláškou sa preberajú právne záväzné akty Európskej únie uvedené v prílohe č. 5.</w:t>
            </w:r>
          </w:p>
          <w:p w:rsidR="00801764" w:rsidRPr="00E81B8B" w:rsidP="00F40087">
            <w:pPr>
              <w:pStyle w:val="BodyTextIndent"/>
              <w:ind w:left="0"/>
              <w:rPr>
                <w:b/>
                <w:sz w:val="19"/>
                <w:szCs w:val="19"/>
              </w:rPr>
            </w:pPr>
          </w:p>
          <w:p w:rsidR="00F40087" w:rsidRPr="00E81B8B" w:rsidP="00F40087">
            <w:pPr>
              <w:pStyle w:val="BodyTextIndent"/>
              <w:ind w:left="0"/>
              <w:rPr>
                <w:b/>
                <w:sz w:val="19"/>
                <w:szCs w:val="19"/>
              </w:rPr>
            </w:pPr>
            <w:r w:rsidRPr="00E81B8B">
              <w:rPr>
                <w:b/>
                <w:sz w:val="19"/>
                <w:szCs w:val="19"/>
              </w:rPr>
              <w:t>Príloha č. 5</w:t>
            </w:r>
          </w:p>
          <w:p w:rsidR="00F40087" w:rsidRPr="00E81B8B" w:rsidP="00F40087">
            <w:pPr>
              <w:pStyle w:val="BodyTextIndent"/>
              <w:ind w:left="0"/>
              <w:rPr>
                <w:b/>
                <w:sz w:val="19"/>
                <w:szCs w:val="19"/>
              </w:rPr>
            </w:pPr>
            <w:r w:rsidRPr="00E81B8B">
              <w:rPr>
                <w:b/>
                <w:sz w:val="19"/>
                <w:szCs w:val="19"/>
              </w:rPr>
              <w:t>ZOZNAM PREBERANÝCH PRÁVNE ZÁVÄZNÝCH AKTOV EURÓPSKEJ ÚNIE</w:t>
            </w:r>
          </w:p>
          <w:p w:rsidR="00F40087" w:rsidRPr="00E81B8B" w:rsidP="00801764">
            <w:pPr>
              <w:numPr>
                <w:ilvl w:val="0"/>
                <w:numId w:val="41"/>
              </w:numPr>
              <w:spacing w:after="240"/>
              <w:ind w:left="352" w:hanging="283"/>
              <w:jc w:val="both"/>
              <w:rPr>
                <w:b/>
                <w:sz w:val="19"/>
                <w:szCs w:val="19"/>
              </w:rPr>
            </w:pPr>
            <w:r w:rsidRPr="00E81B8B">
              <w:rPr>
                <w:sz w:val="19"/>
                <w:szCs w:val="19"/>
              </w:rPr>
              <w:t xml:space="preserve">Smernica Európskeho parlamentu a Rady 2009/126/ES z 21. októbra 2009 o II. stupni rekuperácie benzínových pár pri čerpaní pohonných látok do motorových vozidiel na čerpacích staniciach (Ú. v. EÚ L 285, 31.10.2009) v znení smernice Komisie 2014/99/EÚ z 21. októbra 2014 (Ú. v. EÚ L 304, 23.10.2014) a nariadenia Európskeho parlamentu a Rady (EÚ) 2019/1243 z 20. júna 2019 (Ú. v. EÚ L 198, 25.7.2019). </w:t>
            </w:r>
          </w:p>
        </w:tc>
        <w:tc>
          <w:tcPr>
            <w:tcW w:w="709" w:type="dxa"/>
            <w:tcBorders>
              <w:top w:val="single" w:sz="4" w:space="0" w:color="auto"/>
              <w:bottom w:val="single" w:sz="4" w:space="0" w:color="auto"/>
            </w:tcBorders>
          </w:tcPr>
          <w:p w:rsidR="00F40087" w:rsidP="00F40087">
            <w:pPr>
              <w:jc w:val="center"/>
            </w:pPr>
            <w:r>
              <w:t>U</w:t>
            </w:r>
          </w:p>
          <w:p w:rsidR="00F40087" w:rsidP="00F40087">
            <w:pPr>
              <w:jc w:val="center"/>
            </w:pPr>
          </w:p>
          <w:p w:rsidR="00F40087" w:rsidP="00F40087">
            <w:pPr>
              <w:jc w:val="center"/>
            </w:pPr>
          </w:p>
          <w:p w:rsidR="00F40087" w:rsidP="00F40087">
            <w:pPr>
              <w:jc w:val="center"/>
            </w:pPr>
          </w:p>
          <w:p w:rsidR="00F40087" w:rsidP="00F40087">
            <w:pPr>
              <w:jc w:val="center"/>
            </w:pPr>
          </w:p>
          <w:p w:rsidR="00F40087" w:rsidP="00F40087">
            <w:pPr>
              <w:jc w:val="center"/>
            </w:pPr>
          </w:p>
          <w:p w:rsidR="00F40087" w:rsidRPr="00DD6E7C" w:rsidP="00F40087">
            <w:pPr>
              <w:jc w:val="center"/>
            </w:pPr>
          </w:p>
        </w:tc>
        <w:tc>
          <w:tcPr>
            <w:tcW w:w="2268" w:type="dxa"/>
            <w:tcBorders>
              <w:top w:val="single" w:sz="4" w:space="0" w:color="auto"/>
              <w:bottom w:val="single" w:sz="4" w:space="0" w:color="auto"/>
              <w:right w:val="single" w:sz="4" w:space="0" w:color="auto"/>
            </w:tcBorders>
          </w:tcPr>
          <w:p w:rsidR="00F40087" w:rsidRPr="00DD6E7C" w:rsidP="00F40087">
            <w:pPr>
              <w:jc w:val="center"/>
            </w:pPr>
          </w:p>
        </w:tc>
      </w:tr>
      <w:tr w:rsidTr="00C516DC">
        <w:tblPrEx>
          <w:tblW w:w="0" w:type="auto"/>
          <w:tblLayout w:type="fixed"/>
          <w:tblCellMar>
            <w:left w:w="70" w:type="dxa"/>
            <w:right w:w="70" w:type="dxa"/>
          </w:tblCellMar>
          <w:tblLook w:val="00A7"/>
        </w:tblPrEx>
        <w:trPr>
          <w:cantSplit/>
          <w:trHeight w:val="1180"/>
        </w:trPr>
        <w:tc>
          <w:tcPr>
            <w:tcW w:w="779" w:type="dxa"/>
            <w:tcBorders>
              <w:top w:val="single" w:sz="4" w:space="0" w:color="auto"/>
              <w:bottom w:val="single" w:sz="4" w:space="0" w:color="auto"/>
            </w:tcBorders>
          </w:tcPr>
          <w:p w:rsidR="007A70AB" w:rsidP="007A70AB">
            <w:r>
              <w:t>Č10</w:t>
            </w:r>
          </w:p>
          <w:p w:rsidR="007A70AB" w:rsidRPr="00DD6E7C" w:rsidP="007A70AB">
            <w:r>
              <w:t>O2</w:t>
            </w:r>
          </w:p>
        </w:tc>
        <w:tc>
          <w:tcPr>
            <w:tcW w:w="3827" w:type="dxa"/>
            <w:tcBorders>
              <w:top w:val="single" w:sz="4" w:space="0" w:color="auto"/>
              <w:bottom w:val="single" w:sz="4" w:space="0" w:color="auto"/>
            </w:tcBorders>
          </w:tcPr>
          <w:p w:rsidR="007A70AB" w:rsidRPr="00116126" w:rsidP="007A70AB">
            <w:pPr>
              <w:tabs>
                <w:tab w:val="left" w:pos="540"/>
              </w:tabs>
            </w:pPr>
            <w:r w:rsidRPr="00116126">
              <w:t>2. Členské štáty oznámia Komisii znenie hlavných ustanovení vnútroštátnych právnych predpisov, ktoré prijmú v oblasti pôsobnosti tejto smernice.</w:t>
            </w:r>
          </w:p>
          <w:p w:rsidR="007A70AB" w:rsidRPr="00DD6E7C" w:rsidP="007A70AB">
            <w:pPr>
              <w:jc w:val="both"/>
            </w:pPr>
          </w:p>
        </w:tc>
        <w:tc>
          <w:tcPr>
            <w:tcW w:w="851" w:type="dxa"/>
            <w:tcBorders>
              <w:top w:val="single" w:sz="4" w:space="0" w:color="auto"/>
              <w:bottom w:val="single" w:sz="4" w:space="0" w:color="auto"/>
            </w:tcBorders>
          </w:tcPr>
          <w:p w:rsidR="007A70AB" w:rsidRPr="00243497" w:rsidP="007A70AB">
            <w:pPr>
              <w:jc w:val="center"/>
            </w:pPr>
            <w:r w:rsidRPr="00243497">
              <w:t>N</w:t>
            </w:r>
          </w:p>
        </w:tc>
        <w:tc>
          <w:tcPr>
            <w:tcW w:w="709" w:type="dxa"/>
            <w:tcBorders>
              <w:top w:val="single" w:sz="4" w:space="0" w:color="auto"/>
              <w:bottom w:val="single" w:sz="4" w:space="0" w:color="auto"/>
            </w:tcBorders>
          </w:tcPr>
          <w:p w:rsidR="007A70AB" w:rsidRPr="00243497" w:rsidP="007A70AB">
            <w:pPr>
              <w:snapToGrid w:val="0"/>
              <w:jc w:val="center"/>
            </w:pPr>
            <w:r w:rsidRPr="00243497">
              <w:t>Z</w:t>
            </w:r>
            <w:r>
              <w:t xml:space="preserve"> 575</w:t>
            </w:r>
          </w:p>
        </w:tc>
        <w:tc>
          <w:tcPr>
            <w:tcW w:w="850" w:type="dxa"/>
            <w:tcBorders>
              <w:top w:val="single" w:sz="4" w:space="0" w:color="auto"/>
              <w:bottom w:val="single" w:sz="4" w:space="0" w:color="auto"/>
            </w:tcBorders>
          </w:tcPr>
          <w:p w:rsidR="007A70AB" w:rsidRPr="00243497" w:rsidP="007A70AB">
            <w:pPr>
              <w:snapToGrid w:val="0"/>
            </w:pPr>
            <w:r>
              <w:t>§</w:t>
            </w:r>
            <w:r w:rsidRPr="00243497">
              <w:t>35</w:t>
            </w:r>
          </w:p>
          <w:p w:rsidR="007A70AB" w:rsidRPr="00243497" w:rsidP="007A70AB">
            <w:pPr>
              <w:snapToGrid w:val="0"/>
            </w:pPr>
            <w:r w:rsidRPr="00243497">
              <w:t>O7</w:t>
            </w:r>
          </w:p>
        </w:tc>
        <w:tc>
          <w:tcPr>
            <w:tcW w:w="4111" w:type="dxa"/>
            <w:tcBorders>
              <w:top w:val="single" w:sz="4" w:space="0" w:color="auto"/>
              <w:bottom w:val="single" w:sz="4" w:space="0" w:color="auto"/>
            </w:tcBorders>
          </w:tcPr>
          <w:p w:rsidR="007A70AB" w:rsidP="007A70AB">
            <w:pPr>
              <w:jc w:val="both"/>
              <w:rPr>
                <w:b/>
              </w:rPr>
            </w:pPr>
            <w:r w:rsidRPr="0032446F">
              <w:rPr>
                <w:b/>
              </w:rPr>
              <w:t>Úlohy ministerstiev a ostatných ústredných orgánov štátnej správy</w:t>
            </w:r>
          </w:p>
          <w:p w:rsidR="007A70AB" w:rsidRPr="0032446F" w:rsidP="007A70AB">
            <w:pPr>
              <w:jc w:val="both"/>
              <w:rPr>
                <w:b/>
              </w:rPr>
            </w:pPr>
            <w:r>
              <w:rPr>
                <w:b/>
              </w:rPr>
              <w:t>§ 35</w:t>
            </w:r>
          </w:p>
          <w:p w:rsidR="007A70AB" w:rsidRPr="00243497" w:rsidP="007A70AB">
            <w:pPr>
              <w:jc w:val="both"/>
            </w:pPr>
            <w:r w:rsidRPr="00243497">
              <w:t>(7) Ministerstvá a ostatné ústredné orgány štátnej správy v rozsahu vymedzenej pôsobnosti plnia voči orgánom Európskej únie informačnú a oznamovaciu povinnosť, ktorá im vyplýva z právne záväzných aktov týchto orgánov</w:t>
            </w:r>
            <w:r>
              <w:t>.</w:t>
            </w:r>
          </w:p>
          <w:p w:rsidR="007A70AB" w:rsidRPr="00125089" w:rsidP="007A70AB">
            <w:pPr>
              <w:pStyle w:val="Import2"/>
              <w:snapToGrid w:val="0"/>
              <w:spacing w:line="240" w:lineRule="auto"/>
              <w:jc w:val="both"/>
              <w:rPr>
                <w:rFonts w:ascii="Times New Roman" w:hAnsi="Times New Roman"/>
                <w:sz w:val="20"/>
                <w:lang w:val="sk-SK"/>
              </w:rPr>
            </w:pPr>
          </w:p>
        </w:tc>
        <w:tc>
          <w:tcPr>
            <w:tcW w:w="709" w:type="dxa"/>
            <w:tcBorders>
              <w:top w:val="single" w:sz="4" w:space="0" w:color="auto"/>
              <w:bottom w:val="single" w:sz="4" w:space="0" w:color="auto"/>
            </w:tcBorders>
          </w:tcPr>
          <w:p w:rsidR="007A70AB" w:rsidRPr="00243497" w:rsidP="007A70AB">
            <w:pPr>
              <w:snapToGrid w:val="0"/>
              <w:jc w:val="center"/>
            </w:pPr>
            <w:r w:rsidRPr="00243497">
              <w:t>Ú</w:t>
            </w:r>
          </w:p>
        </w:tc>
        <w:tc>
          <w:tcPr>
            <w:tcW w:w="2268" w:type="dxa"/>
            <w:tcBorders>
              <w:top w:val="single" w:sz="4" w:space="0" w:color="auto"/>
              <w:bottom w:val="single" w:sz="4" w:space="0" w:color="auto"/>
              <w:right w:val="single" w:sz="4" w:space="0" w:color="auto"/>
            </w:tcBorders>
          </w:tcPr>
          <w:p w:rsidR="007A70AB" w:rsidRPr="00243497" w:rsidP="007A70AB">
            <w:pPr>
              <w:jc w:val="center"/>
            </w:pPr>
          </w:p>
        </w:tc>
      </w:tr>
      <w:tr w:rsidTr="00C516DC">
        <w:tblPrEx>
          <w:tblW w:w="0" w:type="auto"/>
          <w:tblLayout w:type="fixed"/>
          <w:tblCellMar>
            <w:left w:w="70" w:type="dxa"/>
            <w:right w:w="70" w:type="dxa"/>
          </w:tblCellMar>
          <w:tblLook w:val="00A7"/>
        </w:tblPrEx>
        <w:trPr>
          <w:cantSplit/>
          <w:trHeight w:val="1100"/>
        </w:trPr>
        <w:tc>
          <w:tcPr>
            <w:tcW w:w="779" w:type="dxa"/>
            <w:tcBorders>
              <w:top w:val="single" w:sz="4" w:space="0" w:color="auto"/>
              <w:bottom w:val="single" w:sz="4" w:space="0" w:color="auto"/>
            </w:tcBorders>
          </w:tcPr>
          <w:p w:rsidR="0021463E" w:rsidRPr="00DD6E7C" w:rsidP="0021463E">
            <w:r>
              <w:t>Č11</w:t>
            </w:r>
          </w:p>
        </w:tc>
        <w:tc>
          <w:tcPr>
            <w:tcW w:w="3827" w:type="dxa"/>
            <w:tcBorders>
              <w:top w:val="single" w:sz="4" w:space="0" w:color="auto"/>
              <w:bottom w:val="single" w:sz="4" w:space="0" w:color="auto"/>
            </w:tcBorders>
          </w:tcPr>
          <w:p w:rsidR="0021463E" w:rsidP="0021463E">
            <w:pPr>
              <w:jc w:val="both"/>
            </w:pPr>
            <w:r>
              <w:t>Článok 11</w:t>
            </w:r>
          </w:p>
          <w:p w:rsidR="0021463E" w:rsidRPr="00116126" w:rsidP="0021463E">
            <w:pPr>
              <w:jc w:val="both"/>
            </w:pPr>
            <w:r w:rsidRPr="00116126">
              <w:t>Nadobudnutie účinnosti</w:t>
            </w:r>
          </w:p>
          <w:p w:rsidR="0021463E" w:rsidRPr="00116126" w:rsidP="0021463E">
            <w:pPr>
              <w:jc w:val="both"/>
            </w:pPr>
            <w:r w:rsidRPr="00116126">
              <w:t>Táto smernica nadobúda účinnosť dňom jej uverejnenia v Úradnom vestníku Európskej únie.</w:t>
            </w:r>
          </w:p>
          <w:p w:rsidR="0021463E" w:rsidRPr="00DD6E7C" w:rsidP="0021463E">
            <w:pPr>
              <w:jc w:val="both"/>
            </w:pPr>
          </w:p>
        </w:tc>
        <w:tc>
          <w:tcPr>
            <w:tcW w:w="851" w:type="dxa"/>
            <w:tcBorders>
              <w:top w:val="single" w:sz="4" w:space="0" w:color="auto"/>
              <w:bottom w:val="single" w:sz="4" w:space="0" w:color="auto"/>
            </w:tcBorders>
          </w:tcPr>
          <w:p w:rsidR="0021463E" w:rsidRPr="00DD6E7C" w:rsidP="0021463E">
            <w:pPr>
              <w:jc w:val="center"/>
            </w:pPr>
            <w:r>
              <w:t>n.a.</w:t>
            </w:r>
          </w:p>
        </w:tc>
        <w:tc>
          <w:tcPr>
            <w:tcW w:w="709" w:type="dxa"/>
            <w:tcBorders>
              <w:top w:val="single" w:sz="4" w:space="0" w:color="auto"/>
              <w:bottom w:val="single" w:sz="4" w:space="0" w:color="auto"/>
            </w:tcBorders>
          </w:tcPr>
          <w:p w:rsidR="0021463E" w:rsidRPr="00DD6E7C" w:rsidP="0021463E"/>
        </w:tc>
        <w:tc>
          <w:tcPr>
            <w:tcW w:w="850" w:type="dxa"/>
            <w:tcBorders>
              <w:top w:val="single" w:sz="4" w:space="0" w:color="auto"/>
              <w:bottom w:val="single" w:sz="4" w:space="0" w:color="auto"/>
            </w:tcBorders>
          </w:tcPr>
          <w:p w:rsidR="0021463E" w:rsidRPr="00DD6E7C" w:rsidP="0021463E"/>
        </w:tc>
        <w:tc>
          <w:tcPr>
            <w:tcW w:w="4111" w:type="dxa"/>
            <w:tcBorders>
              <w:top w:val="single" w:sz="4" w:space="0" w:color="auto"/>
              <w:bottom w:val="single" w:sz="4" w:space="0" w:color="auto"/>
            </w:tcBorders>
          </w:tcPr>
          <w:p w:rsidR="0021463E" w:rsidRPr="001F7851" w:rsidP="0021463E">
            <w:pPr>
              <w:pStyle w:val="ListParagraph"/>
              <w:ind w:left="0"/>
              <w:jc w:val="both"/>
            </w:pPr>
          </w:p>
        </w:tc>
        <w:tc>
          <w:tcPr>
            <w:tcW w:w="709" w:type="dxa"/>
            <w:tcBorders>
              <w:top w:val="single" w:sz="4" w:space="0" w:color="auto"/>
              <w:bottom w:val="single" w:sz="4" w:space="0" w:color="auto"/>
            </w:tcBorders>
          </w:tcPr>
          <w:p w:rsidR="0021463E" w:rsidRPr="00DD6E7C" w:rsidP="0021463E">
            <w:pPr>
              <w:jc w:val="center"/>
            </w:pPr>
            <w:r w:rsidR="00044119">
              <w:t>n.a.</w:t>
            </w:r>
          </w:p>
        </w:tc>
        <w:tc>
          <w:tcPr>
            <w:tcW w:w="2268" w:type="dxa"/>
            <w:tcBorders>
              <w:top w:val="single" w:sz="4" w:space="0" w:color="auto"/>
              <w:bottom w:val="single" w:sz="4" w:space="0" w:color="auto"/>
              <w:right w:val="single" w:sz="4" w:space="0" w:color="auto"/>
            </w:tcBorders>
          </w:tcPr>
          <w:p w:rsidR="0021463E" w:rsidRPr="00DD6E7C" w:rsidP="0021463E">
            <w:pPr>
              <w:jc w:val="both"/>
            </w:pPr>
          </w:p>
        </w:tc>
      </w:tr>
      <w:tr w:rsidTr="00C516DC">
        <w:tblPrEx>
          <w:tblW w:w="0" w:type="auto"/>
          <w:tblLayout w:type="fixed"/>
          <w:tblCellMar>
            <w:left w:w="70" w:type="dxa"/>
            <w:right w:w="70" w:type="dxa"/>
          </w:tblCellMar>
          <w:tblLook w:val="00A7"/>
        </w:tblPrEx>
        <w:trPr>
          <w:cantSplit/>
          <w:trHeight w:val="1600"/>
        </w:trPr>
        <w:tc>
          <w:tcPr>
            <w:tcW w:w="779" w:type="dxa"/>
            <w:tcBorders>
              <w:top w:val="single" w:sz="4" w:space="0" w:color="auto"/>
              <w:bottom w:val="single" w:sz="4" w:space="0" w:color="auto"/>
            </w:tcBorders>
          </w:tcPr>
          <w:p w:rsidR="0021463E" w:rsidRPr="00DD6E7C" w:rsidP="0021463E">
            <w:r>
              <w:t>Č12</w:t>
            </w:r>
          </w:p>
        </w:tc>
        <w:tc>
          <w:tcPr>
            <w:tcW w:w="3827" w:type="dxa"/>
            <w:tcBorders>
              <w:top w:val="single" w:sz="4" w:space="0" w:color="auto"/>
              <w:bottom w:val="single" w:sz="4" w:space="0" w:color="auto"/>
            </w:tcBorders>
          </w:tcPr>
          <w:p w:rsidR="0021463E" w:rsidRPr="00116126" w:rsidP="0021463E">
            <w:pPr>
              <w:jc w:val="both"/>
            </w:pPr>
            <w:r w:rsidRPr="00116126">
              <w:t>Adresáti</w:t>
            </w:r>
          </w:p>
          <w:p w:rsidR="0021463E" w:rsidRPr="00DD6E7C" w:rsidP="0021463E">
            <w:pPr>
              <w:jc w:val="both"/>
            </w:pPr>
            <w:r w:rsidRPr="00116126">
              <w:t>Táto smernica je určená členským štátom.</w:t>
            </w:r>
          </w:p>
        </w:tc>
        <w:tc>
          <w:tcPr>
            <w:tcW w:w="851" w:type="dxa"/>
            <w:tcBorders>
              <w:top w:val="single" w:sz="4" w:space="0" w:color="auto"/>
              <w:bottom w:val="single" w:sz="4" w:space="0" w:color="auto"/>
            </w:tcBorders>
          </w:tcPr>
          <w:p w:rsidR="0021463E" w:rsidRPr="00DD6E7C" w:rsidP="0021463E">
            <w:pPr>
              <w:jc w:val="center"/>
            </w:pPr>
            <w:r>
              <w:t>n.a.</w:t>
            </w:r>
          </w:p>
        </w:tc>
        <w:tc>
          <w:tcPr>
            <w:tcW w:w="709" w:type="dxa"/>
            <w:tcBorders>
              <w:top w:val="single" w:sz="4" w:space="0" w:color="auto"/>
              <w:bottom w:val="single" w:sz="4" w:space="0" w:color="auto"/>
            </w:tcBorders>
          </w:tcPr>
          <w:p w:rsidR="0021463E" w:rsidRPr="00DD6E7C" w:rsidP="0021463E"/>
        </w:tc>
        <w:tc>
          <w:tcPr>
            <w:tcW w:w="850" w:type="dxa"/>
            <w:tcBorders>
              <w:top w:val="single" w:sz="4" w:space="0" w:color="auto"/>
              <w:bottom w:val="single" w:sz="4" w:space="0" w:color="auto"/>
            </w:tcBorders>
          </w:tcPr>
          <w:p w:rsidR="0021463E" w:rsidRPr="00DD6E7C" w:rsidP="0021463E"/>
        </w:tc>
        <w:tc>
          <w:tcPr>
            <w:tcW w:w="4111" w:type="dxa"/>
            <w:tcBorders>
              <w:top w:val="single" w:sz="4" w:space="0" w:color="auto"/>
              <w:bottom w:val="single" w:sz="4" w:space="0" w:color="auto"/>
            </w:tcBorders>
          </w:tcPr>
          <w:p w:rsidR="0021463E" w:rsidRPr="001F7851" w:rsidP="0021463E">
            <w:pPr>
              <w:spacing w:line="240" w:lineRule="atLeast"/>
              <w:ind w:left="-44" w:firstLine="44"/>
            </w:pPr>
          </w:p>
        </w:tc>
        <w:tc>
          <w:tcPr>
            <w:tcW w:w="709" w:type="dxa"/>
            <w:tcBorders>
              <w:top w:val="single" w:sz="4" w:space="0" w:color="auto"/>
              <w:bottom w:val="single" w:sz="4" w:space="0" w:color="auto"/>
            </w:tcBorders>
          </w:tcPr>
          <w:p w:rsidR="0021463E" w:rsidRPr="00DD6E7C" w:rsidP="0021463E">
            <w:pPr>
              <w:jc w:val="center"/>
            </w:pPr>
            <w:r w:rsidR="00044119">
              <w:t>n.a.</w:t>
            </w:r>
          </w:p>
        </w:tc>
        <w:tc>
          <w:tcPr>
            <w:tcW w:w="2268" w:type="dxa"/>
            <w:tcBorders>
              <w:top w:val="single" w:sz="4" w:space="0" w:color="auto"/>
              <w:bottom w:val="single" w:sz="4" w:space="0" w:color="auto"/>
              <w:right w:val="single" w:sz="4" w:space="0" w:color="auto"/>
            </w:tcBorders>
          </w:tcPr>
          <w:p w:rsidR="0021463E" w:rsidRPr="00DD6E7C" w:rsidP="0021463E">
            <w:pPr>
              <w:jc w:val="both"/>
            </w:pPr>
          </w:p>
        </w:tc>
      </w:tr>
    </w:tbl>
    <w:p w:rsidR="00916D65" w:rsidRPr="00DD6E7C"/>
    <w:sectPr>
      <w:footerReference w:type="default" r:id="rId5"/>
      <w:pgSz w:w="16840" w:h="11907" w:orient="landscape" w:code="9"/>
      <w:pgMar w:top="1418" w:right="1418" w:bottom="1418"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08C">
    <w:pPr>
      <w:pStyle w:val="Footer"/>
      <w:jc w:val="center"/>
    </w:pPr>
    <w:r>
      <w:fldChar w:fldCharType="begin"/>
    </w:r>
    <w:r>
      <w:instrText>PAGE   \* MERGEFORMAT</w:instrText>
    </w:r>
    <w:r>
      <w:fldChar w:fldCharType="separate"/>
    </w:r>
    <w:r w:rsidR="00287800">
      <w:rPr>
        <w:noProof/>
      </w:rPr>
      <w:t>13</w:t>
    </w:r>
    <w:r>
      <w:fldChar w:fldCharType="end"/>
    </w:r>
  </w:p>
  <w:p w:rsidR="000D308C">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2D301F"/>
    <w:multiLevelType w:val="multilevel"/>
    <w:tmpl w:val="BF1C3D82"/>
    <w:lvl w:ilvl="0">
      <w:start w:val="1"/>
      <w:numFmt w:val="decimal"/>
      <w:lvlText w:val="%1."/>
      <w:lvlJc w:val="left"/>
      <w:pPr>
        <w:ind w:left="397" w:hanging="39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7"/>
      <w:numFmt w:val="decimal"/>
      <w:lvlText w:val="%4."/>
      <w:lvlJc w:val="left"/>
      <w:pPr>
        <w:ind w:left="36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B949F0"/>
    <w:multiLevelType w:val="singleLevel"/>
    <w:tmpl w:val="041B0019"/>
    <w:lvl w:ilvl="0">
      <w:start w:val="2"/>
      <w:numFmt w:val="lowerLetter"/>
      <w:lvlText w:val="(%1)"/>
      <w:lvlJc w:val="left"/>
      <w:pPr>
        <w:tabs>
          <w:tab w:val="num" w:pos="360"/>
        </w:tabs>
        <w:ind w:left="360" w:hanging="360"/>
      </w:pPr>
      <w:rPr>
        <w:rFonts w:hint="default"/>
      </w:rPr>
    </w:lvl>
  </w:abstractNum>
  <w:abstractNum w:abstractNumId="2">
    <w:nsid w:val="071D13F6"/>
    <w:multiLevelType w:val="singleLevel"/>
    <w:tmpl w:val="D6EA55A4"/>
    <w:lvl w:ilvl="0">
      <w:start w:val="1"/>
      <w:numFmt w:val="lowerLetter"/>
      <w:lvlText w:val="%1)"/>
      <w:legacy w:legacy="1" w:legacySpace="0" w:legacyIndent="360"/>
      <w:lvlJc w:val="left"/>
      <w:pPr>
        <w:ind w:left="360" w:hanging="360"/>
      </w:pPr>
    </w:lvl>
  </w:abstractNum>
  <w:abstractNum w:abstractNumId="3">
    <w:nsid w:val="0C136393"/>
    <w:multiLevelType w:val="singleLevel"/>
    <w:tmpl w:val="041B0019"/>
    <w:lvl w:ilvl="0">
      <w:start w:val="1"/>
      <w:numFmt w:val="lowerLetter"/>
      <w:lvlText w:val="(%1)"/>
      <w:lvlJc w:val="left"/>
      <w:pPr>
        <w:tabs>
          <w:tab w:val="num" w:pos="360"/>
        </w:tabs>
        <w:ind w:left="360" w:hanging="360"/>
      </w:pPr>
      <w:rPr>
        <w:rFonts w:hint="default"/>
      </w:rPr>
    </w:lvl>
  </w:abstractNum>
  <w:abstractNum w:abstractNumId="4">
    <w:nsid w:val="0F0A356D"/>
    <w:multiLevelType w:val="multilevel"/>
    <w:tmpl w:val="0F0A356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C32B30"/>
    <w:multiLevelType w:val="multilevel"/>
    <w:tmpl w:val="044648DE"/>
    <w:lvl w:ilvl="0">
      <w:start w:val="4"/>
      <w:numFmt w:val="decimal"/>
      <w:lvlText w:val="%1."/>
      <w:lvlJc w:val="left"/>
      <w:pPr>
        <w:tabs>
          <w:tab w:val="num" w:pos="465"/>
        </w:tabs>
        <w:ind w:left="465" w:hanging="465"/>
      </w:pPr>
      <w:rPr>
        <w:rFonts w:hint="default"/>
      </w:rPr>
    </w:lvl>
    <w:lvl w:ilvl="1">
      <w:start w:val="3"/>
      <w:numFmt w:val="decimal"/>
      <w:lvlText w:val="%1.%2."/>
      <w:lvlJc w:val="left"/>
      <w:pPr>
        <w:tabs>
          <w:tab w:val="num" w:pos="765"/>
        </w:tabs>
        <w:ind w:left="765" w:hanging="46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6">
    <w:nsid w:val="13141E4F"/>
    <w:multiLevelType w:val="multilevel"/>
    <w:tmpl w:val="0ADE672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3D221C4"/>
    <w:multiLevelType w:val="multilevel"/>
    <w:tmpl w:val="326CB4DE"/>
    <w:lvl w:ilvl="0">
      <w:start w:val="3"/>
      <w:numFmt w:val="decimal"/>
      <w:lvlText w:val="%1."/>
      <w:lvlJc w:val="left"/>
      <w:pPr>
        <w:tabs>
          <w:tab w:val="num" w:pos="360"/>
        </w:tabs>
        <w:ind w:left="360" w:hanging="360"/>
      </w:pPr>
      <w:rPr>
        <w:rFonts w:hint="default"/>
        <w:color w:val="auto"/>
      </w:rPr>
    </w:lvl>
    <w:lvl w:ilvl="1">
      <w:start w:val="3"/>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8">
    <w:nsid w:val="144A7FA2"/>
    <w:multiLevelType w:val="hybridMultilevel"/>
    <w:tmpl w:val="C19AA3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A710CBF"/>
    <w:multiLevelType w:val="singleLevel"/>
    <w:tmpl w:val="0405000F"/>
    <w:lvl w:ilvl="0">
      <w:start w:val="1"/>
      <w:numFmt w:val="decimal"/>
      <w:lvlText w:val="%1."/>
      <w:lvlJc w:val="left"/>
      <w:pPr>
        <w:tabs>
          <w:tab w:val="num" w:pos="360"/>
        </w:tabs>
        <w:ind w:left="360" w:hanging="360"/>
      </w:pPr>
    </w:lvl>
  </w:abstractNum>
  <w:abstractNum w:abstractNumId="10">
    <w:nsid w:val="20EC31AD"/>
    <w:multiLevelType w:val="singleLevel"/>
    <w:tmpl w:val="041B000F"/>
    <w:lvl w:ilvl="0">
      <w:start w:val="1"/>
      <w:numFmt w:val="decimal"/>
      <w:lvlText w:val="%1."/>
      <w:lvlJc w:val="left"/>
      <w:pPr>
        <w:tabs>
          <w:tab w:val="num" w:pos="360"/>
        </w:tabs>
        <w:ind w:left="360" w:hanging="360"/>
      </w:pPr>
      <w:rPr>
        <w:rFonts w:hint="default"/>
      </w:rPr>
    </w:lvl>
  </w:abstractNum>
  <w:abstractNum w:abstractNumId="11">
    <w:nsid w:val="214637CE"/>
    <w:multiLevelType w:val="hybridMultilevel"/>
    <w:tmpl w:val="546C41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2072EEC"/>
    <w:multiLevelType w:val="singleLevel"/>
    <w:tmpl w:val="A7A63DD0"/>
    <w:lvl w:ilvl="0">
      <w:start w:val="1"/>
      <w:numFmt w:val="lowerLetter"/>
      <w:lvlText w:val="%1)"/>
      <w:lvlJc w:val="left"/>
      <w:pPr>
        <w:tabs>
          <w:tab w:val="num" w:pos="375"/>
        </w:tabs>
        <w:ind w:left="375" w:hanging="375"/>
      </w:pPr>
      <w:rPr>
        <w:rFonts w:hint="default"/>
      </w:rPr>
    </w:lvl>
  </w:abstractNum>
  <w:abstractNum w:abstractNumId="13">
    <w:nsid w:val="25BE131D"/>
    <w:multiLevelType w:val="multilevel"/>
    <w:tmpl w:val="B75836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9B036E"/>
    <w:multiLevelType w:val="multilevel"/>
    <w:tmpl w:val="3ECA4D1C"/>
    <w:lvl w:ilvl="0">
      <w:start w:val="1"/>
      <w:numFmt w:val="decimal"/>
      <w:lvlText w:val="%1."/>
      <w:lvlJc w:val="left"/>
      <w:pPr>
        <w:tabs>
          <w:tab w:val="num" w:pos="360"/>
        </w:tabs>
        <w:ind w:left="360" w:hanging="360"/>
      </w:pPr>
    </w:lvl>
    <w:lvl w:ilvl="1">
      <w:start w:val="1"/>
      <w:numFmt w:val="decimal"/>
      <w:isLgl/>
      <w:lvlText w:val="%1.%2"/>
      <w:lvlJc w:val="left"/>
      <w:pPr>
        <w:tabs>
          <w:tab w:val="num" w:pos="1275"/>
        </w:tabs>
        <w:ind w:left="1275" w:hanging="57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5">
    <w:nsid w:val="2CF73CC4"/>
    <w:multiLevelType w:val="hybridMultilevel"/>
    <w:tmpl w:val="ACAA8B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BB6B6F"/>
    <w:multiLevelType w:val="multilevel"/>
    <w:tmpl w:val="988A72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47D5AFB"/>
    <w:multiLevelType w:val="hybridMultilevel"/>
    <w:tmpl w:val="36B62CC6"/>
    <w:lvl w:ilvl="0">
      <w:start w:val="1"/>
      <w:numFmt w:val="bullet"/>
      <w:lvlText w:val="-"/>
      <w:lvlJc w:val="left"/>
      <w:pPr>
        <w:tabs>
          <w:tab w:val="num" w:pos="780"/>
        </w:tabs>
        <w:ind w:left="78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5786DB0"/>
    <w:multiLevelType w:val="singleLevel"/>
    <w:tmpl w:val="041B000F"/>
    <w:lvl w:ilvl="0">
      <w:start w:val="1"/>
      <w:numFmt w:val="decimal"/>
      <w:lvlText w:val="%1."/>
      <w:lvlJc w:val="left"/>
      <w:pPr>
        <w:tabs>
          <w:tab w:val="num" w:pos="360"/>
        </w:tabs>
        <w:ind w:left="360" w:hanging="360"/>
      </w:pPr>
      <w:rPr>
        <w:rFonts w:hint="default"/>
      </w:rPr>
    </w:lvl>
  </w:abstractNum>
  <w:abstractNum w:abstractNumId="19">
    <w:nsid w:val="371E2CBC"/>
    <w:multiLevelType w:val="multilevel"/>
    <w:tmpl w:val="D2BACE4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398F5E4E"/>
    <w:multiLevelType w:val="hybridMultilevel"/>
    <w:tmpl w:val="20D03088"/>
    <w:lvl w:ilvl="0">
      <w:start w:val="3"/>
      <w:numFmt w:val="decimal"/>
      <w:lvlText w:val="(%1)"/>
      <w:lvlJc w:val="left"/>
      <w:pPr>
        <w:tabs>
          <w:tab w:val="num" w:pos="357"/>
        </w:tabs>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AF80ABE"/>
    <w:multiLevelType w:val="singleLevel"/>
    <w:tmpl w:val="7D6282B6"/>
    <w:lvl w:ilvl="0">
      <w:start w:val="1"/>
      <w:numFmt w:val="lowerLetter"/>
      <w:lvlText w:val="%1)"/>
      <w:legacy w:legacy="1" w:legacySpace="0" w:legacyIndent="0"/>
      <w:lvlJc w:val="left"/>
      <w:pPr>
        <w:ind w:left="-360" w:firstLine="0"/>
      </w:pPr>
    </w:lvl>
  </w:abstractNum>
  <w:abstractNum w:abstractNumId="22">
    <w:nsid w:val="3B4C0478"/>
    <w:multiLevelType w:val="singleLevel"/>
    <w:tmpl w:val="041B0017"/>
    <w:lvl w:ilvl="0">
      <w:start w:val="2"/>
      <w:numFmt w:val="lowerLetter"/>
      <w:lvlText w:val="%1)"/>
      <w:lvlJc w:val="left"/>
      <w:pPr>
        <w:tabs>
          <w:tab w:val="num" w:pos="360"/>
        </w:tabs>
        <w:ind w:left="360" w:hanging="360"/>
      </w:pPr>
      <w:rPr>
        <w:rFonts w:hint="default"/>
      </w:rPr>
    </w:lvl>
  </w:abstractNum>
  <w:abstractNum w:abstractNumId="23">
    <w:nsid w:val="3CB77C5E"/>
    <w:multiLevelType w:val="multilevel"/>
    <w:tmpl w:val="29DC4B5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630"/>
        </w:tabs>
        <w:ind w:left="630" w:hanging="39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120"/>
        </w:tabs>
        <w:ind w:left="3120" w:hanging="1440"/>
      </w:pPr>
      <w:rPr>
        <w:rFonts w:hint="default"/>
      </w:rPr>
    </w:lvl>
    <w:lvl w:ilvl="8">
      <w:start w:val="1"/>
      <w:numFmt w:val="decimal"/>
      <w:isLgl/>
      <w:lvlText w:val="%1.%2.%3.%4.%5.%6.%7.%8.%9"/>
      <w:lvlJc w:val="left"/>
      <w:pPr>
        <w:tabs>
          <w:tab w:val="num" w:pos="3720"/>
        </w:tabs>
        <w:ind w:left="3720" w:hanging="1800"/>
      </w:pPr>
      <w:rPr>
        <w:rFonts w:hint="default"/>
      </w:rPr>
    </w:lvl>
  </w:abstractNum>
  <w:abstractNum w:abstractNumId="24">
    <w:nsid w:val="3F915037"/>
    <w:multiLevelType w:val="multilevel"/>
    <w:tmpl w:val="3C9CA09E"/>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4A35E1D"/>
    <w:multiLevelType w:val="singleLevel"/>
    <w:tmpl w:val="041B000F"/>
    <w:lvl w:ilvl="0">
      <w:start w:val="1"/>
      <w:numFmt w:val="decimal"/>
      <w:lvlText w:val="%1."/>
      <w:lvlJc w:val="left"/>
      <w:pPr>
        <w:tabs>
          <w:tab w:val="num" w:pos="360"/>
        </w:tabs>
        <w:ind w:left="360" w:hanging="360"/>
      </w:pPr>
      <w:rPr>
        <w:rFonts w:hint="default"/>
      </w:rPr>
    </w:lvl>
  </w:abstractNum>
  <w:abstractNum w:abstractNumId="26">
    <w:nsid w:val="4A4873FF"/>
    <w:multiLevelType w:val="singleLevel"/>
    <w:tmpl w:val="89E482E0"/>
    <w:lvl w:ilvl="0">
      <w:start w:val="1"/>
      <w:numFmt w:val="decimal"/>
      <w:lvlText w:val="%1."/>
      <w:lvlJc w:val="left"/>
      <w:pPr>
        <w:tabs>
          <w:tab w:val="num" w:pos="360"/>
        </w:tabs>
        <w:ind w:left="360" w:hanging="360"/>
      </w:pPr>
      <w:rPr>
        <w:rFonts w:hint="default"/>
      </w:rPr>
    </w:lvl>
  </w:abstractNum>
  <w:abstractNum w:abstractNumId="27">
    <w:nsid w:val="4C6A3289"/>
    <w:multiLevelType w:val="hybridMultilevel"/>
    <w:tmpl w:val="43301860"/>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0064779"/>
    <w:multiLevelType w:val="multilevel"/>
    <w:tmpl w:val="75CA41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0144658"/>
    <w:multiLevelType w:val="singleLevel"/>
    <w:tmpl w:val="B7B892E0"/>
    <w:lvl w:ilvl="0">
      <w:start w:val="2"/>
      <w:numFmt w:val="bullet"/>
      <w:lvlText w:val="-"/>
      <w:lvlJc w:val="left"/>
      <w:pPr>
        <w:tabs>
          <w:tab w:val="num" w:pos="720"/>
        </w:tabs>
        <w:ind w:left="720" w:hanging="360"/>
      </w:pPr>
      <w:rPr>
        <w:rFonts w:hint="default"/>
      </w:rPr>
    </w:lvl>
  </w:abstractNum>
  <w:abstractNum w:abstractNumId="30">
    <w:nsid w:val="55310405"/>
    <w:multiLevelType w:val="multilevel"/>
    <w:tmpl w:val="B16AC918"/>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573C58B0"/>
    <w:multiLevelType w:val="hybridMultilevel"/>
    <w:tmpl w:val="25AEDD36"/>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7F22370"/>
    <w:multiLevelType w:val="hybridMultilevel"/>
    <w:tmpl w:val="319A3E72"/>
    <w:lvl w:ilvl="0">
      <w:start w:val="1"/>
      <w:numFmt w:val="decimal"/>
      <w:lvlText w:val="(%1)"/>
      <w:lvlJc w:val="left"/>
      <w:pPr>
        <w:tabs>
          <w:tab w:val="num" w:pos="357"/>
        </w:tabs>
        <w:ind w:left="0" w:firstLine="0"/>
      </w:pPr>
      <w:rPr>
        <w:rFonts w:hint="default"/>
      </w:rPr>
    </w:lvl>
    <w:lvl w:ilvl="1">
      <w:start w:val="1"/>
      <w:numFmt w:val="lowerLetter"/>
      <w:lvlText w:val="%2)"/>
      <w:lvlJc w:val="left"/>
      <w:pPr>
        <w:tabs>
          <w:tab w:val="num" w:pos="284"/>
        </w:tabs>
        <w:ind w:left="284" w:hanging="284"/>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595D0F51"/>
    <w:multiLevelType w:val="singleLevel"/>
    <w:tmpl w:val="6DEA2E38"/>
    <w:lvl w:ilvl="0">
      <w:start w:val="1"/>
      <w:numFmt w:val="lowerLetter"/>
      <w:lvlText w:val="%1)"/>
      <w:lvlJc w:val="left"/>
      <w:pPr>
        <w:tabs>
          <w:tab w:val="num" w:pos="360"/>
        </w:tabs>
        <w:ind w:left="360" w:hanging="360"/>
      </w:pPr>
      <w:rPr>
        <w:rFonts w:ascii="Times New Roman" w:hAnsi="Times New Roman" w:hint="default"/>
      </w:rPr>
    </w:lvl>
  </w:abstractNum>
  <w:abstractNum w:abstractNumId="34">
    <w:nsid w:val="5CD23A06"/>
    <w:multiLevelType w:val="multilevel"/>
    <w:tmpl w:val="8256C02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18619EA"/>
    <w:multiLevelType w:val="multilevel"/>
    <w:tmpl w:val="9D40095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63EB0D50"/>
    <w:multiLevelType w:val="singleLevel"/>
    <w:tmpl w:val="041B000F"/>
    <w:lvl w:ilvl="0">
      <w:start w:val="1"/>
      <w:numFmt w:val="decimal"/>
      <w:lvlText w:val="%1."/>
      <w:lvlJc w:val="left"/>
      <w:pPr>
        <w:tabs>
          <w:tab w:val="num" w:pos="360"/>
        </w:tabs>
        <w:ind w:left="360" w:hanging="360"/>
      </w:pPr>
      <w:rPr>
        <w:rFonts w:hint="default"/>
      </w:rPr>
    </w:lvl>
  </w:abstractNum>
  <w:abstractNum w:abstractNumId="37">
    <w:nsid w:val="6F6B1EA4"/>
    <w:multiLevelType w:val="multilevel"/>
    <w:tmpl w:val="6F6B1EA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E402E5"/>
    <w:multiLevelType w:val="hybridMultilevel"/>
    <w:tmpl w:val="626A0C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775103A"/>
    <w:multiLevelType w:val="multilevel"/>
    <w:tmpl w:val="46E6676C"/>
    <w:lvl w:ilvl="0">
      <w:start w:val="1"/>
      <w:numFmt w:val="decimal"/>
      <w:lvlText w:val="(%1)"/>
      <w:lvlJc w:val="left"/>
      <w:pPr>
        <w:ind w:left="6882" w:hanging="360"/>
      </w:pPr>
      <w:rPr>
        <w:rFonts w:hint="default"/>
        <w:strike w:val="0"/>
        <w:color w:val="00000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0">
    <w:nsid w:val="7D1137BB"/>
    <w:multiLevelType w:val="singleLevel"/>
    <w:tmpl w:val="2902A672"/>
    <w:lvl w:ilvl="0">
      <w:start w:val="1"/>
      <w:numFmt w:val="decimal"/>
      <w:lvlText w:val="(%1)"/>
      <w:legacy w:legacy="1" w:legacySpace="0" w:legacyIndent="360"/>
      <w:lvlJc w:val="left"/>
      <w:pPr>
        <w:ind w:left="360" w:hanging="360"/>
      </w:pPr>
    </w:lvl>
  </w:abstractNum>
  <w:abstractNum w:abstractNumId="41">
    <w:nsid w:val="7F5E0483"/>
    <w:multiLevelType w:val="hybridMultilevel"/>
    <w:tmpl w:val="7E7E15B0"/>
    <w:lvl w:ilvl="0">
      <w:start w:val="1"/>
      <w:numFmt w:val="decimal"/>
      <w:lvlText w:val="%1."/>
      <w:lvlJc w:val="left"/>
      <w:pPr>
        <w:tabs>
          <w:tab w:val="num" w:pos="284"/>
        </w:tabs>
        <w:ind w:left="284" w:hanging="284"/>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29"/>
  </w:num>
  <w:num w:numId="3">
    <w:abstractNumId w:val="1"/>
  </w:num>
  <w:num w:numId="4">
    <w:abstractNumId w:val="18"/>
  </w:num>
  <w:num w:numId="5">
    <w:abstractNumId w:val="25"/>
  </w:num>
  <w:num w:numId="6">
    <w:abstractNumId w:val="19"/>
  </w:num>
  <w:num w:numId="7">
    <w:abstractNumId w:val="28"/>
  </w:num>
  <w:num w:numId="8">
    <w:abstractNumId w:val="16"/>
  </w:num>
  <w:num w:numId="9">
    <w:abstractNumId w:val="6"/>
  </w:num>
  <w:num w:numId="10">
    <w:abstractNumId w:val="35"/>
  </w:num>
  <w:num w:numId="11">
    <w:abstractNumId w:val="40"/>
  </w:num>
  <w:num w:numId="12">
    <w:abstractNumId w:val="14"/>
  </w:num>
  <w:num w:numId="13">
    <w:abstractNumId w:val="12"/>
  </w:num>
  <w:num w:numId="14">
    <w:abstractNumId w:val="22"/>
  </w:num>
  <w:num w:numId="15">
    <w:abstractNumId w:val="10"/>
  </w:num>
  <w:num w:numId="16">
    <w:abstractNumId w:val="36"/>
  </w:num>
  <w:num w:numId="17">
    <w:abstractNumId w:val="9"/>
  </w:num>
  <w:num w:numId="18">
    <w:abstractNumId w:val="13"/>
  </w:num>
  <w:num w:numId="19">
    <w:abstractNumId w:val="30"/>
  </w:num>
  <w:num w:numId="20">
    <w:abstractNumId w:val="24"/>
  </w:num>
  <w:num w:numId="21">
    <w:abstractNumId w:val="7"/>
  </w:num>
  <w:num w:numId="22">
    <w:abstractNumId w:val="21"/>
  </w:num>
  <w:num w:numId="23">
    <w:abstractNumId w:val="2"/>
  </w:num>
  <w:num w:numId="24">
    <w:abstractNumId w:val="33"/>
  </w:num>
  <w:num w:numId="25">
    <w:abstractNumId w:val="23"/>
  </w:num>
  <w:num w:numId="26">
    <w:abstractNumId w:val="26"/>
  </w:num>
  <w:num w:numId="27">
    <w:abstractNumId w:val="34"/>
  </w:num>
  <w:num w:numId="28">
    <w:abstractNumId w:val="11"/>
  </w:num>
  <w:num w:numId="29">
    <w:abstractNumId w:val="17"/>
  </w:num>
  <w:num w:numId="30">
    <w:abstractNumId w:val="38"/>
  </w:num>
  <w:num w:numId="31">
    <w:abstractNumId w:val="5"/>
  </w:num>
  <w:num w:numId="32">
    <w:abstractNumId w:val="41"/>
  </w:num>
  <w:num w:numId="33">
    <w:abstractNumId w:val="27"/>
  </w:num>
  <w:num w:numId="34">
    <w:abstractNumId w:val="32"/>
  </w:num>
  <w:num w:numId="35">
    <w:abstractNumId w:val="15"/>
  </w:num>
  <w:num w:numId="36">
    <w:abstractNumId w:val="20"/>
  </w:num>
  <w:num w:numId="37">
    <w:abstractNumId w:val="39"/>
  </w:num>
  <w:num w:numId="38">
    <w:abstractNumId w:val="4"/>
  </w:num>
  <w:num w:numId="39">
    <w:abstractNumId w:val="37"/>
  </w:num>
  <w:num w:numId="40">
    <w:abstractNumId w:val="0"/>
  </w:num>
  <w:num w:numId="41">
    <w:abstractNumId w:val="31"/>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displayHorizontalDrawingGridEvery w:val="0"/>
  <w:displayVerticalDrawingGridEvery w:val="0"/>
  <w:doNotUseMarginsForDrawingGridOrigin/>
  <w:drawingGridHorizontalOrigin w:val="1701"/>
  <w:drawingGridVerticalOrigin w:val="1984"/>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4AA4"/>
    <w:rsid w:val="00013084"/>
    <w:rsid w:val="00014806"/>
    <w:rsid w:val="00017B3D"/>
    <w:rsid w:val="00037F7C"/>
    <w:rsid w:val="00044119"/>
    <w:rsid w:val="0004654A"/>
    <w:rsid w:val="000712B1"/>
    <w:rsid w:val="00075FDE"/>
    <w:rsid w:val="00080EF5"/>
    <w:rsid w:val="00083C14"/>
    <w:rsid w:val="0009423E"/>
    <w:rsid w:val="00095980"/>
    <w:rsid w:val="000A0F7A"/>
    <w:rsid w:val="000D1758"/>
    <w:rsid w:val="000D2D32"/>
    <w:rsid w:val="000D308C"/>
    <w:rsid w:val="00111693"/>
    <w:rsid w:val="001123BC"/>
    <w:rsid w:val="0011466E"/>
    <w:rsid w:val="00116126"/>
    <w:rsid w:val="00117FAD"/>
    <w:rsid w:val="00125089"/>
    <w:rsid w:val="001350A9"/>
    <w:rsid w:val="001404E3"/>
    <w:rsid w:val="0016519E"/>
    <w:rsid w:val="00181BB2"/>
    <w:rsid w:val="00184764"/>
    <w:rsid w:val="001C7687"/>
    <w:rsid w:val="001F7851"/>
    <w:rsid w:val="0021463E"/>
    <w:rsid w:val="00215B1E"/>
    <w:rsid w:val="00225490"/>
    <w:rsid w:val="00243497"/>
    <w:rsid w:val="0025110A"/>
    <w:rsid w:val="00263938"/>
    <w:rsid w:val="00265C4A"/>
    <w:rsid w:val="00287800"/>
    <w:rsid w:val="0029361F"/>
    <w:rsid w:val="002976E5"/>
    <w:rsid w:val="002E0E35"/>
    <w:rsid w:val="002E4255"/>
    <w:rsid w:val="002F4A05"/>
    <w:rsid w:val="00315EDD"/>
    <w:rsid w:val="0032446F"/>
    <w:rsid w:val="00334358"/>
    <w:rsid w:val="003804FE"/>
    <w:rsid w:val="003C63D9"/>
    <w:rsid w:val="003E6024"/>
    <w:rsid w:val="003F3E2C"/>
    <w:rsid w:val="004306BE"/>
    <w:rsid w:val="00434F86"/>
    <w:rsid w:val="00445344"/>
    <w:rsid w:val="0045240B"/>
    <w:rsid w:val="004541F8"/>
    <w:rsid w:val="00475FC0"/>
    <w:rsid w:val="0049228A"/>
    <w:rsid w:val="00492FE6"/>
    <w:rsid w:val="004F535D"/>
    <w:rsid w:val="004F56D6"/>
    <w:rsid w:val="00505C33"/>
    <w:rsid w:val="0050794F"/>
    <w:rsid w:val="00525871"/>
    <w:rsid w:val="00537843"/>
    <w:rsid w:val="005806A5"/>
    <w:rsid w:val="0059089E"/>
    <w:rsid w:val="005A1D5A"/>
    <w:rsid w:val="005A5CCB"/>
    <w:rsid w:val="005C348B"/>
    <w:rsid w:val="005D5607"/>
    <w:rsid w:val="005E0FBA"/>
    <w:rsid w:val="005E4679"/>
    <w:rsid w:val="005E5438"/>
    <w:rsid w:val="006076CB"/>
    <w:rsid w:val="0063514A"/>
    <w:rsid w:val="00646433"/>
    <w:rsid w:val="00646E42"/>
    <w:rsid w:val="006656A5"/>
    <w:rsid w:val="006A5F80"/>
    <w:rsid w:val="006B260F"/>
    <w:rsid w:val="006C019A"/>
    <w:rsid w:val="006C304A"/>
    <w:rsid w:val="006C4775"/>
    <w:rsid w:val="00704884"/>
    <w:rsid w:val="00711142"/>
    <w:rsid w:val="00715D57"/>
    <w:rsid w:val="0071748E"/>
    <w:rsid w:val="00744F38"/>
    <w:rsid w:val="00747A0F"/>
    <w:rsid w:val="007A70AB"/>
    <w:rsid w:val="007A778E"/>
    <w:rsid w:val="007B21BC"/>
    <w:rsid w:val="007C023F"/>
    <w:rsid w:val="007C1DDB"/>
    <w:rsid w:val="007D5985"/>
    <w:rsid w:val="007E0C0E"/>
    <w:rsid w:val="007F2558"/>
    <w:rsid w:val="007F2D00"/>
    <w:rsid w:val="00801764"/>
    <w:rsid w:val="00822476"/>
    <w:rsid w:val="0082745A"/>
    <w:rsid w:val="008379AE"/>
    <w:rsid w:val="00855230"/>
    <w:rsid w:val="008607D6"/>
    <w:rsid w:val="008677F1"/>
    <w:rsid w:val="008C0A41"/>
    <w:rsid w:val="008C360B"/>
    <w:rsid w:val="008C7A15"/>
    <w:rsid w:val="008E129C"/>
    <w:rsid w:val="008F09A2"/>
    <w:rsid w:val="008F4C07"/>
    <w:rsid w:val="00916D65"/>
    <w:rsid w:val="0091721F"/>
    <w:rsid w:val="00941C0D"/>
    <w:rsid w:val="00985F63"/>
    <w:rsid w:val="009A1BB0"/>
    <w:rsid w:val="009A46F2"/>
    <w:rsid w:val="009B6F89"/>
    <w:rsid w:val="009E6D9E"/>
    <w:rsid w:val="009F3A71"/>
    <w:rsid w:val="00A20341"/>
    <w:rsid w:val="00A41DE8"/>
    <w:rsid w:val="00A50271"/>
    <w:rsid w:val="00A75DF2"/>
    <w:rsid w:val="00AA2560"/>
    <w:rsid w:val="00AB2D30"/>
    <w:rsid w:val="00AC30F5"/>
    <w:rsid w:val="00AC44C6"/>
    <w:rsid w:val="00AD1038"/>
    <w:rsid w:val="00AD2893"/>
    <w:rsid w:val="00AD3768"/>
    <w:rsid w:val="00AD698B"/>
    <w:rsid w:val="00AE0758"/>
    <w:rsid w:val="00B0402A"/>
    <w:rsid w:val="00B75EBD"/>
    <w:rsid w:val="00B90D6B"/>
    <w:rsid w:val="00BA4E1E"/>
    <w:rsid w:val="00BA7BA6"/>
    <w:rsid w:val="00BE3704"/>
    <w:rsid w:val="00BF3E52"/>
    <w:rsid w:val="00C13A41"/>
    <w:rsid w:val="00C46FD3"/>
    <w:rsid w:val="00C516DC"/>
    <w:rsid w:val="00C67205"/>
    <w:rsid w:val="00C757DF"/>
    <w:rsid w:val="00C91C6B"/>
    <w:rsid w:val="00C97E30"/>
    <w:rsid w:val="00CB2919"/>
    <w:rsid w:val="00CC0444"/>
    <w:rsid w:val="00CF6A32"/>
    <w:rsid w:val="00D14AA4"/>
    <w:rsid w:val="00D25DA2"/>
    <w:rsid w:val="00D527A3"/>
    <w:rsid w:val="00D56C7C"/>
    <w:rsid w:val="00D6502D"/>
    <w:rsid w:val="00D8549D"/>
    <w:rsid w:val="00DA05F8"/>
    <w:rsid w:val="00DC5C06"/>
    <w:rsid w:val="00DD6E7C"/>
    <w:rsid w:val="00E11CDB"/>
    <w:rsid w:val="00E17F15"/>
    <w:rsid w:val="00E403AC"/>
    <w:rsid w:val="00E45558"/>
    <w:rsid w:val="00E50A00"/>
    <w:rsid w:val="00E6708B"/>
    <w:rsid w:val="00E73B1B"/>
    <w:rsid w:val="00E81B8B"/>
    <w:rsid w:val="00E90C8D"/>
    <w:rsid w:val="00E9798C"/>
    <w:rsid w:val="00EA340D"/>
    <w:rsid w:val="00EA35F5"/>
    <w:rsid w:val="00EB770C"/>
    <w:rsid w:val="00EC4CF3"/>
    <w:rsid w:val="00ED1CAC"/>
    <w:rsid w:val="00EE1E35"/>
    <w:rsid w:val="00F02499"/>
    <w:rsid w:val="00F20563"/>
    <w:rsid w:val="00F36D68"/>
    <w:rsid w:val="00F40087"/>
    <w:rsid w:val="00F50837"/>
    <w:rsid w:val="00F74EA2"/>
    <w:rsid w:val="00F82280"/>
    <w:rsid w:val="00F8608C"/>
    <w:rsid w:val="00F91B35"/>
    <w:rsid w:val="00FA0C0A"/>
    <w:rsid w:val="00FB0B75"/>
    <w:rsid w:val="00FB6EFD"/>
    <w:rsid w:val="00FC5EEC"/>
    <w:rsid w:val="00FC6D20"/>
    <w:rsid w:val="00FC787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default="1" w:styleId="Normal">
    <w:name w:val="Normal"/>
    <w:qFormat/>
    <w:rsid w:val="00C67205"/>
    <w:rPr>
      <w:lang w:val="sk-SK" w:eastAsia="sk-SK" w:bidi="ar-SA"/>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line="360" w:lineRule="auto"/>
      <w:jc w:val="center"/>
      <w:outlineLvl w:val="1"/>
    </w:pPr>
    <w:rPr>
      <w:sz w:val="24"/>
    </w:rPr>
  </w:style>
  <w:style w:type="paragraph" w:styleId="Heading3">
    <w:name w:val="heading 3"/>
    <w:basedOn w:val="Normal"/>
    <w:next w:val="Normal"/>
    <w:qFormat/>
    <w:pPr>
      <w:keepNext/>
      <w:spacing w:line="360" w:lineRule="auto"/>
      <w:outlineLvl w:val="2"/>
    </w:pPr>
    <w:rPr>
      <w:sz w:val="24"/>
    </w:rPr>
  </w:style>
  <w:style w:type="paragraph" w:styleId="Heading4">
    <w:name w:val="heading 4"/>
    <w:basedOn w:val="Normal"/>
    <w:next w:val="Normal"/>
    <w:qFormat/>
    <w:pPr>
      <w:keepNext/>
      <w:jc w:val="center"/>
      <w:outlineLvl w:val="3"/>
    </w:pPr>
    <w:rPr>
      <w:b/>
      <w:color w:val="000000"/>
      <w:sz w:val="24"/>
    </w:rPr>
  </w:style>
  <w:style w:type="paragraph" w:styleId="Heading7">
    <w:name w:val="heading 7"/>
    <w:basedOn w:val="Normal"/>
    <w:next w:val="Normal"/>
    <w:qFormat/>
    <w:rsid w:val="006C019A"/>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Pr>
      <w:b/>
      <w:sz w:val="24"/>
    </w:rPr>
  </w:style>
  <w:style w:type="paragraph" w:styleId="FootnoteText">
    <w:name w:val="footnote text"/>
    <w:basedOn w:val="Normal"/>
    <w:link w:val="TextpoznmkypodiarouChar"/>
    <w:rPr>
      <w:noProof w:val="0"/>
      <w:lang w:val="cs-CZ"/>
    </w:rPr>
  </w:style>
  <w:style w:type="character" w:styleId="FootnoteReference">
    <w:name w:val="footnote reference"/>
    <w:rPr>
      <w:vertAlign w:val="superscript"/>
    </w:rPr>
  </w:style>
  <w:style w:type="paragraph" w:styleId="BodyText3">
    <w:name w:val="Body Text 3"/>
    <w:basedOn w:val="Normal"/>
    <w:pPr>
      <w:spacing w:line="360" w:lineRule="auto"/>
    </w:pPr>
    <w:rPr>
      <w:sz w:val="24"/>
    </w:rPr>
  </w:style>
  <w:style w:type="paragraph" w:styleId="BodyText">
    <w:name w:val="Body Text"/>
    <w:basedOn w:val="Normal"/>
    <w:pPr>
      <w:spacing w:before="120" w:after="120"/>
      <w:jc w:val="both"/>
    </w:pPr>
    <w:rPr>
      <w:sz w:val="24"/>
    </w:rPr>
  </w:style>
  <w:style w:type="paragraph" w:customStyle="1" w:styleId="Import2">
    <w:name w:val="Import 2"/>
    <w:basedOn w:val="Normal"/>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overflowPunct w:val="0"/>
      <w:autoSpaceDE w:val="0"/>
      <w:autoSpaceDN w:val="0"/>
      <w:adjustRightInd w:val="0"/>
      <w:spacing w:line="346" w:lineRule="auto"/>
      <w:textAlignment w:val="baseline"/>
    </w:pPr>
    <w:rPr>
      <w:rFonts w:ascii="Courier New" w:hAnsi="Courier New"/>
      <w:noProof w:val="0"/>
      <w:sz w:val="24"/>
      <w:lang w:val="cs-CZ"/>
    </w:rPr>
  </w:style>
  <w:style w:type="paragraph" w:customStyle="1" w:styleId="BodyText20">
    <w:name w:val="Body Text 2"/>
    <w:basedOn w:val="Normal"/>
    <w:rsid w:val="008F4C07"/>
    <w:pPr>
      <w:jc w:val="center"/>
    </w:pPr>
    <w:rPr>
      <w:b/>
      <w:sz w:val="24"/>
    </w:rPr>
  </w:style>
  <w:style w:type="paragraph" w:customStyle="1" w:styleId="BodyTextIndent2">
    <w:name w:val="Body Text Indent 2"/>
    <w:basedOn w:val="Normal"/>
    <w:rsid w:val="0011466E"/>
    <w:pPr>
      <w:ind w:firstLine="360"/>
      <w:jc w:val="both"/>
    </w:pPr>
    <w:rPr>
      <w:sz w:val="24"/>
    </w:rPr>
  </w:style>
  <w:style w:type="paragraph" w:customStyle="1" w:styleId="BodyText30">
    <w:name w:val="Body Text 3"/>
    <w:basedOn w:val="Normal"/>
    <w:rsid w:val="0011466E"/>
    <w:pPr>
      <w:jc w:val="both"/>
    </w:pPr>
    <w:rPr>
      <w:color w:val="000000"/>
      <w:sz w:val="24"/>
    </w:rPr>
  </w:style>
  <w:style w:type="paragraph" w:styleId="BodyTextIndent">
    <w:name w:val="Body Text Indent"/>
    <w:basedOn w:val="Normal"/>
    <w:rsid w:val="008379AE"/>
    <w:pPr>
      <w:spacing w:after="120"/>
      <w:ind w:left="283"/>
    </w:pPr>
  </w:style>
  <w:style w:type="paragraph" w:customStyle="1" w:styleId="nazov">
    <w:name w:val="nazov"/>
    <w:basedOn w:val="Normal"/>
    <w:rsid w:val="00C13A41"/>
    <w:pPr>
      <w:jc w:val="center"/>
    </w:pPr>
    <w:rPr>
      <w:b/>
      <w:sz w:val="24"/>
      <w:lang w:eastAsia="cs-CZ"/>
    </w:rPr>
  </w:style>
  <w:style w:type="character" w:styleId="Emphasis">
    <w:name w:val="Emphasis"/>
    <w:qFormat/>
    <w:rsid w:val="008C0A41"/>
    <w:rPr>
      <w:i/>
      <w:iCs/>
    </w:rPr>
  </w:style>
  <w:style w:type="character" w:styleId="Strong">
    <w:name w:val="Strong"/>
    <w:qFormat/>
    <w:rsid w:val="008C0A41"/>
    <w:rPr>
      <w:b/>
      <w:bCs/>
    </w:rPr>
  </w:style>
  <w:style w:type="paragraph" w:styleId="Header">
    <w:name w:val="header"/>
    <w:basedOn w:val="Normal"/>
    <w:link w:val="HlavikaChar"/>
    <w:rsid w:val="000D308C"/>
    <w:pPr>
      <w:tabs>
        <w:tab w:val="center" w:pos="4536"/>
        <w:tab w:val="right" w:pos="9072"/>
      </w:tabs>
    </w:pPr>
  </w:style>
  <w:style w:type="character" w:customStyle="1" w:styleId="HlavikaChar">
    <w:name w:val="Hlavička Char"/>
    <w:basedOn w:val="DefaultParagraphFont"/>
    <w:link w:val="Header"/>
    <w:rsid w:val="000D308C"/>
  </w:style>
  <w:style w:type="paragraph" w:styleId="Footer">
    <w:name w:val="footer"/>
    <w:basedOn w:val="Normal"/>
    <w:link w:val="PtaChar"/>
    <w:uiPriority w:val="99"/>
    <w:rsid w:val="000D308C"/>
    <w:pPr>
      <w:tabs>
        <w:tab w:val="center" w:pos="4536"/>
        <w:tab w:val="right" w:pos="9072"/>
      </w:tabs>
    </w:pPr>
  </w:style>
  <w:style w:type="character" w:customStyle="1" w:styleId="PtaChar">
    <w:name w:val="Päta Char"/>
    <w:basedOn w:val="DefaultParagraphFont"/>
    <w:link w:val="Footer"/>
    <w:uiPriority w:val="99"/>
    <w:rsid w:val="000D308C"/>
  </w:style>
  <w:style w:type="paragraph" w:styleId="BalloonText">
    <w:name w:val="Balloon Text"/>
    <w:basedOn w:val="Normal"/>
    <w:link w:val="TextbublinyChar"/>
    <w:rsid w:val="000D308C"/>
    <w:rPr>
      <w:rFonts w:ascii="Tahoma" w:hAnsi="Tahoma" w:cs="Tahoma"/>
      <w:sz w:val="16"/>
      <w:szCs w:val="16"/>
    </w:rPr>
  </w:style>
  <w:style w:type="character" w:customStyle="1" w:styleId="TextbublinyChar">
    <w:name w:val="Text bubliny Char"/>
    <w:link w:val="BalloonText"/>
    <w:rsid w:val="000D308C"/>
    <w:rPr>
      <w:rFonts w:ascii="Tahoma" w:hAnsi="Tahoma" w:cs="Tahoma"/>
      <w:sz w:val="16"/>
      <w:szCs w:val="16"/>
    </w:rPr>
  </w:style>
  <w:style w:type="character" w:customStyle="1" w:styleId="TextpoznmkypodiarouChar">
    <w:name w:val="Text poznámky pod čiarou Char"/>
    <w:link w:val="FootnoteText"/>
    <w:rsid w:val="00334358"/>
    <w:rPr>
      <w:lang w:val="cs-CZ"/>
    </w:rPr>
  </w:style>
  <w:style w:type="character" w:styleId="Hyperlink">
    <w:name w:val="Hyperlink"/>
    <w:uiPriority w:val="99"/>
    <w:unhideWhenUsed/>
    <w:rsid w:val="0045240B"/>
    <w:rPr>
      <w:color w:val="0000FF"/>
      <w:u w:val="single"/>
    </w:rPr>
  </w:style>
  <w:style w:type="paragraph" w:styleId="ListParagraph">
    <w:name w:val="List Paragraph"/>
    <w:basedOn w:val="Normal"/>
    <w:link w:val="OdsekzoznamuChar"/>
    <w:uiPriority w:val="34"/>
    <w:qFormat/>
    <w:rsid w:val="007E0C0E"/>
    <w:pPr>
      <w:widowControl w:val="0"/>
      <w:autoSpaceDE w:val="0"/>
      <w:autoSpaceDN w:val="0"/>
      <w:adjustRightInd w:val="0"/>
      <w:ind w:left="720"/>
      <w:contextualSpacing/>
    </w:pPr>
    <w:rPr>
      <w:sz w:val="24"/>
      <w:szCs w:val="24"/>
      <w:lang w:val="ru-RU"/>
    </w:rPr>
  </w:style>
  <w:style w:type="character" w:customStyle="1" w:styleId="OdsekzoznamuChar">
    <w:name w:val="Odsek zoznamu Char"/>
    <w:link w:val="ListParagraph"/>
    <w:uiPriority w:val="34"/>
    <w:qFormat/>
    <w:rsid w:val="00BF3E52"/>
    <w:rPr>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597DF-C30F-4763-8487-B7B53132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2886</Words>
  <Characters>16454</Characters>
  <Application>Microsoft Office Word</Application>
  <DocSecurity>0</DocSecurity>
  <Lines>137</Lines>
  <Paragraphs>38</Paragraphs>
  <ScaleCrop>false</ScaleCrop>
  <HeadingPairs>
    <vt:vector size="2" baseType="variant">
      <vt:variant>
        <vt:lpstr>Názov</vt:lpstr>
      </vt:variant>
      <vt:variant>
        <vt:i4>1</vt:i4>
      </vt:variant>
    </vt:vector>
  </HeadingPairs>
  <TitlesOfParts>
    <vt:vector size="1" baseType="lpstr">
      <vt:lpstr>Tabuľka zhody (Table of Concordance)</vt:lpstr>
    </vt:vector>
  </TitlesOfParts>
  <Company>MZP</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 (Table of Concordance)</dc:title>
  <dc:creator>Kováčová Marcela, Ing.</dc:creator>
  <cp:lastModifiedBy>Andrea</cp:lastModifiedBy>
  <cp:revision>4</cp:revision>
  <cp:lastPrinted>2021-10-13T10:14:00Z</cp:lastPrinted>
  <dcterms:created xsi:type="dcterms:W3CDTF">2022-09-30T06:26:00Z</dcterms:created>
  <dcterms:modified xsi:type="dcterms:W3CDTF">2022-09-30T08:09:00Z</dcterms:modified>
</cp:coreProperties>
</file>