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5D21" w:rsidP="00E95D21">
      <w:pPr>
        <w:pStyle w:val="Heading1"/>
        <w:jc w:val="center"/>
        <w:rPr>
          <w:sz w:val="28"/>
          <w:szCs w:val="28"/>
        </w:rPr>
      </w:pPr>
      <w:r w:rsidRPr="009562F1">
        <w:rPr>
          <w:sz w:val="28"/>
          <w:szCs w:val="28"/>
        </w:rPr>
        <w:t>TABUĽKA  ZHODY</w:t>
      </w:r>
    </w:p>
    <w:p w:rsidR="00E95D21" w:rsidRPr="001E2AE7" w:rsidP="00E95D21">
      <w:pPr>
        <w:pStyle w:val="BodyText"/>
        <w:spacing w:before="120"/>
        <w:jc w:val="center"/>
        <w:rPr>
          <w:b/>
          <w:color w:val="000000"/>
        </w:rPr>
      </w:pPr>
      <w:r w:rsidRPr="001E2AE7">
        <w:rPr>
          <w:b/>
          <w:bCs/>
          <w:color w:val="000000"/>
          <w:sz w:val="28"/>
          <w:szCs w:val="28"/>
        </w:rPr>
        <w:t>návrhu právneho predpisu s právom Európskej únie</w:t>
      </w:r>
    </w:p>
    <w:p w:rsidR="002C0B4E" w:rsidRPr="00390FC1" w:rsidP="007847A8">
      <w:pPr>
        <w:jc w:val="center"/>
      </w:pPr>
    </w:p>
    <w:tbl>
      <w:tblPr>
        <w:tblStyle w:val="TableNormal"/>
        <w:tblW w:w="316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4074"/>
        <w:gridCol w:w="747"/>
        <w:gridCol w:w="574"/>
        <w:gridCol w:w="701"/>
        <w:gridCol w:w="7797"/>
        <w:gridCol w:w="708"/>
        <w:gridCol w:w="1130"/>
        <w:gridCol w:w="17"/>
        <w:gridCol w:w="15073"/>
      </w:tblGrid>
      <w:tr w:rsidTr="008658BB">
        <w:tblPrEx>
          <w:tblW w:w="316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gridAfter w:val="1"/>
          <w:wAfter w:w="15073" w:type="dxa"/>
          <w:trHeight w:val="810"/>
        </w:trPr>
        <w:tc>
          <w:tcPr>
            <w:tcW w:w="4924" w:type="dxa"/>
            <w:gridSpan w:val="2"/>
          </w:tcPr>
          <w:p w:rsidR="00901E22" w:rsidRPr="00E95D21" w:rsidP="00E95D21">
            <w:pPr>
              <w:pStyle w:val="Nadpisvstrede"/>
              <w:spacing w:before="0" w:line="360" w:lineRule="auto"/>
              <w:rPr>
                <w:lang w:val="sk-SK"/>
              </w:rPr>
            </w:pPr>
            <w:r w:rsidRPr="00E95D21" w:rsidR="00E95D21">
              <w:rPr>
                <w:sz w:val="24"/>
                <w:lang w:val="sk-SK"/>
              </w:rPr>
              <w:t>SMERNICA</w:t>
            </w:r>
          </w:p>
        </w:tc>
        <w:tc>
          <w:tcPr>
            <w:tcW w:w="11674" w:type="dxa"/>
            <w:gridSpan w:val="7"/>
          </w:tcPr>
          <w:p w:rsidR="00E95D21" w:rsidRPr="009562F1" w:rsidP="00E95D21">
            <w:pPr>
              <w:jc w:val="center"/>
              <w:rPr>
                <w:b/>
              </w:rPr>
            </w:pPr>
            <w:r w:rsidRPr="009562F1">
              <w:rPr>
                <w:b/>
              </w:rPr>
              <w:t>PRÁVNE PREDPISY SLOVENSKEJ REPUBLIKY</w:t>
            </w:r>
          </w:p>
          <w:p w:rsidR="00901E22" w:rsidRPr="00390FC1">
            <w:pPr>
              <w:pStyle w:val="BodyText2"/>
              <w:jc w:val="both"/>
              <w:rPr>
                <w:sz w:val="20"/>
              </w:rPr>
            </w:pPr>
          </w:p>
        </w:tc>
      </w:tr>
      <w:tr w:rsidTr="008658BB">
        <w:tblPrEx>
          <w:tblW w:w="31671" w:type="dxa"/>
          <w:tblInd w:w="-72" w:type="dxa"/>
          <w:tblLayout w:type="fixed"/>
          <w:tblCellMar>
            <w:left w:w="70" w:type="dxa"/>
            <w:right w:w="70" w:type="dxa"/>
          </w:tblCellMar>
          <w:tblLook w:val="0000"/>
        </w:tblPrEx>
        <w:trPr>
          <w:gridAfter w:val="1"/>
          <w:wAfter w:w="15073" w:type="dxa"/>
          <w:trHeight w:val="810"/>
        </w:trPr>
        <w:tc>
          <w:tcPr>
            <w:tcW w:w="4924" w:type="dxa"/>
            <w:gridSpan w:val="2"/>
          </w:tcPr>
          <w:p w:rsidR="00CA584F" w:rsidP="00CA584F">
            <w:pPr>
              <w:pStyle w:val="BodyText2"/>
              <w:rPr>
                <w:sz w:val="20"/>
              </w:rPr>
            </w:pPr>
          </w:p>
          <w:p w:rsidR="00375B0D" w:rsidP="00CA584F">
            <w:pPr>
              <w:pStyle w:val="BodyText2"/>
              <w:rPr>
                <w:sz w:val="20"/>
              </w:rPr>
            </w:pPr>
            <w:r w:rsidRPr="00CA584F" w:rsidR="00CA584F">
              <w:rPr>
                <w:sz w:val="20"/>
              </w:rPr>
              <w:t>Smernica Európskeho parlamentu a Rady 2008/50/ES z 21. mája 2008 o kvalite okolitého ovzdušia a čistejšom ovzduší v Európe (Ú. v. EÚ L 152, 11</w:t>
            </w:r>
            <w:r w:rsidRPr="00CA584F" w:rsidR="00CA584F">
              <w:rPr>
                <w:sz w:val="20"/>
              </w:rPr>
              <w:t xml:space="preserve">. 6. 2008) v znení smernice Komisie (EÚ) 2015/1480 z 28. augusta 2015 </w:t>
            </w:r>
            <w:r w:rsidR="00CA584F">
              <w:rPr>
                <w:sz w:val="20"/>
              </w:rPr>
              <w:t>(Ú. v. EÚ L 226, 29. 8. 2015).</w:t>
            </w:r>
          </w:p>
          <w:p w:rsidR="00CA584F" w:rsidRPr="00390FC1" w:rsidP="00CA584F">
            <w:pPr>
              <w:pStyle w:val="BodyText2"/>
              <w:rPr>
                <w:sz w:val="20"/>
              </w:rPr>
            </w:pPr>
          </w:p>
        </w:tc>
        <w:tc>
          <w:tcPr>
            <w:tcW w:w="11674" w:type="dxa"/>
            <w:gridSpan w:val="7"/>
          </w:tcPr>
          <w:p w:rsidR="00375B0D" w:rsidRPr="00390FC1">
            <w:pPr>
              <w:pStyle w:val="BodyText2"/>
              <w:jc w:val="both"/>
              <w:rPr>
                <w:sz w:val="20"/>
              </w:rPr>
            </w:pPr>
          </w:p>
          <w:p w:rsidR="00E95D21" w:rsidP="00E95D21">
            <w:pPr>
              <w:rPr>
                <w:b/>
                <w:sz w:val="20"/>
              </w:rPr>
            </w:pPr>
            <w:r w:rsidR="003E486C">
              <w:rPr>
                <w:b/>
                <w:sz w:val="20"/>
              </w:rPr>
              <w:t>Tézy návrhu</w:t>
            </w:r>
            <w:r>
              <w:rPr>
                <w:b/>
                <w:sz w:val="20"/>
              </w:rPr>
              <w:t xml:space="preserve"> vyhlášky Ministerstva životného prostredia Slovenskej republiky o kvalite ovzdušia (NV)</w:t>
            </w:r>
            <w:r w:rsidR="007E53DA">
              <w:rPr>
                <w:b/>
                <w:sz w:val="20"/>
              </w:rPr>
              <w:t xml:space="preserve"> </w:t>
            </w:r>
          </w:p>
          <w:p w:rsidR="00E95D21" w:rsidRPr="00B47D97" w:rsidP="00E95D21">
            <w:pPr>
              <w:rPr>
                <w:b/>
                <w:sz w:val="20"/>
              </w:rPr>
            </w:pPr>
          </w:p>
          <w:p w:rsidR="006C2232" w:rsidP="006C2232">
            <w:pPr>
              <w:rPr>
                <w:b/>
                <w:sz w:val="20"/>
              </w:rPr>
            </w:pPr>
            <w:r w:rsidRPr="00B47D97">
              <w:rPr>
                <w:b/>
                <w:sz w:val="20"/>
              </w:rPr>
              <w:t xml:space="preserve">Návrh zákona </w:t>
            </w:r>
            <w:r w:rsidRPr="00BC0F71" w:rsidR="00BC0F71">
              <w:rPr>
                <w:b/>
                <w:sz w:val="20"/>
              </w:rPr>
              <w:t>o ochrane ovzdušia a o zm</w:t>
            </w:r>
            <w:r w:rsidR="00BC0F71">
              <w:rPr>
                <w:b/>
                <w:sz w:val="20"/>
              </w:rPr>
              <w:t xml:space="preserve">ene doplnení </w:t>
            </w:r>
            <w:r w:rsidR="00BC0F71">
              <w:rPr>
                <w:b/>
                <w:sz w:val="20"/>
              </w:rPr>
              <w:t xml:space="preserve">niektorých zákonov </w:t>
            </w:r>
            <w:r w:rsidRPr="00B47D97">
              <w:rPr>
                <w:b/>
                <w:sz w:val="20"/>
              </w:rPr>
              <w:t>(NZ)</w:t>
            </w:r>
          </w:p>
          <w:p w:rsidR="003270D2" w:rsidP="006C2232">
            <w:pPr>
              <w:rPr>
                <w:b/>
                <w:sz w:val="20"/>
              </w:rPr>
            </w:pPr>
          </w:p>
          <w:p w:rsidR="003270D2" w:rsidP="003270D2">
            <w:pPr>
              <w:rPr>
                <w:b/>
                <w:sz w:val="20"/>
              </w:rPr>
            </w:pPr>
            <w:r w:rsidRPr="00CB4F2E">
              <w:rPr>
                <w:b/>
                <w:sz w:val="20"/>
              </w:rPr>
              <w:t>Zákon č. 575/2001 Z. z. o organizácii činnosti vlády a organizácií ústrednej štátnej správy (Z)</w:t>
            </w:r>
          </w:p>
          <w:p w:rsidR="003270D2" w:rsidP="006C2232">
            <w:pPr>
              <w:rPr>
                <w:b/>
                <w:sz w:val="20"/>
              </w:rPr>
            </w:pPr>
          </w:p>
          <w:p w:rsidR="00E95D21" w:rsidP="006C2232">
            <w:pPr>
              <w:rPr>
                <w:b/>
                <w:sz w:val="20"/>
              </w:rPr>
            </w:pPr>
          </w:p>
          <w:p w:rsidR="00375B0D" w:rsidRPr="00390FC1" w:rsidP="00E95D21">
            <w:pPr>
              <w:pStyle w:val="BodyText2"/>
              <w:jc w:val="both"/>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261"/>
        </w:trPr>
        <w:tc>
          <w:tcPr>
            <w:tcW w:w="850" w:type="dxa"/>
          </w:tcPr>
          <w:p w:rsidR="00D51CDD" w:rsidP="008658BB">
            <w:pPr>
              <w:jc w:val="center"/>
              <w:rPr>
                <w:sz w:val="20"/>
              </w:rPr>
            </w:pPr>
            <w:r w:rsidRPr="00390FC1">
              <w:rPr>
                <w:sz w:val="20"/>
              </w:rPr>
              <w:t>1</w:t>
            </w:r>
          </w:p>
          <w:p w:rsidR="00993448" w:rsidRPr="00390FC1" w:rsidP="008658BB">
            <w:pPr>
              <w:jc w:val="center"/>
              <w:rPr>
                <w:sz w:val="20"/>
              </w:rPr>
            </w:pPr>
          </w:p>
        </w:tc>
        <w:tc>
          <w:tcPr>
            <w:tcW w:w="4074" w:type="dxa"/>
            <w:tcBorders>
              <w:bottom w:val="single" w:sz="4" w:space="0" w:color="auto"/>
            </w:tcBorders>
          </w:tcPr>
          <w:p w:rsidR="00D51CDD" w:rsidRPr="00390FC1" w:rsidP="008658BB">
            <w:pPr>
              <w:jc w:val="center"/>
              <w:rPr>
                <w:sz w:val="20"/>
              </w:rPr>
            </w:pPr>
            <w:r w:rsidRPr="00390FC1">
              <w:rPr>
                <w:sz w:val="20"/>
              </w:rPr>
              <w:t>2</w:t>
            </w:r>
          </w:p>
        </w:tc>
        <w:tc>
          <w:tcPr>
            <w:tcW w:w="747" w:type="dxa"/>
          </w:tcPr>
          <w:p w:rsidR="00D51CDD" w:rsidRPr="00390FC1" w:rsidP="008658BB">
            <w:pPr>
              <w:jc w:val="center"/>
              <w:rPr>
                <w:sz w:val="20"/>
              </w:rPr>
            </w:pPr>
            <w:r w:rsidRPr="00390FC1">
              <w:rPr>
                <w:sz w:val="20"/>
              </w:rPr>
              <w:t>3</w:t>
            </w:r>
          </w:p>
        </w:tc>
        <w:tc>
          <w:tcPr>
            <w:tcW w:w="574" w:type="dxa"/>
          </w:tcPr>
          <w:p w:rsidR="00D51CDD" w:rsidRPr="00390FC1" w:rsidP="008658BB">
            <w:pPr>
              <w:jc w:val="center"/>
              <w:rPr>
                <w:sz w:val="20"/>
              </w:rPr>
            </w:pPr>
            <w:r w:rsidRPr="00390FC1">
              <w:rPr>
                <w:sz w:val="20"/>
              </w:rPr>
              <w:t>4</w:t>
            </w:r>
          </w:p>
        </w:tc>
        <w:tc>
          <w:tcPr>
            <w:tcW w:w="701" w:type="dxa"/>
          </w:tcPr>
          <w:p w:rsidR="00D51CDD" w:rsidRPr="00390FC1" w:rsidP="008658BB">
            <w:pPr>
              <w:jc w:val="center"/>
              <w:rPr>
                <w:sz w:val="20"/>
              </w:rPr>
            </w:pPr>
            <w:r w:rsidRPr="00390FC1">
              <w:rPr>
                <w:sz w:val="20"/>
              </w:rPr>
              <w:t>5</w:t>
            </w:r>
          </w:p>
        </w:tc>
        <w:tc>
          <w:tcPr>
            <w:tcW w:w="7797" w:type="dxa"/>
          </w:tcPr>
          <w:p w:rsidR="00D51CDD" w:rsidRPr="00390FC1" w:rsidP="008658BB">
            <w:pPr>
              <w:jc w:val="center"/>
              <w:rPr>
                <w:sz w:val="20"/>
              </w:rPr>
            </w:pPr>
            <w:r w:rsidRPr="00390FC1">
              <w:rPr>
                <w:sz w:val="20"/>
              </w:rPr>
              <w:t>6</w:t>
            </w:r>
          </w:p>
        </w:tc>
        <w:tc>
          <w:tcPr>
            <w:tcW w:w="708" w:type="dxa"/>
          </w:tcPr>
          <w:p w:rsidR="00D51CDD" w:rsidRPr="00390FC1" w:rsidP="008658BB">
            <w:pPr>
              <w:jc w:val="center"/>
              <w:rPr>
                <w:sz w:val="20"/>
              </w:rPr>
            </w:pPr>
            <w:r w:rsidRPr="00390FC1">
              <w:rPr>
                <w:sz w:val="20"/>
              </w:rPr>
              <w:t>7</w:t>
            </w:r>
          </w:p>
        </w:tc>
        <w:tc>
          <w:tcPr>
            <w:tcW w:w="1130" w:type="dxa"/>
          </w:tcPr>
          <w:p w:rsidR="00D51CDD" w:rsidRPr="00390FC1" w:rsidP="008658BB">
            <w:pPr>
              <w:jc w:val="center"/>
              <w:rPr>
                <w:sz w:val="20"/>
              </w:rPr>
            </w:pPr>
            <w:r w:rsidRPr="00390FC1">
              <w:rPr>
                <w:sz w:val="20"/>
              </w:rPr>
              <w:t>8</w:t>
            </w:r>
          </w:p>
          <w:p w:rsidR="00D51CDD" w:rsidRPr="00390FC1" w:rsidP="008658BB">
            <w:pPr>
              <w:jc w:val="center"/>
              <w:rPr>
                <w:sz w:val="20"/>
              </w:rPr>
            </w:pPr>
          </w:p>
        </w:tc>
      </w:tr>
      <w:tr w:rsidTr="00E72229">
        <w:tblPrEx>
          <w:tblW w:w="31671" w:type="dxa"/>
          <w:tblInd w:w="-72" w:type="dxa"/>
          <w:tblLayout w:type="fixed"/>
          <w:tblCellMar>
            <w:left w:w="70" w:type="dxa"/>
            <w:right w:w="70" w:type="dxa"/>
          </w:tblCellMar>
          <w:tblLook w:val="0000"/>
        </w:tblPrEx>
        <w:trPr>
          <w:gridAfter w:val="2"/>
          <w:wAfter w:w="15090" w:type="dxa"/>
          <w:cantSplit/>
          <w:trHeight w:val="1134"/>
        </w:trPr>
        <w:tc>
          <w:tcPr>
            <w:tcW w:w="850" w:type="dxa"/>
          </w:tcPr>
          <w:p w:rsidR="00993448" w:rsidRPr="008658BB">
            <w:pPr>
              <w:jc w:val="both"/>
              <w:rPr>
                <w:b/>
                <w:sz w:val="20"/>
              </w:rPr>
            </w:pPr>
            <w:r w:rsidRPr="008658BB" w:rsidR="00A04933">
              <w:rPr>
                <w:b/>
                <w:sz w:val="20"/>
              </w:rPr>
              <w:t>Článok</w:t>
            </w:r>
          </w:p>
        </w:tc>
        <w:tc>
          <w:tcPr>
            <w:tcW w:w="4074" w:type="dxa"/>
            <w:tcBorders>
              <w:bottom w:val="single" w:sz="4" w:space="0" w:color="auto"/>
            </w:tcBorders>
          </w:tcPr>
          <w:p w:rsidR="00993448" w:rsidRPr="008658BB">
            <w:pPr>
              <w:jc w:val="both"/>
              <w:rPr>
                <w:b/>
                <w:sz w:val="20"/>
              </w:rPr>
            </w:pPr>
            <w:r w:rsidRPr="008658BB" w:rsidR="00A04933">
              <w:rPr>
                <w:b/>
                <w:sz w:val="20"/>
              </w:rPr>
              <w:t>Text právneho predpisu</w:t>
            </w:r>
            <w:r w:rsidRPr="008658BB" w:rsidR="008658BB">
              <w:rPr>
                <w:b/>
                <w:sz w:val="20"/>
              </w:rPr>
              <w:t xml:space="preserve"> EÚ</w:t>
            </w:r>
          </w:p>
        </w:tc>
        <w:tc>
          <w:tcPr>
            <w:tcW w:w="747" w:type="dxa"/>
            <w:textDirection w:val="btLr"/>
          </w:tcPr>
          <w:p w:rsidR="00993448" w:rsidRPr="008658BB" w:rsidP="00E72229">
            <w:pPr>
              <w:ind w:left="113" w:right="-249"/>
              <w:jc w:val="both"/>
              <w:rPr>
                <w:b/>
                <w:sz w:val="20"/>
              </w:rPr>
            </w:pPr>
            <w:r w:rsidRPr="008658BB" w:rsidR="008658BB">
              <w:rPr>
                <w:b/>
                <w:sz w:val="20"/>
              </w:rPr>
              <w:t>Spôsob</w:t>
            </w:r>
          </w:p>
        </w:tc>
        <w:tc>
          <w:tcPr>
            <w:tcW w:w="574" w:type="dxa"/>
            <w:textDirection w:val="btLr"/>
          </w:tcPr>
          <w:p w:rsidR="00993448" w:rsidRPr="008658BB" w:rsidP="00E72229">
            <w:pPr>
              <w:ind w:left="113" w:right="113"/>
              <w:jc w:val="both"/>
              <w:rPr>
                <w:b/>
                <w:sz w:val="20"/>
              </w:rPr>
            </w:pPr>
            <w:r w:rsidRPr="008658BB" w:rsidR="008658BB">
              <w:rPr>
                <w:b/>
                <w:sz w:val="20"/>
              </w:rPr>
              <w:t xml:space="preserve">Číslo </w:t>
            </w:r>
          </w:p>
        </w:tc>
        <w:tc>
          <w:tcPr>
            <w:tcW w:w="701" w:type="dxa"/>
            <w:textDirection w:val="btLr"/>
          </w:tcPr>
          <w:p w:rsidR="00993448" w:rsidRPr="008658BB" w:rsidP="00E72229">
            <w:pPr>
              <w:ind w:left="113" w:right="113"/>
              <w:jc w:val="both"/>
              <w:rPr>
                <w:b/>
                <w:sz w:val="20"/>
              </w:rPr>
            </w:pPr>
            <w:r w:rsidRPr="008658BB" w:rsidR="008658BB">
              <w:rPr>
                <w:b/>
                <w:sz w:val="20"/>
              </w:rPr>
              <w:t>Čl</w:t>
            </w:r>
            <w:r w:rsidR="00E95D21">
              <w:rPr>
                <w:b/>
                <w:sz w:val="20"/>
              </w:rPr>
              <w:t>áno</w:t>
            </w:r>
            <w:r w:rsidRPr="008658BB" w:rsidR="008658BB">
              <w:rPr>
                <w:b/>
                <w:sz w:val="20"/>
              </w:rPr>
              <w:t>k</w:t>
            </w:r>
          </w:p>
        </w:tc>
        <w:tc>
          <w:tcPr>
            <w:tcW w:w="7797" w:type="dxa"/>
          </w:tcPr>
          <w:p w:rsidR="008658BB" w:rsidP="008658BB">
            <w:pPr>
              <w:pStyle w:val="Normlny"/>
              <w:jc w:val="center"/>
            </w:pPr>
            <w:r>
              <w:rPr>
                <w:b/>
              </w:rPr>
              <w:t>Text slovenského právneho predpisu</w:t>
            </w:r>
          </w:p>
          <w:p w:rsidR="00993448" w:rsidRPr="00390FC1" w:rsidP="008658BB">
            <w:pPr>
              <w:ind w:left="208" w:hanging="208"/>
              <w:jc w:val="both"/>
              <w:rPr>
                <w:sz w:val="20"/>
              </w:rPr>
            </w:pPr>
          </w:p>
        </w:tc>
        <w:tc>
          <w:tcPr>
            <w:tcW w:w="708" w:type="dxa"/>
          </w:tcPr>
          <w:p w:rsidR="00993448" w:rsidRPr="008658BB">
            <w:pPr>
              <w:jc w:val="both"/>
              <w:rPr>
                <w:b/>
                <w:sz w:val="20"/>
              </w:rPr>
            </w:pPr>
            <w:r w:rsidRPr="008658BB" w:rsidR="008658BB">
              <w:rPr>
                <w:b/>
                <w:sz w:val="20"/>
              </w:rPr>
              <w:t>Zhoda</w:t>
            </w:r>
          </w:p>
        </w:tc>
        <w:tc>
          <w:tcPr>
            <w:tcW w:w="1130" w:type="dxa"/>
          </w:tcPr>
          <w:p w:rsidR="00993448" w:rsidRPr="008658BB">
            <w:pPr>
              <w:jc w:val="both"/>
              <w:rPr>
                <w:b/>
                <w:sz w:val="20"/>
              </w:rPr>
            </w:pPr>
            <w:r w:rsidRPr="008658BB" w:rsidR="008658BB">
              <w:rPr>
                <w:b/>
                <w:sz w:val="20"/>
              </w:rPr>
              <w:t>Poznámky</w:t>
            </w: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040A2">
            <w:pPr>
              <w:jc w:val="both"/>
              <w:rPr>
                <w:sz w:val="20"/>
              </w:rPr>
            </w:pPr>
            <w:r w:rsidRPr="00E040A2">
              <w:rPr>
                <w:sz w:val="20"/>
              </w:rPr>
              <w:t>Č1</w:t>
            </w:r>
          </w:p>
          <w:p w:rsidR="00CC43ED">
            <w:pPr>
              <w:jc w:val="both"/>
              <w:rPr>
                <w:sz w:val="20"/>
              </w:rPr>
            </w:pPr>
            <w:r>
              <w:rPr>
                <w:sz w:val="20"/>
              </w:rPr>
              <w:t>O1</w:t>
            </w:r>
            <w:r w:rsidR="00B72175">
              <w:rPr>
                <w:sz w:val="20"/>
              </w:rPr>
              <w:t>-</w:t>
            </w:r>
            <w:r w:rsidR="00B72175">
              <w:rPr>
                <w:sz w:val="20"/>
              </w:rPr>
              <w:t>O4</w:t>
            </w:r>
          </w:p>
          <w:p w:rsidR="00CC43ED" w:rsidRPr="00E040A2">
            <w:pPr>
              <w:jc w:val="both"/>
              <w:rPr>
                <w:sz w:val="20"/>
              </w:rPr>
            </w:pPr>
          </w:p>
        </w:tc>
        <w:tc>
          <w:tcPr>
            <w:tcW w:w="4074" w:type="dxa"/>
            <w:tcBorders>
              <w:bottom w:val="single" w:sz="4" w:space="0" w:color="auto"/>
            </w:tcBorders>
          </w:tcPr>
          <w:p w:rsidR="00CC43ED" w:rsidRPr="00CC43ED" w:rsidP="00CC43ED">
            <w:pPr>
              <w:jc w:val="both"/>
              <w:rPr>
                <w:sz w:val="20"/>
              </w:rPr>
            </w:pPr>
            <w:r w:rsidRPr="00CC43ED">
              <w:rPr>
                <w:sz w:val="20"/>
              </w:rPr>
              <w:t>Táto smernica ustanovuje opatrenia zamerané na:</w:t>
            </w:r>
          </w:p>
          <w:p w:rsidR="00CC43ED" w:rsidRPr="00CC43ED" w:rsidP="00CC43ED">
            <w:pPr>
              <w:jc w:val="both"/>
              <w:rPr>
                <w:sz w:val="20"/>
              </w:rPr>
            </w:pPr>
            <w:r w:rsidRPr="00CC43ED">
              <w:rPr>
                <w:sz w:val="20"/>
              </w:rPr>
              <w:t>1. vymedzenie a stanovenie cieľov pre kvalitu okolitého ovzdušia určených na zabránenie, prevenciu alebo zníženie škodlivých vplyvov na</w:t>
            </w:r>
          </w:p>
          <w:p w:rsidR="00E040A2" w:rsidP="00CC43ED">
            <w:pPr>
              <w:jc w:val="both"/>
              <w:rPr>
                <w:sz w:val="20"/>
              </w:rPr>
            </w:pPr>
            <w:r w:rsidRPr="00CC43ED" w:rsidR="00CC43ED">
              <w:rPr>
                <w:sz w:val="20"/>
              </w:rPr>
              <w:t>zdravie ľudí a životné prostredie ako celok;</w:t>
            </w:r>
          </w:p>
          <w:p w:rsidR="00B72175" w:rsidP="00B72175">
            <w:pPr>
              <w:jc w:val="both"/>
              <w:rPr>
                <w:sz w:val="20"/>
              </w:rPr>
            </w:pPr>
            <w:r>
              <w:rPr>
                <w:sz w:val="20"/>
              </w:rPr>
              <w:t xml:space="preserve">2. </w:t>
            </w:r>
            <w:r w:rsidRPr="00CC43ED">
              <w:rPr>
                <w:sz w:val="20"/>
              </w:rPr>
              <w:t>hodnotenie kvality okolitého ovzdušia v členských štátoch na</w:t>
            </w:r>
            <w:r>
              <w:rPr>
                <w:sz w:val="20"/>
              </w:rPr>
              <w:t xml:space="preserve"> </w:t>
            </w:r>
            <w:r w:rsidRPr="00CC43ED">
              <w:rPr>
                <w:sz w:val="20"/>
              </w:rPr>
              <w:t>základe spoločných metód a kritérií;</w:t>
            </w:r>
          </w:p>
          <w:p w:rsidR="00B72175" w:rsidP="00B72175">
            <w:pPr>
              <w:jc w:val="both"/>
              <w:rPr>
                <w:sz w:val="20"/>
              </w:rPr>
            </w:pPr>
            <w:r>
              <w:rPr>
                <w:sz w:val="20"/>
              </w:rPr>
              <w:t xml:space="preserve">3. </w:t>
            </w:r>
            <w:r w:rsidRPr="00CC43ED">
              <w:rPr>
                <w:sz w:val="20"/>
              </w:rPr>
              <w:t>získavanie informácií o kvalite okolitého ovzdušia s cieľom pomáhať</w:t>
            </w:r>
            <w:r>
              <w:rPr>
                <w:sz w:val="20"/>
              </w:rPr>
              <w:t xml:space="preserve"> </w:t>
            </w:r>
            <w:r w:rsidRPr="00CC43ED">
              <w:rPr>
                <w:sz w:val="20"/>
              </w:rPr>
              <w:t>boju proti znečisteniu ovzdušia a nepriaznivým vplyvov a monitorovať dlhodobé trendy a zlepšenia vyplývajúc</w:t>
            </w:r>
            <w:r w:rsidRPr="00CC43ED">
              <w:rPr>
                <w:sz w:val="20"/>
              </w:rPr>
              <w:t>e z</w:t>
            </w:r>
            <w:r>
              <w:rPr>
                <w:sz w:val="20"/>
              </w:rPr>
              <w:t> </w:t>
            </w:r>
            <w:r w:rsidRPr="00CC43ED">
              <w:rPr>
                <w:sz w:val="20"/>
              </w:rPr>
              <w:t>vnútroštátnych</w:t>
            </w:r>
            <w:r>
              <w:rPr>
                <w:sz w:val="20"/>
              </w:rPr>
              <w:t xml:space="preserve"> </w:t>
            </w:r>
            <w:r w:rsidRPr="00CC43ED">
              <w:rPr>
                <w:sz w:val="20"/>
              </w:rPr>
              <w:t>opatrení a opatrení Spoločenstva;</w:t>
            </w:r>
          </w:p>
          <w:p w:rsidR="00B72175" w:rsidP="00B72175">
            <w:pPr>
              <w:jc w:val="both"/>
              <w:rPr>
                <w:sz w:val="20"/>
              </w:rPr>
            </w:pPr>
            <w:r>
              <w:rPr>
                <w:sz w:val="20"/>
              </w:rPr>
              <w:t xml:space="preserve">4. </w:t>
            </w:r>
            <w:r w:rsidRPr="00CC43ED">
              <w:rPr>
                <w:sz w:val="20"/>
              </w:rPr>
              <w:t>zabezpečenie sprístupňovania takýchto informácií o kvalite okolitého</w:t>
            </w:r>
            <w:r>
              <w:rPr>
                <w:sz w:val="20"/>
              </w:rPr>
              <w:t xml:space="preserve"> </w:t>
            </w:r>
            <w:r w:rsidRPr="00CC43ED">
              <w:rPr>
                <w:sz w:val="20"/>
              </w:rPr>
              <w:t>ovzdušia verejnosti;</w:t>
            </w:r>
          </w:p>
          <w:p w:rsidR="00CC43ED" w:rsidRPr="008658BB" w:rsidP="00CC43ED">
            <w:pPr>
              <w:jc w:val="both"/>
              <w:rPr>
                <w:b/>
                <w:sz w:val="20"/>
              </w:rPr>
            </w:pPr>
          </w:p>
        </w:tc>
        <w:tc>
          <w:tcPr>
            <w:tcW w:w="747" w:type="dxa"/>
          </w:tcPr>
          <w:p w:rsidR="00E040A2" w:rsidRPr="00D86B9D" w:rsidP="00D86B9D">
            <w:pPr>
              <w:ind w:right="-249"/>
              <w:rPr>
                <w:sz w:val="20"/>
              </w:rPr>
            </w:pPr>
            <w:r w:rsidRPr="00D86B9D" w:rsidR="00D86B9D">
              <w:rPr>
                <w:sz w:val="20"/>
              </w:rPr>
              <w:t>N</w:t>
            </w:r>
          </w:p>
        </w:tc>
        <w:tc>
          <w:tcPr>
            <w:tcW w:w="574" w:type="dxa"/>
          </w:tcPr>
          <w:p w:rsidR="00E040A2" w:rsidRPr="00B340FB">
            <w:pPr>
              <w:jc w:val="both"/>
              <w:rPr>
                <w:sz w:val="20"/>
              </w:rPr>
            </w:pPr>
            <w:r w:rsidRPr="00B340FB" w:rsidR="00196E0D">
              <w:rPr>
                <w:sz w:val="20"/>
              </w:rPr>
              <w:t>NZ</w:t>
            </w:r>
          </w:p>
        </w:tc>
        <w:tc>
          <w:tcPr>
            <w:tcW w:w="701" w:type="dxa"/>
          </w:tcPr>
          <w:p w:rsidR="00E040A2" w:rsidP="00E95D21">
            <w:pPr>
              <w:jc w:val="both"/>
              <w:rPr>
                <w:sz w:val="20"/>
              </w:rPr>
            </w:pPr>
            <w:r w:rsidR="0076790E">
              <w:rPr>
                <w:sz w:val="20"/>
              </w:rPr>
              <w:t>§ 1</w:t>
            </w:r>
          </w:p>
          <w:p w:rsidR="003C1B83" w:rsidRPr="003C1B83" w:rsidP="00E95D21">
            <w:pPr>
              <w:jc w:val="both"/>
              <w:rPr>
                <w:sz w:val="20"/>
              </w:rPr>
            </w:pPr>
            <w:r w:rsidR="0076790E">
              <w:rPr>
                <w:sz w:val="20"/>
              </w:rPr>
              <w:t>O2</w:t>
            </w:r>
          </w:p>
          <w:p w:rsidR="0076790E" w:rsidP="00E95D21">
            <w:pPr>
              <w:jc w:val="both"/>
              <w:rPr>
                <w:sz w:val="20"/>
              </w:rPr>
            </w:pPr>
            <w:r w:rsidRPr="003C1B83" w:rsidR="003C1B83">
              <w:rPr>
                <w:sz w:val="20"/>
              </w:rPr>
              <w:t>P</w:t>
            </w:r>
            <w:r>
              <w:rPr>
                <w:sz w:val="20"/>
              </w:rPr>
              <w:t>a</w:t>
            </w:r>
          </w:p>
          <w:p w:rsidR="00E24B9C" w:rsidP="00E95D21">
            <w:pPr>
              <w:jc w:val="both"/>
              <w:rPr>
                <w:sz w:val="20"/>
              </w:rPr>
            </w:pPr>
          </w:p>
          <w:p w:rsidR="0076790E" w:rsidP="00E95D21">
            <w:pPr>
              <w:jc w:val="both"/>
              <w:rPr>
                <w:sz w:val="20"/>
              </w:rPr>
            </w:pPr>
            <w:r>
              <w:rPr>
                <w:sz w:val="20"/>
              </w:rPr>
              <w:t>Pb</w:t>
            </w:r>
          </w:p>
          <w:p w:rsidR="00E24B9C" w:rsidP="00E95D21">
            <w:pPr>
              <w:jc w:val="both"/>
              <w:rPr>
                <w:sz w:val="20"/>
              </w:rPr>
            </w:pPr>
          </w:p>
          <w:p w:rsidR="0076790E" w:rsidP="00E95D21">
            <w:pPr>
              <w:jc w:val="both"/>
              <w:rPr>
                <w:sz w:val="20"/>
              </w:rPr>
            </w:pPr>
            <w:r>
              <w:rPr>
                <w:sz w:val="20"/>
              </w:rPr>
              <w:t>Pc</w:t>
            </w:r>
          </w:p>
          <w:p w:rsidR="0076790E" w:rsidP="00E95D21">
            <w:pPr>
              <w:jc w:val="both"/>
              <w:rPr>
                <w:sz w:val="20"/>
              </w:rPr>
            </w:pPr>
          </w:p>
          <w:p w:rsidR="0076790E" w:rsidRPr="008658BB" w:rsidP="00E95D21">
            <w:pPr>
              <w:jc w:val="both"/>
              <w:rPr>
                <w:b/>
                <w:sz w:val="20"/>
              </w:rPr>
            </w:pPr>
          </w:p>
        </w:tc>
        <w:tc>
          <w:tcPr>
            <w:tcW w:w="7797" w:type="dxa"/>
          </w:tcPr>
          <w:p w:rsidR="0076790E" w:rsidP="0076790E">
            <w:pPr>
              <w:pStyle w:val="Normlny"/>
              <w:jc w:val="both"/>
            </w:pPr>
            <w:r w:rsidR="001E0243">
              <w:t xml:space="preserve">(2) </w:t>
            </w:r>
            <w:r>
              <w:t>Tento zákon upravuje</w:t>
            </w:r>
          </w:p>
          <w:p w:rsidR="00B23D84" w:rsidP="0076790E">
            <w:pPr>
              <w:pStyle w:val="Normlny"/>
              <w:jc w:val="both"/>
            </w:pPr>
          </w:p>
          <w:p w:rsidR="00E24B9C" w:rsidRPr="00E24B9C" w:rsidP="00E24B9C">
            <w:pPr>
              <w:numPr>
                <w:ilvl w:val="0"/>
                <w:numId w:val="49"/>
              </w:numPr>
              <w:spacing w:after="120"/>
              <w:ind w:left="284" w:hanging="284"/>
              <w:jc w:val="both"/>
              <w:rPr>
                <w:sz w:val="20"/>
              </w:rPr>
            </w:pPr>
            <w:r w:rsidRPr="00E24B9C">
              <w:rPr>
                <w:sz w:val="20"/>
              </w:rPr>
              <w:t>monitorovanie a hodnotenie kvality ovzdušia a vplyvov zneč</w:t>
            </w:r>
            <w:r w:rsidRPr="00E24B9C">
              <w:rPr>
                <w:sz w:val="20"/>
              </w:rPr>
              <w:t xml:space="preserve">istenia ovzdušia a na ekosystémy, </w:t>
            </w:r>
          </w:p>
          <w:p w:rsidR="00E24B9C" w:rsidRPr="00E24B9C" w:rsidP="00E24B9C">
            <w:pPr>
              <w:numPr>
                <w:ilvl w:val="0"/>
                <w:numId w:val="49"/>
              </w:numPr>
              <w:spacing w:after="120"/>
              <w:ind w:left="284" w:hanging="284"/>
              <w:jc w:val="both"/>
              <w:rPr>
                <w:sz w:val="20"/>
              </w:rPr>
            </w:pPr>
            <w:r w:rsidRPr="00E24B9C">
              <w:rPr>
                <w:sz w:val="20"/>
              </w:rPr>
              <w:t>informovanie verejnosti o kvalite ovzdušia, vplyvoch znečistenia ovzdušia na verejné zdravie a ekosystémy,</w:t>
            </w:r>
          </w:p>
          <w:p w:rsidR="00E24B9C" w:rsidRPr="00E24B9C" w:rsidP="00E24B9C">
            <w:pPr>
              <w:numPr>
                <w:ilvl w:val="0"/>
                <w:numId w:val="49"/>
              </w:numPr>
              <w:spacing w:after="120"/>
              <w:ind w:left="284" w:hanging="284"/>
              <w:jc w:val="both"/>
              <w:rPr>
                <w:sz w:val="20"/>
              </w:rPr>
            </w:pPr>
            <w:r w:rsidRPr="00E24B9C">
              <w:rPr>
                <w:sz w:val="20"/>
              </w:rPr>
              <w:t>prípustnú úroveň znečistenia ovzdušia a nástroje na riadenie kvality ovzdušia,</w:t>
            </w:r>
          </w:p>
          <w:p w:rsidR="00E040A2" w:rsidRPr="00D86B9D" w:rsidP="00E24B9C">
            <w:pPr>
              <w:pStyle w:val="Normlny"/>
              <w:jc w:val="both"/>
            </w:pPr>
          </w:p>
        </w:tc>
        <w:tc>
          <w:tcPr>
            <w:tcW w:w="708" w:type="dxa"/>
          </w:tcPr>
          <w:p w:rsidR="00E040A2" w:rsidRPr="00B340FB">
            <w:pPr>
              <w:jc w:val="both"/>
              <w:rPr>
                <w:sz w:val="20"/>
              </w:rPr>
            </w:pPr>
            <w:r w:rsidRPr="00B340FB" w:rsidR="00B340FB">
              <w:rPr>
                <w:sz w:val="20"/>
              </w:rPr>
              <w:t>Ú</w:t>
            </w:r>
          </w:p>
        </w:tc>
        <w:tc>
          <w:tcPr>
            <w:tcW w:w="1130" w:type="dxa"/>
          </w:tcPr>
          <w:p w:rsidR="00E040A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CC43ED">
            <w:pPr>
              <w:jc w:val="both"/>
              <w:rPr>
                <w:sz w:val="20"/>
              </w:rPr>
            </w:pPr>
            <w:r>
              <w:rPr>
                <w:sz w:val="20"/>
              </w:rPr>
              <w:t>Č1</w:t>
            </w:r>
          </w:p>
          <w:p w:rsidR="00CC43ED">
            <w:pPr>
              <w:jc w:val="both"/>
              <w:rPr>
                <w:sz w:val="20"/>
              </w:rPr>
            </w:pPr>
            <w:r>
              <w:rPr>
                <w:sz w:val="20"/>
              </w:rPr>
              <w:t>O5</w:t>
            </w:r>
          </w:p>
        </w:tc>
        <w:tc>
          <w:tcPr>
            <w:tcW w:w="4074" w:type="dxa"/>
            <w:tcBorders>
              <w:bottom w:val="single" w:sz="4" w:space="0" w:color="auto"/>
            </w:tcBorders>
          </w:tcPr>
          <w:p w:rsidR="00CC43ED" w:rsidP="00CC43ED">
            <w:pPr>
              <w:jc w:val="both"/>
              <w:rPr>
                <w:sz w:val="20"/>
              </w:rPr>
            </w:pPr>
            <w:r>
              <w:rPr>
                <w:sz w:val="20"/>
              </w:rPr>
              <w:t xml:space="preserve">5. </w:t>
            </w:r>
            <w:r w:rsidRPr="00CC43ED">
              <w:rPr>
                <w:sz w:val="20"/>
              </w:rPr>
              <w:t>udržiavanie kvality o</w:t>
            </w:r>
            <w:r w:rsidRPr="00CC43ED">
              <w:rPr>
                <w:sz w:val="20"/>
              </w:rPr>
              <w:t>vzdušia tam, kde je dobrá, a jej zlepšenie</w:t>
            </w:r>
            <w:r w:rsidR="006E46FE">
              <w:rPr>
                <w:sz w:val="20"/>
              </w:rPr>
              <w:t xml:space="preserve"> </w:t>
            </w:r>
            <w:r w:rsidRPr="00CC43ED">
              <w:rPr>
                <w:sz w:val="20"/>
              </w:rPr>
              <w:t>v ostatných prípadoch;</w:t>
            </w:r>
          </w:p>
          <w:p w:rsidR="00CC43ED" w:rsidP="00CC43ED">
            <w:pPr>
              <w:jc w:val="both"/>
              <w:rPr>
                <w:sz w:val="20"/>
              </w:rPr>
            </w:pPr>
          </w:p>
        </w:tc>
        <w:tc>
          <w:tcPr>
            <w:tcW w:w="747" w:type="dxa"/>
          </w:tcPr>
          <w:p w:rsidR="00CC43ED" w:rsidRPr="00D86B9D" w:rsidP="00D86B9D">
            <w:pPr>
              <w:ind w:right="-249"/>
              <w:rPr>
                <w:sz w:val="20"/>
              </w:rPr>
            </w:pPr>
            <w:r w:rsidRPr="00D86B9D" w:rsidR="00D86B9D">
              <w:rPr>
                <w:sz w:val="20"/>
              </w:rPr>
              <w:t>N</w:t>
            </w:r>
          </w:p>
        </w:tc>
        <w:tc>
          <w:tcPr>
            <w:tcW w:w="574" w:type="dxa"/>
          </w:tcPr>
          <w:p w:rsidR="00CC43ED" w:rsidRPr="00C31C2B">
            <w:pPr>
              <w:jc w:val="both"/>
              <w:rPr>
                <w:sz w:val="20"/>
              </w:rPr>
            </w:pPr>
            <w:r w:rsidRPr="00C31C2B" w:rsidR="00C31C2B">
              <w:rPr>
                <w:sz w:val="20"/>
              </w:rPr>
              <w:t>NZ</w:t>
            </w:r>
          </w:p>
        </w:tc>
        <w:tc>
          <w:tcPr>
            <w:tcW w:w="701" w:type="dxa"/>
          </w:tcPr>
          <w:p w:rsidR="00C31C2B" w:rsidP="00C31C2B">
            <w:pPr>
              <w:jc w:val="both"/>
              <w:rPr>
                <w:sz w:val="20"/>
              </w:rPr>
            </w:pPr>
            <w:r w:rsidR="00FE5E8A">
              <w:rPr>
                <w:sz w:val="20"/>
              </w:rPr>
              <w:t>§ 1</w:t>
            </w:r>
          </w:p>
          <w:p w:rsidR="00C31C2B" w:rsidRPr="003C1B83" w:rsidP="00C31C2B">
            <w:pPr>
              <w:jc w:val="both"/>
              <w:rPr>
                <w:sz w:val="20"/>
              </w:rPr>
            </w:pPr>
            <w:r>
              <w:rPr>
                <w:sz w:val="20"/>
              </w:rPr>
              <w:t>O1</w:t>
            </w:r>
          </w:p>
          <w:p w:rsidR="00CC43ED" w:rsidRPr="008658BB" w:rsidP="00C31C2B">
            <w:pPr>
              <w:jc w:val="both"/>
              <w:rPr>
                <w:b/>
                <w:sz w:val="20"/>
              </w:rPr>
            </w:pPr>
          </w:p>
        </w:tc>
        <w:tc>
          <w:tcPr>
            <w:tcW w:w="7797" w:type="dxa"/>
          </w:tcPr>
          <w:p w:rsidR="00CC43ED" w:rsidRPr="001E0243" w:rsidP="001E0243">
            <w:pPr>
              <w:tabs>
                <w:tab w:val="left" w:pos="1276"/>
              </w:tabs>
              <w:spacing w:after="360"/>
              <w:jc w:val="both"/>
              <w:rPr>
                <w:sz w:val="20"/>
              </w:rPr>
            </w:pPr>
            <w:r w:rsidR="00FE5E8A">
              <w:rPr>
                <w:sz w:val="20"/>
              </w:rPr>
              <w:t>(1)</w:t>
            </w:r>
            <w:r w:rsidRPr="00FE5E8A" w:rsidR="00FE5E8A">
              <w:rPr>
                <w:sz w:val="20"/>
              </w:rPr>
              <w:t xml:space="preserve"> Cieľom ochrany ovzdušia je dosiahnuť a udržať takú kvalitu ovzdušia, ktorá nemá výrazne nepriaznivý vplyv na zdravie ľudí a nepredstavuje riziko pre životné prostredie a ek</w:t>
            </w:r>
            <w:r w:rsidRPr="00FE5E8A" w:rsidR="00FE5E8A">
              <w:rPr>
                <w:sz w:val="20"/>
              </w:rPr>
              <w:t>osystémy.</w:t>
            </w:r>
          </w:p>
        </w:tc>
        <w:tc>
          <w:tcPr>
            <w:tcW w:w="708" w:type="dxa"/>
          </w:tcPr>
          <w:p w:rsidR="00CC43ED" w:rsidRPr="00C31C2B">
            <w:pPr>
              <w:jc w:val="both"/>
              <w:rPr>
                <w:sz w:val="20"/>
              </w:rPr>
            </w:pPr>
            <w:r w:rsidRPr="00C31C2B" w:rsidR="00C31C2B">
              <w:rPr>
                <w:sz w:val="20"/>
              </w:rPr>
              <w:t>Ú</w:t>
            </w:r>
          </w:p>
        </w:tc>
        <w:tc>
          <w:tcPr>
            <w:tcW w:w="1130" w:type="dxa"/>
          </w:tcPr>
          <w:p w:rsidR="00CC43ED"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CC43ED">
            <w:pPr>
              <w:jc w:val="both"/>
              <w:rPr>
                <w:sz w:val="20"/>
              </w:rPr>
            </w:pPr>
            <w:r>
              <w:rPr>
                <w:sz w:val="20"/>
              </w:rPr>
              <w:t>Č1</w:t>
            </w:r>
          </w:p>
          <w:p w:rsidR="00CC43ED">
            <w:pPr>
              <w:jc w:val="both"/>
              <w:rPr>
                <w:sz w:val="20"/>
              </w:rPr>
            </w:pPr>
            <w:r>
              <w:rPr>
                <w:sz w:val="20"/>
              </w:rPr>
              <w:t>O6</w:t>
            </w:r>
          </w:p>
        </w:tc>
        <w:tc>
          <w:tcPr>
            <w:tcW w:w="4074" w:type="dxa"/>
            <w:tcBorders>
              <w:bottom w:val="single" w:sz="4" w:space="0" w:color="auto"/>
            </w:tcBorders>
          </w:tcPr>
          <w:p w:rsidR="00CC43ED" w:rsidP="00CC43ED">
            <w:pPr>
              <w:jc w:val="both"/>
              <w:rPr>
                <w:sz w:val="20"/>
              </w:rPr>
            </w:pPr>
            <w:r>
              <w:rPr>
                <w:sz w:val="20"/>
              </w:rPr>
              <w:t xml:space="preserve">6. </w:t>
            </w:r>
            <w:r w:rsidRPr="00CC43ED">
              <w:rPr>
                <w:sz w:val="20"/>
              </w:rPr>
              <w:t>podporu zvýšenej spolupráce medzi členskými štátmi pri znižovaní</w:t>
            </w:r>
            <w:r w:rsidR="003D2F9A">
              <w:rPr>
                <w:sz w:val="20"/>
              </w:rPr>
              <w:t xml:space="preserve"> </w:t>
            </w:r>
            <w:r w:rsidRPr="00CC43ED">
              <w:rPr>
                <w:sz w:val="20"/>
              </w:rPr>
              <w:t>znečistenia ovzdušia.</w:t>
            </w:r>
          </w:p>
          <w:p w:rsidR="009E530C" w:rsidP="00CC43ED">
            <w:pPr>
              <w:jc w:val="both"/>
              <w:rPr>
                <w:sz w:val="20"/>
              </w:rPr>
            </w:pPr>
          </w:p>
        </w:tc>
        <w:tc>
          <w:tcPr>
            <w:tcW w:w="747" w:type="dxa"/>
          </w:tcPr>
          <w:p w:rsidR="00CC43ED" w:rsidRPr="00D86B9D" w:rsidP="00D86B9D">
            <w:pPr>
              <w:ind w:right="-249"/>
              <w:rPr>
                <w:sz w:val="20"/>
              </w:rPr>
            </w:pPr>
            <w:r w:rsidRPr="00D86B9D" w:rsidR="00D86B9D">
              <w:rPr>
                <w:sz w:val="20"/>
              </w:rPr>
              <w:t>N</w:t>
            </w:r>
          </w:p>
        </w:tc>
        <w:tc>
          <w:tcPr>
            <w:tcW w:w="574" w:type="dxa"/>
          </w:tcPr>
          <w:p w:rsidR="00CC43ED" w:rsidRPr="001D5812">
            <w:pPr>
              <w:jc w:val="both"/>
              <w:rPr>
                <w:sz w:val="20"/>
              </w:rPr>
            </w:pPr>
            <w:r w:rsidRPr="001D5812" w:rsidR="001D5812">
              <w:rPr>
                <w:sz w:val="20"/>
              </w:rPr>
              <w:t>NZ</w:t>
            </w:r>
          </w:p>
        </w:tc>
        <w:tc>
          <w:tcPr>
            <w:tcW w:w="701" w:type="dxa"/>
          </w:tcPr>
          <w:p w:rsidR="001D5812" w:rsidP="001D5812">
            <w:pPr>
              <w:jc w:val="both"/>
              <w:rPr>
                <w:sz w:val="20"/>
              </w:rPr>
            </w:pPr>
            <w:r w:rsidR="009434A0">
              <w:rPr>
                <w:sz w:val="20"/>
              </w:rPr>
              <w:t>§ 41</w:t>
            </w:r>
          </w:p>
          <w:p w:rsidR="006068A6" w:rsidRPr="003C1B83" w:rsidP="001D5812">
            <w:pPr>
              <w:jc w:val="both"/>
              <w:rPr>
                <w:sz w:val="20"/>
              </w:rPr>
            </w:pPr>
            <w:r w:rsidR="00A86C3D">
              <w:rPr>
                <w:sz w:val="20"/>
              </w:rPr>
              <w:t>Ph</w:t>
            </w:r>
          </w:p>
          <w:p w:rsidR="00CC43ED" w:rsidRPr="008658BB" w:rsidP="001D5812">
            <w:pPr>
              <w:jc w:val="both"/>
              <w:rPr>
                <w:b/>
                <w:sz w:val="20"/>
              </w:rPr>
            </w:pPr>
          </w:p>
        </w:tc>
        <w:tc>
          <w:tcPr>
            <w:tcW w:w="7797" w:type="dxa"/>
          </w:tcPr>
          <w:p w:rsidR="00FE5E8A" w:rsidP="001D5812">
            <w:pPr>
              <w:pStyle w:val="Normlny"/>
              <w:jc w:val="both"/>
            </w:pPr>
            <w:r>
              <w:t xml:space="preserve">Ministerstvo </w:t>
            </w:r>
          </w:p>
          <w:p w:rsidR="00002576" w:rsidRPr="00002576" w:rsidP="00002576">
            <w:pPr>
              <w:spacing w:after="120"/>
              <w:jc w:val="both"/>
              <w:rPr>
                <w:sz w:val="20"/>
              </w:rPr>
            </w:pPr>
            <w:r w:rsidRPr="00002576" w:rsidR="00FE5E8A">
              <w:rPr>
                <w:sz w:val="20"/>
              </w:rPr>
              <w:t xml:space="preserve">h) </w:t>
            </w:r>
            <w:r w:rsidRPr="00002576">
              <w:rPr>
                <w:sz w:val="20"/>
              </w:rPr>
              <w:t>vo veciach monitorovania, hodnotenia a riadenia kvality ovzdušia zabezpečuje prostredníctvom poverenej organizácie</w:t>
            </w:r>
            <w:r w:rsidRPr="00002576">
              <w:rPr>
                <w:sz w:val="20"/>
              </w:rPr>
              <w:t xml:space="preserve"> </w:t>
            </w:r>
          </w:p>
          <w:p w:rsidR="00002576" w:rsidRPr="00002576" w:rsidP="00002576">
            <w:pPr>
              <w:pStyle w:val="ListParagraph"/>
              <w:spacing w:line="240" w:lineRule="auto"/>
              <w:ind w:left="0"/>
              <w:contextualSpacing w:val="0"/>
              <w:jc w:val="both"/>
              <w:rPr>
                <w:sz w:val="20"/>
                <w:szCs w:val="20"/>
                <w:lang w:eastAsia="en-US"/>
              </w:rPr>
            </w:pPr>
            <w:r w:rsidR="005C0067">
              <w:rPr>
                <w:sz w:val="20"/>
                <w:szCs w:val="20"/>
                <w:lang w:eastAsia="en-US"/>
              </w:rPr>
              <w:t xml:space="preserve">Bod </w:t>
            </w:r>
            <w:r w:rsidRPr="00002576">
              <w:rPr>
                <w:sz w:val="20"/>
                <w:szCs w:val="20"/>
                <w:lang w:eastAsia="en-US"/>
              </w:rPr>
              <w:t>10. spoluprácu s príslušnými organizáciami členských štátov Európskej únie, Európskeho hospodárskeho priestoru a s Komisiou v oblasti hodnotenia a riadenia kvality ovzdušia a koordináciu programov na zlepšenie kvality ovzdušia na území Slovenskej rep</w:t>
            </w:r>
            <w:r w:rsidRPr="00002576">
              <w:rPr>
                <w:sz w:val="20"/>
                <w:szCs w:val="20"/>
                <w:lang w:eastAsia="en-US"/>
              </w:rPr>
              <w:t>u</w:t>
            </w:r>
            <w:r w:rsidR="00A51A4F">
              <w:rPr>
                <w:sz w:val="20"/>
                <w:szCs w:val="20"/>
                <w:lang w:eastAsia="en-US"/>
              </w:rPr>
              <w:t>bliky, ktoré organizuje Komisia.</w:t>
            </w:r>
          </w:p>
          <w:p w:rsidR="00CC43ED" w:rsidP="001D5812">
            <w:pPr>
              <w:pStyle w:val="Normlny"/>
              <w:jc w:val="both"/>
            </w:pPr>
          </w:p>
          <w:p w:rsidR="00A86C3D" w:rsidP="001D5812">
            <w:pPr>
              <w:pStyle w:val="Normlny"/>
              <w:jc w:val="both"/>
              <w:rPr>
                <w:b/>
              </w:rPr>
            </w:pPr>
          </w:p>
        </w:tc>
        <w:tc>
          <w:tcPr>
            <w:tcW w:w="708" w:type="dxa"/>
          </w:tcPr>
          <w:p w:rsidR="00CC43ED" w:rsidRPr="001D5812">
            <w:pPr>
              <w:jc w:val="both"/>
              <w:rPr>
                <w:sz w:val="20"/>
              </w:rPr>
            </w:pPr>
            <w:r w:rsidRPr="001D5812" w:rsidR="001D5812">
              <w:rPr>
                <w:sz w:val="20"/>
              </w:rPr>
              <w:t>Ú</w:t>
            </w:r>
          </w:p>
        </w:tc>
        <w:tc>
          <w:tcPr>
            <w:tcW w:w="1130" w:type="dxa"/>
          </w:tcPr>
          <w:p w:rsidR="00CC43ED"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D86B9D">
            <w:pPr>
              <w:jc w:val="both"/>
              <w:rPr>
                <w:sz w:val="20"/>
              </w:rPr>
            </w:pPr>
            <w:r>
              <w:rPr>
                <w:sz w:val="20"/>
              </w:rPr>
              <w:t>Č2</w:t>
            </w:r>
          </w:p>
          <w:p w:rsidR="00D86B9D">
            <w:pPr>
              <w:jc w:val="both"/>
              <w:rPr>
                <w:sz w:val="20"/>
              </w:rPr>
            </w:pPr>
            <w:r>
              <w:rPr>
                <w:sz w:val="20"/>
              </w:rPr>
              <w:t>O1</w:t>
            </w:r>
          </w:p>
        </w:tc>
        <w:tc>
          <w:tcPr>
            <w:tcW w:w="4074" w:type="dxa"/>
            <w:tcBorders>
              <w:bottom w:val="single" w:sz="4" w:space="0" w:color="auto"/>
            </w:tcBorders>
          </w:tcPr>
          <w:p w:rsidR="00D86B9D" w:rsidP="00CC43ED">
            <w:pPr>
              <w:jc w:val="both"/>
            </w:pPr>
            <w:r w:rsidRPr="00AE6079" w:rsidR="00AE6079">
              <w:rPr>
                <w:sz w:val="20"/>
              </w:rPr>
              <w:t>Vymedzenie pojmov</w:t>
            </w:r>
          </w:p>
          <w:p w:rsidR="00AE6079" w:rsidP="00AE6079">
            <w:pPr>
              <w:jc w:val="both"/>
              <w:rPr>
                <w:sz w:val="20"/>
              </w:rPr>
            </w:pPr>
            <w:r w:rsidR="009E530C">
              <w:rPr>
                <w:sz w:val="20"/>
              </w:rPr>
              <w:t xml:space="preserve">1. </w:t>
            </w:r>
            <w:r w:rsidRPr="00AE6079">
              <w:rPr>
                <w:sz w:val="20"/>
              </w:rPr>
              <w:t>„okolité ovzdušie“ je vonkajšie ovzdušie v troposfére, okrem pracovísk, ako sú vymedzené v smernici 89/654/EHS (1), na ktoré sa</w:t>
            </w:r>
            <w:r w:rsidR="003D2F9A">
              <w:rPr>
                <w:sz w:val="20"/>
              </w:rPr>
              <w:t xml:space="preserve"> </w:t>
            </w:r>
            <w:r w:rsidRPr="00AE6079">
              <w:rPr>
                <w:sz w:val="20"/>
              </w:rPr>
              <w:t>uplatňujú ustanovenia týkajúce sa zdravia a bezpečnosti pri p</w:t>
            </w:r>
            <w:r w:rsidRPr="00AE6079">
              <w:rPr>
                <w:sz w:val="20"/>
              </w:rPr>
              <w:t>ráci</w:t>
            </w:r>
            <w:r w:rsidR="003D2F9A">
              <w:rPr>
                <w:sz w:val="20"/>
              </w:rPr>
              <w:t xml:space="preserve"> </w:t>
            </w:r>
            <w:r w:rsidRPr="00AE6079">
              <w:rPr>
                <w:sz w:val="20"/>
              </w:rPr>
              <w:t>a do ktorých nemá verejnosť pravidelný prístup;</w:t>
            </w:r>
          </w:p>
          <w:p w:rsidR="009E530C" w:rsidP="00AE6079">
            <w:pPr>
              <w:jc w:val="both"/>
              <w:rPr>
                <w:sz w:val="20"/>
              </w:rPr>
            </w:pPr>
          </w:p>
        </w:tc>
        <w:tc>
          <w:tcPr>
            <w:tcW w:w="747" w:type="dxa"/>
          </w:tcPr>
          <w:p w:rsidR="00D86B9D" w:rsidRPr="00D86B9D" w:rsidP="00D86B9D">
            <w:pPr>
              <w:ind w:right="-249"/>
              <w:rPr>
                <w:sz w:val="20"/>
              </w:rPr>
            </w:pPr>
            <w:r w:rsidR="00AE6079">
              <w:rPr>
                <w:sz w:val="20"/>
              </w:rPr>
              <w:t>N</w:t>
            </w:r>
          </w:p>
        </w:tc>
        <w:tc>
          <w:tcPr>
            <w:tcW w:w="574" w:type="dxa"/>
          </w:tcPr>
          <w:p w:rsidR="00D86B9D" w:rsidRPr="00B340FB">
            <w:pPr>
              <w:jc w:val="both"/>
              <w:rPr>
                <w:sz w:val="20"/>
              </w:rPr>
            </w:pPr>
            <w:r w:rsidRPr="00B340FB" w:rsidR="00B340FB">
              <w:rPr>
                <w:sz w:val="20"/>
              </w:rPr>
              <w:t>NZ</w:t>
            </w:r>
          </w:p>
        </w:tc>
        <w:tc>
          <w:tcPr>
            <w:tcW w:w="701" w:type="dxa"/>
          </w:tcPr>
          <w:p w:rsidR="00743DBC" w:rsidRPr="00743DBC" w:rsidP="00743DBC">
            <w:pPr>
              <w:pStyle w:val="Paragrafyzkona"/>
              <w:spacing w:before="0" w:line="240" w:lineRule="auto"/>
              <w:jc w:val="left"/>
              <w:rPr>
                <w:b w:val="0"/>
                <w:sz w:val="20"/>
                <w:szCs w:val="20"/>
                <w:lang w:eastAsia="en-US"/>
              </w:rPr>
            </w:pPr>
            <w:bookmarkStart w:id="0" w:name="_Toc51424446"/>
            <w:r w:rsidRPr="00743DBC">
              <w:rPr>
                <w:b w:val="0"/>
                <w:sz w:val="20"/>
                <w:szCs w:val="20"/>
                <w:lang w:eastAsia="en-US"/>
              </w:rPr>
              <w:t>§ 2</w:t>
            </w:r>
            <w:bookmarkEnd w:id="0"/>
          </w:p>
          <w:p w:rsidR="00743DBC" w:rsidRPr="00743DBC" w:rsidP="00743DBC">
            <w:pPr>
              <w:pStyle w:val="Paragrafyzkona"/>
              <w:spacing w:before="0" w:line="240" w:lineRule="auto"/>
              <w:jc w:val="left"/>
              <w:rPr>
                <w:b w:val="0"/>
              </w:rPr>
            </w:pPr>
            <w:r w:rsidRPr="00743DBC">
              <w:rPr>
                <w:b w:val="0"/>
                <w:sz w:val="20"/>
                <w:szCs w:val="20"/>
                <w:lang w:eastAsia="en-US"/>
              </w:rPr>
              <w:t>Pb</w:t>
            </w:r>
          </w:p>
        </w:tc>
        <w:tc>
          <w:tcPr>
            <w:tcW w:w="7797" w:type="dxa"/>
          </w:tcPr>
          <w:p w:rsidR="00A86C3D" w:rsidP="00743DBC">
            <w:pPr>
              <w:pStyle w:val="Normlny"/>
              <w:jc w:val="both"/>
            </w:pPr>
            <w:r w:rsidRPr="00A86C3D">
              <w:t>Na účely tohto zákona sa rozumie</w:t>
            </w:r>
          </w:p>
          <w:p w:rsidR="00D86B9D" w:rsidP="00743DBC">
            <w:pPr>
              <w:pStyle w:val="Normlny"/>
              <w:jc w:val="both"/>
              <w:rPr>
                <w:b/>
              </w:rPr>
            </w:pPr>
            <w:r w:rsidR="00743DBC">
              <w:t>b) ovzduším okolité ovzdušie v troposfére, okrem ovzdušia v pracovných priestoroch,</w:t>
            </w:r>
            <w:r>
              <w:rPr>
                <w:vertAlign w:val="superscript"/>
              </w:rPr>
              <w:footnoteReference w:id="2"/>
            </w:r>
            <w:r w:rsidR="00743DBC">
              <w:t>) do</w:t>
            </w:r>
            <w:r w:rsidR="00743DBC">
              <w:rPr>
                <w:rFonts w:eastAsia="Arial"/>
              </w:rPr>
              <w:t> </w:t>
            </w:r>
            <w:r w:rsidR="00743DBC">
              <w:t>ktorých nemá verejnosť pravidelný prístup</w:t>
            </w:r>
            <w:r w:rsidR="00A51A4F">
              <w:t>.</w:t>
            </w:r>
          </w:p>
        </w:tc>
        <w:tc>
          <w:tcPr>
            <w:tcW w:w="708" w:type="dxa"/>
          </w:tcPr>
          <w:p w:rsidR="00D86B9D" w:rsidRPr="00B340FB">
            <w:pPr>
              <w:jc w:val="both"/>
              <w:rPr>
                <w:sz w:val="20"/>
              </w:rPr>
            </w:pPr>
            <w:r w:rsidRPr="00B340FB" w:rsidR="00B340FB">
              <w:rPr>
                <w:sz w:val="20"/>
              </w:rPr>
              <w:t>Ú</w:t>
            </w:r>
          </w:p>
        </w:tc>
        <w:tc>
          <w:tcPr>
            <w:tcW w:w="1130" w:type="dxa"/>
          </w:tcPr>
          <w:p w:rsidR="00D86B9D"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D86B9D">
            <w:pPr>
              <w:jc w:val="both"/>
              <w:rPr>
                <w:sz w:val="20"/>
              </w:rPr>
            </w:pPr>
            <w:r w:rsidR="009E530C">
              <w:rPr>
                <w:sz w:val="20"/>
              </w:rPr>
              <w:t>Č2</w:t>
            </w:r>
          </w:p>
          <w:p w:rsidR="009E530C">
            <w:pPr>
              <w:jc w:val="both"/>
              <w:rPr>
                <w:sz w:val="20"/>
              </w:rPr>
            </w:pPr>
            <w:r>
              <w:rPr>
                <w:sz w:val="20"/>
              </w:rPr>
              <w:t>O2</w:t>
            </w:r>
          </w:p>
        </w:tc>
        <w:tc>
          <w:tcPr>
            <w:tcW w:w="4074" w:type="dxa"/>
            <w:tcBorders>
              <w:bottom w:val="single" w:sz="4" w:space="0" w:color="auto"/>
            </w:tcBorders>
          </w:tcPr>
          <w:p w:rsidR="00D86B9D" w:rsidP="009E530C">
            <w:pPr>
              <w:jc w:val="both"/>
              <w:rPr>
                <w:sz w:val="20"/>
              </w:rPr>
            </w:pPr>
            <w:r w:rsidR="009E530C">
              <w:rPr>
                <w:sz w:val="20"/>
              </w:rPr>
              <w:t xml:space="preserve">2. </w:t>
            </w:r>
            <w:r w:rsidRPr="009E530C" w:rsidR="009E530C">
              <w:rPr>
                <w:sz w:val="20"/>
              </w:rPr>
              <w:t>„znečisťujúca látka“ je akákoľvek látka prítomná v</w:t>
            </w:r>
            <w:r w:rsidR="003D2F9A">
              <w:rPr>
                <w:sz w:val="20"/>
              </w:rPr>
              <w:t> </w:t>
            </w:r>
            <w:r w:rsidRPr="009E530C" w:rsidR="009E530C">
              <w:rPr>
                <w:sz w:val="20"/>
              </w:rPr>
              <w:t>okolitom</w:t>
            </w:r>
            <w:r w:rsidR="003D2F9A">
              <w:rPr>
                <w:sz w:val="20"/>
              </w:rPr>
              <w:t xml:space="preserve"> </w:t>
            </w:r>
            <w:r w:rsidRPr="009E530C" w:rsidR="009E530C">
              <w:rPr>
                <w:sz w:val="20"/>
              </w:rPr>
              <w:t>ovzduší s pravdepodobnými škodlivými vplyvmi na zdravie ľudí</w:t>
            </w:r>
            <w:r w:rsidR="003D2F9A">
              <w:rPr>
                <w:sz w:val="20"/>
              </w:rPr>
              <w:t xml:space="preserve"> </w:t>
            </w:r>
            <w:r w:rsidRPr="009E530C" w:rsidR="009E530C">
              <w:rPr>
                <w:sz w:val="20"/>
              </w:rPr>
              <w:t>a/alebo životné prostredie ako celok;</w:t>
            </w:r>
          </w:p>
          <w:p w:rsidR="009E530C" w:rsidP="009E530C">
            <w:pPr>
              <w:jc w:val="both"/>
              <w:rPr>
                <w:sz w:val="20"/>
              </w:rPr>
            </w:pPr>
          </w:p>
        </w:tc>
        <w:tc>
          <w:tcPr>
            <w:tcW w:w="747" w:type="dxa"/>
          </w:tcPr>
          <w:p w:rsidR="00D86B9D" w:rsidRPr="00D86B9D" w:rsidP="00D86B9D">
            <w:pPr>
              <w:ind w:right="-249"/>
              <w:rPr>
                <w:sz w:val="20"/>
              </w:rPr>
            </w:pPr>
            <w:r w:rsidR="00B340FB">
              <w:rPr>
                <w:sz w:val="20"/>
              </w:rPr>
              <w:t>N</w:t>
            </w:r>
          </w:p>
        </w:tc>
        <w:tc>
          <w:tcPr>
            <w:tcW w:w="574" w:type="dxa"/>
          </w:tcPr>
          <w:p w:rsidR="00D86B9D" w:rsidRPr="00C44EDD">
            <w:pPr>
              <w:jc w:val="both"/>
              <w:rPr>
                <w:sz w:val="20"/>
              </w:rPr>
            </w:pPr>
            <w:r w:rsidRPr="00C44EDD" w:rsidR="00C44EDD">
              <w:rPr>
                <w:sz w:val="20"/>
              </w:rPr>
              <w:t>NZ</w:t>
            </w:r>
          </w:p>
        </w:tc>
        <w:tc>
          <w:tcPr>
            <w:tcW w:w="701" w:type="dxa"/>
          </w:tcPr>
          <w:p w:rsidR="00C44EDD" w:rsidRPr="00743DBC" w:rsidP="00C44EDD">
            <w:pPr>
              <w:pStyle w:val="Paragrafyzkona"/>
              <w:spacing w:before="0" w:line="240" w:lineRule="auto"/>
              <w:jc w:val="left"/>
              <w:rPr>
                <w:b w:val="0"/>
                <w:sz w:val="20"/>
                <w:szCs w:val="20"/>
                <w:lang w:eastAsia="en-US"/>
              </w:rPr>
            </w:pPr>
            <w:r w:rsidRPr="00743DBC">
              <w:rPr>
                <w:b w:val="0"/>
                <w:sz w:val="20"/>
                <w:szCs w:val="20"/>
                <w:lang w:eastAsia="en-US"/>
              </w:rPr>
              <w:t>§ 2</w:t>
            </w:r>
          </w:p>
          <w:p w:rsidR="00D86B9D" w:rsidRPr="008658BB" w:rsidP="00C44EDD">
            <w:pPr>
              <w:jc w:val="both"/>
              <w:rPr>
                <w:b/>
                <w:sz w:val="20"/>
              </w:rPr>
            </w:pPr>
            <w:r w:rsidRPr="00743DBC" w:rsidR="00C44EDD">
              <w:rPr>
                <w:sz w:val="20"/>
              </w:rPr>
              <w:t>P</w:t>
            </w:r>
            <w:r w:rsidR="00C44EDD">
              <w:rPr>
                <w:sz w:val="20"/>
              </w:rPr>
              <w:t>f</w:t>
            </w:r>
          </w:p>
        </w:tc>
        <w:tc>
          <w:tcPr>
            <w:tcW w:w="7797" w:type="dxa"/>
          </w:tcPr>
          <w:p w:rsidR="00EB4C6D" w:rsidRPr="002C2339" w:rsidP="002C2339">
            <w:pPr>
              <w:spacing w:after="120"/>
              <w:jc w:val="both"/>
              <w:rPr>
                <w:sz w:val="20"/>
              </w:rPr>
            </w:pPr>
            <w:r w:rsidR="002C2339">
              <w:rPr>
                <w:sz w:val="20"/>
              </w:rPr>
              <w:t xml:space="preserve">f) </w:t>
            </w:r>
            <w:r w:rsidRPr="002C2339" w:rsidR="002C2339">
              <w:rPr>
                <w:sz w:val="20"/>
              </w:rPr>
              <w:t>znečisťujúcou látkou akákoľvek látka prítomná v ovzduší alebo vnášaná do ovzdušia, ktorá má alebo môže mať škodlivé účinky na zdravie ľudí alebo na životné prostredie ako celok, alebo obťažuje zápachom,</w:t>
            </w:r>
          </w:p>
          <w:p w:rsidR="00C44EDD" w:rsidRPr="00C44EDD" w:rsidP="00C44EDD">
            <w:pPr>
              <w:spacing w:after="120"/>
              <w:jc w:val="both"/>
              <w:rPr>
                <w:sz w:val="20"/>
              </w:rPr>
            </w:pPr>
          </w:p>
          <w:p w:rsidR="00D86B9D" w:rsidRPr="002C2339" w:rsidP="008658BB">
            <w:pPr>
              <w:pStyle w:val="Normlny"/>
              <w:jc w:val="center"/>
            </w:pPr>
          </w:p>
        </w:tc>
        <w:tc>
          <w:tcPr>
            <w:tcW w:w="708" w:type="dxa"/>
          </w:tcPr>
          <w:p w:rsidR="00D86B9D" w:rsidRPr="00EA2AFE">
            <w:pPr>
              <w:jc w:val="both"/>
              <w:rPr>
                <w:sz w:val="20"/>
              </w:rPr>
            </w:pPr>
            <w:r w:rsidRPr="00EA2AFE" w:rsidR="00EA2AFE">
              <w:rPr>
                <w:sz w:val="20"/>
              </w:rPr>
              <w:t>Ú</w:t>
            </w:r>
          </w:p>
        </w:tc>
        <w:tc>
          <w:tcPr>
            <w:tcW w:w="1130" w:type="dxa"/>
          </w:tcPr>
          <w:p w:rsidR="00D86B9D"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D86B9D">
            <w:pPr>
              <w:jc w:val="both"/>
              <w:rPr>
                <w:sz w:val="20"/>
              </w:rPr>
            </w:pPr>
            <w:r w:rsidR="009E530C">
              <w:rPr>
                <w:sz w:val="20"/>
              </w:rPr>
              <w:t>Č2</w:t>
            </w:r>
          </w:p>
          <w:p w:rsidR="009E530C">
            <w:pPr>
              <w:jc w:val="both"/>
              <w:rPr>
                <w:sz w:val="20"/>
              </w:rPr>
            </w:pPr>
            <w:r>
              <w:rPr>
                <w:sz w:val="20"/>
              </w:rPr>
              <w:t>O3</w:t>
            </w:r>
          </w:p>
        </w:tc>
        <w:tc>
          <w:tcPr>
            <w:tcW w:w="4074" w:type="dxa"/>
            <w:tcBorders>
              <w:bottom w:val="single" w:sz="4" w:space="0" w:color="auto"/>
            </w:tcBorders>
          </w:tcPr>
          <w:p w:rsidR="00D86B9D" w:rsidP="009E530C">
            <w:pPr>
              <w:jc w:val="both"/>
              <w:rPr>
                <w:sz w:val="20"/>
              </w:rPr>
            </w:pPr>
            <w:r w:rsidR="009E530C">
              <w:rPr>
                <w:sz w:val="20"/>
              </w:rPr>
              <w:t xml:space="preserve">3. </w:t>
            </w:r>
            <w:r w:rsidRPr="009E530C" w:rsidR="009E530C">
              <w:rPr>
                <w:sz w:val="20"/>
              </w:rPr>
              <w:t>„úroveň“ je koncentrácia znečisťujúcej látky v okolitom ovzduší</w:t>
            </w:r>
            <w:r w:rsidR="003D2F9A">
              <w:rPr>
                <w:sz w:val="20"/>
              </w:rPr>
              <w:t xml:space="preserve"> </w:t>
            </w:r>
            <w:r w:rsidRPr="009E530C" w:rsidR="009E530C">
              <w:rPr>
                <w:sz w:val="20"/>
              </w:rPr>
              <w:t>alebo jej depozícia na povrchoch v danom čase;</w:t>
            </w:r>
          </w:p>
          <w:p w:rsidR="009E530C" w:rsidP="009E530C">
            <w:pPr>
              <w:jc w:val="both"/>
              <w:rPr>
                <w:sz w:val="20"/>
              </w:rPr>
            </w:pPr>
          </w:p>
        </w:tc>
        <w:tc>
          <w:tcPr>
            <w:tcW w:w="747" w:type="dxa"/>
          </w:tcPr>
          <w:p w:rsidR="00D86B9D" w:rsidRPr="00D86B9D" w:rsidP="00D86B9D">
            <w:pPr>
              <w:ind w:right="-249"/>
              <w:rPr>
                <w:sz w:val="20"/>
              </w:rPr>
            </w:pPr>
            <w:r w:rsidR="00EA2AFE">
              <w:rPr>
                <w:sz w:val="20"/>
              </w:rPr>
              <w:t>N</w:t>
            </w:r>
          </w:p>
        </w:tc>
        <w:tc>
          <w:tcPr>
            <w:tcW w:w="574" w:type="dxa"/>
          </w:tcPr>
          <w:p w:rsidR="00D86B9D" w:rsidRPr="005318C0">
            <w:pPr>
              <w:jc w:val="both"/>
              <w:rPr>
                <w:sz w:val="20"/>
              </w:rPr>
            </w:pPr>
            <w:r w:rsidRPr="005318C0" w:rsidR="005318C0">
              <w:rPr>
                <w:sz w:val="20"/>
              </w:rPr>
              <w:t>NZ</w:t>
            </w:r>
          </w:p>
        </w:tc>
        <w:tc>
          <w:tcPr>
            <w:tcW w:w="701" w:type="dxa"/>
          </w:tcPr>
          <w:p w:rsidR="005318C0" w:rsidP="005318C0">
            <w:pPr>
              <w:pStyle w:val="Paragrafyzkona"/>
              <w:spacing w:before="0" w:line="240" w:lineRule="auto"/>
              <w:jc w:val="left"/>
              <w:rPr>
                <w:b w:val="0"/>
                <w:sz w:val="20"/>
                <w:szCs w:val="20"/>
                <w:lang w:eastAsia="en-US"/>
              </w:rPr>
            </w:pPr>
            <w:r>
              <w:rPr>
                <w:b w:val="0"/>
                <w:sz w:val="20"/>
                <w:szCs w:val="20"/>
                <w:lang w:eastAsia="en-US"/>
              </w:rPr>
              <w:t>§ 3</w:t>
            </w:r>
          </w:p>
          <w:p w:rsidR="005318C0" w:rsidP="005318C0">
            <w:pPr>
              <w:pStyle w:val="Paragrafyzkona"/>
              <w:spacing w:before="0" w:line="240" w:lineRule="auto"/>
              <w:jc w:val="left"/>
              <w:rPr>
                <w:b w:val="0"/>
                <w:sz w:val="20"/>
                <w:szCs w:val="20"/>
                <w:lang w:eastAsia="en-US"/>
              </w:rPr>
            </w:pPr>
            <w:r>
              <w:rPr>
                <w:b w:val="0"/>
                <w:sz w:val="20"/>
                <w:szCs w:val="20"/>
                <w:lang w:eastAsia="en-US"/>
              </w:rPr>
              <w:t>O2</w:t>
            </w:r>
          </w:p>
          <w:p w:rsidR="005318C0" w:rsidRPr="00743DBC" w:rsidP="005318C0">
            <w:pPr>
              <w:pStyle w:val="Paragrafyzkona"/>
              <w:spacing w:before="0" w:line="240" w:lineRule="auto"/>
              <w:jc w:val="left"/>
              <w:rPr>
                <w:b w:val="0"/>
                <w:sz w:val="20"/>
                <w:szCs w:val="20"/>
                <w:lang w:eastAsia="en-US"/>
              </w:rPr>
            </w:pPr>
          </w:p>
          <w:p w:rsidR="00D86B9D" w:rsidRPr="008658BB" w:rsidP="00E95D21">
            <w:pPr>
              <w:jc w:val="both"/>
              <w:rPr>
                <w:b/>
                <w:sz w:val="20"/>
              </w:rPr>
            </w:pPr>
          </w:p>
        </w:tc>
        <w:tc>
          <w:tcPr>
            <w:tcW w:w="7797" w:type="dxa"/>
          </w:tcPr>
          <w:p w:rsidR="005318C0" w:rsidRPr="005318C0" w:rsidP="005318C0">
            <w:pPr>
              <w:tabs>
                <w:tab w:val="left" w:pos="1276"/>
              </w:tabs>
              <w:spacing w:after="360"/>
              <w:jc w:val="both"/>
              <w:rPr>
                <w:sz w:val="20"/>
              </w:rPr>
            </w:pPr>
            <w:r>
              <w:rPr>
                <w:sz w:val="20"/>
              </w:rPr>
              <w:t xml:space="preserve">(2) </w:t>
            </w:r>
            <w:r w:rsidRPr="005318C0">
              <w:rPr>
                <w:sz w:val="20"/>
              </w:rPr>
              <w:t xml:space="preserve">Úroveň znečistenia ovzdušia je vyjadrená ako koncentrácia znečisťujúcej látky v ovzduší alebo depozícia znečisťujúcej látky na zemskom povrchu za určitý čas. </w:t>
            </w:r>
          </w:p>
          <w:p w:rsidR="00D86B9D" w:rsidP="008658BB">
            <w:pPr>
              <w:pStyle w:val="Normlny"/>
              <w:jc w:val="center"/>
              <w:rPr>
                <w:b/>
              </w:rPr>
            </w:pPr>
          </w:p>
        </w:tc>
        <w:tc>
          <w:tcPr>
            <w:tcW w:w="708" w:type="dxa"/>
          </w:tcPr>
          <w:p w:rsidR="00D86B9D" w:rsidRPr="005318C0">
            <w:pPr>
              <w:jc w:val="both"/>
              <w:rPr>
                <w:sz w:val="20"/>
              </w:rPr>
            </w:pPr>
            <w:r w:rsidRPr="005318C0" w:rsidR="005318C0">
              <w:rPr>
                <w:sz w:val="20"/>
              </w:rPr>
              <w:t>Ú</w:t>
            </w:r>
          </w:p>
        </w:tc>
        <w:tc>
          <w:tcPr>
            <w:tcW w:w="1130" w:type="dxa"/>
          </w:tcPr>
          <w:p w:rsidR="00D86B9D"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D86B9D">
            <w:pPr>
              <w:jc w:val="both"/>
              <w:rPr>
                <w:sz w:val="20"/>
              </w:rPr>
            </w:pPr>
            <w:r w:rsidR="009E530C">
              <w:rPr>
                <w:sz w:val="20"/>
              </w:rPr>
              <w:t>Č2</w:t>
            </w:r>
          </w:p>
          <w:p w:rsidR="009E530C">
            <w:pPr>
              <w:jc w:val="both"/>
              <w:rPr>
                <w:sz w:val="20"/>
              </w:rPr>
            </w:pPr>
            <w:r>
              <w:rPr>
                <w:sz w:val="20"/>
              </w:rPr>
              <w:t>O4</w:t>
            </w:r>
          </w:p>
        </w:tc>
        <w:tc>
          <w:tcPr>
            <w:tcW w:w="4074" w:type="dxa"/>
            <w:tcBorders>
              <w:bottom w:val="single" w:sz="4" w:space="0" w:color="auto"/>
            </w:tcBorders>
          </w:tcPr>
          <w:p w:rsidR="00D86B9D" w:rsidP="009E530C">
            <w:pPr>
              <w:jc w:val="both"/>
              <w:rPr>
                <w:sz w:val="20"/>
              </w:rPr>
            </w:pPr>
            <w:r w:rsidR="009E530C">
              <w:rPr>
                <w:sz w:val="20"/>
              </w:rPr>
              <w:t xml:space="preserve">4. </w:t>
            </w:r>
            <w:r w:rsidRPr="009E530C" w:rsidR="009E530C">
              <w:rPr>
                <w:sz w:val="20"/>
              </w:rPr>
              <w:t>„hodnotenie“ je akákoľvek metóda použitá na meranie, výpočet,</w:t>
            </w:r>
            <w:r w:rsidR="003D2F9A">
              <w:rPr>
                <w:sz w:val="20"/>
              </w:rPr>
              <w:t xml:space="preserve"> </w:t>
            </w:r>
            <w:r w:rsidRPr="009E530C" w:rsidR="009E530C">
              <w:rPr>
                <w:sz w:val="20"/>
              </w:rPr>
              <w:t>predpovedanie alebo od</w:t>
            </w:r>
            <w:r w:rsidRPr="009E530C" w:rsidR="009E530C">
              <w:rPr>
                <w:sz w:val="20"/>
              </w:rPr>
              <w:t>hadovanie úrovní;</w:t>
            </w:r>
          </w:p>
          <w:p w:rsidR="009E530C" w:rsidP="009E530C">
            <w:pPr>
              <w:jc w:val="both"/>
              <w:rPr>
                <w:sz w:val="20"/>
              </w:rPr>
            </w:pPr>
          </w:p>
        </w:tc>
        <w:tc>
          <w:tcPr>
            <w:tcW w:w="747" w:type="dxa"/>
          </w:tcPr>
          <w:p w:rsidR="00D86B9D" w:rsidRPr="00D86B9D" w:rsidP="00D86B9D">
            <w:pPr>
              <w:ind w:right="-249"/>
              <w:rPr>
                <w:sz w:val="20"/>
              </w:rPr>
            </w:pPr>
            <w:r w:rsidR="007B461D">
              <w:rPr>
                <w:sz w:val="20"/>
              </w:rPr>
              <w:t>N</w:t>
            </w:r>
          </w:p>
        </w:tc>
        <w:tc>
          <w:tcPr>
            <w:tcW w:w="574" w:type="dxa"/>
          </w:tcPr>
          <w:p w:rsidR="00D86B9D" w:rsidRPr="007B461D">
            <w:pPr>
              <w:jc w:val="both"/>
              <w:rPr>
                <w:sz w:val="20"/>
              </w:rPr>
            </w:pPr>
            <w:r w:rsidRPr="007B461D" w:rsidR="007B461D">
              <w:rPr>
                <w:sz w:val="20"/>
              </w:rPr>
              <w:t>NZ</w:t>
            </w:r>
          </w:p>
        </w:tc>
        <w:tc>
          <w:tcPr>
            <w:tcW w:w="701" w:type="dxa"/>
          </w:tcPr>
          <w:p w:rsidR="007B461D" w:rsidRPr="00743DBC" w:rsidP="007B461D">
            <w:pPr>
              <w:pStyle w:val="Paragrafyzkona"/>
              <w:spacing w:before="0" w:line="240" w:lineRule="auto"/>
              <w:jc w:val="left"/>
              <w:rPr>
                <w:b w:val="0"/>
                <w:sz w:val="20"/>
                <w:szCs w:val="20"/>
                <w:lang w:eastAsia="en-US"/>
              </w:rPr>
            </w:pPr>
            <w:r>
              <w:rPr>
                <w:b w:val="0"/>
                <w:sz w:val="20"/>
                <w:szCs w:val="20"/>
                <w:lang w:eastAsia="en-US"/>
              </w:rPr>
              <w:t>§ 4</w:t>
            </w:r>
          </w:p>
          <w:p w:rsidR="007B461D" w:rsidRPr="00743DBC" w:rsidP="007B461D">
            <w:pPr>
              <w:pStyle w:val="Paragrafyzkona"/>
              <w:spacing w:before="0" w:line="240" w:lineRule="auto"/>
              <w:jc w:val="left"/>
              <w:rPr>
                <w:b w:val="0"/>
                <w:sz w:val="20"/>
                <w:szCs w:val="20"/>
                <w:lang w:eastAsia="en-US"/>
              </w:rPr>
            </w:pPr>
            <w:r w:rsidRPr="00743DBC">
              <w:rPr>
                <w:b w:val="0"/>
                <w:sz w:val="20"/>
                <w:szCs w:val="20"/>
                <w:lang w:eastAsia="en-US"/>
              </w:rPr>
              <w:t>O1</w:t>
            </w:r>
          </w:p>
          <w:p w:rsidR="00D86B9D" w:rsidRPr="008658BB" w:rsidP="007B461D">
            <w:pPr>
              <w:jc w:val="both"/>
              <w:rPr>
                <w:b/>
                <w:sz w:val="20"/>
              </w:rPr>
            </w:pPr>
          </w:p>
        </w:tc>
        <w:tc>
          <w:tcPr>
            <w:tcW w:w="7797" w:type="dxa"/>
          </w:tcPr>
          <w:p w:rsidR="007B461D" w:rsidRPr="007B461D" w:rsidP="007B461D">
            <w:pPr>
              <w:spacing w:after="360"/>
              <w:jc w:val="both"/>
              <w:rPr>
                <w:sz w:val="20"/>
              </w:rPr>
            </w:pPr>
            <w:r w:rsidR="00535526">
              <w:rPr>
                <w:sz w:val="20"/>
              </w:rPr>
              <w:t xml:space="preserve">(1) </w:t>
            </w:r>
            <w:r w:rsidRPr="007B461D">
              <w:rPr>
                <w:sz w:val="20"/>
              </w:rPr>
              <w:t xml:space="preserve">Hodnotením kvality ovzdušia je zisťovanie úrovne znečistenia ovzdušia použitím metód merania, výpočtu, predpovedania alebo odhadu. </w:t>
            </w:r>
          </w:p>
          <w:p w:rsidR="00D86B9D" w:rsidP="008658BB">
            <w:pPr>
              <w:pStyle w:val="Normlny"/>
              <w:jc w:val="center"/>
              <w:rPr>
                <w:b/>
              </w:rPr>
            </w:pPr>
          </w:p>
        </w:tc>
        <w:tc>
          <w:tcPr>
            <w:tcW w:w="708" w:type="dxa"/>
          </w:tcPr>
          <w:p w:rsidR="00D86B9D" w:rsidRPr="007B461D">
            <w:pPr>
              <w:jc w:val="both"/>
              <w:rPr>
                <w:sz w:val="20"/>
              </w:rPr>
            </w:pPr>
            <w:r w:rsidRPr="007B461D" w:rsidR="007B461D">
              <w:rPr>
                <w:sz w:val="20"/>
              </w:rPr>
              <w:t>Ú</w:t>
            </w:r>
          </w:p>
        </w:tc>
        <w:tc>
          <w:tcPr>
            <w:tcW w:w="1130" w:type="dxa"/>
          </w:tcPr>
          <w:p w:rsidR="00D86B9D"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O5</w:t>
            </w:r>
          </w:p>
        </w:tc>
        <w:tc>
          <w:tcPr>
            <w:tcW w:w="4074" w:type="dxa"/>
            <w:tcBorders>
              <w:bottom w:val="single" w:sz="4" w:space="0" w:color="auto"/>
            </w:tcBorders>
          </w:tcPr>
          <w:p w:rsidR="009E530C" w:rsidRPr="009E530C" w:rsidP="009E530C">
            <w:pPr>
              <w:jc w:val="both"/>
              <w:rPr>
                <w:sz w:val="20"/>
              </w:rPr>
            </w:pPr>
            <w:r>
              <w:rPr>
                <w:sz w:val="20"/>
              </w:rPr>
              <w:t xml:space="preserve">5. </w:t>
            </w:r>
            <w:r w:rsidRPr="009E530C">
              <w:rPr>
                <w:sz w:val="20"/>
              </w:rPr>
              <w:t>„limitná hodnota“ je úroveň stanovená na základe vedeckých</w:t>
            </w:r>
            <w:r w:rsidR="003D2F9A">
              <w:rPr>
                <w:sz w:val="20"/>
              </w:rPr>
              <w:t xml:space="preserve"> </w:t>
            </w:r>
            <w:r w:rsidRPr="009E530C">
              <w:rPr>
                <w:sz w:val="20"/>
              </w:rPr>
              <w:t>poznatkov na účely zabránenia, prevencie alebo zníženia škodlivých</w:t>
            </w:r>
          </w:p>
          <w:p w:rsidR="009E530C" w:rsidP="009E530C">
            <w:pPr>
              <w:jc w:val="both"/>
              <w:rPr>
                <w:sz w:val="20"/>
              </w:rPr>
            </w:pPr>
            <w:r w:rsidRPr="009E530C">
              <w:rPr>
                <w:sz w:val="20"/>
              </w:rPr>
              <w:t>vplyvov na zdravie ľudí a/alebo životné prostredie ako celok, ktorá</w:t>
            </w:r>
            <w:r w:rsidR="003D2F9A">
              <w:rPr>
                <w:sz w:val="20"/>
              </w:rPr>
              <w:t xml:space="preserve"> </w:t>
            </w:r>
            <w:r w:rsidRPr="009E530C">
              <w:rPr>
                <w:sz w:val="20"/>
              </w:rPr>
              <w:t>sa má dosiahnuť v danom období a po dosiahnutí sa už nemá</w:t>
            </w:r>
            <w:r w:rsidR="003D2F9A">
              <w:rPr>
                <w:sz w:val="20"/>
              </w:rPr>
              <w:t xml:space="preserve"> </w:t>
            </w:r>
            <w:r w:rsidRPr="009E530C">
              <w:rPr>
                <w:sz w:val="20"/>
              </w:rPr>
              <w:t>prekročiť;</w:t>
            </w:r>
          </w:p>
          <w:p w:rsidR="009E530C" w:rsidP="009E530C">
            <w:pPr>
              <w:jc w:val="both"/>
              <w:rPr>
                <w:sz w:val="20"/>
              </w:rPr>
            </w:pPr>
          </w:p>
        </w:tc>
        <w:tc>
          <w:tcPr>
            <w:tcW w:w="747" w:type="dxa"/>
          </w:tcPr>
          <w:p w:rsidR="009E530C" w:rsidRPr="00D86B9D" w:rsidP="00D86B9D">
            <w:pPr>
              <w:ind w:right="-249"/>
              <w:rPr>
                <w:sz w:val="20"/>
              </w:rPr>
            </w:pPr>
            <w:r w:rsidR="007B461D">
              <w:rPr>
                <w:sz w:val="20"/>
              </w:rPr>
              <w:t>N</w:t>
            </w:r>
          </w:p>
        </w:tc>
        <w:tc>
          <w:tcPr>
            <w:tcW w:w="574" w:type="dxa"/>
          </w:tcPr>
          <w:p w:rsidR="009E530C" w:rsidRPr="00535526">
            <w:pPr>
              <w:jc w:val="both"/>
              <w:rPr>
                <w:sz w:val="20"/>
              </w:rPr>
            </w:pPr>
            <w:r w:rsidRPr="00535526" w:rsidR="00535526">
              <w:rPr>
                <w:sz w:val="20"/>
              </w:rPr>
              <w:t>NZ</w:t>
            </w:r>
          </w:p>
        </w:tc>
        <w:tc>
          <w:tcPr>
            <w:tcW w:w="701" w:type="dxa"/>
          </w:tcPr>
          <w:p w:rsidR="00535526" w:rsidRPr="00743DBC" w:rsidP="00535526">
            <w:pPr>
              <w:pStyle w:val="Paragrafyzkona"/>
              <w:spacing w:before="0" w:line="240" w:lineRule="auto"/>
              <w:jc w:val="left"/>
              <w:rPr>
                <w:b w:val="0"/>
                <w:sz w:val="20"/>
                <w:szCs w:val="20"/>
                <w:lang w:eastAsia="en-US"/>
              </w:rPr>
            </w:pPr>
            <w:r>
              <w:rPr>
                <w:b w:val="0"/>
                <w:sz w:val="20"/>
                <w:szCs w:val="20"/>
                <w:lang w:eastAsia="en-US"/>
              </w:rPr>
              <w:t>§ 3</w:t>
            </w:r>
          </w:p>
          <w:p w:rsidR="00535526" w:rsidRPr="00743DBC" w:rsidP="00535526">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5</w:t>
            </w:r>
          </w:p>
          <w:p w:rsidR="009E530C" w:rsidRPr="008658BB" w:rsidP="00E95D21">
            <w:pPr>
              <w:jc w:val="both"/>
              <w:rPr>
                <w:b/>
                <w:sz w:val="20"/>
              </w:rPr>
            </w:pPr>
          </w:p>
        </w:tc>
        <w:tc>
          <w:tcPr>
            <w:tcW w:w="7797" w:type="dxa"/>
          </w:tcPr>
          <w:p w:rsidR="00960A37" w:rsidP="00535526">
            <w:pPr>
              <w:pStyle w:val="ListParagraph"/>
              <w:spacing w:after="360" w:line="240" w:lineRule="auto"/>
              <w:ind w:left="0"/>
              <w:contextualSpacing w:val="0"/>
              <w:jc w:val="both"/>
              <w:rPr>
                <w:sz w:val="20"/>
                <w:szCs w:val="20"/>
                <w:lang w:eastAsia="en-US"/>
              </w:rPr>
            </w:pPr>
            <w:r w:rsidR="00535526">
              <w:rPr>
                <w:sz w:val="20"/>
                <w:szCs w:val="20"/>
                <w:lang w:eastAsia="en-US"/>
              </w:rPr>
              <w:t xml:space="preserve">(5) </w:t>
            </w:r>
            <w:r w:rsidRPr="00535526" w:rsidR="00535526">
              <w:rPr>
                <w:sz w:val="20"/>
                <w:szCs w:val="20"/>
                <w:lang w:eastAsia="en-US"/>
              </w:rPr>
              <w:t>Limitnou hodnotou je úroveň znečistenia ovzdušia určená na základe vedeckých poznatkov s cieľom zabrániť škodlivým účinkom na zdravie ľudí alebo životné prostredie ako celok, predchádzať im alebo ich znížiť, ktorá sa má dosiahnuť v danom čase a od toho času nesmie byť prekročená; limitné hodnoty a podmienky ich platnosti sú ustanovené pre oxid siričitý, oxid dusičitý, oxid uhoľnatý, olovo, benzén, PM</w:t>
            </w:r>
            <w:r w:rsidRPr="005C0067" w:rsidR="00535526">
              <w:rPr>
                <w:sz w:val="20"/>
                <w:szCs w:val="20"/>
                <w:vertAlign w:val="subscript"/>
                <w:lang w:eastAsia="en-US"/>
              </w:rPr>
              <w:t>10</w:t>
            </w:r>
            <w:r w:rsidRPr="00535526" w:rsidR="00535526">
              <w:rPr>
                <w:sz w:val="20"/>
                <w:szCs w:val="20"/>
                <w:lang w:eastAsia="en-US"/>
              </w:rPr>
              <w:t xml:space="preserve"> a PM</w:t>
            </w:r>
            <w:r w:rsidRPr="005C0067" w:rsidR="00535526">
              <w:rPr>
                <w:sz w:val="20"/>
                <w:szCs w:val="20"/>
                <w:vertAlign w:val="subscript"/>
                <w:lang w:eastAsia="en-US"/>
              </w:rPr>
              <w:t>2,5.</w:t>
            </w:r>
          </w:p>
          <w:p w:rsidR="00960A37" w:rsidRPr="00535526" w:rsidP="00535526">
            <w:pPr>
              <w:pStyle w:val="ListParagraph"/>
              <w:spacing w:after="360" w:line="240" w:lineRule="auto"/>
              <w:ind w:left="0"/>
              <w:contextualSpacing w:val="0"/>
              <w:jc w:val="both"/>
              <w:rPr>
                <w:sz w:val="20"/>
                <w:szCs w:val="20"/>
                <w:lang w:eastAsia="en-US"/>
              </w:rPr>
            </w:pPr>
          </w:p>
          <w:p w:rsidR="009E530C" w:rsidP="00535526">
            <w:pPr>
              <w:pStyle w:val="Normlny"/>
              <w:jc w:val="both"/>
              <w:rPr>
                <w:b/>
              </w:rPr>
            </w:pPr>
          </w:p>
        </w:tc>
        <w:tc>
          <w:tcPr>
            <w:tcW w:w="708" w:type="dxa"/>
          </w:tcPr>
          <w:p w:rsidR="009E530C" w:rsidRPr="00535526">
            <w:pPr>
              <w:jc w:val="both"/>
              <w:rPr>
                <w:sz w:val="20"/>
              </w:rPr>
            </w:pPr>
            <w:r w:rsidRPr="00535526" w:rsidR="00535526">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O6</w:t>
            </w:r>
          </w:p>
        </w:tc>
        <w:tc>
          <w:tcPr>
            <w:tcW w:w="4074" w:type="dxa"/>
            <w:tcBorders>
              <w:bottom w:val="single" w:sz="4" w:space="0" w:color="auto"/>
            </w:tcBorders>
          </w:tcPr>
          <w:p w:rsidR="009E530C" w:rsidP="009E530C">
            <w:pPr>
              <w:jc w:val="both"/>
              <w:rPr>
                <w:sz w:val="20"/>
              </w:rPr>
            </w:pPr>
            <w:r>
              <w:rPr>
                <w:sz w:val="20"/>
              </w:rPr>
              <w:t xml:space="preserve">6. </w:t>
            </w:r>
            <w:r w:rsidRPr="009E530C">
              <w:rPr>
                <w:sz w:val="20"/>
              </w:rPr>
              <w:t>„kritická úroveň“ je úroveň stanovená na základe vedeckých</w:t>
            </w:r>
            <w:r w:rsidR="003D2F9A">
              <w:rPr>
                <w:sz w:val="20"/>
              </w:rPr>
              <w:t xml:space="preserve"> </w:t>
            </w:r>
            <w:r w:rsidRPr="009E530C">
              <w:rPr>
                <w:sz w:val="20"/>
              </w:rPr>
              <w:t>poznatkov, nad ktorou sa môžu vyskytnúť priame nepriaznivé</w:t>
            </w:r>
            <w:r w:rsidR="003D2F9A">
              <w:rPr>
                <w:sz w:val="20"/>
              </w:rPr>
              <w:t xml:space="preserve"> </w:t>
            </w:r>
            <w:r w:rsidRPr="009E530C">
              <w:rPr>
                <w:sz w:val="20"/>
              </w:rPr>
              <w:t>vplyvy na niektorých prijímateľov, akými sú stromy, iné rastliny</w:t>
            </w:r>
            <w:r w:rsidR="003D2F9A">
              <w:rPr>
                <w:sz w:val="20"/>
              </w:rPr>
              <w:t xml:space="preserve"> </w:t>
            </w:r>
            <w:r w:rsidRPr="009E530C">
              <w:rPr>
                <w:sz w:val="20"/>
              </w:rPr>
              <w:t>alebo prírodné ekosystémy, ale nie na ľudí;</w:t>
            </w:r>
          </w:p>
          <w:p w:rsidR="003D2F9A" w:rsidP="009E530C">
            <w:pPr>
              <w:jc w:val="both"/>
              <w:rPr>
                <w:sz w:val="20"/>
              </w:rPr>
            </w:pPr>
          </w:p>
          <w:p w:rsidR="003D2F9A" w:rsidP="009E530C">
            <w:pPr>
              <w:jc w:val="both"/>
              <w:rPr>
                <w:sz w:val="20"/>
              </w:rPr>
            </w:pPr>
          </w:p>
        </w:tc>
        <w:tc>
          <w:tcPr>
            <w:tcW w:w="747" w:type="dxa"/>
          </w:tcPr>
          <w:p w:rsidR="009E530C" w:rsidRPr="00D86B9D" w:rsidP="00D86B9D">
            <w:pPr>
              <w:ind w:right="-249"/>
              <w:rPr>
                <w:sz w:val="20"/>
              </w:rPr>
            </w:pPr>
            <w:r w:rsidR="00C05986">
              <w:rPr>
                <w:sz w:val="20"/>
              </w:rPr>
              <w:t>N</w:t>
            </w:r>
          </w:p>
        </w:tc>
        <w:tc>
          <w:tcPr>
            <w:tcW w:w="574" w:type="dxa"/>
          </w:tcPr>
          <w:p w:rsidR="009E530C" w:rsidRPr="00C05986">
            <w:pPr>
              <w:jc w:val="both"/>
              <w:rPr>
                <w:sz w:val="20"/>
              </w:rPr>
            </w:pPr>
            <w:r w:rsidRPr="00C05986" w:rsidR="00C05986">
              <w:rPr>
                <w:sz w:val="20"/>
              </w:rPr>
              <w:t>NZ</w:t>
            </w:r>
          </w:p>
        </w:tc>
        <w:tc>
          <w:tcPr>
            <w:tcW w:w="701" w:type="dxa"/>
          </w:tcPr>
          <w:p w:rsidR="00C05986" w:rsidRPr="00743DBC" w:rsidP="00C05986">
            <w:pPr>
              <w:pStyle w:val="Paragrafyzkona"/>
              <w:spacing w:before="0" w:line="240" w:lineRule="auto"/>
              <w:jc w:val="left"/>
              <w:rPr>
                <w:b w:val="0"/>
                <w:sz w:val="20"/>
                <w:szCs w:val="20"/>
                <w:lang w:eastAsia="en-US"/>
              </w:rPr>
            </w:pPr>
            <w:r>
              <w:rPr>
                <w:b w:val="0"/>
                <w:sz w:val="20"/>
                <w:szCs w:val="20"/>
                <w:lang w:eastAsia="en-US"/>
              </w:rPr>
              <w:t>§ 3</w:t>
            </w:r>
          </w:p>
          <w:p w:rsidR="00C05986" w:rsidRPr="00743DBC" w:rsidP="00C05986">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7</w:t>
            </w:r>
          </w:p>
          <w:p w:rsidR="009E530C" w:rsidRPr="008658BB" w:rsidP="00E95D21">
            <w:pPr>
              <w:jc w:val="both"/>
              <w:rPr>
                <w:b/>
                <w:sz w:val="20"/>
              </w:rPr>
            </w:pPr>
          </w:p>
        </w:tc>
        <w:tc>
          <w:tcPr>
            <w:tcW w:w="7797" w:type="dxa"/>
          </w:tcPr>
          <w:p w:rsidR="00C05986" w:rsidRPr="00C05986" w:rsidP="00C05986">
            <w:pPr>
              <w:pStyle w:val="ListParagraph"/>
              <w:spacing w:after="360" w:line="240" w:lineRule="auto"/>
              <w:ind w:left="0"/>
              <w:contextualSpacing w:val="0"/>
              <w:jc w:val="both"/>
              <w:rPr>
                <w:sz w:val="20"/>
                <w:szCs w:val="20"/>
                <w:lang w:eastAsia="en-US"/>
              </w:rPr>
            </w:pPr>
            <w:r>
              <w:rPr>
                <w:sz w:val="20"/>
                <w:szCs w:val="20"/>
                <w:lang w:eastAsia="en-US"/>
              </w:rPr>
              <w:t xml:space="preserve">(7) </w:t>
            </w:r>
            <w:r w:rsidRPr="00C05986">
              <w:rPr>
                <w:sz w:val="20"/>
                <w:szCs w:val="20"/>
                <w:lang w:eastAsia="en-US"/>
              </w:rPr>
              <w:t>Kritickou úrovňou na účely hodnotenia kvality ovzdušia je úroveň znečistenia ovzdušia určená na základe vedeckých poznatkov, pri prekročení ktorej sa môžu vyskytnúť priame nepriaznivé vplyvy na vegetáciu, ako sú stromy a iné rastliny, alebo prírodné ekosystémy, ale nie na ľudí; kritická úroveň je ustanovená pre oxid siričitý a oxidy dusíka.</w:t>
            </w:r>
          </w:p>
          <w:p w:rsidR="009E530C" w:rsidRPr="00C05986" w:rsidP="008658BB">
            <w:pPr>
              <w:pStyle w:val="Normlny"/>
              <w:jc w:val="center"/>
            </w:pPr>
          </w:p>
        </w:tc>
        <w:tc>
          <w:tcPr>
            <w:tcW w:w="708" w:type="dxa"/>
          </w:tcPr>
          <w:p w:rsidR="009E530C" w:rsidRPr="00C05986">
            <w:pPr>
              <w:jc w:val="both"/>
              <w:rPr>
                <w:sz w:val="20"/>
              </w:rPr>
            </w:pPr>
            <w:r w:rsidRPr="00C05986" w:rsidR="00C05986">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O7</w:t>
            </w:r>
          </w:p>
        </w:tc>
        <w:tc>
          <w:tcPr>
            <w:tcW w:w="4074" w:type="dxa"/>
            <w:tcBorders>
              <w:bottom w:val="single" w:sz="4" w:space="0" w:color="auto"/>
            </w:tcBorders>
          </w:tcPr>
          <w:p w:rsidR="009E530C" w:rsidP="009E530C">
            <w:pPr>
              <w:jc w:val="both"/>
              <w:rPr>
                <w:sz w:val="20"/>
              </w:rPr>
            </w:pPr>
            <w:r>
              <w:rPr>
                <w:sz w:val="20"/>
              </w:rPr>
              <w:t xml:space="preserve">7. </w:t>
            </w:r>
            <w:r w:rsidRPr="009E530C">
              <w:rPr>
                <w:sz w:val="20"/>
              </w:rPr>
              <w:t>„medza tolerancie“ je percento limitnej hodnoty, o ktoré môže byť</w:t>
            </w:r>
            <w:r w:rsidR="003D2F9A">
              <w:rPr>
                <w:sz w:val="20"/>
              </w:rPr>
              <w:t xml:space="preserve"> </w:t>
            </w:r>
            <w:r w:rsidRPr="009E530C">
              <w:rPr>
                <w:sz w:val="20"/>
              </w:rPr>
              <w:t>táto hodnota prekročená za podmienok ustanovených v tejto smernici;</w:t>
            </w:r>
          </w:p>
          <w:p w:rsidR="009E530C" w:rsidP="009E530C">
            <w:pPr>
              <w:jc w:val="both"/>
              <w:rPr>
                <w:sz w:val="20"/>
              </w:rPr>
            </w:pPr>
          </w:p>
        </w:tc>
        <w:tc>
          <w:tcPr>
            <w:tcW w:w="747" w:type="dxa"/>
          </w:tcPr>
          <w:p w:rsidR="009E530C" w:rsidRPr="00D86B9D" w:rsidP="00D86B9D">
            <w:pPr>
              <w:ind w:right="-249"/>
              <w:rPr>
                <w:sz w:val="20"/>
              </w:rPr>
            </w:pPr>
            <w:r w:rsidR="00A05167">
              <w:rPr>
                <w:sz w:val="20"/>
              </w:rPr>
              <w:t>N</w:t>
            </w:r>
          </w:p>
        </w:tc>
        <w:tc>
          <w:tcPr>
            <w:tcW w:w="574" w:type="dxa"/>
          </w:tcPr>
          <w:p w:rsidR="009E530C" w:rsidRPr="00A05167">
            <w:pPr>
              <w:jc w:val="both"/>
              <w:rPr>
                <w:sz w:val="20"/>
              </w:rPr>
            </w:pPr>
            <w:r w:rsidRPr="00A05167" w:rsidR="00A05167">
              <w:rPr>
                <w:sz w:val="20"/>
              </w:rPr>
              <w:t>NZ</w:t>
            </w:r>
          </w:p>
        </w:tc>
        <w:tc>
          <w:tcPr>
            <w:tcW w:w="701" w:type="dxa"/>
          </w:tcPr>
          <w:p w:rsidR="00A05167" w:rsidRPr="00743DBC" w:rsidP="00A05167">
            <w:pPr>
              <w:pStyle w:val="Paragrafyzkona"/>
              <w:spacing w:before="0" w:line="240" w:lineRule="auto"/>
              <w:jc w:val="left"/>
              <w:rPr>
                <w:b w:val="0"/>
                <w:sz w:val="20"/>
                <w:szCs w:val="20"/>
                <w:lang w:eastAsia="en-US"/>
              </w:rPr>
            </w:pPr>
            <w:r>
              <w:rPr>
                <w:b w:val="0"/>
                <w:sz w:val="20"/>
                <w:szCs w:val="20"/>
                <w:lang w:eastAsia="en-US"/>
              </w:rPr>
              <w:t>§ 3</w:t>
            </w:r>
          </w:p>
          <w:p w:rsidR="00A05167" w:rsidRPr="00743DBC" w:rsidP="00A05167">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6</w:t>
            </w:r>
          </w:p>
          <w:p w:rsidR="009E530C" w:rsidRPr="008658BB" w:rsidP="00E95D21">
            <w:pPr>
              <w:jc w:val="both"/>
              <w:rPr>
                <w:b/>
                <w:sz w:val="20"/>
              </w:rPr>
            </w:pPr>
          </w:p>
        </w:tc>
        <w:tc>
          <w:tcPr>
            <w:tcW w:w="7797" w:type="dxa"/>
          </w:tcPr>
          <w:p w:rsidR="00A05167" w:rsidRPr="00A05167" w:rsidP="00A05167">
            <w:pPr>
              <w:pStyle w:val="ListParagraph"/>
              <w:spacing w:after="360" w:line="240" w:lineRule="auto"/>
              <w:ind w:left="0"/>
              <w:contextualSpacing w:val="0"/>
              <w:jc w:val="both"/>
              <w:rPr>
                <w:sz w:val="20"/>
                <w:szCs w:val="20"/>
                <w:lang w:eastAsia="en-US"/>
              </w:rPr>
            </w:pPr>
            <w:r w:rsidR="00092C26">
              <w:rPr>
                <w:sz w:val="20"/>
                <w:szCs w:val="20"/>
                <w:lang w:eastAsia="en-US"/>
              </w:rPr>
              <w:t xml:space="preserve">(6) </w:t>
            </w:r>
            <w:r w:rsidRPr="00092C26" w:rsidR="00092C26">
              <w:rPr>
                <w:sz w:val="20"/>
                <w:szCs w:val="20"/>
                <w:lang w:eastAsia="en-US"/>
              </w:rPr>
              <w:t>Medzou tolerancie je percento limitnej hodnoty, o ktoré môže byť limitná hodnota prekročená v určenom čase a v súlade s vykonávacím predpisom podľa § 62 písm. a). V období, keď sa uplatňuje medza tolerancie, hodnota koncentrácie znečisťujúcej látky nesmie prekročiť limitnú hodnotu viac ako o medzu tolerancie.</w:t>
            </w:r>
          </w:p>
          <w:p w:rsidR="009E530C" w:rsidP="008658BB">
            <w:pPr>
              <w:pStyle w:val="Normlny"/>
              <w:jc w:val="center"/>
              <w:rPr>
                <w:b/>
              </w:rPr>
            </w:pPr>
          </w:p>
        </w:tc>
        <w:tc>
          <w:tcPr>
            <w:tcW w:w="708" w:type="dxa"/>
          </w:tcPr>
          <w:p w:rsidR="009E530C" w:rsidRPr="00A05167">
            <w:pPr>
              <w:jc w:val="both"/>
              <w:rPr>
                <w:sz w:val="20"/>
              </w:rPr>
            </w:pPr>
            <w:r w:rsidRPr="00A05167" w:rsidR="00A05167">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O8</w:t>
            </w:r>
          </w:p>
        </w:tc>
        <w:tc>
          <w:tcPr>
            <w:tcW w:w="4074" w:type="dxa"/>
            <w:tcBorders>
              <w:bottom w:val="single" w:sz="4" w:space="0" w:color="auto"/>
            </w:tcBorders>
          </w:tcPr>
          <w:p w:rsidR="009E530C" w:rsidP="009E530C">
            <w:pPr>
              <w:jc w:val="both"/>
              <w:rPr>
                <w:sz w:val="20"/>
              </w:rPr>
            </w:pPr>
            <w:r>
              <w:rPr>
                <w:sz w:val="20"/>
              </w:rPr>
              <w:t xml:space="preserve">8. </w:t>
            </w:r>
            <w:r w:rsidRPr="009E530C">
              <w:rPr>
                <w:sz w:val="20"/>
              </w:rPr>
              <w:t>„plány kvality ovzdušia“ sú plány, ktoré stanovujú opatrenia</w:t>
            </w:r>
            <w:r w:rsidR="003D2F9A">
              <w:rPr>
                <w:sz w:val="20"/>
              </w:rPr>
              <w:t xml:space="preserve"> </w:t>
            </w:r>
            <w:r w:rsidRPr="009E530C">
              <w:rPr>
                <w:sz w:val="20"/>
              </w:rPr>
              <w:t>s cieľom dosiahnuť limitné hodnoty alebo cieľové hodnoty;</w:t>
            </w:r>
          </w:p>
          <w:p w:rsidR="009E530C" w:rsidP="009E530C">
            <w:pPr>
              <w:jc w:val="both"/>
              <w:rPr>
                <w:sz w:val="20"/>
              </w:rPr>
            </w:pPr>
          </w:p>
        </w:tc>
        <w:tc>
          <w:tcPr>
            <w:tcW w:w="747" w:type="dxa"/>
          </w:tcPr>
          <w:p w:rsidR="009E530C" w:rsidRPr="00D86B9D" w:rsidP="00D86B9D">
            <w:pPr>
              <w:ind w:right="-249"/>
              <w:rPr>
                <w:sz w:val="20"/>
              </w:rPr>
            </w:pPr>
            <w:r w:rsidR="00523FF9">
              <w:rPr>
                <w:sz w:val="20"/>
              </w:rPr>
              <w:t>N</w:t>
            </w:r>
          </w:p>
        </w:tc>
        <w:tc>
          <w:tcPr>
            <w:tcW w:w="574" w:type="dxa"/>
          </w:tcPr>
          <w:p w:rsidR="009E530C" w:rsidRPr="00523FF9">
            <w:pPr>
              <w:jc w:val="both"/>
              <w:rPr>
                <w:sz w:val="20"/>
              </w:rPr>
            </w:pPr>
            <w:r w:rsidRPr="00523FF9" w:rsidR="00523FF9">
              <w:rPr>
                <w:sz w:val="20"/>
              </w:rPr>
              <w:t>NZ</w:t>
            </w:r>
          </w:p>
        </w:tc>
        <w:tc>
          <w:tcPr>
            <w:tcW w:w="701" w:type="dxa"/>
          </w:tcPr>
          <w:p w:rsidR="00523FF9" w:rsidRPr="00523FF9" w:rsidP="00523FF9">
            <w:pPr>
              <w:pStyle w:val="Paragrafyzkona"/>
              <w:spacing w:before="0" w:line="240" w:lineRule="auto"/>
              <w:jc w:val="left"/>
              <w:rPr>
                <w:b w:val="0"/>
                <w:sz w:val="20"/>
                <w:szCs w:val="20"/>
                <w:lang w:eastAsia="en-US"/>
              </w:rPr>
            </w:pPr>
            <w:r w:rsidRPr="00523FF9">
              <w:rPr>
                <w:b w:val="0"/>
                <w:sz w:val="20"/>
                <w:szCs w:val="20"/>
                <w:lang w:eastAsia="en-US"/>
              </w:rPr>
              <w:t>§ 3</w:t>
            </w:r>
          </w:p>
          <w:p w:rsidR="009E530C" w:rsidRPr="00523FF9" w:rsidP="00E95D21">
            <w:pPr>
              <w:jc w:val="both"/>
              <w:rPr>
                <w:sz w:val="20"/>
              </w:rPr>
            </w:pPr>
            <w:r w:rsidRPr="00523FF9" w:rsidR="00523FF9">
              <w:rPr>
                <w:sz w:val="20"/>
              </w:rPr>
              <w:t>O4</w:t>
            </w:r>
          </w:p>
        </w:tc>
        <w:tc>
          <w:tcPr>
            <w:tcW w:w="7797" w:type="dxa"/>
          </w:tcPr>
          <w:p w:rsidR="009E530C" w:rsidRPr="00523FF9" w:rsidP="00523FF9">
            <w:pPr>
              <w:pStyle w:val="Normlny"/>
            </w:pPr>
            <w:r w:rsidRPr="00523FF9" w:rsidR="00523FF9">
              <w:t>(4) Dobrou kvalitou ovzdušia je úroveň znečistenia ovzdušia nižšia ako limitná hodnota, cieľová hodnota a záväzok zníženia expozície.</w:t>
            </w:r>
          </w:p>
        </w:tc>
        <w:tc>
          <w:tcPr>
            <w:tcW w:w="708" w:type="dxa"/>
          </w:tcPr>
          <w:p w:rsidR="009E530C" w:rsidRPr="00523FF9">
            <w:pPr>
              <w:jc w:val="both"/>
              <w:rPr>
                <w:sz w:val="20"/>
              </w:rPr>
            </w:pPr>
            <w:r w:rsidRPr="00523FF9" w:rsidR="00523FF9">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O9</w:t>
            </w:r>
          </w:p>
        </w:tc>
        <w:tc>
          <w:tcPr>
            <w:tcW w:w="4074" w:type="dxa"/>
            <w:tcBorders>
              <w:bottom w:val="single" w:sz="4" w:space="0" w:color="auto"/>
            </w:tcBorders>
          </w:tcPr>
          <w:p w:rsidR="009E530C" w:rsidP="009E530C">
            <w:pPr>
              <w:jc w:val="both"/>
              <w:rPr>
                <w:sz w:val="20"/>
              </w:rPr>
            </w:pPr>
            <w:r>
              <w:rPr>
                <w:sz w:val="20"/>
              </w:rPr>
              <w:t xml:space="preserve">9. </w:t>
            </w:r>
            <w:r w:rsidRPr="009E530C">
              <w:rPr>
                <w:sz w:val="20"/>
              </w:rPr>
              <w:t>„cieľová hodnota“ je úroveň stanovená na účely zabrá</w:t>
            </w:r>
            <w:r w:rsidRPr="009E530C">
              <w:rPr>
                <w:sz w:val="20"/>
              </w:rPr>
              <w:t>nenia,</w:t>
            </w:r>
            <w:r w:rsidR="003D2F9A">
              <w:rPr>
                <w:sz w:val="20"/>
              </w:rPr>
              <w:t xml:space="preserve"> </w:t>
            </w:r>
            <w:r w:rsidRPr="009E530C">
              <w:rPr>
                <w:sz w:val="20"/>
              </w:rPr>
              <w:t>prevencie alebo zníženia škodlivých vplyvov na zdravie ľudí</w:t>
            </w:r>
            <w:r w:rsidR="003D2F9A">
              <w:rPr>
                <w:sz w:val="20"/>
              </w:rPr>
              <w:t xml:space="preserve"> </w:t>
            </w:r>
            <w:r w:rsidRPr="009E530C">
              <w:rPr>
                <w:sz w:val="20"/>
              </w:rPr>
              <w:t>a/alebo životné prostredie ako celok, ktorá sa má dosiahnuť</w:t>
            </w:r>
            <w:r w:rsidR="003D2F9A">
              <w:rPr>
                <w:sz w:val="20"/>
              </w:rPr>
              <w:t xml:space="preserve"> </w:t>
            </w:r>
            <w:r w:rsidRPr="009E530C">
              <w:rPr>
                <w:sz w:val="20"/>
              </w:rPr>
              <w:t>v danom období, ak je to možné;</w:t>
            </w:r>
          </w:p>
          <w:p w:rsidR="009E530C" w:rsidP="009E530C">
            <w:pPr>
              <w:jc w:val="both"/>
              <w:rPr>
                <w:sz w:val="20"/>
              </w:rPr>
            </w:pPr>
          </w:p>
        </w:tc>
        <w:tc>
          <w:tcPr>
            <w:tcW w:w="747" w:type="dxa"/>
          </w:tcPr>
          <w:p w:rsidR="009E530C" w:rsidRPr="00D86B9D" w:rsidP="00D86B9D">
            <w:pPr>
              <w:ind w:right="-249"/>
              <w:rPr>
                <w:sz w:val="20"/>
              </w:rPr>
            </w:pPr>
            <w:r w:rsidR="00A169A2">
              <w:rPr>
                <w:sz w:val="20"/>
              </w:rPr>
              <w:t>N</w:t>
            </w:r>
          </w:p>
        </w:tc>
        <w:tc>
          <w:tcPr>
            <w:tcW w:w="574" w:type="dxa"/>
          </w:tcPr>
          <w:p w:rsidR="009E530C" w:rsidRPr="00A169A2">
            <w:pPr>
              <w:jc w:val="both"/>
              <w:rPr>
                <w:sz w:val="20"/>
              </w:rPr>
            </w:pPr>
            <w:r w:rsidRPr="00A169A2" w:rsidR="00A169A2">
              <w:rPr>
                <w:sz w:val="20"/>
              </w:rPr>
              <w:t>NZ</w:t>
            </w:r>
          </w:p>
        </w:tc>
        <w:tc>
          <w:tcPr>
            <w:tcW w:w="701" w:type="dxa"/>
          </w:tcPr>
          <w:p w:rsidR="00A169A2" w:rsidRPr="00743DBC" w:rsidP="00A169A2">
            <w:pPr>
              <w:pStyle w:val="Paragrafyzkona"/>
              <w:spacing w:before="0" w:line="240" w:lineRule="auto"/>
              <w:jc w:val="left"/>
              <w:rPr>
                <w:b w:val="0"/>
                <w:sz w:val="20"/>
                <w:szCs w:val="20"/>
                <w:lang w:eastAsia="en-US"/>
              </w:rPr>
            </w:pPr>
            <w:r>
              <w:rPr>
                <w:b w:val="0"/>
                <w:sz w:val="20"/>
                <w:szCs w:val="20"/>
                <w:lang w:eastAsia="en-US"/>
              </w:rPr>
              <w:t>§ 3</w:t>
            </w:r>
          </w:p>
          <w:p w:rsidR="00A169A2" w:rsidRPr="00743DBC" w:rsidP="00A169A2">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8</w:t>
            </w:r>
          </w:p>
          <w:p w:rsidR="009E530C" w:rsidRPr="008658BB" w:rsidP="00E95D21">
            <w:pPr>
              <w:jc w:val="both"/>
              <w:rPr>
                <w:b/>
                <w:sz w:val="20"/>
              </w:rPr>
            </w:pPr>
          </w:p>
        </w:tc>
        <w:tc>
          <w:tcPr>
            <w:tcW w:w="7797" w:type="dxa"/>
          </w:tcPr>
          <w:p w:rsidR="00A169A2" w:rsidRPr="00A169A2" w:rsidP="00A169A2">
            <w:pPr>
              <w:pStyle w:val="ListParagraph"/>
              <w:spacing w:after="360" w:line="240" w:lineRule="auto"/>
              <w:ind w:left="0"/>
              <w:contextualSpacing w:val="0"/>
              <w:jc w:val="both"/>
              <w:rPr>
                <w:sz w:val="20"/>
                <w:szCs w:val="20"/>
                <w:lang w:eastAsia="en-US"/>
              </w:rPr>
            </w:pPr>
            <w:r>
              <w:rPr>
                <w:sz w:val="20"/>
                <w:szCs w:val="20"/>
                <w:lang w:eastAsia="en-US"/>
              </w:rPr>
              <w:t xml:space="preserve">(8) </w:t>
            </w:r>
            <w:r w:rsidRPr="00A169A2">
              <w:rPr>
                <w:sz w:val="20"/>
                <w:szCs w:val="20"/>
                <w:lang w:eastAsia="en-US"/>
              </w:rPr>
              <w:t>Cieľovou hodnotou je úroveň znečistenia ovzdušia, ktorej cieľom je zabrániť škodlivým účinkom na zdravie ľudí alebo na životné prostredie ako celok, predchádzať im alebo ich znížiť; cieľová hodnota je ustanovená pre ozón, arzén, kadmium, nikel a benzo(a)pyrén a má sa dosiahnuť v danom čase, ak je to možné.</w:t>
            </w:r>
          </w:p>
          <w:p w:rsidR="009E530C" w:rsidP="008658BB">
            <w:pPr>
              <w:pStyle w:val="Normlny"/>
              <w:jc w:val="center"/>
              <w:rPr>
                <w:b/>
              </w:rPr>
            </w:pPr>
          </w:p>
        </w:tc>
        <w:tc>
          <w:tcPr>
            <w:tcW w:w="708" w:type="dxa"/>
          </w:tcPr>
          <w:p w:rsidR="009E530C" w:rsidRPr="00A169A2">
            <w:pPr>
              <w:jc w:val="both"/>
              <w:rPr>
                <w:sz w:val="20"/>
              </w:rPr>
            </w:pPr>
            <w:r w:rsidRPr="00A169A2" w:rsidR="00A169A2">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O10</w:t>
            </w:r>
          </w:p>
        </w:tc>
        <w:tc>
          <w:tcPr>
            <w:tcW w:w="4074" w:type="dxa"/>
            <w:tcBorders>
              <w:bottom w:val="single" w:sz="4" w:space="0" w:color="auto"/>
            </w:tcBorders>
          </w:tcPr>
          <w:p w:rsidR="009E530C" w:rsidP="009E530C">
            <w:pPr>
              <w:jc w:val="both"/>
              <w:rPr>
                <w:sz w:val="20"/>
              </w:rPr>
            </w:pPr>
            <w:r>
              <w:rPr>
                <w:sz w:val="20"/>
              </w:rPr>
              <w:t xml:space="preserve">10. </w:t>
            </w:r>
            <w:r w:rsidRPr="009E530C">
              <w:rPr>
                <w:sz w:val="20"/>
              </w:rPr>
              <w:t>„výstražný prah“ je úroveň, pri prekročení ktorej existuje pre</w:t>
            </w:r>
            <w:r w:rsidR="003D2F9A">
              <w:rPr>
                <w:sz w:val="20"/>
              </w:rPr>
              <w:t xml:space="preserve"> </w:t>
            </w:r>
            <w:r w:rsidRPr="009E530C">
              <w:rPr>
                <w:sz w:val="20"/>
              </w:rPr>
              <w:t>obyvateľstvo ako celok riziko poškodenia zdravia ľudí už pri krátkodobej expozícii a pri ktorej majú členské štáty okamžite zakročiť;</w:t>
            </w:r>
          </w:p>
          <w:p w:rsidR="009E530C" w:rsidP="009E530C">
            <w:pPr>
              <w:jc w:val="both"/>
              <w:rPr>
                <w:sz w:val="20"/>
              </w:rPr>
            </w:pPr>
          </w:p>
        </w:tc>
        <w:tc>
          <w:tcPr>
            <w:tcW w:w="747" w:type="dxa"/>
          </w:tcPr>
          <w:p w:rsidR="009E530C" w:rsidRPr="00D86B9D" w:rsidP="00D86B9D">
            <w:pPr>
              <w:ind w:right="-249"/>
              <w:rPr>
                <w:sz w:val="20"/>
              </w:rPr>
            </w:pPr>
            <w:r w:rsidR="0068773A">
              <w:rPr>
                <w:sz w:val="20"/>
              </w:rPr>
              <w:t>N</w:t>
            </w:r>
          </w:p>
        </w:tc>
        <w:tc>
          <w:tcPr>
            <w:tcW w:w="574" w:type="dxa"/>
          </w:tcPr>
          <w:p w:rsidR="009E530C" w:rsidRPr="0068773A">
            <w:pPr>
              <w:jc w:val="both"/>
              <w:rPr>
                <w:sz w:val="20"/>
              </w:rPr>
            </w:pPr>
            <w:r w:rsidRPr="0068773A" w:rsidR="0068773A">
              <w:rPr>
                <w:sz w:val="20"/>
              </w:rPr>
              <w:t>NZ</w:t>
            </w:r>
          </w:p>
        </w:tc>
        <w:tc>
          <w:tcPr>
            <w:tcW w:w="701" w:type="dxa"/>
          </w:tcPr>
          <w:p w:rsidR="0068773A" w:rsidRPr="00743DBC" w:rsidP="0068773A">
            <w:pPr>
              <w:pStyle w:val="Paragrafyzkona"/>
              <w:spacing w:before="0" w:line="240" w:lineRule="auto"/>
              <w:jc w:val="left"/>
              <w:rPr>
                <w:b w:val="0"/>
                <w:sz w:val="20"/>
                <w:szCs w:val="20"/>
                <w:lang w:eastAsia="en-US"/>
              </w:rPr>
            </w:pPr>
            <w:r>
              <w:rPr>
                <w:b w:val="0"/>
                <w:sz w:val="20"/>
                <w:szCs w:val="20"/>
                <w:lang w:eastAsia="en-US"/>
              </w:rPr>
              <w:t>§ 3</w:t>
            </w:r>
          </w:p>
          <w:p w:rsidR="0068773A" w:rsidRPr="00743DBC" w:rsidP="0068773A">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15</w:t>
            </w:r>
          </w:p>
          <w:p w:rsidR="009E530C" w:rsidRPr="008658BB" w:rsidP="00E95D21">
            <w:pPr>
              <w:jc w:val="both"/>
              <w:rPr>
                <w:b/>
                <w:sz w:val="20"/>
              </w:rPr>
            </w:pPr>
          </w:p>
        </w:tc>
        <w:tc>
          <w:tcPr>
            <w:tcW w:w="7797" w:type="dxa"/>
          </w:tcPr>
          <w:p w:rsidR="0068773A" w:rsidRPr="0068773A" w:rsidP="0068773A">
            <w:pPr>
              <w:pStyle w:val="ListParagraph"/>
              <w:spacing w:after="360" w:line="240" w:lineRule="auto"/>
              <w:ind w:left="0"/>
              <w:contextualSpacing w:val="0"/>
              <w:jc w:val="both"/>
              <w:rPr>
                <w:sz w:val="20"/>
                <w:szCs w:val="20"/>
                <w:lang w:eastAsia="en-US"/>
              </w:rPr>
            </w:pPr>
            <w:r w:rsidRPr="0068773A">
              <w:rPr>
                <w:sz w:val="20"/>
                <w:szCs w:val="20"/>
                <w:lang w:eastAsia="en-US"/>
              </w:rPr>
              <w:t>(15) Výstražným prahom je úroveň znečistenia ovzdušia, pri ktorej prekročení existuje už pri krátkodobej expozícii riziko poškodenia zdravia ľudí. Pri prekročení výstražného prahu je potrebné vydať výstrahu pred závažnou smogovou situáciou. Výstražné prahy sú ustanovené pre oxid siričitý, oxid dusičitý, ozón a</w:t>
            </w:r>
            <w:r w:rsidRPr="0068773A">
              <w:rPr>
                <w:sz w:val="20"/>
                <w:szCs w:val="20"/>
                <w:lang w:eastAsia="en-US"/>
              </w:rPr>
              <w:t xml:space="preserve"> PM</w:t>
            </w:r>
            <w:r w:rsidRPr="005C0067">
              <w:rPr>
                <w:sz w:val="20"/>
                <w:szCs w:val="20"/>
                <w:vertAlign w:val="subscript"/>
                <w:lang w:eastAsia="en-US"/>
              </w:rPr>
              <w:t>10.</w:t>
            </w:r>
          </w:p>
          <w:p w:rsidR="009E530C" w:rsidP="008658BB">
            <w:pPr>
              <w:pStyle w:val="Normlny"/>
              <w:jc w:val="center"/>
              <w:rPr>
                <w:b/>
              </w:rPr>
            </w:pPr>
          </w:p>
        </w:tc>
        <w:tc>
          <w:tcPr>
            <w:tcW w:w="708" w:type="dxa"/>
          </w:tcPr>
          <w:p w:rsidR="009E530C" w:rsidRPr="0068773A">
            <w:pPr>
              <w:jc w:val="both"/>
              <w:rPr>
                <w:sz w:val="20"/>
              </w:rPr>
            </w:pPr>
            <w:r w:rsidRPr="0068773A" w:rsidR="0068773A">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O11</w:t>
            </w:r>
          </w:p>
        </w:tc>
        <w:tc>
          <w:tcPr>
            <w:tcW w:w="4074" w:type="dxa"/>
            <w:tcBorders>
              <w:bottom w:val="single" w:sz="4" w:space="0" w:color="auto"/>
            </w:tcBorders>
          </w:tcPr>
          <w:p w:rsidR="009E530C" w:rsidP="00F14794">
            <w:pPr>
              <w:jc w:val="both"/>
              <w:rPr>
                <w:sz w:val="20"/>
              </w:rPr>
            </w:pPr>
            <w:r w:rsidR="00F14794">
              <w:rPr>
                <w:sz w:val="20"/>
              </w:rPr>
              <w:t xml:space="preserve">11. </w:t>
            </w:r>
            <w:r w:rsidRPr="00F14794" w:rsidR="00F14794">
              <w:rPr>
                <w:sz w:val="20"/>
              </w:rPr>
              <w:t>„informačný prah“ je úroveň, pri prekročení ktorej existuje pre</w:t>
            </w:r>
            <w:r w:rsidR="003D2F9A">
              <w:rPr>
                <w:sz w:val="20"/>
              </w:rPr>
              <w:t xml:space="preserve"> </w:t>
            </w:r>
            <w:r w:rsidRPr="00F14794" w:rsidR="00F14794">
              <w:rPr>
                <w:sz w:val="20"/>
              </w:rPr>
              <w:t>obzvlášť citlivé skupiny obyvateľstva riziko poškodenia zdravia</w:t>
            </w:r>
            <w:r w:rsidR="003D2F9A">
              <w:rPr>
                <w:sz w:val="20"/>
              </w:rPr>
              <w:t xml:space="preserve"> </w:t>
            </w:r>
            <w:r w:rsidRPr="00F14794" w:rsidR="00F14794">
              <w:rPr>
                <w:sz w:val="20"/>
              </w:rPr>
              <w:t>ľudí už pri krátkodobej expozícii a pri ktorej je potrebné im okamžite poskytnúť vhodné informácie;</w:t>
            </w:r>
          </w:p>
          <w:p w:rsidR="00F14794" w:rsidP="00F14794">
            <w:pPr>
              <w:jc w:val="both"/>
              <w:rPr>
                <w:sz w:val="20"/>
              </w:rPr>
            </w:pPr>
          </w:p>
        </w:tc>
        <w:tc>
          <w:tcPr>
            <w:tcW w:w="747" w:type="dxa"/>
          </w:tcPr>
          <w:p w:rsidR="009E530C" w:rsidRPr="00D86B9D" w:rsidP="00D86B9D">
            <w:pPr>
              <w:ind w:right="-249"/>
              <w:rPr>
                <w:sz w:val="20"/>
              </w:rPr>
            </w:pPr>
            <w:r w:rsidR="00197B41">
              <w:rPr>
                <w:sz w:val="20"/>
              </w:rPr>
              <w:t>N</w:t>
            </w:r>
          </w:p>
        </w:tc>
        <w:tc>
          <w:tcPr>
            <w:tcW w:w="574" w:type="dxa"/>
          </w:tcPr>
          <w:p w:rsidR="009E530C" w:rsidRPr="00197B41">
            <w:pPr>
              <w:jc w:val="both"/>
              <w:rPr>
                <w:sz w:val="20"/>
              </w:rPr>
            </w:pPr>
            <w:r w:rsidRPr="00197B41" w:rsidR="00197B41">
              <w:rPr>
                <w:sz w:val="20"/>
              </w:rPr>
              <w:t>NZ</w:t>
            </w:r>
          </w:p>
        </w:tc>
        <w:tc>
          <w:tcPr>
            <w:tcW w:w="701" w:type="dxa"/>
          </w:tcPr>
          <w:p w:rsidR="00197B41" w:rsidRPr="00743DBC" w:rsidP="00197B41">
            <w:pPr>
              <w:pStyle w:val="Paragrafyzkona"/>
              <w:spacing w:before="0" w:line="240" w:lineRule="auto"/>
              <w:jc w:val="left"/>
              <w:rPr>
                <w:b w:val="0"/>
                <w:sz w:val="20"/>
                <w:szCs w:val="20"/>
                <w:lang w:eastAsia="en-US"/>
              </w:rPr>
            </w:pPr>
            <w:r>
              <w:rPr>
                <w:b w:val="0"/>
                <w:sz w:val="20"/>
                <w:szCs w:val="20"/>
                <w:lang w:eastAsia="en-US"/>
              </w:rPr>
              <w:t>§ 3</w:t>
            </w:r>
          </w:p>
          <w:p w:rsidR="00197B41" w:rsidRPr="00743DBC" w:rsidP="00197B41">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14</w:t>
            </w:r>
          </w:p>
          <w:p w:rsidR="009E530C" w:rsidRPr="008658BB" w:rsidP="00E95D21">
            <w:pPr>
              <w:jc w:val="both"/>
              <w:rPr>
                <w:b/>
                <w:sz w:val="20"/>
              </w:rPr>
            </w:pPr>
          </w:p>
        </w:tc>
        <w:tc>
          <w:tcPr>
            <w:tcW w:w="7797" w:type="dxa"/>
          </w:tcPr>
          <w:p w:rsidR="00197B41" w:rsidRPr="00197B41" w:rsidP="00197B41">
            <w:pPr>
              <w:pStyle w:val="ListParagraph"/>
              <w:spacing w:after="360" w:line="240" w:lineRule="auto"/>
              <w:ind w:left="0"/>
              <w:contextualSpacing w:val="0"/>
              <w:jc w:val="both"/>
              <w:rPr>
                <w:sz w:val="20"/>
                <w:szCs w:val="20"/>
                <w:lang w:eastAsia="en-US"/>
              </w:rPr>
            </w:pPr>
            <w:r w:rsidRPr="00197B41">
              <w:rPr>
                <w:sz w:val="20"/>
                <w:szCs w:val="20"/>
                <w:lang w:eastAsia="en-US"/>
              </w:rPr>
              <w:t>(14) Informačným prahom je úroveň znečistenia ovzdušia, pri ktorej prekročení existuje už pri krátkodobej expozícii najmä citlivých skupín obyvateľstva riziko poškodenia zdravia ľudí a pri ktorej je nevyhnutné poskytnúť aktuálnu a náležitú informáciu. Pri prekročení informačného prahu je potrebné vydať upozornenie na vznik smogovej situácie. Informačný prah je ustanovený pre PM</w:t>
            </w:r>
            <w:r w:rsidRPr="0023009A">
              <w:rPr>
                <w:sz w:val="20"/>
                <w:szCs w:val="20"/>
                <w:vertAlign w:val="subscript"/>
                <w:lang w:eastAsia="en-US"/>
              </w:rPr>
              <w:t>10</w:t>
            </w:r>
            <w:r w:rsidRPr="00197B41">
              <w:rPr>
                <w:sz w:val="20"/>
                <w:szCs w:val="20"/>
                <w:lang w:eastAsia="en-US"/>
              </w:rPr>
              <w:t xml:space="preserve"> a ozón.</w:t>
            </w:r>
          </w:p>
          <w:p w:rsidR="009E530C" w:rsidP="008658BB">
            <w:pPr>
              <w:pStyle w:val="Normlny"/>
              <w:jc w:val="center"/>
              <w:rPr>
                <w:b/>
              </w:rPr>
            </w:pPr>
          </w:p>
        </w:tc>
        <w:tc>
          <w:tcPr>
            <w:tcW w:w="708" w:type="dxa"/>
          </w:tcPr>
          <w:p w:rsidR="009E530C" w:rsidRPr="00197B41">
            <w:pPr>
              <w:jc w:val="both"/>
              <w:rPr>
                <w:sz w:val="20"/>
              </w:rPr>
            </w:pPr>
            <w:r w:rsidRPr="00197B41" w:rsidR="00197B41">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O12</w:t>
            </w:r>
          </w:p>
        </w:tc>
        <w:tc>
          <w:tcPr>
            <w:tcW w:w="4074" w:type="dxa"/>
            <w:tcBorders>
              <w:bottom w:val="single" w:sz="4" w:space="0" w:color="auto"/>
            </w:tcBorders>
          </w:tcPr>
          <w:p w:rsidR="009E530C" w:rsidP="00F14794">
            <w:pPr>
              <w:jc w:val="both"/>
              <w:rPr>
                <w:sz w:val="20"/>
              </w:rPr>
            </w:pPr>
            <w:r w:rsidR="00F14794">
              <w:rPr>
                <w:sz w:val="20"/>
              </w:rPr>
              <w:t xml:space="preserve">12. </w:t>
            </w:r>
            <w:r w:rsidRPr="00F14794" w:rsidR="00F14794">
              <w:rPr>
                <w:sz w:val="20"/>
              </w:rPr>
              <w:t>„horný prah na hodnotenie“ je úroveň, pod ktorou sa na hodnotenie</w:t>
            </w:r>
            <w:r w:rsidR="003D2F9A">
              <w:rPr>
                <w:sz w:val="20"/>
              </w:rPr>
              <w:t xml:space="preserve"> </w:t>
            </w:r>
            <w:r w:rsidRPr="00F14794" w:rsidR="00F14794">
              <w:rPr>
                <w:sz w:val="20"/>
              </w:rPr>
              <w:t>kvality okolitého ovzdušia môže použiť kombinácia stálych meraní</w:t>
            </w:r>
            <w:r w:rsidR="003D2F9A">
              <w:rPr>
                <w:sz w:val="20"/>
              </w:rPr>
              <w:t xml:space="preserve"> </w:t>
            </w:r>
            <w:r w:rsidRPr="00F14794" w:rsidR="00F14794">
              <w:rPr>
                <w:sz w:val="20"/>
              </w:rPr>
              <w:t>a modelovacích techník a/alebo indikatívnych meraní;</w:t>
            </w:r>
          </w:p>
          <w:p w:rsidR="00F14794" w:rsidP="00F14794">
            <w:pPr>
              <w:jc w:val="both"/>
              <w:rPr>
                <w:sz w:val="20"/>
              </w:rPr>
            </w:pPr>
          </w:p>
        </w:tc>
        <w:tc>
          <w:tcPr>
            <w:tcW w:w="747" w:type="dxa"/>
          </w:tcPr>
          <w:p w:rsidR="009E530C" w:rsidRPr="00D86B9D" w:rsidP="00D86B9D">
            <w:pPr>
              <w:ind w:right="-249"/>
              <w:rPr>
                <w:sz w:val="20"/>
              </w:rPr>
            </w:pPr>
            <w:r w:rsidR="00F7395E">
              <w:rPr>
                <w:sz w:val="20"/>
              </w:rPr>
              <w:t>N</w:t>
            </w:r>
          </w:p>
        </w:tc>
        <w:tc>
          <w:tcPr>
            <w:tcW w:w="574" w:type="dxa"/>
          </w:tcPr>
          <w:p w:rsidR="009E530C" w:rsidRPr="00F7395E">
            <w:pPr>
              <w:jc w:val="both"/>
              <w:rPr>
                <w:sz w:val="20"/>
              </w:rPr>
            </w:pPr>
            <w:r w:rsidRPr="00F7395E" w:rsidR="00F7395E">
              <w:rPr>
                <w:sz w:val="20"/>
              </w:rPr>
              <w:t>NZ</w:t>
            </w:r>
          </w:p>
        </w:tc>
        <w:tc>
          <w:tcPr>
            <w:tcW w:w="701" w:type="dxa"/>
          </w:tcPr>
          <w:p w:rsidR="00F7395E" w:rsidRPr="00743DBC" w:rsidP="00F7395E">
            <w:pPr>
              <w:pStyle w:val="Paragrafyzkona"/>
              <w:spacing w:before="0" w:line="240" w:lineRule="auto"/>
              <w:jc w:val="left"/>
              <w:rPr>
                <w:b w:val="0"/>
                <w:sz w:val="20"/>
                <w:szCs w:val="20"/>
                <w:lang w:eastAsia="en-US"/>
              </w:rPr>
            </w:pPr>
            <w:r>
              <w:rPr>
                <w:b w:val="0"/>
                <w:sz w:val="20"/>
                <w:szCs w:val="20"/>
                <w:lang w:eastAsia="en-US"/>
              </w:rPr>
              <w:t>§ 4</w:t>
            </w:r>
          </w:p>
          <w:p w:rsidR="00F7395E" w:rsidP="00F7395E">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5</w:t>
            </w:r>
          </w:p>
          <w:p w:rsidR="00B53444" w:rsidP="00F7395E">
            <w:pPr>
              <w:pStyle w:val="Paragrafyzkona"/>
              <w:spacing w:before="0" w:line="240" w:lineRule="auto"/>
              <w:jc w:val="left"/>
              <w:rPr>
                <w:b w:val="0"/>
                <w:sz w:val="20"/>
                <w:szCs w:val="20"/>
                <w:lang w:eastAsia="en-US"/>
              </w:rPr>
            </w:pPr>
          </w:p>
          <w:p w:rsidR="00F7395E" w:rsidP="00F7395E">
            <w:pPr>
              <w:pStyle w:val="Paragrafyzkona"/>
              <w:spacing w:before="0" w:line="240" w:lineRule="auto"/>
              <w:jc w:val="left"/>
              <w:rPr>
                <w:b w:val="0"/>
                <w:sz w:val="20"/>
                <w:szCs w:val="20"/>
                <w:lang w:eastAsia="en-US"/>
              </w:rPr>
            </w:pPr>
            <w:r>
              <w:rPr>
                <w:b w:val="0"/>
                <w:sz w:val="20"/>
                <w:szCs w:val="20"/>
                <w:lang w:eastAsia="en-US"/>
              </w:rPr>
              <w:t>Pa</w:t>
            </w:r>
          </w:p>
          <w:p w:rsidR="00B53444" w:rsidP="00F7395E">
            <w:pPr>
              <w:pStyle w:val="Paragrafyzkona"/>
              <w:spacing w:before="0" w:line="240" w:lineRule="auto"/>
              <w:jc w:val="left"/>
              <w:rPr>
                <w:b w:val="0"/>
                <w:sz w:val="20"/>
                <w:szCs w:val="20"/>
                <w:lang w:eastAsia="en-US"/>
              </w:rPr>
            </w:pPr>
          </w:p>
          <w:p w:rsidR="00B53444" w:rsidP="00F7395E">
            <w:pPr>
              <w:pStyle w:val="Paragrafyzkona"/>
              <w:spacing w:before="0" w:line="240" w:lineRule="auto"/>
              <w:jc w:val="left"/>
              <w:rPr>
                <w:b w:val="0"/>
                <w:sz w:val="20"/>
                <w:szCs w:val="20"/>
                <w:lang w:eastAsia="en-US"/>
              </w:rPr>
            </w:pPr>
          </w:p>
          <w:p w:rsidR="000A7E6B" w:rsidP="00F7395E">
            <w:pPr>
              <w:pStyle w:val="Paragrafyzkona"/>
              <w:spacing w:before="0" w:line="240" w:lineRule="auto"/>
              <w:jc w:val="left"/>
              <w:rPr>
                <w:b w:val="0"/>
                <w:sz w:val="20"/>
                <w:szCs w:val="20"/>
                <w:lang w:eastAsia="en-US"/>
              </w:rPr>
            </w:pPr>
            <w:r>
              <w:rPr>
                <w:b w:val="0"/>
                <w:sz w:val="20"/>
                <w:szCs w:val="20"/>
                <w:lang w:eastAsia="en-US"/>
              </w:rPr>
              <w:t>Pb</w:t>
            </w:r>
          </w:p>
          <w:p w:rsidR="00B53444" w:rsidP="00F7395E">
            <w:pPr>
              <w:pStyle w:val="Paragrafyzkona"/>
              <w:spacing w:before="0" w:line="240" w:lineRule="auto"/>
              <w:jc w:val="left"/>
              <w:rPr>
                <w:b w:val="0"/>
                <w:sz w:val="20"/>
                <w:szCs w:val="20"/>
                <w:lang w:eastAsia="en-US"/>
              </w:rPr>
            </w:pPr>
          </w:p>
          <w:p w:rsidR="00B53444" w:rsidP="00F7395E">
            <w:pPr>
              <w:pStyle w:val="Paragrafyzkona"/>
              <w:spacing w:before="0" w:line="240" w:lineRule="auto"/>
              <w:jc w:val="left"/>
              <w:rPr>
                <w:b w:val="0"/>
                <w:sz w:val="20"/>
                <w:szCs w:val="20"/>
                <w:lang w:eastAsia="en-US"/>
              </w:rPr>
            </w:pPr>
          </w:p>
          <w:p w:rsidR="000A7E6B" w:rsidP="00F7395E">
            <w:pPr>
              <w:pStyle w:val="Paragrafyzkona"/>
              <w:spacing w:before="0" w:line="240" w:lineRule="auto"/>
              <w:jc w:val="left"/>
              <w:rPr>
                <w:b w:val="0"/>
                <w:sz w:val="20"/>
                <w:szCs w:val="20"/>
                <w:lang w:eastAsia="en-US"/>
              </w:rPr>
            </w:pPr>
            <w:r>
              <w:rPr>
                <w:b w:val="0"/>
                <w:sz w:val="20"/>
                <w:szCs w:val="20"/>
                <w:lang w:eastAsia="en-US"/>
              </w:rPr>
              <w:t>Pc</w:t>
            </w:r>
          </w:p>
          <w:p w:rsidR="000A7E6B" w:rsidP="00F7395E">
            <w:pPr>
              <w:pStyle w:val="Paragrafyzkona"/>
              <w:spacing w:before="0" w:line="240" w:lineRule="auto"/>
              <w:jc w:val="left"/>
              <w:rPr>
                <w:b w:val="0"/>
                <w:sz w:val="20"/>
                <w:szCs w:val="20"/>
                <w:lang w:eastAsia="en-US"/>
              </w:rPr>
            </w:pPr>
          </w:p>
          <w:p w:rsidR="00796A71" w:rsidRPr="00743DBC" w:rsidP="00F7395E">
            <w:pPr>
              <w:pStyle w:val="Paragrafyzkona"/>
              <w:spacing w:before="0" w:line="240" w:lineRule="auto"/>
              <w:jc w:val="left"/>
              <w:rPr>
                <w:b w:val="0"/>
                <w:sz w:val="20"/>
                <w:szCs w:val="20"/>
                <w:lang w:eastAsia="en-US"/>
              </w:rPr>
            </w:pPr>
          </w:p>
          <w:p w:rsidR="000A7E6B" w:rsidP="000A7E6B">
            <w:pPr>
              <w:pStyle w:val="Paragrafyzkona"/>
              <w:spacing w:before="0" w:line="240" w:lineRule="auto"/>
              <w:jc w:val="left"/>
              <w:rPr>
                <w:b w:val="0"/>
                <w:sz w:val="20"/>
                <w:szCs w:val="20"/>
                <w:lang w:eastAsia="en-US"/>
              </w:rPr>
            </w:pPr>
            <w:r w:rsidR="00796A71">
              <w:rPr>
                <w:b w:val="0"/>
                <w:sz w:val="20"/>
                <w:szCs w:val="20"/>
                <w:lang w:eastAsia="en-US"/>
              </w:rPr>
              <w:t>O6</w:t>
            </w:r>
          </w:p>
          <w:p w:rsidR="000A7E6B" w:rsidRPr="00743DBC" w:rsidP="000A7E6B">
            <w:pPr>
              <w:pStyle w:val="Paragrafyzkona"/>
              <w:spacing w:before="0" w:line="240" w:lineRule="auto"/>
              <w:jc w:val="left"/>
              <w:rPr>
                <w:b w:val="0"/>
                <w:sz w:val="20"/>
                <w:szCs w:val="20"/>
                <w:lang w:eastAsia="en-US"/>
              </w:rPr>
            </w:pPr>
            <w:r>
              <w:rPr>
                <w:b w:val="0"/>
                <w:sz w:val="20"/>
                <w:szCs w:val="20"/>
                <w:lang w:eastAsia="en-US"/>
              </w:rPr>
              <w:t>Pa</w:t>
            </w:r>
          </w:p>
          <w:p w:rsidR="009E530C" w:rsidRPr="008658BB" w:rsidP="00E95D21">
            <w:pPr>
              <w:jc w:val="both"/>
              <w:rPr>
                <w:b/>
                <w:sz w:val="20"/>
              </w:rPr>
            </w:pPr>
          </w:p>
        </w:tc>
        <w:tc>
          <w:tcPr>
            <w:tcW w:w="7797" w:type="dxa"/>
          </w:tcPr>
          <w:p w:rsidR="000A7E6B" w:rsidRPr="000A7E6B" w:rsidP="000A7E6B">
            <w:pPr>
              <w:pStyle w:val="ListParagraph"/>
              <w:ind w:left="0"/>
              <w:jc w:val="both"/>
              <w:rPr>
                <w:sz w:val="20"/>
                <w:szCs w:val="20"/>
                <w:lang w:eastAsia="en-US"/>
              </w:rPr>
            </w:pPr>
            <w:r w:rsidRPr="000A7E6B">
              <w:rPr>
                <w:sz w:val="20"/>
                <w:szCs w:val="20"/>
                <w:lang w:eastAsia="en-US"/>
              </w:rPr>
              <w:t>(5)</w:t>
              <w:tab/>
              <w:t>Hodnotenie kvality ovzdušia podľa odseku 7 sa vykonáva v súlade s cieľmi v kvalite údajov ustanovenými vykonávacím predpisom podľa § 62 písm. b), pričom</w:t>
            </w:r>
          </w:p>
          <w:p w:rsidR="00F7395E" w:rsidP="000A7E6B">
            <w:pPr>
              <w:pStyle w:val="ListParagraph"/>
              <w:spacing w:line="240" w:lineRule="auto"/>
              <w:ind w:left="0"/>
              <w:contextualSpacing w:val="0"/>
              <w:jc w:val="both"/>
              <w:rPr>
                <w:sz w:val="20"/>
                <w:szCs w:val="20"/>
                <w:lang w:eastAsia="en-US"/>
              </w:rPr>
            </w:pPr>
            <w:r w:rsidRPr="000A7E6B" w:rsidR="000A7E6B">
              <w:rPr>
                <w:sz w:val="20"/>
                <w:szCs w:val="20"/>
                <w:lang w:eastAsia="en-US"/>
              </w:rPr>
              <w:t>a)</w:t>
              <w:tab/>
              <w:t>stálym meraním sa rozumie meranie úrovne znečistenia ovzdušia, ktoré sa vykonáva na stálych miestach kontinuálne alebo náhodným vzorkovaním a spĺňa ustanovené ciele v kvalite údajov,</w:t>
            </w:r>
          </w:p>
          <w:p w:rsidR="000A7E6B" w:rsidRPr="000A7E6B" w:rsidP="000A7E6B">
            <w:pPr>
              <w:pStyle w:val="ListParagraph"/>
              <w:spacing w:line="240" w:lineRule="auto"/>
              <w:ind w:left="0"/>
              <w:contextualSpacing w:val="0"/>
              <w:jc w:val="both"/>
              <w:rPr>
                <w:sz w:val="20"/>
                <w:szCs w:val="20"/>
                <w:lang w:eastAsia="en-US"/>
              </w:rPr>
            </w:pPr>
            <w:r w:rsidRPr="000A7E6B">
              <w:rPr>
                <w:sz w:val="20"/>
                <w:szCs w:val="20"/>
                <w:lang w:eastAsia="en-US"/>
              </w:rPr>
              <w:t>b) indikatívnym meraním sa rozumie meranie, ktoré spĺňa ustanovené ciele v kvalite údajov menej prísne ako pre stále merania,</w:t>
            </w:r>
          </w:p>
          <w:p w:rsidR="000A7E6B" w:rsidRPr="00F7395E" w:rsidP="000A7E6B">
            <w:pPr>
              <w:pStyle w:val="ListParagraph"/>
              <w:spacing w:after="360" w:line="240" w:lineRule="auto"/>
              <w:ind w:left="0"/>
              <w:contextualSpacing w:val="0"/>
              <w:jc w:val="both"/>
              <w:rPr>
                <w:sz w:val="20"/>
                <w:szCs w:val="20"/>
                <w:lang w:eastAsia="en-US"/>
              </w:rPr>
            </w:pPr>
            <w:r w:rsidRPr="000A7E6B">
              <w:rPr>
                <w:sz w:val="20"/>
                <w:szCs w:val="20"/>
                <w:lang w:eastAsia="en-US"/>
              </w:rPr>
              <w:t xml:space="preserve">c) modelovaním, sa rozumie použitie metód výpočtu, ktoré spĺňajú ustanovené ciele v kvalite údajov. </w:t>
            </w:r>
          </w:p>
          <w:p w:rsidR="000A7E6B" w:rsidP="000A7E6B">
            <w:pPr>
              <w:pStyle w:val="Normlny"/>
              <w:jc w:val="both"/>
            </w:pPr>
            <w:r w:rsidRPr="000A7E6B">
              <w:t>(6)</w:t>
            </w:r>
            <w:r w:rsidR="00796A71">
              <w:rPr>
                <w:b/>
              </w:rPr>
              <w:t xml:space="preserve"> </w:t>
            </w:r>
            <w:r w:rsidRPr="000A7E6B">
              <w:t xml:space="preserve">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b) na ochranu zdravia, ochranu vegetácie a prírodných ekosystémov, pričom </w:t>
            </w:r>
          </w:p>
          <w:p w:rsidR="000945F4" w:rsidRPr="000A7E6B" w:rsidP="000A7E6B">
            <w:pPr>
              <w:pStyle w:val="Normlny"/>
              <w:jc w:val="both"/>
            </w:pPr>
          </w:p>
          <w:p w:rsidR="009E530C" w:rsidP="000A7E6B">
            <w:pPr>
              <w:pStyle w:val="Normlny"/>
              <w:jc w:val="both"/>
            </w:pPr>
            <w:r w:rsidR="00796A71">
              <w:t xml:space="preserve">a) </w:t>
            </w:r>
            <w:r w:rsidRPr="000A7E6B" w:rsidR="000A7E6B">
              <w:t>hornou medzou je ustanovená úroveň znečistenia ovzdušia, pod ktorou možno na hodnotenie kvality ovzdušia použiť kombináciu stálych meraní a modelovacích techník alebo aj indikatívnych meraní,</w:t>
            </w:r>
          </w:p>
          <w:p w:rsidR="000A7E6B" w:rsidP="000A7E6B">
            <w:pPr>
              <w:pStyle w:val="Normlny"/>
              <w:jc w:val="both"/>
            </w:pPr>
          </w:p>
          <w:p w:rsidR="000A7E6B" w:rsidRPr="000A7E6B" w:rsidP="000A7E6B">
            <w:pPr>
              <w:pStyle w:val="Normlny"/>
              <w:jc w:val="both"/>
            </w:pPr>
          </w:p>
        </w:tc>
        <w:tc>
          <w:tcPr>
            <w:tcW w:w="708" w:type="dxa"/>
          </w:tcPr>
          <w:p w:rsidR="009E530C" w:rsidRPr="00F7395E">
            <w:pPr>
              <w:jc w:val="both"/>
              <w:rPr>
                <w:sz w:val="20"/>
              </w:rPr>
            </w:pPr>
            <w:r w:rsidRPr="00F7395E" w:rsidR="00F7395E">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O13</w:t>
            </w:r>
          </w:p>
        </w:tc>
        <w:tc>
          <w:tcPr>
            <w:tcW w:w="4074" w:type="dxa"/>
            <w:tcBorders>
              <w:bottom w:val="single" w:sz="4" w:space="0" w:color="auto"/>
            </w:tcBorders>
          </w:tcPr>
          <w:p w:rsidR="00F14794" w:rsidRPr="00F14794" w:rsidP="00F14794">
            <w:pPr>
              <w:jc w:val="both"/>
              <w:rPr>
                <w:sz w:val="20"/>
              </w:rPr>
            </w:pPr>
            <w:r>
              <w:rPr>
                <w:sz w:val="20"/>
              </w:rPr>
              <w:t xml:space="preserve">13. </w:t>
            </w:r>
            <w:r w:rsidRPr="00F14794">
              <w:rPr>
                <w:sz w:val="20"/>
              </w:rPr>
              <w:t>„dolný prah na hodnotenie“ je úroveň, pod ktorou sa na hodnotenie</w:t>
            </w:r>
            <w:r w:rsidR="003D2F9A">
              <w:rPr>
                <w:sz w:val="20"/>
              </w:rPr>
              <w:t xml:space="preserve"> </w:t>
            </w:r>
            <w:r w:rsidRPr="00F14794">
              <w:rPr>
                <w:sz w:val="20"/>
              </w:rPr>
              <w:t>kvality okolitého ovzdušia môžu použiť modelovacie techniky</w:t>
            </w:r>
          </w:p>
          <w:p w:rsidR="009E530C" w:rsidP="00F14794">
            <w:pPr>
              <w:jc w:val="both"/>
              <w:rPr>
                <w:sz w:val="20"/>
              </w:rPr>
            </w:pPr>
            <w:r w:rsidRPr="00F14794" w:rsidR="00F14794">
              <w:rPr>
                <w:sz w:val="20"/>
              </w:rPr>
              <w:t>alebo techniky objektívneho odhadu;</w:t>
            </w:r>
          </w:p>
        </w:tc>
        <w:tc>
          <w:tcPr>
            <w:tcW w:w="747" w:type="dxa"/>
          </w:tcPr>
          <w:p w:rsidR="009E530C" w:rsidRPr="00D86B9D" w:rsidP="00D86B9D">
            <w:pPr>
              <w:ind w:right="-249"/>
              <w:rPr>
                <w:sz w:val="20"/>
              </w:rPr>
            </w:pPr>
            <w:r w:rsidR="00C90FAC">
              <w:rPr>
                <w:sz w:val="20"/>
              </w:rPr>
              <w:t>N</w:t>
            </w:r>
          </w:p>
        </w:tc>
        <w:tc>
          <w:tcPr>
            <w:tcW w:w="574" w:type="dxa"/>
          </w:tcPr>
          <w:p w:rsidR="009E530C" w:rsidRPr="00C90FAC">
            <w:pPr>
              <w:jc w:val="both"/>
              <w:rPr>
                <w:sz w:val="20"/>
              </w:rPr>
            </w:pPr>
            <w:r w:rsidRPr="00C90FAC" w:rsidR="00C90FAC">
              <w:rPr>
                <w:sz w:val="20"/>
              </w:rPr>
              <w:t>NZ</w:t>
            </w:r>
          </w:p>
        </w:tc>
        <w:tc>
          <w:tcPr>
            <w:tcW w:w="701" w:type="dxa"/>
          </w:tcPr>
          <w:p w:rsidR="00C90FAC" w:rsidRPr="00743DBC" w:rsidP="00C90FAC">
            <w:pPr>
              <w:pStyle w:val="Paragrafyzkona"/>
              <w:spacing w:before="0" w:line="240" w:lineRule="auto"/>
              <w:jc w:val="left"/>
              <w:rPr>
                <w:b w:val="0"/>
                <w:sz w:val="20"/>
                <w:szCs w:val="20"/>
                <w:lang w:eastAsia="en-US"/>
              </w:rPr>
            </w:pPr>
            <w:r>
              <w:rPr>
                <w:b w:val="0"/>
                <w:sz w:val="20"/>
                <w:szCs w:val="20"/>
                <w:lang w:eastAsia="en-US"/>
              </w:rPr>
              <w:t>§ 4</w:t>
            </w:r>
          </w:p>
          <w:p w:rsidR="00C90FAC" w:rsidP="00C90FAC">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5</w:t>
            </w:r>
          </w:p>
          <w:p w:rsidR="00C90FAC" w:rsidP="00C90FAC">
            <w:pPr>
              <w:pStyle w:val="Paragrafyzkona"/>
              <w:spacing w:before="0" w:line="240" w:lineRule="auto"/>
              <w:jc w:val="left"/>
              <w:rPr>
                <w:b w:val="0"/>
                <w:sz w:val="20"/>
                <w:szCs w:val="20"/>
                <w:lang w:eastAsia="en-US"/>
              </w:rPr>
            </w:pPr>
            <w:r w:rsidR="000A7E6B">
              <w:rPr>
                <w:b w:val="0"/>
                <w:sz w:val="20"/>
                <w:szCs w:val="20"/>
                <w:lang w:eastAsia="en-US"/>
              </w:rPr>
              <w:t>Pc</w:t>
            </w:r>
          </w:p>
          <w:p w:rsidR="000A7E6B" w:rsidP="00C90FAC">
            <w:pPr>
              <w:pStyle w:val="Paragrafyzkona"/>
              <w:spacing w:before="0" w:line="240" w:lineRule="auto"/>
              <w:jc w:val="left"/>
              <w:rPr>
                <w:b w:val="0"/>
                <w:sz w:val="20"/>
                <w:szCs w:val="20"/>
                <w:lang w:eastAsia="en-US"/>
              </w:rPr>
            </w:pPr>
          </w:p>
          <w:p w:rsidR="00D076EB" w:rsidP="000A7E6B">
            <w:pPr>
              <w:pStyle w:val="Paragrafyzkona"/>
              <w:spacing w:before="0" w:line="240" w:lineRule="auto"/>
              <w:jc w:val="left"/>
              <w:rPr>
                <w:b w:val="0"/>
                <w:sz w:val="20"/>
                <w:szCs w:val="20"/>
                <w:lang w:eastAsia="en-US"/>
              </w:rPr>
            </w:pPr>
          </w:p>
          <w:p w:rsidR="000A7E6B" w:rsidP="000A7E6B">
            <w:pPr>
              <w:pStyle w:val="Paragrafyzkona"/>
              <w:spacing w:before="0" w:line="240" w:lineRule="auto"/>
              <w:jc w:val="left"/>
              <w:rPr>
                <w:b w:val="0"/>
                <w:sz w:val="20"/>
                <w:szCs w:val="20"/>
                <w:lang w:eastAsia="en-US"/>
              </w:rPr>
            </w:pPr>
            <w:r w:rsidR="00D076EB">
              <w:rPr>
                <w:b w:val="0"/>
                <w:sz w:val="20"/>
                <w:szCs w:val="20"/>
                <w:lang w:eastAsia="en-US"/>
              </w:rPr>
              <w:t>O</w:t>
            </w:r>
            <w:r>
              <w:rPr>
                <w:b w:val="0"/>
                <w:sz w:val="20"/>
                <w:szCs w:val="20"/>
                <w:lang w:eastAsia="en-US"/>
              </w:rPr>
              <w:t>6</w:t>
            </w:r>
          </w:p>
          <w:p w:rsidR="000A7E6B" w:rsidRPr="00743DBC" w:rsidP="000A7E6B">
            <w:pPr>
              <w:pStyle w:val="Paragrafyzkona"/>
              <w:spacing w:before="0" w:line="240" w:lineRule="auto"/>
              <w:jc w:val="left"/>
              <w:rPr>
                <w:b w:val="0"/>
                <w:sz w:val="20"/>
                <w:szCs w:val="20"/>
                <w:lang w:eastAsia="en-US"/>
              </w:rPr>
            </w:pPr>
            <w:r>
              <w:rPr>
                <w:b w:val="0"/>
                <w:sz w:val="20"/>
                <w:szCs w:val="20"/>
                <w:lang w:eastAsia="en-US"/>
              </w:rPr>
              <w:t>Pb</w:t>
            </w:r>
          </w:p>
          <w:p w:rsidR="000A7E6B" w:rsidP="00C90FAC">
            <w:pPr>
              <w:pStyle w:val="Paragrafyzkona"/>
              <w:spacing w:before="0" w:line="240" w:lineRule="auto"/>
              <w:jc w:val="left"/>
              <w:rPr>
                <w:b w:val="0"/>
                <w:sz w:val="20"/>
                <w:szCs w:val="20"/>
                <w:lang w:eastAsia="en-US"/>
              </w:rPr>
            </w:pPr>
          </w:p>
          <w:p w:rsidR="000A7E6B" w:rsidRPr="00743DBC" w:rsidP="00C90FAC">
            <w:pPr>
              <w:pStyle w:val="Paragrafyzkona"/>
              <w:spacing w:before="0" w:line="240" w:lineRule="auto"/>
              <w:jc w:val="left"/>
              <w:rPr>
                <w:b w:val="0"/>
                <w:sz w:val="20"/>
                <w:szCs w:val="20"/>
                <w:lang w:eastAsia="en-US"/>
              </w:rPr>
            </w:pPr>
          </w:p>
          <w:p w:rsidR="009E530C" w:rsidRPr="008658BB" w:rsidP="00E95D21">
            <w:pPr>
              <w:jc w:val="both"/>
              <w:rPr>
                <w:b/>
                <w:sz w:val="20"/>
              </w:rPr>
            </w:pPr>
          </w:p>
        </w:tc>
        <w:tc>
          <w:tcPr>
            <w:tcW w:w="7797" w:type="dxa"/>
          </w:tcPr>
          <w:p w:rsidR="000A7E6B" w:rsidRPr="000A7E6B" w:rsidP="000A7E6B">
            <w:pPr>
              <w:pStyle w:val="ListParagraph"/>
              <w:ind w:left="0"/>
              <w:jc w:val="both"/>
              <w:rPr>
                <w:sz w:val="20"/>
                <w:szCs w:val="20"/>
                <w:lang w:eastAsia="en-US"/>
              </w:rPr>
            </w:pPr>
            <w:r w:rsidR="00D076EB">
              <w:rPr>
                <w:sz w:val="20"/>
                <w:szCs w:val="20"/>
                <w:lang w:eastAsia="en-US"/>
              </w:rPr>
              <w:t xml:space="preserve"> (5) </w:t>
            </w:r>
            <w:r w:rsidRPr="000A7E6B">
              <w:rPr>
                <w:sz w:val="20"/>
                <w:szCs w:val="20"/>
                <w:lang w:eastAsia="en-US"/>
              </w:rPr>
              <w:t>Hodnotenie kvality ovzdušia podľa odseku 7 sa vykonáva v súlade s cieľmi v kvalite údajov ustanovenými vykonávacím predpisom podľa § 62 písm. b), pričom</w:t>
            </w:r>
          </w:p>
          <w:p w:rsidR="000A7E6B" w:rsidRPr="00F7395E" w:rsidP="000A7E6B">
            <w:pPr>
              <w:pStyle w:val="ListParagraph"/>
              <w:spacing w:line="240" w:lineRule="auto"/>
              <w:ind w:left="0"/>
              <w:contextualSpacing w:val="0"/>
              <w:jc w:val="both"/>
              <w:rPr>
                <w:sz w:val="20"/>
                <w:szCs w:val="20"/>
                <w:lang w:eastAsia="en-US"/>
              </w:rPr>
            </w:pPr>
            <w:r w:rsidR="00D076EB">
              <w:rPr>
                <w:sz w:val="20"/>
                <w:szCs w:val="20"/>
                <w:lang w:eastAsia="en-US"/>
              </w:rPr>
              <w:t xml:space="preserve">c) </w:t>
            </w:r>
            <w:r w:rsidRPr="000A7E6B">
              <w:rPr>
                <w:sz w:val="20"/>
                <w:szCs w:val="20"/>
                <w:lang w:eastAsia="en-US"/>
              </w:rPr>
              <w:t>modelovaním, sa rozumie použitie metód výpočtu, ktoré spĺňajú ustanovené ciele v kvalite údajov.</w:t>
            </w:r>
          </w:p>
          <w:p w:rsidR="000A7E6B" w:rsidP="000A7E6B">
            <w:pPr>
              <w:pStyle w:val="Normlny"/>
              <w:jc w:val="both"/>
            </w:pPr>
            <w:r w:rsidR="00D076EB">
              <w:t xml:space="preserve">(6) </w:t>
            </w:r>
            <w:r w:rsidRPr="000A7E6B">
              <w:t xml:space="preserve">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b) na ochranu zdravia, ochranu vegetácie a prírodných ekosystémov, pričom </w:t>
            </w:r>
          </w:p>
          <w:p w:rsidR="000945F4" w:rsidRPr="000A7E6B" w:rsidP="000A7E6B">
            <w:pPr>
              <w:pStyle w:val="Normlny"/>
              <w:jc w:val="both"/>
            </w:pPr>
          </w:p>
          <w:p w:rsidR="000A7E6B" w:rsidRPr="000A7E6B" w:rsidP="000A7E6B">
            <w:pPr>
              <w:pStyle w:val="ListParagraph"/>
              <w:spacing w:after="360" w:line="240" w:lineRule="auto"/>
              <w:ind w:left="0"/>
              <w:contextualSpacing w:val="0"/>
              <w:jc w:val="both"/>
              <w:rPr>
                <w:sz w:val="20"/>
                <w:szCs w:val="20"/>
                <w:lang w:eastAsia="en-US"/>
              </w:rPr>
            </w:pPr>
            <w:r w:rsidR="00D076EB">
              <w:rPr>
                <w:sz w:val="20"/>
                <w:szCs w:val="20"/>
                <w:lang w:eastAsia="en-US"/>
              </w:rPr>
              <w:t xml:space="preserve">b) </w:t>
            </w:r>
            <w:r w:rsidRPr="000A7E6B">
              <w:rPr>
                <w:sz w:val="20"/>
                <w:szCs w:val="20"/>
                <w:lang w:eastAsia="en-US"/>
              </w:rPr>
              <w:t>dolnou medzou je ustanovená úroveň znečistenia ovzdušia, pod ktorou možno na hodnotenie kvality ovzdušia použiť modelovacie techniky alebo techniky objektívneho odhadu.</w:t>
            </w:r>
          </w:p>
          <w:p w:rsidR="00C90FAC" w:rsidRPr="00C90FAC" w:rsidP="000A7E6B">
            <w:pPr>
              <w:pStyle w:val="ListParagraph"/>
              <w:spacing w:after="360" w:line="240" w:lineRule="auto"/>
              <w:ind w:left="0"/>
              <w:contextualSpacing w:val="0"/>
              <w:jc w:val="both"/>
              <w:rPr>
                <w:sz w:val="20"/>
                <w:szCs w:val="20"/>
                <w:lang w:eastAsia="en-US"/>
              </w:rPr>
            </w:pPr>
          </w:p>
          <w:p w:rsidR="009E530C" w:rsidRPr="000A7E6B" w:rsidP="008658BB">
            <w:pPr>
              <w:pStyle w:val="Normlny"/>
              <w:jc w:val="center"/>
            </w:pPr>
          </w:p>
        </w:tc>
        <w:tc>
          <w:tcPr>
            <w:tcW w:w="708" w:type="dxa"/>
          </w:tcPr>
          <w:p w:rsidR="009E530C" w:rsidRPr="00C90FAC">
            <w:pPr>
              <w:jc w:val="both"/>
              <w:rPr>
                <w:sz w:val="20"/>
              </w:rPr>
            </w:pPr>
            <w:r w:rsidRPr="00C90FAC" w:rsidR="00C90FAC">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O14</w:t>
            </w:r>
          </w:p>
        </w:tc>
        <w:tc>
          <w:tcPr>
            <w:tcW w:w="4074" w:type="dxa"/>
            <w:tcBorders>
              <w:bottom w:val="single" w:sz="4" w:space="0" w:color="auto"/>
            </w:tcBorders>
          </w:tcPr>
          <w:p w:rsidR="009E530C" w:rsidP="00F14794">
            <w:pPr>
              <w:jc w:val="both"/>
              <w:rPr>
                <w:sz w:val="20"/>
              </w:rPr>
            </w:pPr>
            <w:r w:rsidR="00F14794">
              <w:rPr>
                <w:sz w:val="20"/>
              </w:rPr>
              <w:t xml:space="preserve">14. </w:t>
            </w:r>
            <w:r w:rsidRPr="00F14794" w:rsidR="00F14794">
              <w:rPr>
                <w:sz w:val="20"/>
              </w:rPr>
              <w:t>„dlhodobý cieľ“ je úroveň, ktorá sa má dosiahnuť v</w:t>
            </w:r>
            <w:r w:rsidR="003D2F9A">
              <w:rPr>
                <w:sz w:val="20"/>
              </w:rPr>
              <w:t> </w:t>
            </w:r>
            <w:r w:rsidRPr="00F14794" w:rsidR="00F14794">
              <w:rPr>
                <w:sz w:val="20"/>
              </w:rPr>
              <w:t>dlhodobom</w:t>
            </w:r>
            <w:r w:rsidR="003D2F9A">
              <w:rPr>
                <w:sz w:val="20"/>
              </w:rPr>
              <w:t xml:space="preserve"> </w:t>
            </w:r>
            <w:r w:rsidRPr="00F14794" w:rsidR="00F14794">
              <w:rPr>
                <w:sz w:val="20"/>
              </w:rPr>
              <w:t>horizonte, okrem prípadov nedosiahnuteľných primeranými opatreniami, s cieľom poskytovať účinnú ochranu zdravia ľudí a</w:t>
            </w:r>
            <w:r w:rsidR="003D2F9A">
              <w:rPr>
                <w:sz w:val="20"/>
              </w:rPr>
              <w:t> </w:t>
            </w:r>
            <w:r w:rsidRPr="00F14794" w:rsidR="00F14794">
              <w:rPr>
                <w:sz w:val="20"/>
              </w:rPr>
              <w:t>životného</w:t>
            </w:r>
            <w:r w:rsidR="003D2F9A">
              <w:rPr>
                <w:sz w:val="20"/>
              </w:rPr>
              <w:t xml:space="preserve"> </w:t>
            </w:r>
            <w:r w:rsidRPr="00F14794" w:rsidR="00F14794">
              <w:rPr>
                <w:sz w:val="20"/>
              </w:rPr>
              <w:t>prostredia;</w:t>
            </w:r>
          </w:p>
          <w:p w:rsidR="00F14794" w:rsidP="00F14794">
            <w:pPr>
              <w:jc w:val="both"/>
              <w:rPr>
                <w:sz w:val="20"/>
              </w:rPr>
            </w:pPr>
          </w:p>
        </w:tc>
        <w:tc>
          <w:tcPr>
            <w:tcW w:w="747" w:type="dxa"/>
          </w:tcPr>
          <w:p w:rsidR="009E530C" w:rsidRPr="00D86B9D" w:rsidP="00D86B9D">
            <w:pPr>
              <w:ind w:right="-249"/>
              <w:rPr>
                <w:sz w:val="20"/>
              </w:rPr>
            </w:pPr>
            <w:r w:rsidR="00A41290">
              <w:rPr>
                <w:sz w:val="20"/>
              </w:rPr>
              <w:t>N</w:t>
            </w:r>
          </w:p>
        </w:tc>
        <w:tc>
          <w:tcPr>
            <w:tcW w:w="574" w:type="dxa"/>
          </w:tcPr>
          <w:p w:rsidR="009E530C" w:rsidRPr="00A41290">
            <w:pPr>
              <w:jc w:val="both"/>
              <w:rPr>
                <w:sz w:val="20"/>
              </w:rPr>
            </w:pPr>
            <w:r w:rsidRPr="00A41290" w:rsidR="00A41290">
              <w:rPr>
                <w:sz w:val="20"/>
              </w:rPr>
              <w:t>NZ</w:t>
            </w:r>
          </w:p>
        </w:tc>
        <w:tc>
          <w:tcPr>
            <w:tcW w:w="701" w:type="dxa"/>
          </w:tcPr>
          <w:p w:rsidR="00A41290" w:rsidRPr="00743DBC" w:rsidP="00A41290">
            <w:pPr>
              <w:pStyle w:val="Paragrafyzkona"/>
              <w:spacing w:before="0" w:line="240" w:lineRule="auto"/>
              <w:jc w:val="left"/>
              <w:rPr>
                <w:b w:val="0"/>
                <w:sz w:val="20"/>
                <w:szCs w:val="20"/>
                <w:lang w:eastAsia="en-US"/>
              </w:rPr>
            </w:pPr>
            <w:r>
              <w:rPr>
                <w:b w:val="0"/>
                <w:sz w:val="20"/>
                <w:szCs w:val="20"/>
                <w:lang w:eastAsia="en-US"/>
              </w:rPr>
              <w:t>§ 3</w:t>
            </w:r>
          </w:p>
          <w:p w:rsidR="00A41290" w:rsidRPr="00743DBC" w:rsidP="00A41290">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9</w:t>
            </w:r>
          </w:p>
          <w:p w:rsidR="009E530C" w:rsidRPr="008658BB" w:rsidP="00E95D21">
            <w:pPr>
              <w:jc w:val="both"/>
              <w:rPr>
                <w:b/>
                <w:sz w:val="20"/>
              </w:rPr>
            </w:pPr>
          </w:p>
        </w:tc>
        <w:tc>
          <w:tcPr>
            <w:tcW w:w="7797" w:type="dxa"/>
          </w:tcPr>
          <w:p w:rsidR="00A41290" w:rsidRPr="00A41290" w:rsidP="00A41290">
            <w:pPr>
              <w:pStyle w:val="ListParagraph"/>
              <w:spacing w:after="360" w:line="240" w:lineRule="auto"/>
              <w:ind w:left="0"/>
              <w:contextualSpacing w:val="0"/>
              <w:jc w:val="both"/>
              <w:rPr>
                <w:sz w:val="20"/>
                <w:szCs w:val="20"/>
                <w:lang w:eastAsia="en-US"/>
              </w:rPr>
            </w:pPr>
            <w:r w:rsidRPr="00A41290">
              <w:rPr>
                <w:sz w:val="20"/>
                <w:szCs w:val="20"/>
                <w:lang w:eastAsia="en-US"/>
              </w:rPr>
              <w:t>(9) Dlhodobým cieľom je úroveň znečistenia ovzdušia, ktorá sa má dosiahnuť v dlhodobom horizonte s cieľom poskytovať účinnú ochranu zdravia ľudí a životného prostredia okrem prípadov nedosiahnuteľných primeranými opatreniami; dlhodobý cieľ je ustanovený pre ozón.</w:t>
            </w:r>
          </w:p>
          <w:p w:rsidR="009E530C" w:rsidP="008658BB">
            <w:pPr>
              <w:pStyle w:val="Normlny"/>
              <w:jc w:val="center"/>
              <w:rPr>
                <w:b/>
              </w:rPr>
            </w:pPr>
          </w:p>
        </w:tc>
        <w:tc>
          <w:tcPr>
            <w:tcW w:w="708" w:type="dxa"/>
          </w:tcPr>
          <w:p w:rsidR="009E530C" w:rsidRPr="00A41290">
            <w:pPr>
              <w:jc w:val="both"/>
              <w:rPr>
                <w:sz w:val="20"/>
              </w:rPr>
            </w:pPr>
            <w:r w:rsidRPr="00A41290" w:rsidR="00A41290">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O15</w:t>
            </w:r>
          </w:p>
        </w:tc>
        <w:tc>
          <w:tcPr>
            <w:tcW w:w="4074" w:type="dxa"/>
            <w:tcBorders>
              <w:bottom w:val="single" w:sz="4" w:space="0" w:color="auto"/>
            </w:tcBorders>
          </w:tcPr>
          <w:p w:rsidR="009E530C" w:rsidP="00F14794">
            <w:pPr>
              <w:jc w:val="both"/>
              <w:rPr>
                <w:sz w:val="20"/>
              </w:rPr>
            </w:pPr>
            <w:r w:rsidR="00F14794">
              <w:rPr>
                <w:sz w:val="20"/>
              </w:rPr>
              <w:t xml:space="preserve">15. </w:t>
            </w:r>
            <w:r w:rsidRPr="00F14794" w:rsidR="00F14794">
              <w:rPr>
                <w:sz w:val="20"/>
              </w:rPr>
              <w:t>„príspevky z prírodných zdrojov“ sú emisie znečisťujúcich látok,</w:t>
            </w:r>
            <w:r w:rsidR="003D2F9A">
              <w:rPr>
                <w:sz w:val="20"/>
              </w:rPr>
              <w:t xml:space="preserve"> </w:t>
            </w:r>
            <w:r w:rsidRPr="00F14794" w:rsidR="00F14794">
              <w:rPr>
                <w:sz w:val="20"/>
              </w:rPr>
              <w:t>ktoré nie sú priamo ani nepriamo spôsobené ľudskou činnosťou</w:t>
            </w:r>
            <w:r w:rsidR="003D2F9A">
              <w:rPr>
                <w:sz w:val="20"/>
              </w:rPr>
              <w:t xml:space="preserve"> </w:t>
            </w:r>
            <w:r w:rsidRPr="00F14794" w:rsidR="00F14794">
              <w:rPr>
                <w:sz w:val="20"/>
              </w:rPr>
              <w:t>vrátane prírodných udalostí, ako sú sopečné erupcie, seizmická</w:t>
            </w:r>
            <w:r w:rsidR="003D2F9A">
              <w:rPr>
                <w:sz w:val="20"/>
              </w:rPr>
              <w:t xml:space="preserve"> </w:t>
            </w:r>
            <w:r w:rsidRPr="00F14794" w:rsidR="00F14794">
              <w:rPr>
                <w:sz w:val="20"/>
              </w:rPr>
              <w:t>činnosť, geotermálne aktivity, prírodné požiare, silný vietor, morské</w:t>
            </w:r>
            <w:r w:rsidR="003D2F9A">
              <w:rPr>
                <w:sz w:val="20"/>
              </w:rPr>
              <w:t xml:space="preserve"> </w:t>
            </w:r>
            <w:r w:rsidRPr="00F14794" w:rsidR="00F14794">
              <w:rPr>
                <w:sz w:val="20"/>
              </w:rPr>
              <w:t>aerosóly alebo atmosférické odchý</w:t>
            </w:r>
            <w:r w:rsidRPr="00F14794" w:rsidR="00F14794">
              <w:rPr>
                <w:sz w:val="20"/>
              </w:rPr>
              <w:t>lky alebo prenos prírodných</w:t>
            </w:r>
            <w:r w:rsidR="003D2F9A">
              <w:rPr>
                <w:sz w:val="20"/>
              </w:rPr>
              <w:t xml:space="preserve"> </w:t>
            </w:r>
            <w:r w:rsidRPr="00F14794" w:rsidR="00F14794">
              <w:rPr>
                <w:sz w:val="20"/>
              </w:rPr>
              <w:t>častíc zo suchých oblastí;</w:t>
            </w:r>
          </w:p>
          <w:p w:rsidR="00F14794" w:rsidP="00F14794">
            <w:pPr>
              <w:jc w:val="both"/>
              <w:rPr>
                <w:sz w:val="20"/>
              </w:rPr>
            </w:pPr>
          </w:p>
        </w:tc>
        <w:tc>
          <w:tcPr>
            <w:tcW w:w="747" w:type="dxa"/>
          </w:tcPr>
          <w:p w:rsidR="009E530C" w:rsidRPr="00D86B9D" w:rsidP="00D86B9D">
            <w:pPr>
              <w:ind w:right="-249"/>
              <w:rPr>
                <w:sz w:val="20"/>
              </w:rPr>
            </w:pPr>
            <w:r w:rsidR="007D3316">
              <w:rPr>
                <w:sz w:val="20"/>
              </w:rPr>
              <w:t>N</w:t>
            </w:r>
          </w:p>
        </w:tc>
        <w:tc>
          <w:tcPr>
            <w:tcW w:w="574" w:type="dxa"/>
          </w:tcPr>
          <w:p w:rsidR="009E530C" w:rsidRPr="007D3316">
            <w:pPr>
              <w:jc w:val="both"/>
              <w:rPr>
                <w:sz w:val="20"/>
              </w:rPr>
            </w:pPr>
            <w:r w:rsidRPr="007D3316" w:rsidR="007D3316">
              <w:rPr>
                <w:sz w:val="20"/>
              </w:rPr>
              <w:t>NZ</w:t>
            </w:r>
          </w:p>
        </w:tc>
        <w:tc>
          <w:tcPr>
            <w:tcW w:w="701" w:type="dxa"/>
          </w:tcPr>
          <w:p w:rsidR="007D3316" w:rsidRPr="00743DBC" w:rsidP="007D3316">
            <w:pPr>
              <w:pStyle w:val="Paragrafyzkona"/>
              <w:spacing w:before="0" w:line="240" w:lineRule="auto"/>
              <w:jc w:val="left"/>
              <w:rPr>
                <w:b w:val="0"/>
                <w:sz w:val="20"/>
                <w:szCs w:val="20"/>
                <w:lang w:eastAsia="en-US"/>
              </w:rPr>
            </w:pPr>
            <w:r>
              <w:rPr>
                <w:b w:val="0"/>
                <w:sz w:val="20"/>
                <w:szCs w:val="20"/>
                <w:lang w:eastAsia="en-US"/>
              </w:rPr>
              <w:t>§ 6</w:t>
            </w:r>
          </w:p>
          <w:p w:rsidR="007D3316" w:rsidRPr="00743DBC" w:rsidP="007D3316">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8</w:t>
            </w:r>
          </w:p>
          <w:p w:rsidR="009E530C" w:rsidRPr="008658BB" w:rsidP="00E95D21">
            <w:pPr>
              <w:jc w:val="both"/>
              <w:rPr>
                <w:b/>
                <w:sz w:val="20"/>
              </w:rPr>
            </w:pPr>
          </w:p>
        </w:tc>
        <w:tc>
          <w:tcPr>
            <w:tcW w:w="7797" w:type="dxa"/>
          </w:tcPr>
          <w:p w:rsidR="007D3316" w:rsidRPr="007D3316" w:rsidP="007D3316">
            <w:pPr>
              <w:tabs>
                <w:tab w:val="left" w:pos="1276"/>
              </w:tabs>
              <w:spacing w:after="360"/>
              <w:jc w:val="both"/>
              <w:rPr>
                <w:sz w:val="20"/>
              </w:rPr>
            </w:pPr>
            <w:r>
              <w:rPr>
                <w:sz w:val="20"/>
              </w:rPr>
              <w:t xml:space="preserve">(8) </w:t>
            </w:r>
            <w:r w:rsidRPr="007D3316">
              <w:rPr>
                <w:sz w:val="20"/>
              </w:rPr>
              <w:t>Ak sa preukáže, že prekročenie limitnej hodnoty je spôsobené príspevkom emisií z prírodných zdrojov, nepovažuje sa to za prekročenie limitnej hodnoty podľa tohto zákona. Príspevkom z prírodných zdrojov sú emisie znečisťujúcich látok z prírodných udalostí, ktorými sú sopečná erupcia, seizmická činnosť, geotermálna aktivita, prírodný požiar, silný vietor, morský aerosól, atmosférická odchýlka alebo prenos prírodných častíc zo suchých oblastí; za príspevok z prírodného zdroja sa nepovažujú emisie z ľudskej činnosti bez ohľadu na to, či boli vyvolané zámerne alebo sprostredkovane.</w:t>
            </w:r>
          </w:p>
          <w:p w:rsidR="009E530C" w:rsidP="008658BB">
            <w:pPr>
              <w:pStyle w:val="Normlny"/>
              <w:jc w:val="center"/>
              <w:rPr>
                <w:b/>
              </w:rPr>
            </w:pPr>
          </w:p>
        </w:tc>
        <w:tc>
          <w:tcPr>
            <w:tcW w:w="708" w:type="dxa"/>
          </w:tcPr>
          <w:p w:rsidR="009E530C" w:rsidRPr="007D3316">
            <w:pPr>
              <w:jc w:val="both"/>
              <w:rPr>
                <w:sz w:val="20"/>
              </w:rPr>
            </w:pPr>
            <w:r w:rsidRPr="007D3316" w:rsidR="007D3316">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O16</w:t>
            </w:r>
          </w:p>
        </w:tc>
        <w:tc>
          <w:tcPr>
            <w:tcW w:w="4074" w:type="dxa"/>
            <w:tcBorders>
              <w:bottom w:val="single" w:sz="4" w:space="0" w:color="auto"/>
            </w:tcBorders>
          </w:tcPr>
          <w:p w:rsidR="009E530C" w:rsidP="00F14794">
            <w:pPr>
              <w:jc w:val="both"/>
              <w:rPr>
                <w:sz w:val="20"/>
              </w:rPr>
            </w:pPr>
            <w:r w:rsidR="00F14794">
              <w:rPr>
                <w:sz w:val="20"/>
              </w:rPr>
              <w:t xml:space="preserve">16. </w:t>
            </w:r>
            <w:r w:rsidRPr="00F14794" w:rsidR="00F14794">
              <w:rPr>
                <w:sz w:val="20"/>
              </w:rPr>
              <w:t>„zóna“ je časť územia členského štátu, ktorú tento členský štát</w:t>
            </w:r>
            <w:r w:rsidR="003D2F9A">
              <w:rPr>
                <w:sz w:val="20"/>
              </w:rPr>
              <w:t xml:space="preserve"> </w:t>
            </w:r>
            <w:r w:rsidRPr="00F14794" w:rsidR="00F14794">
              <w:rPr>
                <w:sz w:val="20"/>
              </w:rPr>
              <w:t xml:space="preserve">vymedzil na účely hodnotenia a </w:t>
            </w:r>
            <w:r w:rsidRPr="00F14794" w:rsidR="00F14794">
              <w:rPr>
                <w:sz w:val="20"/>
              </w:rPr>
              <w:t>riadenia kvality ovzdušia;</w:t>
            </w:r>
          </w:p>
          <w:p w:rsidR="00F14794" w:rsidP="00F14794">
            <w:pPr>
              <w:jc w:val="both"/>
              <w:rPr>
                <w:sz w:val="20"/>
              </w:rPr>
            </w:pPr>
          </w:p>
        </w:tc>
        <w:tc>
          <w:tcPr>
            <w:tcW w:w="747" w:type="dxa"/>
          </w:tcPr>
          <w:p w:rsidR="009E530C" w:rsidRPr="00D86B9D" w:rsidP="00D86B9D">
            <w:pPr>
              <w:ind w:right="-249"/>
              <w:rPr>
                <w:sz w:val="20"/>
              </w:rPr>
            </w:pPr>
            <w:r w:rsidR="00FF07C5">
              <w:rPr>
                <w:sz w:val="20"/>
              </w:rPr>
              <w:t>N</w:t>
            </w:r>
          </w:p>
        </w:tc>
        <w:tc>
          <w:tcPr>
            <w:tcW w:w="574" w:type="dxa"/>
          </w:tcPr>
          <w:p w:rsidR="009E530C" w:rsidRPr="00FF07C5">
            <w:pPr>
              <w:jc w:val="both"/>
              <w:rPr>
                <w:sz w:val="20"/>
              </w:rPr>
            </w:pPr>
            <w:r w:rsidRPr="00FF07C5" w:rsidR="00FF07C5">
              <w:rPr>
                <w:sz w:val="20"/>
              </w:rPr>
              <w:t>NZ</w:t>
            </w:r>
          </w:p>
        </w:tc>
        <w:tc>
          <w:tcPr>
            <w:tcW w:w="701" w:type="dxa"/>
          </w:tcPr>
          <w:p w:rsidR="00FF07C5" w:rsidRPr="00743DBC" w:rsidP="00FF07C5">
            <w:pPr>
              <w:pStyle w:val="Paragrafyzkona"/>
              <w:spacing w:before="0" w:line="240" w:lineRule="auto"/>
              <w:jc w:val="left"/>
              <w:rPr>
                <w:b w:val="0"/>
                <w:sz w:val="20"/>
                <w:szCs w:val="20"/>
                <w:lang w:eastAsia="en-US"/>
              </w:rPr>
            </w:pPr>
            <w:r>
              <w:rPr>
                <w:b w:val="0"/>
                <w:sz w:val="20"/>
                <w:szCs w:val="20"/>
                <w:lang w:eastAsia="en-US"/>
              </w:rPr>
              <w:t>§ 4</w:t>
            </w:r>
          </w:p>
          <w:p w:rsidR="00FF07C5" w:rsidP="00FF07C5">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3</w:t>
            </w:r>
          </w:p>
          <w:p w:rsidR="00FF07C5" w:rsidRPr="00743DBC" w:rsidP="00FF07C5">
            <w:pPr>
              <w:pStyle w:val="Paragrafyzkona"/>
              <w:spacing w:before="0" w:line="240" w:lineRule="auto"/>
              <w:jc w:val="left"/>
              <w:rPr>
                <w:b w:val="0"/>
                <w:sz w:val="20"/>
                <w:szCs w:val="20"/>
                <w:lang w:eastAsia="en-US"/>
              </w:rPr>
            </w:pPr>
            <w:r>
              <w:rPr>
                <w:b w:val="0"/>
                <w:sz w:val="20"/>
                <w:szCs w:val="20"/>
                <w:lang w:eastAsia="en-US"/>
              </w:rPr>
              <w:t>Pa</w:t>
            </w:r>
          </w:p>
          <w:p w:rsidR="009E530C" w:rsidRPr="008658BB" w:rsidP="00E95D21">
            <w:pPr>
              <w:jc w:val="both"/>
              <w:rPr>
                <w:b/>
                <w:sz w:val="20"/>
              </w:rPr>
            </w:pPr>
          </w:p>
        </w:tc>
        <w:tc>
          <w:tcPr>
            <w:tcW w:w="7797" w:type="dxa"/>
          </w:tcPr>
          <w:p w:rsidR="00CB4019" w:rsidRPr="00CB4019" w:rsidP="00CB4019">
            <w:pPr>
              <w:pStyle w:val="ListParagraph"/>
              <w:spacing w:line="240" w:lineRule="auto"/>
              <w:ind w:left="0"/>
              <w:contextualSpacing w:val="0"/>
              <w:jc w:val="both"/>
              <w:rPr>
                <w:sz w:val="20"/>
                <w:szCs w:val="20"/>
                <w:lang w:eastAsia="en-US"/>
              </w:rPr>
            </w:pPr>
            <w:r w:rsidRPr="00FF07C5" w:rsidR="00FF07C5">
              <w:rPr>
                <w:sz w:val="20"/>
                <w:szCs w:val="20"/>
                <w:lang w:eastAsia="en-US"/>
              </w:rPr>
              <w:t>(3</w:t>
            </w:r>
            <w:r>
              <w:rPr>
                <w:sz w:val="20"/>
                <w:szCs w:val="20"/>
                <w:lang w:eastAsia="en-US"/>
              </w:rPr>
              <w:t>)</w:t>
            </w:r>
            <w:r w:rsidRPr="00CB4019">
              <w:rPr>
                <w:sz w:val="20"/>
                <w:szCs w:val="20"/>
                <w:lang w:eastAsia="en-US"/>
              </w:rPr>
              <w:t xml:space="preserve"> Územie Slovenskej republiky sa člení na zóny a aglomerácie tak, ako to ustanovuje vykonávací predpis podľa § 62 písm. c), pričom </w:t>
            </w:r>
          </w:p>
          <w:p w:rsidR="00FF07C5" w:rsidRPr="00CB4019" w:rsidP="00CB4019">
            <w:pPr>
              <w:pStyle w:val="ListParagraph"/>
              <w:numPr>
                <w:ilvl w:val="1"/>
                <w:numId w:val="38"/>
              </w:numPr>
              <w:spacing w:line="240" w:lineRule="auto"/>
              <w:ind w:left="284" w:hanging="284"/>
              <w:contextualSpacing w:val="0"/>
              <w:jc w:val="both"/>
              <w:rPr>
                <w:sz w:val="20"/>
                <w:szCs w:val="20"/>
                <w:lang w:eastAsia="en-US"/>
              </w:rPr>
            </w:pPr>
            <w:r w:rsidRPr="00CB4019" w:rsidR="00CB4019">
              <w:rPr>
                <w:sz w:val="20"/>
                <w:szCs w:val="20"/>
                <w:lang w:eastAsia="en-US"/>
              </w:rPr>
              <w:t>zónou je časť územia vymedzená na účely hodnote</w:t>
            </w:r>
            <w:r w:rsidR="00A51A4F">
              <w:rPr>
                <w:sz w:val="20"/>
                <w:szCs w:val="20"/>
                <w:lang w:eastAsia="en-US"/>
              </w:rPr>
              <w:t>nia a riadenia kvality ovzdušia</w:t>
            </w:r>
            <w:r w:rsidR="00A51A4F">
              <w:rPr>
                <w:sz w:val="20"/>
                <w:szCs w:val="20"/>
                <w:lang w:eastAsia="en-US"/>
              </w:rPr>
              <w:t>.</w:t>
            </w:r>
            <w:r w:rsidRPr="00CB4019" w:rsidR="00CB4019">
              <w:rPr>
                <w:sz w:val="20"/>
                <w:szCs w:val="20"/>
                <w:lang w:eastAsia="en-US"/>
              </w:rPr>
              <w:t xml:space="preserve"> </w:t>
            </w:r>
          </w:p>
          <w:p w:rsidR="009E530C" w:rsidP="008658BB">
            <w:pPr>
              <w:pStyle w:val="Normlny"/>
              <w:jc w:val="center"/>
              <w:rPr>
                <w:b/>
              </w:rPr>
            </w:pPr>
          </w:p>
        </w:tc>
        <w:tc>
          <w:tcPr>
            <w:tcW w:w="708" w:type="dxa"/>
          </w:tcPr>
          <w:p w:rsidR="009E530C" w:rsidRPr="00FF07C5">
            <w:pPr>
              <w:jc w:val="both"/>
              <w:rPr>
                <w:sz w:val="20"/>
              </w:rPr>
            </w:pPr>
            <w:r w:rsidRPr="00FF07C5" w:rsidR="00FF07C5">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O17</w:t>
            </w:r>
          </w:p>
        </w:tc>
        <w:tc>
          <w:tcPr>
            <w:tcW w:w="4074" w:type="dxa"/>
            <w:tcBorders>
              <w:bottom w:val="single" w:sz="4" w:space="0" w:color="auto"/>
            </w:tcBorders>
          </w:tcPr>
          <w:p w:rsidR="009E530C" w:rsidP="00F14794">
            <w:pPr>
              <w:jc w:val="both"/>
              <w:rPr>
                <w:sz w:val="20"/>
              </w:rPr>
            </w:pPr>
            <w:r w:rsidR="001F4262">
              <w:rPr>
                <w:sz w:val="20"/>
              </w:rPr>
              <w:t xml:space="preserve">17. </w:t>
            </w:r>
            <w:r w:rsidRPr="00F14794" w:rsidR="00F14794">
              <w:rPr>
                <w:sz w:val="20"/>
              </w:rPr>
              <w:t>„aglomerácia“ je zóna, ktorá je konurbáciou s viac ako 250</w:t>
            </w:r>
            <w:r w:rsidR="003D2F9A">
              <w:rPr>
                <w:sz w:val="20"/>
              </w:rPr>
              <w:t> </w:t>
            </w:r>
            <w:r w:rsidRPr="00F14794" w:rsidR="00F14794">
              <w:rPr>
                <w:sz w:val="20"/>
              </w:rPr>
              <w:t>000</w:t>
            </w:r>
            <w:r w:rsidR="003D2F9A">
              <w:rPr>
                <w:sz w:val="20"/>
              </w:rPr>
              <w:t xml:space="preserve"> </w:t>
            </w:r>
            <w:r w:rsidRPr="00F14794" w:rsidR="00F14794">
              <w:rPr>
                <w:sz w:val="20"/>
              </w:rPr>
              <w:t>obyvateľmi alebo v ktorej žije 250 000 obyvateľov alebo menej</w:t>
            </w:r>
            <w:r w:rsidR="003D2F9A">
              <w:rPr>
                <w:sz w:val="20"/>
              </w:rPr>
              <w:t xml:space="preserve"> </w:t>
            </w:r>
            <w:r w:rsidRPr="00F14794" w:rsidR="00F14794">
              <w:rPr>
                <w:sz w:val="20"/>
              </w:rPr>
              <w:t>pri danej hustote obyvateľstva na km</w:t>
            </w:r>
            <w:r w:rsidRPr="003529C9" w:rsidR="00F14794">
              <w:rPr>
                <w:sz w:val="20"/>
                <w:vertAlign w:val="superscript"/>
              </w:rPr>
              <w:t>2</w:t>
            </w:r>
            <w:r w:rsidRPr="00F14794" w:rsidR="00F14794">
              <w:rPr>
                <w:sz w:val="20"/>
              </w:rPr>
              <w:t>, ktorú stanovia členské štáty;</w:t>
            </w:r>
          </w:p>
          <w:p w:rsidR="00F14794" w:rsidP="00F14794">
            <w:pPr>
              <w:jc w:val="both"/>
              <w:rPr>
                <w:sz w:val="20"/>
              </w:rPr>
            </w:pPr>
          </w:p>
        </w:tc>
        <w:tc>
          <w:tcPr>
            <w:tcW w:w="747" w:type="dxa"/>
          </w:tcPr>
          <w:p w:rsidR="009E530C" w:rsidRPr="00D86B9D" w:rsidP="00D86B9D">
            <w:pPr>
              <w:ind w:right="-249"/>
              <w:rPr>
                <w:sz w:val="20"/>
              </w:rPr>
            </w:pPr>
            <w:r w:rsidR="00CC16ED">
              <w:rPr>
                <w:sz w:val="20"/>
              </w:rPr>
              <w:t>N</w:t>
            </w:r>
          </w:p>
        </w:tc>
        <w:tc>
          <w:tcPr>
            <w:tcW w:w="574" w:type="dxa"/>
          </w:tcPr>
          <w:p w:rsidR="009E530C" w:rsidRPr="00CC16ED">
            <w:pPr>
              <w:jc w:val="both"/>
              <w:rPr>
                <w:sz w:val="20"/>
              </w:rPr>
            </w:pPr>
            <w:r w:rsidRPr="00CC16ED" w:rsidR="00CC16ED">
              <w:rPr>
                <w:sz w:val="20"/>
              </w:rPr>
              <w:t>NZ</w:t>
            </w:r>
          </w:p>
        </w:tc>
        <w:tc>
          <w:tcPr>
            <w:tcW w:w="701" w:type="dxa"/>
          </w:tcPr>
          <w:p w:rsidR="00CC16ED" w:rsidRPr="00743DBC" w:rsidP="00CC16ED">
            <w:pPr>
              <w:pStyle w:val="Paragrafyzkona"/>
              <w:spacing w:before="0" w:line="240" w:lineRule="auto"/>
              <w:jc w:val="left"/>
              <w:rPr>
                <w:b w:val="0"/>
                <w:sz w:val="20"/>
                <w:szCs w:val="20"/>
                <w:lang w:eastAsia="en-US"/>
              </w:rPr>
            </w:pPr>
            <w:r>
              <w:rPr>
                <w:b w:val="0"/>
                <w:sz w:val="20"/>
                <w:szCs w:val="20"/>
                <w:lang w:eastAsia="en-US"/>
              </w:rPr>
              <w:t>§ 4</w:t>
            </w:r>
          </w:p>
          <w:p w:rsidR="00CC16ED" w:rsidP="00CC16ED">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3</w:t>
            </w:r>
          </w:p>
          <w:p w:rsidR="00AE513F" w:rsidP="00CC16ED">
            <w:pPr>
              <w:pStyle w:val="Paragrafyzkona"/>
              <w:spacing w:before="0" w:line="240" w:lineRule="auto"/>
              <w:jc w:val="left"/>
              <w:rPr>
                <w:b w:val="0"/>
                <w:sz w:val="20"/>
                <w:szCs w:val="20"/>
                <w:lang w:eastAsia="en-US"/>
              </w:rPr>
            </w:pPr>
          </w:p>
          <w:p w:rsidR="00AE513F" w:rsidP="00CC16ED">
            <w:pPr>
              <w:pStyle w:val="Paragrafyzkona"/>
              <w:spacing w:before="0" w:line="240" w:lineRule="auto"/>
              <w:jc w:val="left"/>
              <w:rPr>
                <w:b w:val="0"/>
                <w:sz w:val="20"/>
                <w:szCs w:val="20"/>
                <w:lang w:eastAsia="en-US"/>
              </w:rPr>
            </w:pPr>
          </w:p>
          <w:p w:rsidR="00CC16ED" w:rsidRPr="00743DBC" w:rsidP="00CC16ED">
            <w:pPr>
              <w:pStyle w:val="Paragrafyzkona"/>
              <w:spacing w:before="0" w:line="240" w:lineRule="auto"/>
              <w:jc w:val="left"/>
              <w:rPr>
                <w:b w:val="0"/>
                <w:sz w:val="20"/>
                <w:szCs w:val="20"/>
                <w:lang w:eastAsia="en-US"/>
              </w:rPr>
            </w:pPr>
            <w:r>
              <w:rPr>
                <w:b w:val="0"/>
                <w:sz w:val="20"/>
                <w:szCs w:val="20"/>
                <w:lang w:eastAsia="en-US"/>
              </w:rPr>
              <w:t>Pb</w:t>
            </w:r>
          </w:p>
          <w:p w:rsidR="009E530C" w:rsidRPr="008658BB" w:rsidP="00E95D21">
            <w:pPr>
              <w:jc w:val="both"/>
              <w:rPr>
                <w:b/>
                <w:sz w:val="20"/>
              </w:rPr>
            </w:pPr>
          </w:p>
        </w:tc>
        <w:tc>
          <w:tcPr>
            <w:tcW w:w="7797" w:type="dxa"/>
          </w:tcPr>
          <w:p w:rsidR="00AE513F" w:rsidP="00CC16ED">
            <w:pPr>
              <w:pStyle w:val="ListParagraph"/>
              <w:spacing w:after="360" w:line="240" w:lineRule="auto"/>
              <w:ind w:left="0"/>
              <w:contextualSpacing w:val="0"/>
              <w:jc w:val="both"/>
              <w:rPr>
                <w:sz w:val="20"/>
                <w:szCs w:val="20"/>
                <w:lang w:eastAsia="en-US"/>
              </w:rPr>
            </w:pPr>
            <w:r w:rsidRPr="00CC16ED" w:rsidR="00CC16ED">
              <w:rPr>
                <w:sz w:val="20"/>
                <w:szCs w:val="20"/>
                <w:lang w:eastAsia="en-US"/>
              </w:rPr>
              <w:t>(3)</w:t>
            </w:r>
            <w:r w:rsidRPr="00CB4019">
              <w:rPr>
                <w:sz w:val="20"/>
                <w:szCs w:val="20"/>
                <w:lang w:eastAsia="en-US"/>
              </w:rPr>
              <w:t xml:space="preserve"> Územie Slovenskej republiky sa člení na zóny a aglomerácie tak, ako to ustanovuje vykonávací predpis podľa § 62 písm. c), pričom</w:t>
            </w:r>
          </w:p>
          <w:p w:rsidR="00CC16ED" w:rsidRPr="00CC16ED" w:rsidP="00CC16ED">
            <w:pPr>
              <w:pStyle w:val="ListParagraph"/>
              <w:spacing w:after="360" w:line="240" w:lineRule="auto"/>
              <w:ind w:left="0"/>
              <w:contextualSpacing w:val="0"/>
              <w:jc w:val="both"/>
              <w:rPr>
                <w:sz w:val="20"/>
                <w:szCs w:val="20"/>
                <w:lang w:eastAsia="en-US"/>
              </w:rPr>
            </w:pPr>
            <w:r w:rsidRPr="00CC16ED">
              <w:rPr>
                <w:sz w:val="20"/>
                <w:szCs w:val="20"/>
                <w:lang w:eastAsia="en-US"/>
              </w:rPr>
              <w:t xml:space="preserve"> b) aglomeráciou je husto osídlená zóna vymedzená na účely hodnotenia kvality ovzdušia, v ktorej žije viac ako 250 000 obyvateľov, alebo územie s menším počtom obyvateľov, ale s vysokou hustotou osídlenia tak, ako to vymedzuje vykonávací predpis.</w:t>
            </w:r>
          </w:p>
          <w:p w:rsidR="009E530C" w:rsidP="008658BB">
            <w:pPr>
              <w:pStyle w:val="Normlny"/>
              <w:jc w:val="center"/>
              <w:rPr>
                <w:b/>
              </w:rPr>
            </w:pPr>
          </w:p>
        </w:tc>
        <w:tc>
          <w:tcPr>
            <w:tcW w:w="708" w:type="dxa"/>
          </w:tcPr>
          <w:p w:rsidR="009E530C" w:rsidRPr="00CC16ED">
            <w:pPr>
              <w:jc w:val="both"/>
              <w:rPr>
                <w:sz w:val="20"/>
              </w:rPr>
            </w:pPr>
            <w:r w:rsidRPr="00CC16ED" w:rsidR="00CC16ED">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O18</w:t>
            </w:r>
          </w:p>
        </w:tc>
        <w:tc>
          <w:tcPr>
            <w:tcW w:w="4074" w:type="dxa"/>
            <w:tcBorders>
              <w:bottom w:val="single" w:sz="4" w:space="0" w:color="auto"/>
            </w:tcBorders>
          </w:tcPr>
          <w:p w:rsidR="009E530C" w:rsidP="001F4262">
            <w:pPr>
              <w:jc w:val="both"/>
              <w:rPr>
                <w:sz w:val="20"/>
              </w:rPr>
            </w:pPr>
            <w:r w:rsidR="001F4262">
              <w:rPr>
                <w:sz w:val="20"/>
              </w:rPr>
              <w:t xml:space="preserve">18. </w:t>
            </w:r>
            <w:r w:rsidRPr="001F4262" w:rsidR="001F4262">
              <w:rPr>
                <w:sz w:val="20"/>
              </w:rPr>
              <w:t>„PM</w:t>
            </w:r>
            <w:r w:rsidRPr="003529C9" w:rsidR="001F4262">
              <w:rPr>
                <w:sz w:val="20"/>
                <w:vertAlign w:val="subscript"/>
              </w:rPr>
              <w:t>10</w:t>
            </w:r>
            <w:r w:rsidRPr="001F4262" w:rsidR="001F4262">
              <w:rPr>
                <w:sz w:val="20"/>
              </w:rPr>
              <w:t>“ sú suspendované častice, ktoré prejdú zariadením so</w:t>
            </w:r>
            <w:r w:rsidR="003D2F9A">
              <w:rPr>
                <w:sz w:val="20"/>
              </w:rPr>
              <w:t xml:space="preserve"> </w:t>
            </w:r>
            <w:r w:rsidRPr="001F4262" w:rsidR="001F4262">
              <w:rPr>
                <w:sz w:val="20"/>
              </w:rPr>
              <w:t>vstupným otvorom definovaným v referenčnej metóde na vzorkovanie a meranie PM</w:t>
            </w:r>
            <w:r w:rsidRPr="003529C9" w:rsidR="001F4262">
              <w:rPr>
                <w:sz w:val="20"/>
                <w:vertAlign w:val="subscript"/>
              </w:rPr>
              <w:t>10</w:t>
            </w:r>
            <w:r w:rsidRPr="001F4262" w:rsidR="001F4262">
              <w:rPr>
                <w:sz w:val="20"/>
              </w:rPr>
              <w:t>, EN 12341, selektujúcim častice s aerodynamickým priemerom 10 μm s 50 % účinnosťou;</w:t>
            </w:r>
          </w:p>
          <w:p w:rsidR="001F4262" w:rsidP="001F4262">
            <w:pPr>
              <w:jc w:val="both"/>
              <w:rPr>
                <w:sz w:val="20"/>
              </w:rPr>
            </w:pPr>
          </w:p>
        </w:tc>
        <w:tc>
          <w:tcPr>
            <w:tcW w:w="747" w:type="dxa"/>
          </w:tcPr>
          <w:p w:rsidR="009E530C" w:rsidRPr="00D86B9D" w:rsidP="00D86B9D">
            <w:pPr>
              <w:ind w:right="-249"/>
              <w:rPr>
                <w:sz w:val="20"/>
              </w:rPr>
            </w:pPr>
            <w:r w:rsidR="004A1CFA">
              <w:rPr>
                <w:sz w:val="20"/>
              </w:rPr>
              <w:t>N</w:t>
            </w:r>
          </w:p>
        </w:tc>
        <w:tc>
          <w:tcPr>
            <w:tcW w:w="574" w:type="dxa"/>
          </w:tcPr>
          <w:p w:rsidR="009E530C" w:rsidRPr="004A1CFA">
            <w:pPr>
              <w:jc w:val="both"/>
              <w:rPr>
                <w:sz w:val="20"/>
              </w:rPr>
            </w:pPr>
            <w:r w:rsidRPr="004A1CFA" w:rsidR="004A1CFA">
              <w:rPr>
                <w:sz w:val="20"/>
              </w:rPr>
              <w:t>NZ</w:t>
            </w:r>
          </w:p>
        </w:tc>
        <w:tc>
          <w:tcPr>
            <w:tcW w:w="701" w:type="dxa"/>
          </w:tcPr>
          <w:p w:rsidR="009E530C" w:rsidP="004A1CFA">
            <w:pPr>
              <w:jc w:val="both"/>
              <w:rPr>
                <w:sz w:val="20"/>
              </w:rPr>
            </w:pPr>
            <w:r w:rsidRPr="001C6217" w:rsidR="004A1CFA">
              <w:rPr>
                <w:sz w:val="20"/>
              </w:rPr>
              <w:t>Príl.</w:t>
            </w:r>
            <w:r w:rsidR="004A1CFA">
              <w:rPr>
                <w:sz w:val="20"/>
              </w:rPr>
              <w:t>1</w:t>
            </w:r>
          </w:p>
          <w:p w:rsidR="003E3761" w:rsidRPr="00A33CB4" w:rsidP="004A1CFA">
            <w:pPr>
              <w:jc w:val="both"/>
              <w:rPr>
                <w:sz w:val="20"/>
              </w:rPr>
            </w:pPr>
          </w:p>
        </w:tc>
        <w:tc>
          <w:tcPr>
            <w:tcW w:w="7797" w:type="dxa"/>
          </w:tcPr>
          <w:p w:rsidR="004A1CFA" w:rsidP="004A1CFA">
            <w:pPr>
              <w:pStyle w:val="ListParagraph"/>
              <w:spacing w:line="240" w:lineRule="auto"/>
              <w:ind w:left="0"/>
              <w:contextualSpacing w:val="0"/>
              <w:jc w:val="both"/>
              <w:rPr>
                <w:sz w:val="20"/>
                <w:szCs w:val="20"/>
                <w:lang w:eastAsia="en-US"/>
              </w:rPr>
            </w:pPr>
            <w:r w:rsidR="003E3761">
              <w:rPr>
                <w:sz w:val="20"/>
                <w:szCs w:val="20"/>
                <w:lang w:eastAsia="en-US"/>
              </w:rPr>
              <w:t>B</w:t>
            </w:r>
            <w:r w:rsidR="000945F4">
              <w:rPr>
                <w:sz w:val="20"/>
                <w:szCs w:val="20"/>
                <w:lang w:eastAsia="en-US"/>
              </w:rPr>
              <w:t>od 1.</w:t>
            </w:r>
            <w:r w:rsidR="003E3761">
              <w:rPr>
                <w:sz w:val="20"/>
                <w:szCs w:val="20"/>
                <w:lang w:eastAsia="en-US"/>
              </w:rPr>
              <w:t xml:space="preserve"> </w:t>
            </w:r>
            <w:r w:rsidRPr="00A33CB4" w:rsidR="00A33CB4">
              <w:rPr>
                <w:sz w:val="20"/>
                <w:szCs w:val="20"/>
                <w:lang w:eastAsia="en-US"/>
              </w:rPr>
              <w:t>PM</w:t>
            </w:r>
            <w:r w:rsidRPr="000945F4" w:rsidR="00A33CB4">
              <w:rPr>
                <w:sz w:val="20"/>
                <w:szCs w:val="20"/>
                <w:vertAlign w:val="subscript"/>
                <w:lang w:eastAsia="en-US"/>
              </w:rPr>
              <w:t xml:space="preserve">10 </w:t>
            </w:r>
            <w:r w:rsidRPr="00A33CB4" w:rsidR="00A33CB4">
              <w:rPr>
                <w:sz w:val="20"/>
                <w:szCs w:val="20"/>
                <w:lang w:eastAsia="en-US"/>
              </w:rPr>
              <w:t>sa rozumejú tuhé suspendované častice, ktoré prejdú zariadením so vstupným otvorom definovaným v referenčnej metóde na vzorkovanie a meranie PM</w:t>
            </w:r>
            <w:r w:rsidRPr="005C0067" w:rsidR="00A33CB4">
              <w:rPr>
                <w:sz w:val="20"/>
                <w:szCs w:val="20"/>
                <w:vertAlign w:val="subscript"/>
                <w:lang w:eastAsia="en-US"/>
              </w:rPr>
              <w:t>10</w:t>
            </w:r>
            <w:r w:rsidRPr="00A33CB4" w:rsidR="00A33CB4">
              <w:rPr>
                <w:sz w:val="20"/>
                <w:szCs w:val="20"/>
                <w:lang w:eastAsia="en-US"/>
              </w:rPr>
              <w:t xml:space="preserve"> podľa technickej normy a technickej normalizačnej informácii alebo iným obdobným technickým špecifikáciám s porovnateľným alebo prísnejším požiadavkám vo veci stanovenia hmotnostnej konce</w:t>
            </w:r>
            <w:r w:rsidR="000945F4">
              <w:rPr>
                <w:sz w:val="20"/>
                <w:szCs w:val="20"/>
                <w:lang w:eastAsia="en-US"/>
              </w:rPr>
              <w:t>ntrácie suspendovaných častíc</w:t>
            </w:r>
            <w:r w:rsidR="00581855">
              <w:rPr>
                <w:sz w:val="20"/>
                <w:szCs w:val="20"/>
                <w:vertAlign w:val="superscript"/>
                <w:lang w:eastAsia="en-US"/>
              </w:rPr>
              <w:t>108</w:t>
            </w:r>
            <w:r w:rsidR="00A33CB4">
              <w:rPr>
                <w:sz w:val="20"/>
                <w:szCs w:val="20"/>
                <w:lang w:eastAsia="en-US"/>
              </w:rPr>
              <w:t>)</w:t>
            </w:r>
            <w:r w:rsidRPr="00A33CB4" w:rsidR="00A33CB4">
              <w:rPr>
                <w:sz w:val="20"/>
                <w:szCs w:val="20"/>
                <w:lang w:eastAsia="en-US"/>
              </w:rPr>
              <w:t xml:space="preserve"> selektujúcim častice s aerodynamickým priemerom 10 μm s 50 % účinnosťou.</w:t>
            </w:r>
          </w:p>
          <w:p w:rsidR="00A33CB4" w:rsidRPr="004A1CFA" w:rsidP="004A1CFA">
            <w:pPr>
              <w:pStyle w:val="ListParagraph"/>
              <w:spacing w:line="240" w:lineRule="auto"/>
              <w:ind w:left="0"/>
              <w:contextualSpacing w:val="0"/>
              <w:jc w:val="both"/>
              <w:rPr>
                <w:sz w:val="20"/>
                <w:szCs w:val="20"/>
                <w:lang w:eastAsia="en-US"/>
              </w:rPr>
            </w:pPr>
            <w:r w:rsidR="00581855">
              <w:rPr>
                <w:sz w:val="20"/>
                <w:szCs w:val="20"/>
                <w:vertAlign w:val="superscript"/>
                <w:lang w:eastAsia="en-US"/>
              </w:rPr>
              <w:t>108</w:t>
            </w:r>
            <w:r w:rsidR="005C0067">
              <w:rPr>
                <w:sz w:val="20"/>
                <w:szCs w:val="20"/>
                <w:lang w:eastAsia="en-US"/>
              </w:rPr>
              <w:t>)</w:t>
            </w:r>
            <w:r>
              <w:t xml:space="preserve"> </w:t>
            </w:r>
            <w:r w:rsidRPr="0023009A">
              <w:rPr>
                <w:sz w:val="18"/>
                <w:szCs w:val="18"/>
                <w:lang w:eastAsia="en-US"/>
              </w:rPr>
              <w:t>STN EN 12341 Ochrana ovzdušia. Vonkajšie ovzdušie. Stanovenie hmotnostnej koncentrácie suspendovaných častíc PM</w:t>
            </w:r>
            <w:r w:rsidRPr="0023009A">
              <w:rPr>
                <w:sz w:val="18"/>
                <w:szCs w:val="18"/>
                <w:vertAlign w:val="subscript"/>
                <w:lang w:eastAsia="en-US"/>
              </w:rPr>
              <w:t>10</w:t>
            </w:r>
            <w:r w:rsidRPr="0023009A">
              <w:rPr>
                <w:sz w:val="18"/>
                <w:szCs w:val="18"/>
                <w:lang w:eastAsia="en-US"/>
              </w:rPr>
              <w:t xml:space="preserve"> alebo PM</w:t>
            </w:r>
            <w:r w:rsidRPr="0023009A">
              <w:rPr>
                <w:sz w:val="18"/>
                <w:szCs w:val="18"/>
                <w:vertAlign w:val="subscript"/>
                <w:lang w:eastAsia="en-US"/>
              </w:rPr>
              <w:t xml:space="preserve">2,5 </w:t>
            </w:r>
            <w:r w:rsidRPr="0023009A">
              <w:rPr>
                <w:sz w:val="18"/>
                <w:szCs w:val="18"/>
                <w:lang w:eastAsia="en-US"/>
              </w:rPr>
              <w:t>štandardnou gravimetrickou metódou merania (83 4602).</w:t>
            </w:r>
          </w:p>
          <w:p w:rsidR="009E530C" w:rsidP="008658BB">
            <w:pPr>
              <w:pStyle w:val="Normlny"/>
              <w:jc w:val="center"/>
              <w:rPr>
                <w:b/>
              </w:rPr>
            </w:pPr>
          </w:p>
        </w:tc>
        <w:tc>
          <w:tcPr>
            <w:tcW w:w="708" w:type="dxa"/>
          </w:tcPr>
          <w:p w:rsidR="009E530C" w:rsidRPr="004A1CFA">
            <w:pPr>
              <w:jc w:val="both"/>
              <w:rPr>
                <w:sz w:val="20"/>
              </w:rPr>
            </w:pPr>
            <w:r w:rsidRPr="004A1CFA" w:rsidR="004A1CFA">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O19</w:t>
            </w:r>
          </w:p>
        </w:tc>
        <w:tc>
          <w:tcPr>
            <w:tcW w:w="4074" w:type="dxa"/>
            <w:tcBorders>
              <w:bottom w:val="single" w:sz="4" w:space="0" w:color="auto"/>
            </w:tcBorders>
          </w:tcPr>
          <w:p w:rsidR="009E530C" w:rsidP="001F4262">
            <w:pPr>
              <w:jc w:val="both"/>
              <w:rPr>
                <w:sz w:val="20"/>
              </w:rPr>
            </w:pPr>
            <w:r w:rsidR="001F4262">
              <w:rPr>
                <w:sz w:val="20"/>
              </w:rPr>
              <w:t xml:space="preserve">19. </w:t>
            </w:r>
            <w:r w:rsidRPr="001F4262" w:rsidR="001F4262">
              <w:rPr>
                <w:sz w:val="20"/>
              </w:rPr>
              <w:t>„PM</w:t>
            </w:r>
            <w:r w:rsidRPr="003529C9" w:rsidR="001F4262">
              <w:rPr>
                <w:sz w:val="20"/>
                <w:vertAlign w:val="subscript"/>
              </w:rPr>
              <w:t>2,5</w:t>
            </w:r>
            <w:r w:rsidRPr="001F4262" w:rsidR="001F4262">
              <w:rPr>
                <w:sz w:val="20"/>
              </w:rPr>
              <w:t>“ sú suspendované častice, ktoré prejdú zariadením so</w:t>
            </w:r>
            <w:r w:rsidR="003D2F9A">
              <w:rPr>
                <w:sz w:val="20"/>
              </w:rPr>
              <w:t xml:space="preserve"> </w:t>
            </w:r>
            <w:r w:rsidRPr="001F4262" w:rsidR="001F4262">
              <w:rPr>
                <w:sz w:val="20"/>
              </w:rPr>
              <w:t>vstupným otvorom definovaným v referenčnej metóde na vzorkovanie a meranie PM</w:t>
            </w:r>
            <w:r w:rsidRPr="003529C9" w:rsidR="001F4262">
              <w:rPr>
                <w:sz w:val="20"/>
                <w:vertAlign w:val="subscript"/>
              </w:rPr>
              <w:t>2,5</w:t>
            </w:r>
            <w:r w:rsidRPr="001F4262" w:rsidR="001F4262">
              <w:rPr>
                <w:sz w:val="20"/>
              </w:rPr>
              <w:t>, EN 14907, selektujúcim častice s aerodynamickým priemerom 2,5 μm s 50 % účinnosťou;</w:t>
            </w:r>
          </w:p>
          <w:p w:rsidR="001F4262" w:rsidP="001F4262">
            <w:pPr>
              <w:jc w:val="both"/>
              <w:rPr>
                <w:sz w:val="20"/>
              </w:rPr>
            </w:pPr>
          </w:p>
        </w:tc>
        <w:tc>
          <w:tcPr>
            <w:tcW w:w="747" w:type="dxa"/>
          </w:tcPr>
          <w:p w:rsidR="009E530C" w:rsidRPr="00D86B9D" w:rsidP="00D86B9D">
            <w:pPr>
              <w:ind w:right="-249"/>
              <w:rPr>
                <w:sz w:val="20"/>
              </w:rPr>
            </w:pPr>
            <w:r w:rsidR="001C6217">
              <w:rPr>
                <w:sz w:val="20"/>
              </w:rPr>
              <w:t>N</w:t>
            </w:r>
          </w:p>
        </w:tc>
        <w:tc>
          <w:tcPr>
            <w:tcW w:w="574" w:type="dxa"/>
          </w:tcPr>
          <w:p w:rsidR="009E530C" w:rsidRPr="001C6217">
            <w:pPr>
              <w:jc w:val="both"/>
              <w:rPr>
                <w:sz w:val="20"/>
              </w:rPr>
            </w:pPr>
            <w:r w:rsidRPr="001C6217" w:rsidR="001C6217">
              <w:rPr>
                <w:sz w:val="20"/>
              </w:rPr>
              <w:t>NZ</w:t>
            </w:r>
          </w:p>
        </w:tc>
        <w:tc>
          <w:tcPr>
            <w:tcW w:w="701" w:type="dxa"/>
          </w:tcPr>
          <w:p w:rsidR="001C6217" w:rsidRPr="001C6217" w:rsidP="00E95D21">
            <w:pPr>
              <w:jc w:val="both"/>
              <w:rPr>
                <w:sz w:val="20"/>
              </w:rPr>
            </w:pPr>
            <w:r w:rsidRPr="001C6217">
              <w:rPr>
                <w:sz w:val="20"/>
              </w:rPr>
              <w:t>Príl.</w:t>
            </w:r>
            <w:r w:rsidR="00FA4880">
              <w:rPr>
                <w:sz w:val="20"/>
              </w:rPr>
              <w:t>1</w:t>
            </w:r>
          </w:p>
          <w:p w:rsidR="001C6217" w:rsidRPr="001C6217" w:rsidP="00E95D21">
            <w:pPr>
              <w:jc w:val="both"/>
              <w:rPr>
                <w:sz w:val="20"/>
              </w:rPr>
            </w:pPr>
          </w:p>
        </w:tc>
        <w:tc>
          <w:tcPr>
            <w:tcW w:w="7797" w:type="dxa"/>
          </w:tcPr>
          <w:p w:rsidR="009E530C" w:rsidP="003E3761">
            <w:pPr>
              <w:pStyle w:val="ListParagraph"/>
              <w:spacing w:line="240" w:lineRule="auto"/>
              <w:ind w:left="0"/>
              <w:contextualSpacing w:val="0"/>
              <w:jc w:val="both"/>
              <w:rPr>
                <w:sz w:val="20"/>
                <w:szCs w:val="20"/>
                <w:lang w:eastAsia="en-US"/>
              </w:rPr>
            </w:pPr>
            <w:r w:rsidR="003E3761">
              <w:rPr>
                <w:sz w:val="20"/>
                <w:szCs w:val="20"/>
                <w:lang w:eastAsia="en-US"/>
              </w:rPr>
              <w:t>B</w:t>
            </w:r>
            <w:r w:rsidR="005C0067">
              <w:rPr>
                <w:sz w:val="20"/>
                <w:szCs w:val="20"/>
                <w:lang w:eastAsia="en-US"/>
              </w:rPr>
              <w:t xml:space="preserve">od </w:t>
            </w:r>
            <w:r w:rsidR="003E3761">
              <w:rPr>
                <w:sz w:val="20"/>
                <w:szCs w:val="20"/>
                <w:lang w:eastAsia="en-US"/>
              </w:rPr>
              <w:t>2</w:t>
            </w:r>
            <w:r w:rsidR="005C0067">
              <w:rPr>
                <w:sz w:val="20"/>
                <w:szCs w:val="20"/>
                <w:lang w:eastAsia="en-US"/>
              </w:rPr>
              <w:t>.</w:t>
            </w:r>
            <w:r w:rsidR="003E3761">
              <w:rPr>
                <w:sz w:val="20"/>
                <w:szCs w:val="20"/>
                <w:lang w:eastAsia="en-US"/>
              </w:rPr>
              <w:t xml:space="preserve">    </w:t>
            </w:r>
            <w:r w:rsidRPr="003E3761" w:rsidR="003E3761">
              <w:rPr>
                <w:sz w:val="20"/>
                <w:szCs w:val="20"/>
                <w:lang w:eastAsia="en-US"/>
              </w:rPr>
              <w:t>PM</w:t>
            </w:r>
            <w:r w:rsidRPr="005C0067" w:rsidR="003E3761">
              <w:rPr>
                <w:sz w:val="20"/>
                <w:szCs w:val="20"/>
                <w:vertAlign w:val="subscript"/>
                <w:lang w:eastAsia="en-US"/>
              </w:rPr>
              <w:t xml:space="preserve">2,5 </w:t>
            </w:r>
            <w:r w:rsidRPr="003E3761" w:rsidR="003E3761">
              <w:rPr>
                <w:sz w:val="20"/>
                <w:szCs w:val="20"/>
                <w:lang w:eastAsia="en-US"/>
              </w:rPr>
              <w:t>alebo jemnými tuhými časticami sa rozumejú častice, ktoré prejdú zariadením so vstupným otvorom definovaným v referenčnej metóde na vzorkovanie a meranie PM10 podľa technickej normy a technickej normalizačnej informácii alebo iným obdobným technickým špecifikáciám s porovnateľným alebo prísnejším požiadavkám vo veci stanovenia hmotnostnej koncentrácie suspendovaných častíc</w:t>
            </w:r>
            <w:r w:rsidR="006F14F3">
              <w:rPr>
                <w:sz w:val="20"/>
                <w:szCs w:val="20"/>
                <w:vertAlign w:val="superscript"/>
                <w:lang w:eastAsia="en-US"/>
              </w:rPr>
              <w:t>108</w:t>
            </w:r>
            <w:r w:rsidRPr="003E3761" w:rsidR="003E3761">
              <w:rPr>
                <w:sz w:val="20"/>
                <w:szCs w:val="20"/>
                <w:lang w:eastAsia="en-US"/>
              </w:rPr>
              <w:t>) selektujúcim častice s aerodynamickým priemerom rovným alebo menším ako 2,5 μm s 50 % účinnosťou.</w:t>
            </w:r>
          </w:p>
          <w:p w:rsidR="003E3761" w:rsidP="003E3761">
            <w:pPr>
              <w:pStyle w:val="ListParagraph"/>
              <w:spacing w:line="240" w:lineRule="auto"/>
              <w:ind w:left="0"/>
              <w:contextualSpacing w:val="0"/>
              <w:jc w:val="both"/>
              <w:rPr>
                <w:b/>
              </w:rPr>
            </w:pPr>
            <w:r w:rsidR="006F14F3">
              <w:rPr>
                <w:sz w:val="20"/>
                <w:szCs w:val="20"/>
                <w:vertAlign w:val="superscript"/>
                <w:lang w:eastAsia="en-US"/>
              </w:rPr>
              <w:t>108</w:t>
            </w:r>
            <w:r w:rsidR="000945F4">
              <w:rPr>
                <w:sz w:val="20"/>
                <w:szCs w:val="20"/>
                <w:lang w:eastAsia="en-US"/>
              </w:rPr>
              <w:t>)</w:t>
            </w:r>
            <w:r>
              <w:rPr>
                <w:sz w:val="20"/>
                <w:szCs w:val="20"/>
                <w:lang w:eastAsia="en-US"/>
              </w:rPr>
              <w:t xml:space="preserve"> </w:t>
            </w:r>
            <w:r w:rsidRPr="00A33CB4">
              <w:rPr>
                <w:sz w:val="20"/>
                <w:szCs w:val="20"/>
                <w:lang w:eastAsia="en-US"/>
              </w:rPr>
              <w:t>STN EN 12341 Ochrana ovzdušia. Vonkajšie ovzdušie. Stanovenie hmotnostnej koncentrácie suspendovaných častíc PM</w:t>
            </w:r>
            <w:r w:rsidRPr="005C0067">
              <w:rPr>
                <w:sz w:val="20"/>
                <w:szCs w:val="20"/>
                <w:vertAlign w:val="subscript"/>
                <w:lang w:eastAsia="en-US"/>
              </w:rPr>
              <w:t>10</w:t>
            </w:r>
            <w:r w:rsidRPr="00A33CB4">
              <w:rPr>
                <w:sz w:val="20"/>
                <w:szCs w:val="20"/>
                <w:lang w:eastAsia="en-US"/>
              </w:rPr>
              <w:t xml:space="preserve"> alebo PM</w:t>
            </w:r>
            <w:r w:rsidRPr="005C0067">
              <w:rPr>
                <w:sz w:val="20"/>
                <w:szCs w:val="20"/>
                <w:vertAlign w:val="subscript"/>
                <w:lang w:eastAsia="en-US"/>
              </w:rPr>
              <w:t xml:space="preserve">2,5 </w:t>
            </w:r>
            <w:r w:rsidRPr="00A33CB4">
              <w:rPr>
                <w:sz w:val="20"/>
                <w:szCs w:val="20"/>
                <w:lang w:eastAsia="en-US"/>
              </w:rPr>
              <w:t>štandardnou gravimetrickou metódou merania (83 4602).</w:t>
            </w:r>
          </w:p>
        </w:tc>
        <w:tc>
          <w:tcPr>
            <w:tcW w:w="708" w:type="dxa"/>
          </w:tcPr>
          <w:p w:rsidR="009E530C" w:rsidRPr="001C6217">
            <w:pPr>
              <w:jc w:val="both"/>
              <w:rPr>
                <w:sz w:val="20"/>
              </w:rPr>
            </w:pPr>
            <w:r w:rsidRPr="001C6217" w:rsidR="001C6217">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9E530C">
            <w:pPr>
              <w:jc w:val="both"/>
              <w:rPr>
                <w:sz w:val="20"/>
              </w:rPr>
            </w:pPr>
            <w:r>
              <w:rPr>
                <w:sz w:val="20"/>
              </w:rPr>
              <w:t>Č2</w:t>
            </w:r>
          </w:p>
          <w:p w:rsidR="009E530C">
            <w:pPr>
              <w:jc w:val="both"/>
              <w:rPr>
                <w:sz w:val="20"/>
              </w:rPr>
            </w:pPr>
            <w:r>
              <w:rPr>
                <w:sz w:val="20"/>
              </w:rPr>
              <w:t>O20</w:t>
            </w:r>
          </w:p>
        </w:tc>
        <w:tc>
          <w:tcPr>
            <w:tcW w:w="4074" w:type="dxa"/>
            <w:tcBorders>
              <w:bottom w:val="single" w:sz="4" w:space="0" w:color="auto"/>
            </w:tcBorders>
          </w:tcPr>
          <w:p w:rsidR="009E530C" w:rsidP="001F4262">
            <w:pPr>
              <w:jc w:val="both"/>
              <w:rPr>
                <w:sz w:val="20"/>
              </w:rPr>
            </w:pPr>
            <w:r w:rsidR="001F4262">
              <w:rPr>
                <w:sz w:val="20"/>
              </w:rPr>
              <w:t xml:space="preserve">20. </w:t>
            </w:r>
            <w:r w:rsidRPr="001F4262" w:rsidR="001F4262">
              <w:rPr>
                <w:sz w:val="20"/>
              </w:rPr>
              <w:t>„indikátor priemernej expozície“ je priemerná úroveň určená na</w:t>
            </w:r>
            <w:r w:rsidR="00927F62">
              <w:rPr>
                <w:sz w:val="20"/>
              </w:rPr>
              <w:t xml:space="preserve"> </w:t>
            </w:r>
            <w:r w:rsidRPr="001F4262" w:rsidR="001F4262">
              <w:rPr>
                <w:sz w:val="20"/>
              </w:rPr>
              <w:t>základe meraní na mestských pozaďových miesta</w:t>
            </w:r>
            <w:r w:rsidRPr="001F4262" w:rsidR="001F4262">
              <w:rPr>
                <w:sz w:val="20"/>
              </w:rPr>
              <w:t>ch na celom</w:t>
            </w:r>
            <w:r w:rsidR="00927F62">
              <w:rPr>
                <w:sz w:val="20"/>
              </w:rPr>
              <w:t xml:space="preserve"> </w:t>
            </w:r>
            <w:r w:rsidRPr="001F4262" w:rsidR="001F4262">
              <w:rPr>
                <w:sz w:val="20"/>
              </w:rPr>
              <w:t>území členského štátu, ktorá odráža expozíciu obyvateľstva;</w:t>
            </w:r>
            <w:r w:rsidR="00927F62">
              <w:rPr>
                <w:sz w:val="20"/>
              </w:rPr>
              <w:t xml:space="preserve"> </w:t>
            </w:r>
            <w:r w:rsidRPr="001F4262" w:rsidR="001F4262">
              <w:rPr>
                <w:sz w:val="20"/>
              </w:rPr>
              <w:t>používa sa na výpočet národného cieľa zníženia expozície a</w:t>
            </w:r>
            <w:r w:rsidR="00927F62">
              <w:rPr>
                <w:sz w:val="20"/>
              </w:rPr>
              <w:t> </w:t>
            </w:r>
            <w:r w:rsidRPr="001F4262" w:rsidR="001F4262">
              <w:rPr>
                <w:sz w:val="20"/>
              </w:rPr>
              <w:t>záväzku</w:t>
            </w:r>
            <w:r w:rsidR="00927F62">
              <w:rPr>
                <w:sz w:val="20"/>
              </w:rPr>
              <w:t xml:space="preserve"> </w:t>
            </w:r>
            <w:r w:rsidRPr="001F4262" w:rsidR="001F4262">
              <w:rPr>
                <w:sz w:val="20"/>
              </w:rPr>
              <w:t>zníženia koncentrácie expozície;</w:t>
            </w:r>
          </w:p>
          <w:p w:rsidR="001F4262" w:rsidP="001F4262">
            <w:pPr>
              <w:jc w:val="both"/>
              <w:rPr>
                <w:sz w:val="20"/>
              </w:rPr>
            </w:pPr>
          </w:p>
        </w:tc>
        <w:tc>
          <w:tcPr>
            <w:tcW w:w="747" w:type="dxa"/>
          </w:tcPr>
          <w:p w:rsidR="009E530C" w:rsidRPr="00D86B9D" w:rsidP="00D86B9D">
            <w:pPr>
              <w:ind w:right="-249"/>
              <w:rPr>
                <w:sz w:val="20"/>
              </w:rPr>
            </w:pPr>
            <w:r w:rsidR="004A5411">
              <w:rPr>
                <w:sz w:val="20"/>
              </w:rPr>
              <w:t>N</w:t>
            </w:r>
          </w:p>
        </w:tc>
        <w:tc>
          <w:tcPr>
            <w:tcW w:w="574" w:type="dxa"/>
          </w:tcPr>
          <w:p w:rsidR="009E530C" w:rsidRPr="004A5411">
            <w:pPr>
              <w:jc w:val="both"/>
              <w:rPr>
                <w:sz w:val="20"/>
              </w:rPr>
            </w:pPr>
            <w:r w:rsidRPr="004A5411" w:rsidR="004A5411">
              <w:rPr>
                <w:sz w:val="20"/>
              </w:rPr>
              <w:t>NZ</w:t>
            </w:r>
          </w:p>
        </w:tc>
        <w:tc>
          <w:tcPr>
            <w:tcW w:w="701" w:type="dxa"/>
          </w:tcPr>
          <w:p w:rsidR="004A5411" w:rsidRPr="00743DBC" w:rsidP="004A5411">
            <w:pPr>
              <w:pStyle w:val="Paragrafyzkona"/>
              <w:spacing w:before="0" w:line="240" w:lineRule="auto"/>
              <w:jc w:val="left"/>
              <w:rPr>
                <w:b w:val="0"/>
                <w:sz w:val="20"/>
                <w:szCs w:val="20"/>
                <w:lang w:eastAsia="en-US"/>
              </w:rPr>
            </w:pPr>
            <w:r>
              <w:rPr>
                <w:b w:val="0"/>
                <w:sz w:val="20"/>
                <w:szCs w:val="20"/>
                <w:lang w:eastAsia="en-US"/>
              </w:rPr>
              <w:t>§ 3</w:t>
            </w:r>
          </w:p>
          <w:p w:rsidR="004A5411" w:rsidP="004A5411">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10</w:t>
            </w:r>
          </w:p>
          <w:p w:rsidR="004A5411" w:rsidRPr="00743DBC" w:rsidP="004A5411">
            <w:pPr>
              <w:pStyle w:val="Paragrafyzkona"/>
              <w:spacing w:before="0" w:line="240" w:lineRule="auto"/>
              <w:jc w:val="left"/>
              <w:rPr>
                <w:b w:val="0"/>
                <w:sz w:val="20"/>
                <w:szCs w:val="20"/>
                <w:lang w:eastAsia="en-US"/>
              </w:rPr>
            </w:pPr>
          </w:p>
          <w:p w:rsidR="009E530C" w:rsidRPr="008658BB" w:rsidP="00E95D21">
            <w:pPr>
              <w:jc w:val="both"/>
              <w:rPr>
                <w:b/>
                <w:sz w:val="20"/>
              </w:rPr>
            </w:pPr>
          </w:p>
        </w:tc>
        <w:tc>
          <w:tcPr>
            <w:tcW w:w="7797" w:type="dxa"/>
          </w:tcPr>
          <w:p w:rsidR="004A5411" w:rsidRPr="004A5411" w:rsidP="004A5411">
            <w:pPr>
              <w:pStyle w:val="ListParagraph"/>
              <w:spacing w:after="360" w:line="240" w:lineRule="auto"/>
              <w:ind w:left="0"/>
              <w:contextualSpacing w:val="0"/>
              <w:jc w:val="both"/>
              <w:rPr>
                <w:sz w:val="20"/>
                <w:szCs w:val="20"/>
                <w:lang w:eastAsia="en-US"/>
              </w:rPr>
            </w:pPr>
            <w:r>
              <w:rPr>
                <w:sz w:val="20"/>
                <w:szCs w:val="20"/>
                <w:lang w:eastAsia="en-US"/>
              </w:rPr>
              <w:t xml:space="preserve">(10) </w:t>
            </w:r>
            <w:r w:rsidRPr="004A5411">
              <w:rPr>
                <w:sz w:val="20"/>
                <w:szCs w:val="20"/>
                <w:lang w:eastAsia="en-US"/>
              </w:rPr>
              <w:t>Indikátorom priemernej expozície pre PM</w:t>
            </w:r>
            <w:r w:rsidRPr="005C0067">
              <w:rPr>
                <w:sz w:val="20"/>
                <w:szCs w:val="20"/>
                <w:vertAlign w:val="subscript"/>
                <w:lang w:eastAsia="en-US"/>
              </w:rPr>
              <w:t xml:space="preserve">2,5 </w:t>
            </w:r>
            <w:r w:rsidRPr="004A5411">
              <w:rPr>
                <w:sz w:val="20"/>
                <w:szCs w:val="20"/>
                <w:lang w:eastAsia="en-US"/>
              </w:rPr>
              <w:t>je priemerná úroveň znečistenia ovzdušia, ktorá odráža expozíciu obyvateľstva, určená na základe meraní na mestských pozaďových miestach na celom území Slovenskej republiky; mestským pozaďovým miestom je miesto v mestskej oblasti, kde je úroveň znečistenia ovzdušia reprezentatívna pre expozíciu bežného mestského obyvateľstva. Indikátor priemernej expozície pre PM</w:t>
            </w:r>
            <w:r w:rsidRPr="005C0067">
              <w:rPr>
                <w:sz w:val="20"/>
                <w:szCs w:val="20"/>
                <w:vertAlign w:val="subscript"/>
                <w:lang w:eastAsia="en-US"/>
              </w:rPr>
              <w:t xml:space="preserve">2,5 </w:t>
            </w:r>
            <w:r w:rsidRPr="004A5411">
              <w:rPr>
                <w:sz w:val="20"/>
                <w:szCs w:val="20"/>
                <w:lang w:eastAsia="en-US"/>
              </w:rPr>
              <w:t>nesmie presiahnuť ustanovený záväzok zníženia expozície na rok 2015.</w:t>
            </w:r>
          </w:p>
          <w:p w:rsidR="009E530C" w:rsidP="008658BB">
            <w:pPr>
              <w:pStyle w:val="Normlny"/>
              <w:jc w:val="center"/>
              <w:rPr>
                <w:b/>
              </w:rPr>
            </w:pPr>
          </w:p>
        </w:tc>
        <w:tc>
          <w:tcPr>
            <w:tcW w:w="708" w:type="dxa"/>
          </w:tcPr>
          <w:p w:rsidR="009E530C" w:rsidRPr="004A5411">
            <w:pPr>
              <w:jc w:val="both"/>
              <w:rPr>
                <w:sz w:val="20"/>
              </w:rPr>
            </w:pPr>
            <w:r w:rsidRPr="004A5411" w:rsidR="004A5411">
              <w:rPr>
                <w:sz w:val="20"/>
              </w:rPr>
              <w:t>Ú</w:t>
            </w:r>
          </w:p>
        </w:tc>
        <w:tc>
          <w:tcPr>
            <w:tcW w:w="1130" w:type="dxa"/>
          </w:tcPr>
          <w:p w:rsidR="009E530C"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O21</w:t>
            </w:r>
          </w:p>
        </w:tc>
        <w:tc>
          <w:tcPr>
            <w:tcW w:w="4074" w:type="dxa"/>
            <w:tcBorders>
              <w:bottom w:val="single" w:sz="4" w:space="0" w:color="auto"/>
            </w:tcBorders>
          </w:tcPr>
          <w:p w:rsidR="001F4262" w:rsidP="001F4262">
            <w:pPr>
              <w:jc w:val="both"/>
              <w:rPr>
                <w:sz w:val="20"/>
              </w:rPr>
            </w:pPr>
            <w:r>
              <w:rPr>
                <w:sz w:val="20"/>
              </w:rPr>
              <w:t xml:space="preserve">21. </w:t>
            </w:r>
            <w:r w:rsidRPr="001F4262">
              <w:rPr>
                <w:sz w:val="20"/>
              </w:rPr>
              <w:t>„záväzok zníženia koncentrácie expozície“ je úroveň stanovená na</w:t>
            </w:r>
            <w:r w:rsidR="00927F62">
              <w:rPr>
                <w:sz w:val="20"/>
              </w:rPr>
              <w:t xml:space="preserve"> </w:t>
            </w:r>
            <w:r w:rsidRPr="001F4262">
              <w:rPr>
                <w:sz w:val="20"/>
              </w:rPr>
              <w:t>základe indikátora priemernej expozície s cieľom znížiť škodlivé</w:t>
            </w:r>
            <w:r w:rsidR="00927F62">
              <w:rPr>
                <w:sz w:val="20"/>
              </w:rPr>
              <w:t xml:space="preserve"> </w:t>
            </w:r>
            <w:r w:rsidRPr="001F4262">
              <w:rPr>
                <w:sz w:val="20"/>
              </w:rPr>
              <w:t>vplyvy na zdravie ľudí, ktorá sa dosiahne v danom období;</w:t>
            </w:r>
          </w:p>
          <w:p w:rsidR="001F4262" w:rsidP="001F4262">
            <w:pPr>
              <w:jc w:val="both"/>
              <w:rPr>
                <w:sz w:val="20"/>
              </w:rPr>
            </w:pPr>
          </w:p>
        </w:tc>
        <w:tc>
          <w:tcPr>
            <w:tcW w:w="747" w:type="dxa"/>
          </w:tcPr>
          <w:p w:rsidR="001F4262" w:rsidRPr="00D86B9D" w:rsidP="00D86B9D">
            <w:pPr>
              <w:ind w:right="-249"/>
              <w:rPr>
                <w:sz w:val="20"/>
              </w:rPr>
            </w:pPr>
            <w:r w:rsidR="00B014BB">
              <w:rPr>
                <w:sz w:val="20"/>
              </w:rPr>
              <w:t>N</w:t>
            </w:r>
          </w:p>
        </w:tc>
        <w:tc>
          <w:tcPr>
            <w:tcW w:w="574" w:type="dxa"/>
          </w:tcPr>
          <w:p w:rsidR="001F4262" w:rsidRPr="00B014BB">
            <w:pPr>
              <w:jc w:val="both"/>
              <w:rPr>
                <w:sz w:val="20"/>
              </w:rPr>
            </w:pPr>
            <w:r w:rsidRPr="00B014BB" w:rsidR="00B014BB">
              <w:rPr>
                <w:sz w:val="20"/>
              </w:rPr>
              <w:t>NZ</w:t>
            </w:r>
          </w:p>
        </w:tc>
        <w:tc>
          <w:tcPr>
            <w:tcW w:w="701" w:type="dxa"/>
          </w:tcPr>
          <w:p w:rsidR="00B014BB" w:rsidRPr="00743DBC" w:rsidP="00B014BB">
            <w:pPr>
              <w:pStyle w:val="Paragrafyzkona"/>
              <w:spacing w:before="0" w:line="240" w:lineRule="auto"/>
              <w:jc w:val="left"/>
              <w:rPr>
                <w:b w:val="0"/>
                <w:sz w:val="20"/>
                <w:szCs w:val="20"/>
                <w:lang w:eastAsia="en-US"/>
              </w:rPr>
            </w:pPr>
            <w:r>
              <w:rPr>
                <w:b w:val="0"/>
                <w:sz w:val="20"/>
                <w:szCs w:val="20"/>
                <w:lang w:eastAsia="en-US"/>
              </w:rPr>
              <w:t>§ 3</w:t>
            </w:r>
          </w:p>
          <w:p w:rsidR="00B014BB" w:rsidP="00B014BB">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11</w:t>
            </w:r>
          </w:p>
          <w:p w:rsidR="001F4262" w:rsidRPr="008658BB" w:rsidP="00E95D21">
            <w:pPr>
              <w:jc w:val="both"/>
              <w:rPr>
                <w:b/>
                <w:sz w:val="20"/>
              </w:rPr>
            </w:pPr>
          </w:p>
        </w:tc>
        <w:tc>
          <w:tcPr>
            <w:tcW w:w="7797" w:type="dxa"/>
          </w:tcPr>
          <w:p w:rsidR="00B014BB" w:rsidRPr="00B014BB" w:rsidP="00B014BB">
            <w:pPr>
              <w:pStyle w:val="ListParagraph"/>
              <w:spacing w:after="360" w:line="240" w:lineRule="auto"/>
              <w:ind w:left="0"/>
              <w:contextualSpacing w:val="0"/>
              <w:jc w:val="both"/>
              <w:rPr>
                <w:sz w:val="20"/>
                <w:szCs w:val="20"/>
                <w:lang w:eastAsia="en-US"/>
              </w:rPr>
            </w:pPr>
            <w:r w:rsidRPr="00B014BB">
              <w:rPr>
                <w:sz w:val="20"/>
                <w:szCs w:val="20"/>
                <w:lang w:eastAsia="en-US"/>
              </w:rPr>
              <w:t>(11) Záväzkom zníženia expozície pre PM</w:t>
            </w:r>
            <w:r w:rsidRPr="000945F4">
              <w:rPr>
                <w:sz w:val="20"/>
                <w:szCs w:val="20"/>
                <w:vertAlign w:val="subscript"/>
                <w:lang w:eastAsia="en-US"/>
              </w:rPr>
              <w:t xml:space="preserve">2,5 </w:t>
            </w:r>
            <w:r w:rsidRPr="00B014BB">
              <w:rPr>
                <w:sz w:val="20"/>
                <w:szCs w:val="20"/>
                <w:lang w:eastAsia="en-US"/>
              </w:rPr>
              <w:t>je úroveň znečistenia ovzdušia určená na základe indikátora priemernej expozície s cieľom znížiť škodlivé vplyvy na zdravie ľudí, ktorá sa dosiahne v danom čase podľa ustanovených požiadaviek.</w:t>
            </w:r>
          </w:p>
          <w:p w:rsidR="001F4262" w:rsidP="008658BB">
            <w:pPr>
              <w:pStyle w:val="Normlny"/>
              <w:jc w:val="center"/>
              <w:rPr>
                <w:b/>
              </w:rPr>
            </w:pPr>
          </w:p>
        </w:tc>
        <w:tc>
          <w:tcPr>
            <w:tcW w:w="708" w:type="dxa"/>
          </w:tcPr>
          <w:p w:rsidR="001F4262" w:rsidRPr="00B014BB">
            <w:pPr>
              <w:jc w:val="both"/>
              <w:rPr>
                <w:sz w:val="20"/>
              </w:rPr>
            </w:pPr>
            <w:r w:rsidRPr="00B014BB" w:rsidR="00B014BB">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O22</w:t>
            </w:r>
          </w:p>
        </w:tc>
        <w:tc>
          <w:tcPr>
            <w:tcW w:w="4074" w:type="dxa"/>
            <w:tcBorders>
              <w:bottom w:val="single" w:sz="4" w:space="0" w:color="auto"/>
            </w:tcBorders>
          </w:tcPr>
          <w:p w:rsidR="001F4262" w:rsidP="001F4262">
            <w:pPr>
              <w:jc w:val="both"/>
              <w:rPr>
                <w:sz w:val="20"/>
              </w:rPr>
            </w:pPr>
            <w:r>
              <w:rPr>
                <w:sz w:val="20"/>
              </w:rPr>
              <w:t xml:space="preserve">22. </w:t>
            </w:r>
            <w:r w:rsidRPr="001F4262">
              <w:rPr>
                <w:sz w:val="20"/>
              </w:rPr>
              <w:t>„národný cieľ zníženia expozície“ je percentuálne zníženie priemernej expozície obyvateľstva členského štátu stanovené na referenčný rok s cieľom znížiť škodlivé vplyvy na zdravie ľudí, ktoré</w:t>
            </w:r>
            <w:r w:rsidR="003529C9">
              <w:rPr>
                <w:sz w:val="20"/>
              </w:rPr>
              <w:t xml:space="preserve"> </w:t>
            </w:r>
            <w:r w:rsidRPr="001F4262">
              <w:rPr>
                <w:sz w:val="20"/>
              </w:rPr>
              <w:t>sa má dosiahnuť v danom období tam, kde je to možné;</w:t>
            </w:r>
          </w:p>
          <w:p w:rsidR="001F4262" w:rsidP="001F4262">
            <w:pPr>
              <w:jc w:val="both"/>
              <w:rPr>
                <w:sz w:val="20"/>
              </w:rPr>
            </w:pPr>
          </w:p>
        </w:tc>
        <w:tc>
          <w:tcPr>
            <w:tcW w:w="747" w:type="dxa"/>
          </w:tcPr>
          <w:p w:rsidR="001F4262" w:rsidRPr="00D86B9D" w:rsidP="00D86B9D">
            <w:pPr>
              <w:ind w:right="-249"/>
              <w:rPr>
                <w:sz w:val="20"/>
              </w:rPr>
            </w:pPr>
            <w:r w:rsidR="009443B9">
              <w:rPr>
                <w:sz w:val="20"/>
              </w:rPr>
              <w:t>N</w:t>
            </w:r>
          </w:p>
        </w:tc>
        <w:tc>
          <w:tcPr>
            <w:tcW w:w="574" w:type="dxa"/>
          </w:tcPr>
          <w:p w:rsidR="001F4262" w:rsidRPr="009443B9">
            <w:pPr>
              <w:jc w:val="both"/>
              <w:rPr>
                <w:sz w:val="20"/>
              </w:rPr>
            </w:pPr>
            <w:r w:rsidRPr="009443B9" w:rsidR="009443B9">
              <w:rPr>
                <w:sz w:val="20"/>
              </w:rPr>
              <w:t>NZ</w:t>
            </w:r>
          </w:p>
        </w:tc>
        <w:tc>
          <w:tcPr>
            <w:tcW w:w="701" w:type="dxa"/>
          </w:tcPr>
          <w:p w:rsidR="009443B9" w:rsidRPr="00743DBC" w:rsidP="009443B9">
            <w:pPr>
              <w:pStyle w:val="Paragrafyzkona"/>
              <w:spacing w:before="0" w:line="240" w:lineRule="auto"/>
              <w:jc w:val="left"/>
              <w:rPr>
                <w:b w:val="0"/>
                <w:sz w:val="20"/>
                <w:szCs w:val="20"/>
                <w:lang w:eastAsia="en-US"/>
              </w:rPr>
            </w:pPr>
            <w:r>
              <w:rPr>
                <w:b w:val="0"/>
                <w:sz w:val="20"/>
                <w:szCs w:val="20"/>
                <w:lang w:eastAsia="en-US"/>
              </w:rPr>
              <w:t>§ 3</w:t>
            </w:r>
          </w:p>
          <w:p w:rsidR="009443B9" w:rsidP="009443B9">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12</w:t>
            </w:r>
          </w:p>
          <w:p w:rsidR="001F4262" w:rsidRPr="008658BB" w:rsidP="00E95D21">
            <w:pPr>
              <w:jc w:val="both"/>
              <w:rPr>
                <w:b/>
                <w:sz w:val="20"/>
              </w:rPr>
            </w:pPr>
          </w:p>
        </w:tc>
        <w:tc>
          <w:tcPr>
            <w:tcW w:w="7797" w:type="dxa"/>
          </w:tcPr>
          <w:p w:rsidR="009443B9" w:rsidRPr="009443B9" w:rsidP="009443B9">
            <w:pPr>
              <w:pStyle w:val="ListParagraph"/>
              <w:spacing w:after="360" w:line="240" w:lineRule="auto"/>
              <w:ind w:left="0"/>
              <w:contextualSpacing w:val="0"/>
              <w:jc w:val="both"/>
              <w:rPr>
                <w:sz w:val="20"/>
                <w:szCs w:val="20"/>
                <w:lang w:eastAsia="en-US"/>
              </w:rPr>
            </w:pPr>
            <w:r w:rsidRPr="009443B9">
              <w:rPr>
                <w:sz w:val="20"/>
                <w:szCs w:val="20"/>
                <w:lang w:eastAsia="en-US"/>
              </w:rPr>
              <w:t>(12) Národným cieľom zníženia expozície pre PM</w:t>
            </w:r>
            <w:r w:rsidRPr="005C0067">
              <w:rPr>
                <w:sz w:val="20"/>
                <w:szCs w:val="20"/>
                <w:vertAlign w:val="subscript"/>
                <w:lang w:eastAsia="en-US"/>
              </w:rPr>
              <w:t>2,5</w:t>
            </w:r>
            <w:r w:rsidRPr="009443B9">
              <w:rPr>
                <w:sz w:val="20"/>
                <w:szCs w:val="20"/>
                <w:lang w:eastAsia="en-US"/>
              </w:rPr>
              <w:t xml:space="preserve"> je percentuálne zníženie priemernej expozície obyvateľstva Slovenskej republiky ustanovené na rok 2020 s cieľom znížiť škodlivé vplyvy na zdravie ľudí, ktoré sa má dosiahnuť v danom čase tam, kde je to možné a neprekročiť ho v ďalšom období.</w:t>
            </w:r>
          </w:p>
          <w:p w:rsidR="001F4262" w:rsidP="008658BB">
            <w:pPr>
              <w:pStyle w:val="Normlny"/>
              <w:jc w:val="center"/>
              <w:rPr>
                <w:b/>
              </w:rPr>
            </w:pPr>
          </w:p>
        </w:tc>
        <w:tc>
          <w:tcPr>
            <w:tcW w:w="708" w:type="dxa"/>
          </w:tcPr>
          <w:p w:rsidR="001F4262" w:rsidRPr="009443B9">
            <w:pPr>
              <w:jc w:val="both"/>
              <w:rPr>
                <w:sz w:val="20"/>
              </w:rPr>
            </w:pPr>
            <w:r w:rsidRPr="009443B9" w:rsidR="009443B9">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O23</w:t>
            </w:r>
          </w:p>
        </w:tc>
        <w:tc>
          <w:tcPr>
            <w:tcW w:w="4074" w:type="dxa"/>
            <w:tcBorders>
              <w:bottom w:val="single" w:sz="4" w:space="0" w:color="auto"/>
            </w:tcBorders>
          </w:tcPr>
          <w:p w:rsidR="001F4262" w:rsidRPr="001F4262" w:rsidP="001F4262">
            <w:pPr>
              <w:jc w:val="both"/>
              <w:rPr>
                <w:sz w:val="20"/>
              </w:rPr>
            </w:pPr>
            <w:r>
              <w:rPr>
                <w:sz w:val="20"/>
              </w:rPr>
              <w:t xml:space="preserve">23. </w:t>
            </w:r>
            <w:r w:rsidRPr="001F4262">
              <w:rPr>
                <w:sz w:val="20"/>
              </w:rPr>
              <w:t>„mestské pozaďové miesta“ sú miesta v mestských oblastiach, kde</w:t>
            </w:r>
          </w:p>
          <w:p w:rsidR="001F4262" w:rsidP="001F4262">
            <w:pPr>
              <w:jc w:val="both"/>
              <w:rPr>
                <w:sz w:val="20"/>
              </w:rPr>
            </w:pPr>
            <w:r w:rsidRPr="001F4262">
              <w:rPr>
                <w:sz w:val="20"/>
              </w:rPr>
              <w:t>sú úrovne reprezentatívne pre expozíciu bežného mestského obyvateľstva;</w:t>
            </w:r>
          </w:p>
        </w:tc>
        <w:tc>
          <w:tcPr>
            <w:tcW w:w="747" w:type="dxa"/>
          </w:tcPr>
          <w:p w:rsidR="001F4262" w:rsidRPr="00D86B9D" w:rsidP="00D86B9D">
            <w:pPr>
              <w:ind w:right="-249"/>
              <w:rPr>
                <w:sz w:val="20"/>
              </w:rPr>
            </w:pPr>
            <w:r w:rsidR="005528D9">
              <w:rPr>
                <w:sz w:val="20"/>
              </w:rPr>
              <w:t>N</w:t>
            </w:r>
          </w:p>
        </w:tc>
        <w:tc>
          <w:tcPr>
            <w:tcW w:w="574" w:type="dxa"/>
          </w:tcPr>
          <w:p w:rsidR="001F4262" w:rsidRPr="005528D9">
            <w:pPr>
              <w:jc w:val="both"/>
              <w:rPr>
                <w:sz w:val="20"/>
              </w:rPr>
            </w:pPr>
            <w:r w:rsidRPr="005528D9" w:rsidR="005528D9">
              <w:rPr>
                <w:sz w:val="20"/>
              </w:rPr>
              <w:t>NZ</w:t>
            </w:r>
          </w:p>
        </w:tc>
        <w:tc>
          <w:tcPr>
            <w:tcW w:w="701" w:type="dxa"/>
          </w:tcPr>
          <w:p w:rsidR="005528D9" w:rsidRPr="00743DBC" w:rsidP="005528D9">
            <w:pPr>
              <w:pStyle w:val="Paragrafyzkona"/>
              <w:spacing w:before="0" w:line="240" w:lineRule="auto"/>
              <w:jc w:val="left"/>
              <w:rPr>
                <w:b w:val="0"/>
                <w:sz w:val="20"/>
                <w:szCs w:val="20"/>
                <w:lang w:eastAsia="en-US"/>
              </w:rPr>
            </w:pPr>
            <w:r w:rsidR="006068A6">
              <w:rPr>
                <w:b w:val="0"/>
                <w:sz w:val="20"/>
                <w:szCs w:val="20"/>
                <w:lang w:eastAsia="en-US"/>
              </w:rPr>
              <w:t>§ 3</w:t>
            </w:r>
          </w:p>
          <w:p w:rsidR="005528D9" w:rsidP="005528D9">
            <w:pPr>
              <w:pStyle w:val="Paragrafyzkona"/>
              <w:spacing w:before="0" w:line="240" w:lineRule="auto"/>
              <w:jc w:val="left"/>
              <w:rPr>
                <w:b w:val="0"/>
                <w:sz w:val="20"/>
                <w:szCs w:val="20"/>
                <w:lang w:eastAsia="en-US"/>
              </w:rPr>
            </w:pPr>
            <w:r w:rsidRPr="00743DBC">
              <w:rPr>
                <w:b w:val="0"/>
                <w:sz w:val="20"/>
                <w:szCs w:val="20"/>
                <w:lang w:eastAsia="en-US"/>
              </w:rPr>
              <w:t>O</w:t>
            </w:r>
            <w:r w:rsidR="006068A6">
              <w:rPr>
                <w:b w:val="0"/>
                <w:sz w:val="20"/>
                <w:szCs w:val="20"/>
                <w:lang w:eastAsia="en-US"/>
              </w:rPr>
              <w:t>10</w:t>
            </w:r>
          </w:p>
          <w:p w:rsidR="005528D9" w:rsidP="005528D9">
            <w:pPr>
              <w:pStyle w:val="Paragrafyzkona"/>
              <w:spacing w:before="0" w:line="240" w:lineRule="auto"/>
              <w:jc w:val="left"/>
              <w:rPr>
                <w:b w:val="0"/>
                <w:sz w:val="20"/>
                <w:szCs w:val="20"/>
                <w:lang w:eastAsia="en-US"/>
              </w:rPr>
            </w:pPr>
          </w:p>
          <w:p w:rsidR="001F4262" w:rsidRPr="008658BB" w:rsidP="00E95D21">
            <w:pPr>
              <w:jc w:val="both"/>
              <w:rPr>
                <w:b/>
                <w:sz w:val="20"/>
              </w:rPr>
            </w:pPr>
          </w:p>
        </w:tc>
        <w:tc>
          <w:tcPr>
            <w:tcW w:w="7797" w:type="dxa"/>
          </w:tcPr>
          <w:p w:rsidR="001F4262" w:rsidRPr="006068A6" w:rsidP="00FD2F4E">
            <w:pPr>
              <w:pStyle w:val="ListParagraph"/>
              <w:spacing w:after="360" w:line="240" w:lineRule="auto"/>
              <w:ind w:left="0"/>
              <w:contextualSpacing w:val="0"/>
              <w:jc w:val="both"/>
              <w:rPr>
                <w:sz w:val="20"/>
                <w:szCs w:val="20"/>
                <w:lang w:eastAsia="en-US"/>
              </w:rPr>
            </w:pPr>
            <w:r w:rsidR="006068A6">
              <w:rPr>
                <w:sz w:val="20"/>
                <w:szCs w:val="20"/>
                <w:lang w:eastAsia="en-US"/>
              </w:rPr>
              <w:t xml:space="preserve">(10) </w:t>
            </w:r>
            <w:r w:rsidRPr="006068A6" w:rsidR="006068A6">
              <w:rPr>
                <w:sz w:val="20"/>
                <w:szCs w:val="20"/>
                <w:lang w:eastAsia="en-US"/>
              </w:rPr>
              <w:t>mestským pozaďovým miestom je miesto v mestskej oblasti, kde je úroveň znečistenia ovzdušia reprezentatívna pre expozíciu bežného mestského obyvateľstva. Indikátor priemernej expo</w:t>
            </w:r>
            <w:r w:rsidRPr="006068A6" w:rsidR="006068A6">
              <w:rPr>
                <w:sz w:val="20"/>
                <w:szCs w:val="20"/>
                <w:lang w:eastAsia="en-US"/>
              </w:rPr>
              <w:t>zície pre PM</w:t>
            </w:r>
            <w:r w:rsidRPr="005C0067" w:rsidR="006068A6">
              <w:rPr>
                <w:sz w:val="20"/>
                <w:szCs w:val="20"/>
                <w:vertAlign w:val="subscript"/>
                <w:lang w:eastAsia="en-US"/>
              </w:rPr>
              <w:t xml:space="preserve">2,5 </w:t>
            </w:r>
            <w:r w:rsidRPr="006068A6" w:rsidR="006068A6">
              <w:rPr>
                <w:sz w:val="20"/>
                <w:szCs w:val="20"/>
                <w:lang w:eastAsia="en-US"/>
              </w:rPr>
              <w:t>nesmie presiahnuť ustanovený záväzok zníženia expozície na rok 2015.</w:t>
            </w:r>
          </w:p>
        </w:tc>
        <w:tc>
          <w:tcPr>
            <w:tcW w:w="708" w:type="dxa"/>
          </w:tcPr>
          <w:p w:rsidR="001F4262" w:rsidRPr="005528D9">
            <w:pPr>
              <w:jc w:val="both"/>
              <w:rPr>
                <w:sz w:val="20"/>
              </w:rPr>
            </w:pPr>
            <w:r w:rsidRPr="005528D9" w:rsidR="005528D9">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1004"/>
        </w:trPr>
        <w:tc>
          <w:tcPr>
            <w:tcW w:w="850" w:type="dxa"/>
          </w:tcPr>
          <w:p w:rsidR="001F4262">
            <w:pPr>
              <w:jc w:val="both"/>
              <w:rPr>
                <w:sz w:val="20"/>
              </w:rPr>
            </w:pPr>
            <w:r>
              <w:rPr>
                <w:sz w:val="20"/>
              </w:rPr>
              <w:t>Č2</w:t>
            </w:r>
          </w:p>
          <w:p w:rsidR="001F4262">
            <w:pPr>
              <w:jc w:val="both"/>
              <w:rPr>
                <w:sz w:val="20"/>
              </w:rPr>
            </w:pPr>
            <w:r>
              <w:rPr>
                <w:sz w:val="20"/>
              </w:rPr>
              <w:t>O24</w:t>
            </w:r>
          </w:p>
        </w:tc>
        <w:tc>
          <w:tcPr>
            <w:tcW w:w="4074" w:type="dxa"/>
            <w:tcBorders>
              <w:bottom w:val="single" w:sz="4" w:space="0" w:color="auto"/>
            </w:tcBorders>
          </w:tcPr>
          <w:p w:rsidR="001F4262" w:rsidP="001F4262">
            <w:pPr>
              <w:jc w:val="both"/>
              <w:rPr>
                <w:sz w:val="20"/>
              </w:rPr>
            </w:pPr>
            <w:r>
              <w:rPr>
                <w:sz w:val="20"/>
              </w:rPr>
              <w:t xml:space="preserve">24. </w:t>
            </w:r>
            <w:r w:rsidRPr="001F4262">
              <w:rPr>
                <w:sz w:val="20"/>
              </w:rPr>
              <w:t>„oxidy dusíka“ je súčet zmiešavacích pomerov oxidu dusnatého</w:t>
            </w:r>
            <w:r>
              <w:rPr>
                <w:sz w:val="20"/>
              </w:rPr>
              <w:t xml:space="preserve"> </w:t>
            </w:r>
            <w:r w:rsidRPr="001F4262">
              <w:rPr>
                <w:sz w:val="20"/>
              </w:rPr>
              <w:t>a oxidu dusičitého v jednotke objemu vzduchu (ppbv) vyjadrený</w:t>
            </w:r>
            <w:r>
              <w:rPr>
                <w:sz w:val="20"/>
              </w:rPr>
              <w:t xml:space="preserve"> </w:t>
            </w:r>
            <w:r w:rsidRPr="001F4262">
              <w:rPr>
                <w:sz w:val="20"/>
              </w:rPr>
              <w:t>v jednotkách hmotnostnej koncentrácie oxidu dusičitého (μg/m</w:t>
            </w:r>
            <w:r w:rsidRPr="003529C9">
              <w:rPr>
                <w:sz w:val="20"/>
                <w:vertAlign w:val="superscript"/>
              </w:rPr>
              <w:t>3</w:t>
            </w:r>
            <w:r w:rsidRPr="001F4262">
              <w:rPr>
                <w:sz w:val="20"/>
              </w:rPr>
              <w:t>);</w:t>
            </w:r>
          </w:p>
          <w:p w:rsidR="00907733" w:rsidP="001F4262">
            <w:pPr>
              <w:jc w:val="both"/>
              <w:rPr>
                <w:sz w:val="20"/>
              </w:rPr>
            </w:pPr>
          </w:p>
        </w:tc>
        <w:tc>
          <w:tcPr>
            <w:tcW w:w="747" w:type="dxa"/>
          </w:tcPr>
          <w:p w:rsidR="001F4262" w:rsidRPr="00D86B9D" w:rsidP="00D86B9D">
            <w:pPr>
              <w:ind w:right="-249"/>
              <w:rPr>
                <w:sz w:val="20"/>
              </w:rPr>
            </w:pPr>
            <w:r w:rsidR="0034359A">
              <w:rPr>
                <w:sz w:val="20"/>
              </w:rPr>
              <w:t>N</w:t>
            </w:r>
          </w:p>
        </w:tc>
        <w:tc>
          <w:tcPr>
            <w:tcW w:w="574" w:type="dxa"/>
          </w:tcPr>
          <w:p w:rsidR="001F4262" w:rsidRPr="0034359A">
            <w:pPr>
              <w:jc w:val="both"/>
              <w:rPr>
                <w:sz w:val="20"/>
              </w:rPr>
            </w:pPr>
            <w:r w:rsidRPr="0034359A" w:rsidR="0034359A">
              <w:rPr>
                <w:sz w:val="20"/>
              </w:rPr>
              <w:t>NZ</w:t>
            </w:r>
          </w:p>
        </w:tc>
        <w:tc>
          <w:tcPr>
            <w:tcW w:w="701" w:type="dxa"/>
          </w:tcPr>
          <w:p w:rsidR="0034359A" w:rsidRPr="00B76197" w:rsidP="0034359A">
            <w:pPr>
              <w:jc w:val="both"/>
              <w:rPr>
                <w:sz w:val="20"/>
              </w:rPr>
            </w:pPr>
            <w:r w:rsidRPr="00B76197">
              <w:rPr>
                <w:sz w:val="20"/>
              </w:rPr>
              <w:t>Príl.</w:t>
            </w:r>
            <w:r w:rsidR="00B52C52">
              <w:rPr>
                <w:sz w:val="20"/>
              </w:rPr>
              <w:t>1</w:t>
            </w:r>
          </w:p>
          <w:p w:rsidR="001F4262" w:rsidRPr="008658BB" w:rsidP="0034359A">
            <w:pPr>
              <w:jc w:val="both"/>
              <w:rPr>
                <w:b/>
                <w:sz w:val="20"/>
              </w:rPr>
            </w:pPr>
          </w:p>
        </w:tc>
        <w:tc>
          <w:tcPr>
            <w:tcW w:w="7797" w:type="dxa"/>
          </w:tcPr>
          <w:p w:rsidR="00B52C52" w:rsidRPr="00B52C52" w:rsidP="00B52C52">
            <w:pPr>
              <w:pStyle w:val="ListParagraph"/>
              <w:spacing w:line="240" w:lineRule="auto"/>
              <w:ind w:left="0"/>
              <w:contextualSpacing w:val="0"/>
              <w:jc w:val="both"/>
              <w:rPr>
                <w:sz w:val="20"/>
                <w:szCs w:val="20"/>
                <w:lang w:eastAsia="en-US"/>
              </w:rPr>
            </w:pPr>
            <w:r w:rsidR="005C0067">
              <w:rPr>
                <w:sz w:val="20"/>
                <w:szCs w:val="20"/>
                <w:lang w:eastAsia="en-US"/>
              </w:rPr>
              <w:t xml:space="preserve">Bod 3. </w:t>
            </w:r>
            <w:r w:rsidRPr="00B52C52">
              <w:rPr>
                <w:sz w:val="20"/>
                <w:szCs w:val="20"/>
                <w:lang w:eastAsia="en-US"/>
              </w:rPr>
              <w:t>Oxidmi dusíka sa rozumie súčet oxidu dusnatého a oxidu dusičitého v jednotke objemu vzduchu vyjadrený ako oxid dusičitý v mikrogramoch na kubický meter (µg/m</w:t>
            </w:r>
            <w:r w:rsidRPr="0023009A">
              <w:rPr>
                <w:sz w:val="20"/>
                <w:szCs w:val="20"/>
                <w:vertAlign w:val="superscript"/>
                <w:lang w:eastAsia="en-US"/>
              </w:rPr>
              <w:t>3</w:t>
            </w:r>
            <w:r w:rsidRPr="00B52C52">
              <w:rPr>
                <w:sz w:val="20"/>
                <w:szCs w:val="20"/>
                <w:lang w:eastAsia="en-US"/>
              </w:rPr>
              <w:t>).</w:t>
            </w:r>
          </w:p>
          <w:p w:rsidR="001F4262" w:rsidP="0034359A">
            <w:pPr>
              <w:pStyle w:val="Normlny"/>
              <w:rPr>
                <w:b/>
              </w:rPr>
            </w:pPr>
          </w:p>
        </w:tc>
        <w:tc>
          <w:tcPr>
            <w:tcW w:w="708" w:type="dxa"/>
          </w:tcPr>
          <w:p w:rsidR="001F4262" w:rsidRPr="0034359A">
            <w:pPr>
              <w:jc w:val="both"/>
              <w:rPr>
                <w:sz w:val="20"/>
              </w:rPr>
            </w:pPr>
            <w:r w:rsidRPr="0034359A" w:rsidR="0034359A">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O25</w:t>
            </w:r>
          </w:p>
        </w:tc>
        <w:tc>
          <w:tcPr>
            <w:tcW w:w="4074" w:type="dxa"/>
            <w:tcBorders>
              <w:bottom w:val="single" w:sz="4" w:space="0" w:color="auto"/>
            </w:tcBorders>
          </w:tcPr>
          <w:p w:rsidR="001F4262" w:rsidP="001F4262">
            <w:pPr>
              <w:jc w:val="both"/>
              <w:rPr>
                <w:sz w:val="20"/>
              </w:rPr>
            </w:pPr>
            <w:r>
              <w:rPr>
                <w:sz w:val="20"/>
              </w:rPr>
              <w:t xml:space="preserve">25. </w:t>
            </w:r>
            <w:r w:rsidRPr="001F4262">
              <w:rPr>
                <w:sz w:val="20"/>
              </w:rPr>
              <w:t>„stále merania“ sú merania uskutočňované na stálych miestach</w:t>
            </w:r>
            <w:r w:rsidR="00A17F70">
              <w:rPr>
                <w:sz w:val="20"/>
              </w:rPr>
              <w:t xml:space="preserve"> </w:t>
            </w:r>
            <w:r w:rsidRPr="001F4262">
              <w:rPr>
                <w:sz w:val="20"/>
              </w:rPr>
              <w:t>nepretržite alebo náhodným odberom vzoriek, ktoré v</w:t>
            </w:r>
            <w:r w:rsidR="00A17F70">
              <w:rPr>
                <w:sz w:val="20"/>
              </w:rPr>
              <w:t> </w:t>
            </w:r>
            <w:r w:rsidRPr="001F4262">
              <w:rPr>
                <w:sz w:val="20"/>
              </w:rPr>
              <w:t>súlade</w:t>
            </w:r>
            <w:r w:rsidR="00A17F70">
              <w:rPr>
                <w:sz w:val="20"/>
              </w:rPr>
              <w:t xml:space="preserve"> </w:t>
            </w:r>
            <w:r w:rsidRPr="001F4262">
              <w:rPr>
                <w:sz w:val="20"/>
              </w:rPr>
              <w:t>s príslušnými cieľmi kvality údajov určujú úrovne znečistenia;</w:t>
            </w:r>
          </w:p>
        </w:tc>
        <w:tc>
          <w:tcPr>
            <w:tcW w:w="747" w:type="dxa"/>
          </w:tcPr>
          <w:p w:rsidR="001F4262" w:rsidRPr="00D86B9D" w:rsidP="00D86B9D">
            <w:pPr>
              <w:ind w:right="-249"/>
              <w:rPr>
                <w:sz w:val="20"/>
              </w:rPr>
            </w:pPr>
            <w:r w:rsidR="00A17F70">
              <w:rPr>
                <w:sz w:val="20"/>
              </w:rPr>
              <w:t>N</w:t>
            </w:r>
          </w:p>
        </w:tc>
        <w:tc>
          <w:tcPr>
            <w:tcW w:w="574" w:type="dxa"/>
          </w:tcPr>
          <w:p w:rsidR="001F4262" w:rsidRPr="00A17F70">
            <w:pPr>
              <w:jc w:val="both"/>
              <w:rPr>
                <w:sz w:val="20"/>
              </w:rPr>
            </w:pPr>
            <w:r w:rsidRPr="00A17F70" w:rsidR="00A17F70">
              <w:rPr>
                <w:sz w:val="20"/>
              </w:rPr>
              <w:t>NZ</w:t>
            </w:r>
          </w:p>
        </w:tc>
        <w:tc>
          <w:tcPr>
            <w:tcW w:w="701" w:type="dxa"/>
          </w:tcPr>
          <w:p w:rsidR="00A17F70" w:rsidP="00A17F70">
            <w:pPr>
              <w:pStyle w:val="Paragrafyzkona"/>
              <w:spacing w:before="0" w:line="240" w:lineRule="auto"/>
              <w:jc w:val="left"/>
              <w:rPr>
                <w:b w:val="0"/>
                <w:sz w:val="20"/>
                <w:szCs w:val="20"/>
                <w:lang w:eastAsia="en-US"/>
              </w:rPr>
            </w:pPr>
            <w:r w:rsidR="001F7E56">
              <w:rPr>
                <w:b w:val="0"/>
                <w:sz w:val="20"/>
                <w:szCs w:val="20"/>
                <w:lang w:eastAsia="en-US"/>
              </w:rPr>
              <w:t>§ 4</w:t>
            </w:r>
          </w:p>
          <w:p w:rsidR="001F7E56" w:rsidP="00A17F70">
            <w:pPr>
              <w:pStyle w:val="Paragrafyzkona"/>
              <w:spacing w:before="0" w:line="240" w:lineRule="auto"/>
              <w:jc w:val="left"/>
              <w:rPr>
                <w:b w:val="0"/>
                <w:sz w:val="20"/>
                <w:szCs w:val="20"/>
                <w:lang w:eastAsia="en-US"/>
              </w:rPr>
            </w:pPr>
            <w:r>
              <w:rPr>
                <w:b w:val="0"/>
                <w:sz w:val="20"/>
                <w:szCs w:val="20"/>
                <w:lang w:eastAsia="en-US"/>
              </w:rPr>
              <w:t>O5</w:t>
            </w:r>
          </w:p>
          <w:p w:rsidR="00A17F70" w:rsidP="00A17F70">
            <w:pPr>
              <w:pStyle w:val="Paragrafyzkona"/>
              <w:spacing w:before="0" w:line="240" w:lineRule="auto"/>
              <w:jc w:val="left"/>
              <w:rPr>
                <w:b w:val="0"/>
                <w:sz w:val="20"/>
                <w:szCs w:val="20"/>
                <w:lang w:eastAsia="en-US"/>
              </w:rPr>
            </w:pPr>
            <w:r>
              <w:rPr>
                <w:b w:val="0"/>
                <w:sz w:val="20"/>
                <w:szCs w:val="20"/>
                <w:lang w:eastAsia="en-US"/>
              </w:rPr>
              <w:t>Pa</w:t>
            </w:r>
          </w:p>
          <w:p w:rsidR="001F4262" w:rsidRPr="008658BB" w:rsidP="00E95D21">
            <w:pPr>
              <w:jc w:val="both"/>
              <w:rPr>
                <w:b/>
                <w:sz w:val="20"/>
              </w:rPr>
            </w:pPr>
          </w:p>
        </w:tc>
        <w:tc>
          <w:tcPr>
            <w:tcW w:w="7797" w:type="dxa"/>
          </w:tcPr>
          <w:p w:rsidR="00A17F70" w:rsidRPr="00A17F70" w:rsidP="00A17F70">
            <w:pPr>
              <w:pStyle w:val="ListParagraph"/>
              <w:spacing w:line="240" w:lineRule="auto"/>
              <w:ind w:left="0"/>
              <w:contextualSpacing w:val="0"/>
              <w:jc w:val="both"/>
              <w:rPr>
                <w:sz w:val="20"/>
                <w:szCs w:val="20"/>
                <w:lang w:eastAsia="en-US"/>
              </w:rPr>
            </w:pPr>
            <w:r w:rsidR="0023009A">
              <w:rPr>
                <w:sz w:val="20"/>
                <w:szCs w:val="20"/>
                <w:lang w:eastAsia="en-US"/>
              </w:rPr>
              <w:t>(</w:t>
            </w:r>
            <w:r w:rsidR="001F7E56">
              <w:rPr>
                <w:sz w:val="20"/>
                <w:szCs w:val="20"/>
                <w:lang w:eastAsia="en-US"/>
              </w:rPr>
              <w:t>5</w:t>
            </w:r>
            <w:r w:rsidR="0023009A">
              <w:rPr>
                <w:sz w:val="20"/>
                <w:szCs w:val="20"/>
                <w:lang w:eastAsia="en-US"/>
              </w:rPr>
              <w:t xml:space="preserve">) a) </w:t>
            </w:r>
            <w:r w:rsidRPr="001F7E56" w:rsidR="001F7E56">
              <w:rPr>
                <w:sz w:val="20"/>
                <w:szCs w:val="20"/>
                <w:lang w:eastAsia="en-US"/>
              </w:rPr>
              <w:t>stálym meraním sa rozumie meranie úrovne znečistenia ovzdušia, ktoré sa vykonáva na stálych miestach kontinuálne alebo náhodným vzorkovaním a spĺňa ustan</w:t>
            </w:r>
            <w:r w:rsidR="00A51A4F">
              <w:rPr>
                <w:sz w:val="20"/>
                <w:szCs w:val="20"/>
                <w:lang w:eastAsia="en-US"/>
              </w:rPr>
              <w:t>ovené ciele v kvalite údajov.</w:t>
            </w:r>
            <w:r w:rsidRPr="001F7E56" w:rsidR="001F7E56">
              <w:rPr>
                <w:sz w:val="20"/>
                <w:szCs w:val="20"/>
                <w:lang w:eastAsia="en-US"/>
              </w:rPr>
              <w:t xml:space="preserve"> </w:t>
            </w:r>
            <w:r w:rsidRPr="00A17F70">
              <w:rPr>
                <w:sz w:val="20"/>
                <w:szCs w:val="20"/>
                <w:lang w:eastAsia="en-US"/>
              </w:rPr>
              <w:t xml:space="preserve"> </w:t>
            </w:r>
          </w:p>
          <w:p w:rsidR="001F4262" w:rsidP="008658BB">
            <w:pPr>
              <w:pStyle w:val="Normlny"/>
              <w:jc w:val="center"/>
              <w:rPr>
                <w:b/>
              </w:rPr>
            </w:pPr>
          </w:p>
          <w:p w:rsidR="00907733" w:rsidP="008658BB">
            <w:pPr>
              <w:pStyle w:val="Normlny"/>
              <w:jc w:val="center"/>
              <w:rPr>
                <w:b/>
              </w:rPr>
            </w:pPr>
          </w:p>
        </w:tc>
        <w:tc>
          <w:tcPr>
            <w:tcW w:w="708" w:type="dxa"/>
          </w:tcPr>
          <w:p w:rsidR="001F4262" w:rsidRPr="00A17F70">
            <w:pPr>
              <w:jc w:val="both"/>
              <w:rPr>
                <w:sz w:val="20"/>
              </w:rPr>
            </w:pPr>
            <w:r w:rsidRPr="00A17F70" w:rsidR="00A17F70">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O26</w:t>
            </w:r>
          </w:p>
        </w:tc>
        <w:tc>
          <w:tcPr>
            <w:tcW w:w="4074" w:type="dxa"/>
            <w:tcBorders>
              <w:bottom w:val="single" w:sz="4" w:space="0" w:color="auto"/>
            </w:tcBorders>
          </w:tcPr>
          <w:p w:rsidR="001F4262" w:rsidP="001F4262">
            <w:pPr>
              <w:jc w:val="both"/>
              <w:rPr>
                <w:sz w:val="20"/>
              </w:rPr>
            </w:pPr>
            <w:r>
              <w:rPr>
                <w:sz w:val="20"/>
              </w:rPr>
              <w:t xml:space="preserve">26. </w:t>
            </w:r>
            <w:r w:rsidRPr="001F4262">
              <w:rPr>
                <w:sz w:val="20"/>
              </w:rPr>
              <w:t>„indikatívne merania“ sú merania, ktoré spĺňajú ciele kvality</w:t>
            </w:r>
            <w:r>
              <w:rPr>
                <w:sz w:val="20"/>
              </w:rPr>
              <w:t xml:space="preserve"> </w:t>
            </w:r>
            <w:r w:rsidRPr="001F4262">
              <w:rPr>
                <w:sz w:val="20"/>
              </w:rPr>
              <w:t>údajov, ktoré sú menej prísne ako tie, ktoré sa vyžadujú pre stále</w:t>
            </w:r>
            <w:r>
              <w:rPr>
                <w:sz w:val="20"/>
              </w:rPr>
              <w:t xml:space="preserve"> </w:t>
            </w:r>
            <w:r w:rsidRPr="001F4262">
              <w:rPr>
                <w:sz w:val="20"/>
              </w:rPr>
              <w:t>me</w:t>
            </w:r>
            <w:r w:rsidRPr="001F4262">
              <w:rPr>
                <w:sz w:val="20"/>
              </w:rPr>
              <w:t>rania;</w:t>
            </w:r>
          </w:p>
          <w:p w:rsidR="001F4262" w:rsidP="001F4262">
            <w:pPr>
              <w:jc w:val="both"/>
              <w:rPr>
                <w:sz w:val="20"/>
              </w:rPr>
            </w:pPr>
          </w:p>
        </w:tc>
        <w:tc>
          <w:tcPr>
            <w:tcW w:w="747" w:type="dxa"/>
          </w:tcPr>
          <w:p w:rsidR="001F4262" w:rsidRPr="00D86B9D" w:rsidP="00D86B9D">
            <w:pPr>
              <w:ind w:right="-249"/>
              <w:rPr>
                <w:sz w:val="20"/>
              </w:rPr>
            </w:pPr>
            <w:r w:rsidR="00907733">
              <w:rPr>
                <w:sz w:val="20"/>
              </w:rPr>
              <w:t>N</w:t>
            </w:r>
          </w:p>
        </w:tc>
        <w:tc>
          <w:tcPr>
            <w:tcW w:w="574" w:type="dxa"/>
          </w:tcPr>
          <w:p w:rsidR="001F4262" w:rsidRPr="00907733">
            <w:pPr>
              <w:jc w:val="both"/>
              <w:rPr>
                <w:sz w:val="20"/>
              </w:rPr>
            </w:pPr>
            <w:r w:rsidRPr="00907733" w:rsidR="00907733">
              <w:rPr>
                <w:sz w:val="20"/>
              </w:rPr>
              <w:t>NZ</w:t>
            </w:r>
          </w:p>
        </w:tc>
        <w:tc>
          <w:tcPr>
            <w:tcW w:w="701" w:type="dxa"/>
          </w:tcPr>
          <w:p w:rsidR="00907733" w:rsidRPr="00743DBC" w:rsidP="00907733">
            <w:pPr>
              <w:pStyle w:val="Paragrafyzkona"/>
              <w:spacing w:before="0" w:line="240" w:lineRule="auto"/>
              <w:jc w:val="left"/>
              <w:rPr>
                <w:b w:val="0"/>
                <w:sz w:val="20"/>
                <w:szCs w:val="20"/>
                <w:lang w:eastAsia="en-US"/>
              </w:rPr>
            </w:pPr>
            <w:r>
              <w:rPr>
                <w:b w:val="0"/>
                <w:sz w:val="20"/>
                <w:szCs w:val="20"/>
                <w:lang w:eastAsia="en-US"/>
              </w:rPr>
              <w:t>§ 4</w:t>
            </w:r>
          </w:p>
          <w:p w:rsidR="00907733" w:rsidP="00907733">
            <w:pPr>
              <w:pStyle w:val="Paragrafyzkona"/>
              <w:spacing w:before="0" w:line="240" w:lineRule="auto"/>
              <w:jc w:val="left"/>
              <w:rPr>
                <w:b w:val="0"/>
                <w:sz w:val="20"/>
                <w:szCs w:val="20"/>
                <w:lang w:eastAsia="en-US"/>
              </w:rPr>
            </w:pPr>
            <w:r w:rsidRPr="00743DBC">
              <w:rPr>
                <w:b w:val="0"/>
                <w:sz w:val="20"/>
                <w:szCs w:val="20"/>
                <w:lang w:eastAsia="en-US"/>
              </w:rPr>
              <w:t>O</w:t>
            </w:r>
            <w:r w:rsidR="006A7659">
              <w:rPr>
                <w:b w:val="0"/>
                <w:sz w:val="20"/>
                <w:szCs w:val="20"/>
                <w:lang w:eastAsia="en-US"/>
              </w:rPr>
              <w:t>5</w:t>
            </w:r>
          </w:p>
          <w:p w:rsidR="00907733" w:rsidP="00907733">
            <w:pPr>
              <w:pStyle w:val="Paragrafyzkona"/>
              <w:spacing w:before="0" w:line="240" w:lineRule="auto"/>
              <w:jc w:val="left"/>
              <w:rPr>
                <w:b w:val="0"/>
                <w:sz w:val="20"/>
                <w:szCs w:val="20"/>
                <w:lang w:eastAsia="en-US"/>
              </w:rPr>
            </w:pPr>
            <w:r>
              <w:rPr>
                <w:b w:val="0"/>
                <w:sz w:val="20"/>
                <w:szCs w:val="20"/>
                <w:lang w:eastAsia="en-US"/>
              </w:rPr>
              <w:t>Pb</w:t>
            </w:r>
          </w:p>
          <w:p w:rsidR="001F4262" w:rsidRPr="008658BB" w:rsidP="00E95D21">
            <w:pPr>
              <w:jc w:val="both"/>
              <w:rPr>
                <w:b/>
                <w:sz w:val="20"/>
              </w:rPr>
            </w:pPr>
          </w:p>
        </w:tc>
        <w:tc>
          <w:tcPr>
            <w:tcW w:w="7797" w:type="dxa"/>
          </w:tcPr>
          <w:p w:rsidR="00907733" w:rsidRPr="00907733" w:rsidP="00907733">
            <w:pPr>
              <w:pStyle w:val="ListParagraph"/>
              <w:spacing w:line="240" w:lineRule="auto"/>
              <w:ind w:left="0"/>
              <w:contextualSpacing w:val="0"/>
              <w:jc w:val="both"/>
              <w:rPr>
                <w:sz w:val="20"/>
                <w:szCs w:val="20"/>
                <w:lang w:eastAsia="en-US"/>
              </w:rPr>
            </w:pPr>
            <w:r w:rsidR="006A7659">
              <w:rPr>
                <w:sz w:val="20"/>
                <w:szCs w:val="20"/>
                <w:lang w:eastAsia="en-US"/>
              </w:rPr>
              <w:t>(5</w:t>
            </w:r>
            <w:r w:rsidRPr="00907733">
              <w:rPr>
                <w:sz w:val="20"/>
                <w:szCs w:val="20"/>
                <w:lang w:eastAsia="en-US"/>
              </w:rPr>
              <w:t>) b) indikatívnym meraním sa rozumie meranie, ktoré spĺňa ustanovené ciele v kvalite údajov men</w:t>
            </w:r>
            <w:r w:rsidR="00A51A4F">
              <w:rPr>
                <w:sz w:val="20"/>
                <w:szCs w:val="20"/>
                <w:lang w:eastAsia="en-US"/>
              </w:rPr>
              <w:t>ej prísne ako pre stále merania.</w:t>
            </w:r>
          </w:p>
          <w:p w:rsidR="001F4262" w:rsidP="008658BB">
            <w:pPr>
              <w:pStyle w:val="Normlny"/>
              <w:jc w:val="center"/>
              <w:rPr>
                <w:b/>
              </w:rPr>
            </w:pPr>
          </w:p>
        </w:tc>
        <w:tc>
          <w:tcPr>
            <w:tcW w:w="708" w:type="dxa"/>
          </w:tcPr>
          <w:p w:rsidR="001F4262" w:rsidRPr="00907733">
            <w:pPr>
              <w:jc w:val="both"/>
              <w:rPr>
                <w:sz w:val="20"/>
              </w:rPr>
            </w:pPr>
            <w:r w:rsidRPr="00907733" w:rsidR="00907733">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O27</w:t>
            </w:r>
          </w:p>
        </w:tc>
        <w:tc>
          <w:tcPr>
            <w:tcW w:w="4074" w:type="dxa"/>
            <w:tcBorders>
              <w:bottom w:val="single" w:sz="4" w:space="0" w:color="auto"/>
            </w:tcBorders>
          </w:tcPr>
          <w:p w:rsidR="001F4262" w:rsidP="001F4262">
            <w:pPr>
              <w:jc w:val="both"/>
              <w:rPr>
                <w:sz w:val="20"/>
              </w:rPr>
            </w:pPr>
            <w:r>
              <w:rPr>
                <w:sz w:val="20"/>
              </w:rPr>
              <w:t xml:space="preserve">27. </w:t>
            </w:r>
            <w:r w:rsidRPr="001F4262">
              <w:rPr>
                <w:sz w:val="20"/>
              </w:rPr>
              <w:t>„prchavé organické zlúčeniny (VOC)“ sú iné organické zlúčeniny</w:t>
            </w:r>
            <w:r w:rsidR="00ED2434">
              <w:rPr>
                <w:sz w:val="20"/>
              </w:rPr>
              <w:t xml:space="preserve"> </w:t>
            </w:r>
            <w:r w:rsidRPr="001F4262">
              <w:rPr>
                <w:sz w:val="20"/>
              </w:rPr>
              <w:t>z antropogénnych a biogénnych zdrojov než metán, ktoré sú</w:t>
            </w:r>
            <w:r w:rsidR="00ED2434">
              <w:rPr>
                <w:sz w:val="20"/>
              </w:rPr>
              <w:t xml:space="preserve"> </w:t>
            </w:r>
            <w:r w:rsidRPr="001F4262">
              <w:rPr>
                <w:sz w:val="20"/>
              </w:rPr>
              <w:t>schopné tvoriť fotochemické oxidanty reakciou s oxidmi dusíka</w:t>
            </w:r>
            <w:r w:rsidR="00ED2434">
              <w:rPr>
                <w:sz w:val="20"/>
              </w:rPr>
              <w:t xml:space="preserve"> </w:t>
            </w:r>
            <w:r w:rsidRPr="001F4262">
              <w:rPr>
                <w:sz w:val="20"/>
              </w:rPr>
              <w:t>za prítomnosti slnečného svetla;</w:t>
              <w:cr/>
            </w:r>
          </w:p>
          <w:p w:rsidR="001F4262" w:rsidP="001F4262">
            <w:pPr>
              <w:jc w:val="both"/>
              <w:rPr>
                <w:sz w:val="20"/>
              </w:rPr>
            </w:pPr>
          </w:p>
        </w:tc>
        <w:tc>
          <w:tcPr>
            <w:tcW w:w="747" w:type="dxa"/>
          </w:tcPr>
          <w:p w:rsidR="001F4262" w:rsidRPr="00D86B9D" w:rsidP="00D86B9D">
            <w:pPr>
              <w:ind w:right="-249"/>
              <w:rPr>
                <w:sz w:val="20"/>
              </w:rPr>
            </w:pPr>
            <w:r w:rsidR="00B76197">
              <w:rPr>
                <w:sz w:val="20"/>
              </w:rPr>
              <w:t>N</w:t>
            </w:r>
          </w:p>
        </w:tc>
        <w:tc>
          <w:tcPr>
            <w:tcW w:w="574" w:type="dxa"/>
          </w:tcPr>
          <w:p w:rsidR="001F4262" w:rsidRPr="00B76197">
            <w:pPr>
              <w:jc w:val="both"/>
              <w:rPr>
                <w:sz w:val="20"/>
              </w:rPr>
            </w:pPr>
            <w:r w:rsidRPr="00B76197" w:rsidR="00B76197">
              <w:rPr>
                <w:sz w:val="20"/>
              </w:rPr>
              <w:t>NZ</w:t>
            </w:r>
          </w:p>
        </w:tc>
        <w:tc>
          <w:tcPr>
            <w:tcW w:w="701" w:type="dxa"/>
          </w:tcPr>
          <w:p w:rsidR="001F4262" w:rsidRPr="00B76197" w:rsidP="00E95D21">
            <w:pPr>
              <w:jc w:val="both"/>
              <w:rPr>
                <w:sz w:val="20"/>
              </w:rPr>
            </w:pPr>
            <w:r w:rsidRPr="00B76197" w:rsidR="00B76197">
              <w:rPr>
                <w:sz w:val="20"/>
              </w:rPr>
              <w:t>Príl.</w:t>
            </w:r>
            <w:r w:rsidR="00B52C52">
              <w:rPr>
                <w:sz w:val="20"/>
              </w:rPr>
              <w:t>1</w:t>
            </w:r>
          </w:p>
          <w:p w:rsidR="00B76197" w:rsidRPr="00B76197" w:rsidP="00E95D21">
            <w:pPr>
              <w:jc w:val="both"/>
              <w:rPr>
                <w:sz w:val="20"/>
              </w:rPr>
            </w:pPr>
          </w:p>
        </w:tc>
        <w:tc>
          <w:tcPr>
            <w:tcW w:w="7797" w:type="dxa"/>
          </w:tcPr>
          <w:p w:rsidR="001F4262" w:rsidP="00DA4511">
            <w:pPr>
              <w:pStyle w:val="ListParagraph"/>
              <w:spacing w:line="240" w:lineRule="auto"/>
              <w:ind w:left="0"/>
              <w:contextualSpacing w:val="0"/>
              <w:jc w:val="both"/>
              <w:rPr>
                <w:b/>
              </w:rPr>
            </w:pPr>
            <w:r w:rsidR="00A51A4F">
              <w:rPr>
                <w:sz w:val="20"/>
                <w:szCs w:val="20"/>
                <w:lang w:eastAsia="en-US"/>
              </w:rPr>
              <w:t xml:space="preserve">Bod </w:t>
            </w:r>
            <w:r w:rsidR="00DA4511">
              <w:rPr>
                <w:sz w:val="20"/>
                <w:szCs w:val="20"/>
                <w:lang w:eastAsia="en-US"/>
              </w:rPr>
              <w:t xml:space="preserve">4. </w:t>
            </w:r>
            <w:r w:rsidRPr="00DA4511" w:rsidR="00DA4511">
              <w:rPr>
                <w:sz w:val="20"/>
                <w:szCs w:val="20"/>
                <w:lang w:eastAsia="en-US"/>
              </w:rPr>
              <w:t>Prchavými organickými zlúčeninami sú organické zlúčeniny z antropogénnych a biogénnych zdrojov iné než metán, ktoré sú schopné tvoriť fotochemické oxidanty reakciou s oxidmi dusíka za prítomnosti slnečného svetla. Požiadavky na meranie prekurzorov ozónu vrátane  odporúčaných prchavých organických látok je uvedený vo vykonávacom predpise podľa § 62 písm. b).</w:t>
            </w:r>
          </w:p>
        </w:tc>
        <w:tc>
          <w:tcPr>
            <w:tcW w:w="708" w:type="dxa"/>
          </w:tcPr>
          <w:p w:rsidR="001F4262" w:rsidRPr="00B76197">
            <w:pPr>
              <w:jc w:val="both"/>
              <w:rPr>
                <w:sz w:val="20"/>
              </w:rPr>
            </w:pPr>
            <w:r w:rsidRPr="00B76197" w:rsidR="00B76197">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Č2</w:t>
            </w:r>
          </w:p>
          <w:p w:rsidR="001F4262">
            <w:pPr>
              <w:jc w:val="both"/>
              <w:rPr>
                <w:sz w:val="20"/>
              </w:rPr>
            </w:pPr>
            <w:r>
              <w:rPr>
                <w:sz w:val="20"/>
              </w:rPr>
              <w:t>O28</w:t>
            </w:r>
          </w:p>
        </w:tc>
        <w:tc>
          <w:tcPr>
            <w:tcW w:w="4074" w:type="dxa"/>
            <w:tcBorders>
              <w:bottom w:val="single" w:sz="4" w:space="0" w:color="auto"/>
            </w:tcBorders>
          </w:tcPr>
          <w:p w:rsidR="001F4262" w:rsidP="001F4262">
            <w:pPr>
              <w:jc w:val="both"/>
              <w:rPr>
                <w:sz w:val="20"/>
              </w:rPr>
            </w:pPr>
            <w:r>
              <w:rPr>
                <w:sz w:val="20"/>
              </w:rPr>
              <w:t xml:space="preserve">28. </w:t>
            </w:r>
            <w:r w:rsidRPr="001F4262">
              <w:rPr>
                <w:sz w:val="20"/>
              </w:rPr>
              <w:t>„prekurzory ozónu“ sú látky, ktoré prispievajú k tvorbe prízemného</w:t>
            </w:r>
            <w:r w:rsidR="003529C9">
              <w:rPr>
                <w:sz w:val="20"/>
              </w:rPr>
              <w:t xml:space="preserve"> </w:t>
            </w:r>
            <w:r w:rsidRPr="001F4262">
              <w:rPr>
                <w:sz w:val="20"/>
              </w:rPr>
              <w:t>ozónu, z ktorých niektoré sú uvedené v prílohe X.</w:t>
            </w:r>
          </w:p>
          <w:p w:rsidR="001F4262" w:rsidP="001F4262">
            <w:pPr>
              <w:jc w:val="both"/>
              <w:rPr>
                <w:sz w:val="20"/>
              </w:rPr>
            </w:pPr>
          </w:p>
        </w:tc>
        <w:tc>
          <w:tcPr>
            <w:tcW w:w="747" w:type="dxa"/>
          </w:tcPr>
          <w:p w:rsidR="001F4262" w:rsidRPr="00D86B9D" w:rsidP="00D86B9D">
            <w:pPr>
              <w:ind w:right="-249"/>
              <w:rPr>
                <w:sz w:val="20"/>
              </w:rPr>
            </w:pPr>
            <w:r w:rsidR="00ED2434">
              <w:rPr>
                <w:sz w:val="20"/>
              </w:rPr>
              <w:t>N</w:t>
            </w:r>
          </w:p>
        </w:tc>
        <w:tc>
          <w:tcPr>
            <w:tcW w:w="574" w:type="dxa"/>
          </w:tcPr>
          <w:p w:rsidR="001F4262" w:rsidRPr="00ED2434">
            <w:pPr>
              <w:jc w:val="both"/>
              <w:rPr>
                <w:sz w:val="20"/>
              </w:rPr>
            </w:pPr>
            <w:r w:rsidRPr="00ED2434" w:rsidR="00ED2434">
              <w:rPr>
                <w:sz w:val="20"/>
              </w:rPr>
              <w:t>NZ</w:t>
            </w:r>
          </w:p>
        </w:tc>
        <w:tc>
          <w:tcPr>
            <w:tcW w:w="701" w:type="dxa"/>
          </w:tcPr>
          <w:p w:rsidR="002F4890" w:rsidP="002F4890">
            <w:pPr>
              <w:pStyle w:val="Paragrafyzkona"/>
              <w:spacing w:before="0" w:line="240" w:lineRule="auto"/>
              <w:jc w:val="left"/>
              <w:rPr>
                <w:b w:val="0"/>
                <w:sz w:val="20"/>
                <w:szCs w:val="20"/>
                <w:lang w:eastAsia="en-US"/>
              </w:rPr>
            </w:pPr>
            <w:r>
              <w:rPr>
                <w:b w:val="0"/>
                <w:sz w:val="20"/>
                <w:szCs w:val="20"/>
                <w:lang w:eastAsia="en-US"/>
              </w:rPr>
              <w:t>§ 2</w:t>
            </w:r>
          </w:p>
          <w:p w:rsidR="002F4890" w:rsidRPr="00743DBC" w:rsidP="002F4890">
            <w:pPr>
              <w:pStyle w:val="Paragrafyzkona"/>
              <w:spacing w:before="0" w:line="240" w:lineRule="auto"/>
              <w:jc w:val="left"/>
              <w:rPr>
                <w:b w:val="0"/>
                <w:sz w:val="20"/>
                <w:szCs w:val="20"/>
                <w:lang w:eastAsia="en-US"/>
              </w:rPr>
            </w:pPr>
            <w:r>
              <w:rPr>
                <w:b w:val="0"/>
                <w:sz w:val="20"/>
                <w:szCs w:val="20"/>
                <w:lang w:eastAsia="en-US"/>
              </w:rPr>
              <w:t>Ph</w:t>
            </w:r>
          </w:p>
          <w:p w:rsidR="00ED2434" w:rsidRPr="00ED2434" w:rsidP="00E95D21">
            <w:pPr>
              <w:jc w:val="both"/>
              <w:rPr>
                <w:sz w:val="20"/>
              </w:rPr>
            </w:pPr>
          </w:p>
        </w:tc>
        <w:tc>
          <w:tcPr>
            <w:tcW w:w="7797" w:type="dxa"/>
          </w:tcPr>
          <w:p w:rsidR="002F4890" w:rsidRPr="002F4890" w:rsidP="002F4890">
            <w:pPr>
              <w:spacing w:after="120"/>
              <w:jc w:val="both"/>
              <w:rPr>
                <w:sz w:val="20"/>
              </w:rPr>
            </w:pPr>
            <w:r>
              <w:rPr>
                <w:sz w:val="20"/>
              </w:rPr>
              <w:t>h</w:t>
            </w:r>
            <w:r w:rsidRPr="00AA2B9D" w:rsidR="00AA2B9D">
              <w:rPr>
                <w:sz w:val="20"/>
              </w:rPr>
              <w:t xml:space="preserve">) </w:t>
            </w:r>
            <w:r w:rsidRPr="002F4890">
              <w:rPr>
                <w:sz w:val="20"/>
              </w:rPr>
              <w:t>prekurzormi ozónu látky, ktoré prispievajú k tvorbe prízemného ozónu, ako sú oxidy dusíka, nemetánové prcha</w:t>
            </w:r>
            <w:r w:rsidRPr="002F4890">
              <w:rPr>
                <w:sz w:val="20"/>
              </w:rPr>
              <w:t>vé organické z</w:t>
            </w:r>
            <w:r w:rsidR="00A51A4F">
              <w:rPr>
                <w:sz w:val="20"/>
              </w:rPr>
              <w:t>lúčeniny, metán a oxid uhoľnatý.</w:t>
            </w:r>
          </w:p>
          <w:p w:rsidR="00AA2B9D" w:rsidRPr="00AA2B9D" w:rsidP="00AA2B9D">
            <w:pPr>
              <w:pStyle w:val="ListParagraph"/>
              <w:spacing w:line="240" w:lineRule="auto"/>
              <w:ind w:left="0"/>
              <w:contextualSpacing w:val="0"/>
              <w:jc w:val="both"/>
              <w:rPr>
                <w:sz w:val="20"/>
                <w:szCs w:val="20"/>
                <w:lang w:eastAsia="en-US"/>
              </w:rPr>
            </w:pPr>
          </w:p>
          <w:p w:rsidR="001F4262" w:rsidP="00AA2B9D">
            <w:pPr>
              <w:jc w:val="both"/>
              <w:rPr>
                <w:b/>
              </w:rPr>
            </w:pPr>
          </w:p>
        </w:tc>
        <w:tc>
          <w:tcPr>
            <w:tcW w:w="708" w:type="dxa"/>
          </w:tcPr>
          <w:p w:rsidR="001F4262" w:rsidRPr="00ED2434">
            <w:pPr>
              <w:jc w:val="both"/>
              <w:rPr>
                <w:sz w:val="20"/>
              </w:rPr>
            </w:pPr>
            <w:r w:rsidRPr="00ED2434" w:rsidR="00ED2434">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1F4262">
            <w:pPr>
              <w:jc w:val="both"/>
              <w:rPr>
                <w:sz w:val="20"/>
              </w:rPr>
            </w:pPr>
            <w:r>
              <w:rPr>
                <w:sz w:val="20"/>
              </w:rPr>
              <w:t>Č3</w:t>
            </w:r>
          </w:p>
          <w:p w:rsidR="001F4262">
            <w:pPr>
              <w:jc w:val="both"/>
              <w:rPr>
                <w:sz w:val="20"/>
              </w:rPr>
            </w:pPr>
          </w:p>
        </w:tc>
        <w:tc>
          <w:tcPr>
            <w:tcW w:w="4074" w:type="dxa"/>
            <w:tcBorders>
              <w:bottom w:val="single" w:sz="4" w:space="0" w:color="auto"/>
            </w:tcBorders>
          </w:tcPr>
          <w:p w:rsidR="00605DAE" w:rsidRPr="00605DAE" w:rsidP="00605DAE">
            <w:pPr>
              <w:jc w:val="both"/>
              <w:rPr>
                <w:sz w:val="20"/>
              </w:rPr>
            </w:pPr>
            <w:r w:rsidRPr="00605DAE">
              <w:rPr>
                <w:sz w:val="20"/>
              </w:rPr>
              <w:t>Zodpovednosť</w:t>
            </w:r>
          </w:p>
          <w:p w:rsidR="00605DAE" w:rsidRPr="00605DAE" w:rsidP="00605DAE">
            <w:pPr>
              <w:jc w:val="both"/>
              <w:rPr>
                <w:sz w:val="20"/>
              </w:rPr>
            </w:pPr>
            <w:r w:rsidRPr="00605DAE">
              <w:rPr>
                <w:sz w:val="20"/>
              </w:rPr>
              <w:t>Členské štáty určia príslušné orgány a subjekty na vhodných úrovniach</w:t>
            </w:r>
            <w:r w:rsidR="00C73BFB">
              <w:rPr>
                <w:sz w:val="20"/>
              </w:rPr>
              <w:t xml:space="preserve"> </w:t>
            </w:r>
            <w:r w:rsidRPr="00605DAE">
              <w:rPr>
                <w:sz w:val="20"/>
              </w:rPr>
              <w:t>zodpovedné za:</w:t>
            </w:r>
          </w:p>
          <w:p w:rsidR="001F4262" w:rsidP="00605DAE">
            <w:pPr>
              <w:jc w:val="both"/>
              <w:rPr>
                <w:sz w:val="20"/>
              </w:rPr>
            </w:pPr>
            <w:r w:rsidRPr="00605DAE" w:rsidR="00605DAE">
              <w:rPr>
                <w:sz w:val="20"/>
              </w:rPr>
              <w:t>a) hodnotenie kvality okolitého ovzdušia;</w:t>
            </w:r>
          </w:p>
          <w:p w:rsidR="000B4172" w:rsidP="00605DAE">
            <w:pPr>
              <w:jc w:val="both"/>
              <w:rPr>
                <w:sz w:val="20"/>
              </w:rPr>
            </w:pPr>
          </w:p>
          <w:p w:rsidR="00A3719B" w:rsidP="00605DAE">
            <w:pPr>
              <w:jc w:val="both"/>
              <w:rPr>
                <w:sz w:val="20"/>
              </w:rPr>
            </w:pPr>
          </w:p>
          <w:p w:rsidR="00605DAE" w:rsidP="00605DAE">
            <w:pPr>
              <w:jc w:val="both"/>
              <w:rPr>
                <w:sz w:val="20"/>
              </w:rPr>
            </w:pPr>
          </w:p>
        </w:tc>
        <w:tc>
          <w:tcPr>
            <w:tcW w:w="747" w:type="dxa"/>
          </w:tcPr>
          <w:p w:rsidR="001F4262" w:rsidRPr="00D86B9D" w:rsidP="00D86B9D">
            <w:pPr>
              <w:ind w:right="-249"/>
              <w:rPr>
                <w:sz w:val="20"/>
              </w:rPr>
            </w:pPr>
            <w:r w:rsidR="00B44DD7">
              <w:rPr>
                <w:sz w:val="20"/>
              </w:rPr>
              <w:t>N</w:t>
            </w:r>
          </w:p>
        </w:tc>
        <w:tc>
          <w:tcPr>
            <w:tcW w:w="574" w:type="dxa"/>
          </w:tcPr>
          <w:p w:rsidR="001F4262" w:rsidRPr="00B44DD7">
            <w:pPr>
              <w:jc w:val="both"/>
              <w:rPr>
                <w:sz w:val="20"/>
              </w:rPr>
            </w:pPr>
            <w:r w:rsidRPr="00B44DD7" w:rsidR="00B44DD7">
              <w:rPr>
                <w:sz w:val="20"/>
              </w:rPr>
              <w:t>NZ</w:t>
            </w:r>
          </w:p>
        </w:tc>
        <w:tc>
          <w:tcPr>
            <w:tcW w:w="701" w:type="dxa"/>
          </w:tcPr>
          <w:p w:rsidR="00B44DD7" w:rsidP="00B44DD7">
            <w:pPr>
              <w:pStyle w:val="Paragrafyzkona"/>
              <w:spacing w:before="0" w:line="240" w:lineRule="auto"/>
              <w:jc w:val="left"/>
              <w:rPr>
                <w:b w:val="0"/>
                <w:sz w:val="20"/>
                <w:szCs w:val="20"/>
                <w:lang w:eastAsia="en-US"/>
              </w:rPr>
            </w:pPr>
            <w:r w:rsidR="009434A0">
              <w:rPr>
                <w:b w:val="0"/>
                <w:sz w:val="20"/>
                <w:szCs w:val="20"/>
                <w:lang w:eastAsia="en-US"/>
              </w:rPr>
              <w:t>§ 41</w:t>
            </w:r>
          </w:p>
          <w:p w:rsidR="00B44DD7" w:rsidP="00B44DD7">
            <w:pPr>
              <w:pStyle w:val="Paragrafyzkona"/>
              <w:spacing w:before="0" w:line="240" w:lineRule="auto"/>
              <w:jc w:val="left"/>
              <w:rPr>
                <w:b w:val="0"/>
                <w:sz w:val="20"/>
                <w:szCs w:val="20"/>
                <w:lang w:eastAsia="en-US"/>
              </w:rPr>
            </w:pPr>
            <w:r>
              <w:rPr>
                <w:b w:val="0"/>
                <w:sz w:val="20"/>
                <w:szCs w:val="20"/>
                <w:lang w:eastAsia="en-US"/>
              </w:rPr>
              <w:t>Ph</w:t>
            </w:r>
          </w:p>
          <w:p w:rsidR="00E867B8" w:rsidP="00B44DD7">
            <w:pPr>
              <w:pStyle w:val="Paragrafyzkona"/>
              <w:spacing w:before="0" w:line="240" w:lineRule="auto"/>
              <w:jc w:val="left"/>
              <w:rPr>
                <w:b w:val="0"/>
                <w:sz w:val="20"/>
                <w:szCs w:val="20"/>
                <w:lang w:eastAsia="en-US"/>
              </w:rPr>
            </w:pPr>
          </w:p>
          <w:p w:rsidR="001F4262" w:rsidRPr="008658BB" w:rsidP="00E95D21">
            <w:pPr>
              <w:jc w:val="both"/>
              <w:rPr>
                <w:b/>
                <w:sz w:val="20"/>
              </w:rPr>
            </w:pPr>
          </w:p>
        </w:tc>
        <w:tc>
          <w:tcPr>
            <w:tcW w:w="7797" w:type="dxa"/>
          </w:tcPr>
          <w:p w:rsidR="00DF783B" w:rsidP="002511B3">
            <w:pPr>
              <w:spacing w:after="120"/>
              <w:jc w:val="both"/>
              <w:rPr>
                <w:sz w:val="20"/>
              </w:rPr>
            </w:pPr>
            <w:r w:rsidRPr="00B44DD7" w:rsidR="00B44DD7">
              <w:rPr>
                <w:sz w:val="20"/>
              </w:rPr>
              <w:t>Ministerstvo</w:t>
            </w:r>
          </w:p>
          <w:p w:rsidR="00060433" w:rsidRPr="00060433" w:rsidP="00060433">
            <w:pPr>
              <w:spacing w:after="120"/>
              <w:jc w:val="both"/>
              <w:rPr>
                <w:sz w:val="20"/>
              </w:rPr>
            </w:pPr>
            <w:r w:rsidR="00B44DD7">
              <w:rPr>
                <w:sz w:val="20"/>
              </w:rPr>
              <w:t>h)</w:t>
            </w:r>
            <w:r w:rsidRPr="005F743E">
              <w:t xml:space="preserve"> </w:t>
            </w:r>
            <w:r w:rsidRPr="00060433">
              <w:rPr>
                <w:sz w:val="20"/>
              </w:rPr>
              <w:t xml:space="preserve">vo veciach monitorovania, hodnotenia a riadenia kvality ovzdušia zabezpečuje prostredníctvom poverenej organizácie </w:t>
            </w:r>
          </w:p>
          <w:p w:rsidR="00060433" w:rsidRPr="00060433" w:rsidP="00060433">
            <w:pPr>
              <w:pStyle w:val="ListParagraph"/>
              <w:spacing w:line="240" w:lineRule="auto"/>
              <w:ind w:left="0"/>
              <w:contextualSpacing w:val="0"/>
              <w:jc w:val="both"/>
              <w:rPr>
                <w:sz w:val="20"/>
                <w:szCs w:val="20"/>
                <w:lang w:eastAsia="en-US"/>
              </w:rPr>
            </w:pPr>
            <w:r w:rsidR="00A51A4F">
              <w:rPr>
                <w:sz w:val="20"/>
                <w:szCs w:val="20"/>
                <w:lang w:eastAsia="en-US"/>
              </w:rPr>
              <w:t xml:space="preserve">Bod </w:t>
            </w:r>
            <w:r w:rsidRPr="00060433">
              <w:rPr>
                <w:sz w:val="20"/>
                <w:szCs w:val="20"/>
                <w:lang w:eastAsia="en-US"/>
              </w:rPr>
              <w:t>10. spoluprácu s príslušnými organizáciami členských štátov Európskej únie, Európskeho hospodárskeho priestoru a s Komisiou v oblasti hodnotenia a riadenia kvali</w:t>
            </w:r>
            <w:r w:rsidRPr="00060433">
              <w:rPr>
                <w:sz w:val="20"/>
                <w:szCs w:val="20"/>
                <w:lang w:eastAsia="en-US"/>
              </w:rPr>
              <w:t>ty ovzdušia a koordináciu programov na zlepšenie kvality ovzdušia na území Slovenskej repu</w:t>
            </w:r>
            <w:r w:rsidR="00A51A4F">
              <w:rPr>
                <w:sz w:val="20"/>
                <w:szCs w:val="20"/>
                <w:lang w:eastAsia="en-US"/>
              </w:rPr>
              <w:t>bliky, ktoré organizuje Komisia.</w:t>
            </w:r>
          </w:p>
          <w:p w:rsidR="002511B3" w:rsidRPr="002511B3" w:rsidP="00060433">
            <w:pPr>
              <w:spacing w:after="120"/>
              <w:jc w:val="both"/>
              <w:rPr>
                <w:sz w:val="20"/>
              </w:rPr>
            </w:pPr>
          </w:p>
        </w:tc>
        <w:tc>
          <w:tcPr>
            <w:tcW w:w="708" w:type="dxa"/>
          </w:tcPr>
          <w:p w:rsidR="001F4262" w:rsidRPr="00B44DD7">
            <w:pPr>
              <w:jc w:val="both"/>
              <w:rPr>
                <w:sz w:val="20"/>
              </w:rPr>
            </w:pPr>
            <w:r w:rsidRPr="00B44DD7" w:rsidR="00B44DD7">
              <w:rPr>
                <w:sz w:val="20"/>
              </w:rPr>
              <w:t>Ú</w:t>
            </w:r>
          </w:p>
        </w:tc>
        <w:tc>
          <w:tcPr>
            <w:tcW w:w="1130" w:type="dxa"/>
          </w:tcPr>
          <w:p w:rsidR="001F4262"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2511B3">
            <w:pPr>
              <w:jc w:val="both"/>
              <w:rPr>
                <w:sz w:val="20"/>
              </w:rPr>
            </w:pPr>
          </w:p>
        </w:tc>
        <w:tc>
          <w:tcPr>
            <w:tcW w:w="4074" w:type="dxa"/>
            <w:tcBorders>
              <w:bottom w:val="single" w:sz="4" w:space="0" w:color="auto"/>
            </w:tcBorders>
          </w:tcPr>
          <w:p w:rsidR="002511B3" w:rsidP="002511B3">
            <w:pPr>
              <w:jc w:val="both"/>
              <w:rPr>
                <w:sz w:val="20"/>
              </w:rPr>
            </w:pPr>
            <w:r w:rsidRPr="000B4172">
              <w:rPr>
                <w:sz w:val="20"/>
              </w:rPr>
              <w:t xml:space="preserve">b) schvaľovanie meracích systémov (metód, vybavenia, sietí a laboratórií); </w:t>
            </w:r>
          </w:p>
          <w:p w:rsidR="002511B3" w:rsidRPr="00605DAE" w:rsidP="00605DAE">
            <w:pPr>
              <w:jc w:val="both"/>
              <w:rPr>
                <w:sz w:val="20"/>
              </w:rPr>
            </w:pPr>
          </w:p>
        </w:tc>
        <w:tc>
          <w:tcPr>
            <w:tcW w:w="747" w:type="dxa"/>
          </w:tcPr>
          <w:p w:rsidR="002511B3" w:rsidP="00D86B9D">
            <w:pPr>
              <w:ind w:right="-249"/>
              <w:rPr>
                <w:sz w:val="20"/>
              </w:rPr>
            </w:pPr>
            <w:r>
              <w:rPr>
                <w:sz w:val="20"/>
              </w:rPr>
              <w:t>N</w:t>
            </w:r>
          </w:p>
        </w:tc>
        <w:tc>
          <w:tcPr>
            <w:tcW w:w="574" w:type="dxa"/>
          </w:tcPr>
          <w:p w:rsidR="002511B3" w:rsidRPr="00B44DD7">
            <w:pPr>
              <w:jc w:val="both"/>
              <w:rPr>
                <w:sz w:val="20"/>
              </w:rPr>
            </w:pPr>
            <w:r>
              <w:rPr>
                <w:sz w:val="20"/>
              </w:rPr>
              <w:t>NZ</w:t>
            </w:r>
          </w:p>
        </w:tc>
        <w:tc>
          <w:tcPr>
            <w:tcW w:w="701" w:type="dxa"/>
          </w:tcPr>
          <w:p w:rsidR="002511B3" w:rsidP="002511B3">
            <w:pPr>
              <w:pStyle w:val="Paragrafyzkona"/>
              <w:spacing w:before="0" w:line="240" w:lineRule="auto"/>
              <w:jc w:val="left"/>
              <w:rPr>
                <w:b w:val="0"/>
                <w:sz w:val="20"/>
                <w:szCs w:val="20"/>
                <w:lang w:eastAsia="en-US"/>
              </w:rPr>
            </w:pPr>
            <w:r w:rsidR="009434A0">
              <w:rPr>
                <w:b w:val="0"/>
                <w:sz w:val="20"/>
                <w:szCs w:val="20"/>
                <w:lang w:eastAsia="en-US"/>
              </w:rPr>
              <w:t>§ 41</w:t>
            </w:r>
          </w:p>
          <w:p w:rsidR="002511B3" w:rsidP="002511B3">
            <w:pPr>
              <w:pStyle w:val="Paragrafyzkona"/>
              <w:spacing w:before="0" w:line="240" w:lineRule="auto"/>
              <w:jc w:val="left"/>
              <w:rPr>
                <w:b w:val="0"/>
                <w:sz w:val="20"/>
                <w:szCs w:val="20"/>
                <w:lang w:eastAsia="en-US"/>
              </w:rPr>
            </w:pPr>
            <w:r>
              <w:rPr>
                <w:b w:val="0"/>
                <w:sz w:val="20"/>
                <w:szCs w:val="20"/>
                <w:lang w:eastAsia="en-US"/>
              </w:rPr>
              <w:t>Ph</w:t>
            </w:r>
          </w:p>
          <w:p w:rsidR="002511B3" w:rsidP="002511B3">
            <w:pPr>
              <w:pStyle w:val="Paragrafyzkona"/>
              <w:spacing w:before="0" w:line="240" w:lineRule="auto"/>
              <w:jc w:val="left"/>
              <w:rPr>
                <w:b w:val="0"/>
                <w:sz w:val="20"/>
                <w:szCs w:val="20"/>
                <w:lang w:eastAsia="en-US"/>
              </w:rPr>
            </w:pPr>
          </w:p>
          <w:p w:rsidR="002511B3" w:rsidP="00B44DD7">
            <w:pPr>
              <w:pStyle w:val="Paragrafyzkona"/>
              <w:spacing w:before="0" w:line="240" w:lineRule="auto"/>
              <w:jc w:val="left"/>
              <w:rPr>
                <w:b w:val="0"/>
                <w:sz w:val="20"/>
                <w:szCs w:val="20"/>
                <w:lang w:eastAsia="en-US"/>
              </w:rPr>
            </w:pPr>
          </w:p>
        </w:tc>
        <w:tc>
          <w:tcPr>
            <w:tcW w:w="7797" w:type="dxa"/>
          </w:tcPr>
          <w:p w:rsidR="000822EE" w:rsidRPr="00060433" w:rsidP="000822EE">
            <w:pPr>
              <w:spacing w:after="120"/>
              <w:jc w:val="both"/>
              <w:rPr>
                <w:sz w:val="20"/>
              </w:rPr>
            </w:pPr>
            <w:r w:rsidR="009C66F8">
              <w:rPr>
                <w:sz w:val="20"/>
              </w:rPr>
              <w:t>h)</w:t>
            </w:r>
            <w:r w:rsidRPr="00B44DD7" w:rsidR="009C66F8">
              <w:rPr>
                <w:sz w:val="20"/>
              </w:rPr>
              <w:t xml:space="preserve"> </w:t>
            </w:r>
            <w:r w:rsidRPr="00060433">
              <w:rPr>
                <w:sz w:val="20"/>
              </w:rPr>
              <w:t xml:space="preserve">vo veciach monitorovania, hodnotenia a riadenia kvality ovzdušia zabezpečuje prostredníctvom poverenej organizácie </w:t>
            </w:r>
          </w:p>
          <w:p w:rsidR="000822EE" w:rsidRPr="000822EE" w:rsidP="000822EE">
            <w:pPr>
              <w:pStyle w:val="ListParagraph"/>
              <w:spacing w:line="240" w:lineRule="auto"/>
              <w:ind w:left="0"/>
              <w:contextualSpacing w:val="0"/>
              <w:jc w:val="both"/>
              <w:rPr>
                <w:sz w:val="20"/>
                <w:szCs w:val="20"/>
                <w:lang w:eastAsia="en-US"/>
              </w:rPr>
            </w:pPr>
            <w:r w:rsidR="00A51A4F">
              <w:rPr>
                <w:sz w:val="20"/>
                <w:szCs w:val="20"/>
                <w:lang w:eastAsia="en-US"/>
              </w:rPr>
              <w:t xml:space="preserve">Bod </w:t>
            </w:r>
            <w:r w:rsidRPr="000822EE">
              <w:rPr>
                <w:sz w:val="20"/>
                <w:szCs w:val="20"/>
                <w:lang w:eastAsia="en-US"/>
              </w:rPr>
              <w:t>12. činnosti národného referenčného laboratóri</w:t>
            </w:r>
            <w:r w:rsidR="00A51A4F">
              <w:rPr>
                <w:sz w:val="20"/>
                <w:szCs w:val="20"/>
                <w:lang w:eastAsia="en-US"/>
              </w:rPr>
              <w:t>a a dohliada na ich vykonávanie.</w:t>
            </w:r>
          </w:p>
          <w:p w:rsidR="002511B3" w:rsidP="000822EE">
            <w:pPr>
              <w:spacing w:after="120"/>
              <w:jc w:val="both"/>
              <w:rPr>
                <w:sz w:val="20"/>
              </w:rPr>
            </w:pPr>
          </w:p>
        </w:tc>
        <w:tc>
          <w:tcPr>
            <w:tcW w:w="708" w:type="dxa"/>
          </w:tcPr>
          <w:p w:rsidR="002511B3" w:rsidRPr="00B44DD7">
            <w:pPr>
              <w:jc w:val="both"/>
              <w:rPr>
                <w:sz w:val="20"/>
              </w:rPr>
            </w:pPr>
            <w:r>
              <w:rPr>
                <w:sz w:val="20"/>
              </w:rPr>
              <w:t>Ú</w:t>
            </w:r>
          </w:p>
        </w:tc>
        <w:tc>
          <w:tcPr>
            <w:tcW w:w="1130" w:type="dxa"/>
          </w:tcPr>
          <w:p w:rsidR="002511B3"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2511B3">
            <w:pPr>
              <w:jc w:val="both"/>
              <w:rPr>
                <w:sz w:val="20"/>
              </w:rPr>
            </w:pPr>
          </w:p>
        </w:tc>
        <w:tc>
          <w:tcPr>
            <w:tcW w:w="4074" w:type="dxa"/>
            <w:tcBorders>
              <w:bottom w:val="single" w:sz="4" w:space="0" w:color="auto"/>
            </w:tcBorders>
          </w:tcPr>
          <w:p w:rsidR="002511B3" w:rsidRPr="00605DAE" w:rsidP="00605DAE">
            <w:pPr>
              <w:jc w:val="both"/>
              <w:rPr>
                <w:sz w:val="20"/>
              </w:rPr>
            </w:pPr>
            <w:r w:rsidRPr="000B4172">
              <w:rPr>
                <w:sz w:val="20"/>
              </w:rPr>
              <w:t>c) zaisťovanie presnosti meraní</w:t>
            </w:r>
          </w:p>
        </w:tc>
        <w:tc>
          <w:tcPr>
            <w:tcW w:w="747" w:type="dxa"/>
          </w:tcPr>
          <w:p w:rsidR="002511B3" w:rsidP="00D86B9D">
            <w:pPr>
              <w:ind w:right="-249"/>
              <w:rPr>
                <w:sz w:val="20"/>
              </w:rPr>
            </w:pPr>
            <w:r>
              <w:rPr>
                <w:sz w:val="20"/>
              </w:rPr>
              <w:t>N</w:t>
            </w:r>
          </w:p>
        </w:tc>
        <w:tc>
          <w:tcPr>
            <w:tcW w:w="574" w:type="dxa"/>
          </w:tcPr>
          <w:p w:rsidR="002511B3" w:rsidRPr="00B44DD7">
            <w:pPr>
              <w:jc w:val="both"/>
              <w:rPr>
                <w:sz w:val="20"/>
              </w:rPr>
            </w:pPr>
            <w:r>
              <w:rPr>
                <w:sz w:val="20"/>
              </w:rPr>
              <w:t>NZ</w:t>
            </w:r>
          </w:p>
        </w:tc>
        <w:tc>
          <w:tcPr>
            <w:tcW w:w="701" w:type="dxa"/>
          </w:tcPr>
          <w:p w:rsidR="009C66F8" w:rsidP="009C66F8">
            <w:pPr>
              <w:pStyle w:val="Paragrafyzkona"/>
              <w:spacing w:before="0" w:line="240" w:lineRule="auto"/>
              <w:jc w:val="left"/>
              <w:rPr>
                <w:b w:val="0"/>
                <w:sz w:val="20"/>
                <w:szCs w:val="20"/>
                <w:lang w:eastAsia="en-US"/>
              </w:rPr>
            </w:pPr>
            <w:r w:rsidR="009434A0">
              <w:rPr>
                <w:b w:val="0"/>
                <w:sz w:val="20"/>
                <w:szCs w:val="20"/>
                <w:lang w:eastAsia="en-US"/>
              </w:rPr>
              <w:t>§ 41</w:t>
            </w:r>
          </w:p>
          <w:p w:rsidR="009C66F8" w:rsidP="009C66F8">
            <w:pPr>
              <w:pStyle w:val="Paragrafyzkona"/>
              <w:spacing w:before="0" w:line="240" w:lineRule="auto"/>
              <w:jc w:val="left"/>
              <w:rPr>
                <w:b w:val="0"/>
                <w:sz w:val="20"/>
                <w:szCs w:val="20"/>
                <w:lang w:eastAsia="en-US"/>
              </w:rPr>
            </w:pPr>
            <w:r>
              <w:rPr>
                <w:b w:val="0"/>
                <w:sz w:val="20"/>
                <w:szCs w:val="20"/>
                <w:lang w:eastAsia="en-US"/>
              </w:rPr>
              <w:t>Ph</w:t>
            </w:r>
          </w:p>
          <w:p w:rsidR="009C66F8" w:rsidP="009C66F8">
            <w:pPr>
              <w:pStyle w:val="Paragrafyzkona"/>
              <w:spacing w:before="0" w:line="240" w:lineRule="auto"/>
              <w:jc w:val="left"/>
              <w:rPr>
                <w:b w:val="0"/>
                <w:sz w:val="20"/>
                <w:szCs w:val="20"/>
                <w:lang w:eastAsia="en-US"/>
              </w:rPr>
            </w:pPr>
          </w:p>
          <w:p w:rsidR="002511B3" w:rsidP="00B44DD7">
            <w:pPr>
              <w:pStyle w:val="Paragrafyzkona"/>
              <w:spacing w:before="0" w:line="240" w:lineRule="auto"/>
              <w:jc w:val="left"/>
              <w:rPr>
                <w:b w:val="0"/>
                <w:sz w:val="20"/>
                <w:szCs w:val="20"/>
                <w:lang w:eastAsia="en-US"/>
              </w:rPr>
            </w:pPr>
          </w:p>
        </w:tc>
        <w:tc>
          <w:tcPr>
            <w:tcW w:w="7797" w:type="dxa"/>
          </w:tcPr>
          <w:p w:rsidR="00715F12" w:rsidP="009C66F8">
            <w:pPr>
              <w:spacing w:after="120"/>
              <w:jc w:val="both"/>
              <w:rPr>
                <w:sz w:val="20"/>
              </w:rPr>
            </w:pPr>
            <w:r>
              <w:rPr>
                <w:sz w:val="20"/>
              </w:rPr>
              <w:t>Ministerstvo</w:t>
            </w:r>
          </w:p>
          <w:p w:rsidR="00A51A4F" w:rsidP="009C66F8">
            <w:pPr>
              <w:spacing w:after="120"/>
              <w:jc w:val="both"/>
              <w:rPr>
                <w:sz w:val="20"/>
              </w:rPr>
            </w:pPr>
            <w:r w:rsidR="009C66F8">
              <w:rPr>
                <w:sz w:val="20"/>
              </w:rPr>
              <w:t>h)</w:t>
            </w:r>
            <w:r w:rsidRPr="00B44DD7" w:rsidR="009C66F8">
              <w:rPr>
                <w:sz w:val="20"/>
              </w:rPr>
              <w:t xml:space="preserve"> vo veciach hodnotenia a riadenia kvality ovzdušia zabezpečuje prostredníctvom poverenej organizácie</w:t>
            </w:r>
            <w:r w:rsidRPr="009C66F8" w:rsidR="009C66F8">
              <w:rPr>
                <w:sz w:val="20"/>
              </w:rPr>
              <w:t xml:space="preserve"> </w:t>
            </w:r>
            <w:r>
              <w:rPr>
                <w:sz w:val="20"/>
              </w:rPr>
              <w:t>a</w:t>
            </w:r>
          </w:p>
          <w:p w:rsidR="002511B3" w:rsidP="000B0930">
            <w:pPr>
              <w:spacing w:after="120"/>
              <w:jc w:val="both"/>
              <w:rPr>
                <w:sz w:val="20"/>
              </w:rPr>
            </w:pPr>
            <w:r w:rsidR="00A51A4F">
              <w:rPr>
                <w:sz w:val="20"/>
              </w:rPr>
              <w:t xml:space="preserve">Bod 9. </w:t>
            </w:r>
            <w:r w:rsidRPr="009C66F8" w:rsidR="009C66F8">
              <w:rPr>
                <w:sz w:val="20"/>
              </w:rPr>
              <w:t xml:space="preserve"> </w:t>
            </w:r>
            <w:r w:rsidRPr="000B0930" w:rsidR="000B0930">
              <w:rPr>
                <w:sz w:val="20"/>
              </w:rPr>
              <w:tab/>
              <w:t>a Slovenskej národnej akreditačnej služby, ) ktorá je na účely tohto zákona národným notifikačným orgánom (ďalej len „národný notifikačný orgán“) a povoľujúceho orgánu správnosť merania meracími prostriedkami ich akreditáciu a notifikáciu a kontroluje udržiavanie presnosti meracích prostriedkov, najmä riadením kvality vykonávaným podľa požiadaviek medzinárodných noriem pre akreditáciu skúšobných a kalibračných laboratórií a akreditáciu orgánov vykonávajúcich inšpekciu zhody meracích prostriedkov so špecifikovanými požiadavkami,</w:t>
            </w:r>
          </w:p>
        </w:tc>
        <w:tc>
          <w:tcPr>
            <w:tcW w:w="708" w:type="dxa"/>
          </w:tcPr>
          <w:p w:rsidR="002511B3" w:rsidRPr="00B44DD7">
            <w:pPr>
              <w:jc w:val="both"/>
              <w:rPr>
                <w:sz w:val="20"/>
              </w:rPr>
            </w:pPr>
            <w:r>
              <w:rPr>
                <w:sz w:val="20"/>
              </w:rPr>
              <w:t>Ú</w:t>
            </w:r>
          </w:p>
        </w:tc>
        <w:tc>
          <w:tcPr>
            <w:tcW w:w="1130" w:type="dxa"/>
          </w:tcPr>
          <w:p w:rsidR="002511B3"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2511B3">
            <w:pPr>
              <w:jc w:val="both"/>
              <w:rPr>
                <w:sz w:val="20"/>
              </w:rPr>
            </w:pPr>
          </w:p>
        </w:tc>
        <w:tc>
          <w:tcPr>
            <w:tcW w:w="4074" w:type="dxa"/>
            <w:tcBorders>
              <w:bottom w:val="single" w:sz="4" w:space="0" w:color="auto"/>
            </w:tcBorders>
          </w:tcPr>
          <w:p w:rsidR="002511B3" w:rsidP="002511B3">
            <w:pPr>
              <w:jc w:val="both"/>
              <w:rPr>
                <w:sz w:val="20"/>
              </w:rPr>
            </w:pPr>
            <w:r w:rsidRPr="000B4172">
              <w:rPr>
                <w:sz w:val="20"/>
              </w:rPr>
              <w:t xml:space="preserve">d) analýzu metód hodnotenia; </w:t>
            </w:r>
          </w:p>
          <w:p w:rsidR="002511B3" w:rsidRPr="00605DAE" w:rsidP="00605DAE">
            <w:pPr>
              <w:jc w:val="both"/>
              <w:rPr>
                <w:sz w:val="20"/>
              </w:rPr>
            </w:pPr>
          </w:p>
        </w:tc>
        <w:tc>
          <w:tcPr>
            <w:tcW w:w="747" w:type="dxa"/>
          </w:tcPr>
          <w:p w:rsidR="002511B3" w:rsidP="00D86B9D">
            <w:pPr>
              <w:ind w:right="-249"/>
              <w:rPr>
                <w:sz w:val="20"/>
              </w:rPr>
            </w:pPr>
            <w:r>
              <w:rPr>
                <w:sz w:val="20"/>
              </w:rPr>
              <w:t>N</w:t>
            </w:r>
          </w:p>
        </w:tc>
        <w:tc>
          <w:tcPr>
            <w:tcW w:w="574" w:type="dxa"/>
          </w:tcPr>
          <w:p w:rsidR="002511B3" w:rsidRPr="00B44DD7">
            <w:pPr>
              <w:jc w:val="both"/>
              <w:rPr>
                <w:sz w:val="20"/>
              </w:rPr>
            </w:pPr>
            <w:r>
              <w:rPr>
                <w:sz w:val="20"/>
              </w:rPr>
              <w:t>NZ</w:t>
            </w:r>
          </w:p>
        </w:tc>
        <w:tc>
          <w:tcPr>
            <w:tcW w:w="701" w:type="dxa"/>
          </w:tcPr>
          <w:p w:rsidR="006D7FE6" w:rsidP="006D7FE6">
            <w:pPr>
              <w:pStyle w:val="Paragrafyzkona"/>
              <w:spacing w:before="0" w:line="240" w:lineRule="auto"/>
              <w:jc w:val="left"/>
              <w:rPr>
                <w:b w:val="0"/>
                <w:sz w:val="20"/>
                <w:szCs w:val="20"/>
                <w:lang w:eastAsia="en-US"/>
              </w:rPr>
            </w:pPr>
            <w:r w:rsidR="009434A0">
              <w:rPr>
                <w:b w:val="0"/>
                <w:sz w:val="20"/>
                <w:szCs w:val="20"/>
                <w:lang w:eastAsia="en-US"/>
              </w:rPr>
              <w:t>§ 41</w:t>
            </w:r>
          </w:p>
          <w:p w:rsidR="006D7FE6" w:rsidP="006D7FE6">
            <w:pPr>
              <w:pStyle w:val="Paragrafyzkona"/>
              <w:spacing w:before="0" w:line="240" w:lineRule="auto"/>
              <w:jc w:val="left"/>
              <w:rPr>
                <w:b w:val="0"/>
                <w:sz w:val="20"/>
                <w:szCs w:val="20"/>
                <w:lang w:eastAsia="en-US"/>
              </w:rPr>
            </w:pPr>
            <w:r>
              <w:rPr>
                <w:b w:val="0"/>
                <w:sz w:val="20"/>
                <w:szCs w:val="20"/>
                <w:lang w:eastAsia="en-US"/>
              </w:rPr>
              <w:t>Ph</w:t>
            </w:r>
          </w:p>
          <w:p w:rsidR="002511B3" w:rsidP="00B44DD7">
            <w:pPr>
              <w:pStyle w:val="Paragrafyzkona"/>
              <w:spacing w:before="0" w:line="240" w:lineRule="auto"/>
              <w:jc w:val="left"/>
              <w:rPr>
                <w:b w:val="0"/>
                <w:sz w:val="20"/>
                <w:szCs w:val="20"/>
                <w:lang w:eastAsia="en-US"/>
              </w:rPr>
            </w:pPr>
          </w:p>
        </w:tc>
        <w:tc>
          <w:tcPr>
            <w:tcW w:w="7797" w:type="dxa"/>
          </w:tcPr>
          <w:p w:rsidR="00715F12" w:rsidP="006D7FE6">
            <w:pPr>
              <w:spacing w:after="120"/>
              <w:jc w:val="both"/>
              <w:rPr>
                <w:sz w:val="20"/>
              </w:rPr>
            </w:pPr>
            <w:r>
              <w:rPr>
                <w:sz w:val="20"/>
              </w:rPr>
              <w:t>Ministerstvo</w:t>
            </w:r>
          </w:p>
          <w:p w:rsidR="006D7FE6" w:rsidRPr="006D7FE6" w:rsidP="006D7FE6">
            <w:pPr>
              <w:spacing w:after="120"/>
              <w:jc w:val="both"/>
              <w:rPr>
                <w:sz w:val="20"/>
              </w:rPr>
            </w:pPr>
            <w:r>
              <w:rPr>
                <w:sz w:val="20"/>
              </w:rPr>
              <w:t xml:space="preserve">h) </w:t>
            </w:r>
            <w:r w:rsidRPr="006D7FE6">
              <w:rPr>
                <w:sz w:val="20"/>
              </w:rPr>
              <w:t>vo veciach hodnotenia a riadenia kvality ovzdušia zabezpečuje prostredníctvom</w:t>
            </w:r>
            <w:r w:rsidRPr="006D7FE6">
              <w:rPr>
                <w:sz w:val="20"/>
              </w:rPr>
              <w:t xml:space="preserve"> poverenej organizácie </w:t>
            </w:r>
          </w:p>
          <w:p w:rsidR="002511B3" w:rsidP="00B44DD7">
            <w:pPr>
              <w:spacing w:after="120"/>
              <w:jc w:val="both"/>
              <w:rPr>
                <w:sz w:val="20"/>
              </w:rPr>
            </w:pPr>
          </w:p>
        </w:tc>
        <w:tc>
          <w:tcPr>
            <w:tcW w:w="708" w:type="dxa"/>
          </w:tcPr>
          <w:p w:rsidR="002511B3" w:rsidRPr="00B44DD7">
            <w:pPr>
              <w:jc w:val="both"/>
              <w:rPr>
                <w:sz w:val="20"/>
              </w:rPr>
            </w:pPr>
            <w:r>
              <w:rPr>
                <w:sz w:val="20"/>
              </w:rPr>
              <w:t>Ú</w:t>
            </w:r>
          </w:p>
        </w:tc>
        <w:tc>
          <w:tcPr>
            <w:tcW w:w="1130" w:type="dxa"/>
          </w:tcPr>
          <w:p w:rsidR="002511B3"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2511B3">
            <w:pPr>
              <w:jc w:val="both"/>
              <w:rPr>
                <w:sz w:val="20"/>
              </w:rPr>
            </w:pPr>
          </w:p>
        </w:tc>
        <w:tc>
          <w:tcPr>
            <w:tcW w:w="4074" w:type="dxa"/>
            <w:tcBorders>
              <w:bottom w:val="single" w:sz="4" w:space="0" w:color="auto"/>
            </w:tcBorders>
          </w:tcPr>
          <w:p w:rsidR="002511B3" w:rsidP="002511B3">
            <w:pPr>
              <w:jc w:val="both"/>
              <w:rPr>
                <w:sz w:val="20"/>
              </w:rPr>
            </w:pPr>
            <w:r w:rsidRPr="000B4172">
              <w:rPr>
                <w:sz w:val="20"/>
              </w:rPr>
              <w:t xml:space="preserve">e) koordináciu na svojom území, ak Komisia organizuje programy Spoločenstva na zabezpečenie kvality; </w:t>
            </w:r>
          </w:p>
          <w:p w:rsidR="002511B3" w:rsidRPr="00605DAE" w:rsidP="00605DAE">
            <w:pPr>
              <w:jc w:val="both"/>
              <w:rPr>
                <w:sz w:val="20"/>
              </w:rPr>
            </w:pPr>
          </w:p>
        </w:tc>
        <w:tc>
          <w:tcPr>
            <w:tcW w:w="747" w:type="dxa"/>
          </w:tcPr>
          <w:p w:rsidR="002511B3" w:rsidP="00D86B9D">
            <w:pPr>
              <w:ind w:right="-249"/>
              <w:rPr>
                <w:sz w:val="20"/>
              </w:rPr>
            </w:pPr>
            <w:r>
              <w:rPr>
                <w:sz w:val="20"/>
              </w:rPr>
              <w:t>N</w:t>
            </w:r>
          </w:p>
        </w:tc>
        <w:tc>
          <w:tcPr>
            <w:tcW w:w="574" w:type="dxa"/>
          </w:tcPr>
          <w:p w:rsidR="002511B3" w:rsidRPr="00B44DD7">
            <w:pPr>
              <w:jc w:val="both"/>
              <w:rPr>
                <w:sz w:val="20"/>
              </w:rPr>
            </w:pPr>
            <w:r>
              <w:rPr>
                <w:sz w:val="20"/>
              </w:rPr>
              <w:t>NZ</w:t>
            </w:r>
          </w:p>
        </w:tc>
        <w:tc>
          <w:tcPr>
            <w:tcW w:w="701" w:type="dxa"/>
          </w:tcPr>
          <w:p w:rsidR="00CD03C9" w:rsidP="00CD03C9">
            <w:pPr>
              <w:pStyle w:val="Paragrafyzkona"/>
              <w:spacing w:before="0" w:line="240" w:lineRule="auto"/>
              <w:jc w:val="left"/>
              <w:rPr>
                <w:b w:val="0"/>
                <w:sz w:val="20"/>
                <w:szCs w:val="20"/>
                <w:lang w:eastAsia="en-US"/>
              </w:rPr>
            </w:pPr>
            <w:r w:rsidR="009434A0">
              <w:rPr>
                <w:b w:val="0"/>
                <w:sz w:val="20"/>
                <w:szCs w:val="20"/>
                <w:lang w:eastAsia="en-US"/>
              </w:rPr>
              <w:t>§ 41</w:t>
            </w:r>
          </w:p>
          <w:p w:rsidR="00CD03C9" w:rsidP="00CD03C9">
            <w:pPr>
              <w:pStyle w:val="Paragrafyzkona"/>
              <w:spacing w:before="0" w:line="240" w:lineRule="auto"/>
              <w:jc w:val="left"/>
              <w:rPr>
                <w:b w:val="0"/>
                <w:sz w:val="20"/>
                <w:szCs w:val="20"/>
                <w:lang w:eastAsia="en-US"/>
              </w:rPr>
            </w:pPr>
            <w:r>
              <w:rPr>
                <w:b w:val="0"/>
                <w:sz w:val="20"/>
                <w:szCs w:val="20"/>
                <w:lang w:eastAsia="en-US"/>
              </w:rPr>
              <w:t>Ph</w:t>
            </w:r>
          </w:p>
          <w:p w:rsidR="00CD03C9" w:rsidP="00CD03C9">
            <w:pPr>
              <w:pStyle w:val="Paragrafyzkona"/>
              <w:spacing w:before="0" w:line="240" w:lineRule="auto"/>
              <w:jc w:val="left"/>
              <w:rPr>
                <w:b w:val="0"/>
                <w:sz w:val="20"/>
                <w:szCs w:val="20"/>
                <w:lang w:eastAsia="en-US"/>
              </w:rPr>
            </w:pPr>
          </w:p>
          <w:p w:rsidR="002511B3" w:rsidP="00B44DD7">
            <w:pPr>
              <w:pStyle w:val="Paragrafyzkona"/>
              <w:spacing w:before="0" w:line="240" w:lineRule="auto"/>
              <w:jc w:val="left"/>
              <w:rPr>
                <w:b w:val="0"/>
                <w:sz w:val="20"/>
                <w:szCs w:val="20"/>
                <w:lang w:eastAsia="en-US"/>
              </w:rPr>
            </w:pPr>
          </w:p>
        </w:tc>
        <w:tc>
          <w:tcPr>
            <w:tcW w:w="7797" w:type="dxa"/>
          </w:tcPr>
          <w:p w:rsidR="00715F12" w:rsidP="00012600">
            <w:pPr>
              <w:spacing w:after="120"/>
              <w:jc w:val="both"/>
              <w:rPr>
                <w:sz w:val="20"/>
              </w:rPr>
            </w:pPr>
            <w:r>
              <w:rPr>
                <w:sz w:val="20"/>
              </w:rPr>
              <w:t>Ministerstvo</w:t>
            </w:r>
          </w:p>
          <w:p w:rsidR="00012600" w:rsidP="00012600">
            <w:pPr>
              <w:spacing w:after="120"/>
              <w:jc w:val="both"/>
              <w:rPr>
                <w:sz w:val="20"/>
              </w:rPr>
            </w:pPr>
            <w:r w:rsidR="00741439">
              <w:rPr>
                <w:sz w:val="20"/>
              </w:rPr>
              <w:t xml:space="preserve">h) </w:t>
            </w:r>
            <w:r w:rsidRPr="00B44DD7" w:rsidR="00741439">
              <w:rPr>
                <w:sz w:val="20"/>
              </w:rPr>
              <w:t>vo veciach hodnotenia a riadenia kvality ovzdušia zabezpečuje prostredníctvom poverenej orga</w:t>
            </w:r>
            <w:r w:rsidRPr="00B44DD7" w:rsidR="00741439">
              <w:rPr>
                <w:sz w:val="20"/>
              </w:rPr>
              <w:t xml:space="preserve">nizácie </w:t>
            </w:r>
          </w:p>
          <w:p w:rsidR="002511B3" w:rsidP="00012600">
            <w:pPr>
              <w:spacing w:after="120"/>
              <w:jc w:val="both"/>
              <w:rPr>
                <w:sz w:val="20"/>
              </w:rPr>
            </w:pPr>
            <w:r w:rsidR="00A51A4F">
              <w:rPr>
                <w:sz w:val="20"/>
              </w:rPr>
              <w:t xml:space="preserve">Bod </w:t>
            </w:r>
            <w:r w:rsidRPr="00012600" w:rsidR="00012600">
              <w:rPr>
                <w:sz w:val="20"/>
              </w:rPr>
              <w:t>10.</w:t>
              <w:tab/>
              <w:t>spoluprácu s príslušnými organizáciami členských štátov Európskej únie, Európskeho hospodárskeho priestoru a s Komisiou v oblasti hodnotenia a riadenia kvality ovzdušia a koordináciu programov na zlepšenie kvality ovzdušia na území Slovens</w:t>
            </w:r>
            <w:r w:rsidRPr="00012600" w:rsidR="00012600">
              <w:rPr>
                <w:sz w:val="20"/>
              </w:rPr>
              <w:t>kej republiky, ktoré organizuje Komisia</w:t>
            </w:r>
            <w:r w:rsidR="00A51A4F">
              <w:rPr>
                <w:sz w:val="20"/>
              </w:rPr>
              <w:t>.</w:t>
            </w:r>
          </w:p>
        </w:tc>
        <w:tc>
          <w:tcPr>
            <w:tcW w:w="708" w:type="dxa"/>
          </w:tcPr>
          <w:p w:rsidR="002511B3" w:rsidRPr="00B44DD7">
            <w:pPr>
              <w:jc w:val="both"/>
              <w:rPr>
                <w:sz w:val="20"/>
              </w:rPr>
            </w:pPr>
            <w:r>
              <w:rPr>
                <w:sz w:val="20"/>
              </w:rPr>
              <w:t>Ú</w:t>
            </w:r>
          </w:p>
        </w:tc>
        <w:tc>
          <w:tcPr>
            <w:tcW w:w="1130" w:type="dxa"/>
          </w:tcPr>
          <w:p w:rsidR="002511B3"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2511B3">
            <w:pPr>
              <w:jc w:val="both"/>
              <w:rPr>
                <w:sz w:val="20"/>
              </w:rPr>
            </w:pPr>
          </w:p>
        </w:tc>
        <w:tc>
          <w:tcPr>
            <w:tcW w:w="4074" w:type="dxa"/>
            <w:tcBorders>
              <w:bottom w:val="single" w:sz="4" w:space="0" w:color="auto"/>
            </w:tcBorders>
          </w:tcPr>
          <w:p w:rsidR="002511B3" w:rsidP="002511B3">
            <w:pPr>
              <w:jc w:val="both"/>
              <w:rPr>
                <w:sz w:val="20"/>
              </w:rPr>
            </w:pPr>
            <w:r w:rsidRPr="000B4172">
              <w:rPr>
                <w:sz w:val="20"/>
              </w:rPr>
              <w:t>f) spoluprácu s inými členskými štátmi a Komisiou. Príslušné orgány a subjekty v potrebných prípadoch zosúladia svoju činnosť s oddielom C prílohy I.</w:t>
            </w:r>
          </w:p>
          <w:p w:rsidR="002511B3" w:rsidRPr="00605DAE" w:rsidP="00605DAE">
            <w:pPr>
              <w:jc w:val="both"/>
              <w:rPr>
                <w:sz w:val="20"/>
              </w:rPr>
            </w:pPr>
          </w:p>
        </w:tc>
        <w:tc>
          <w:tcPr>
            <w:tcW w:w="747" w:type="dxa"/>
          </w:tcPr>
          <w:p w:rsidR="002511B3" w:rsidP="00D86B9D">
            <w:pPr>
              <w:ind w:right="-249"/>
              <w:rPr>
                <w:sz w:val="20"/>
              </w:rPr>
            </w:pPr>
            <w:r>
              <w:rPr>
                <w:sz w:val="20"/>
              </w:rPr>
              <w:t>N</w:t>
            </w:r>
          </w:p>
        </w:tc>
        <w:tc>
          <w:tcPr>
            <w:tcW w:w="574" w:type="dxa"/>
          </w:tcPr>
          <w:p w:rsidR="002511B3" w:rsidRPr="00B44DD7">
            <w:pPr>
              <w:jc w:val="both"/>
              <w:rPr>
                <w:sz w:val="20"/>
              </w:rPr>
            </w:pPr>
            <w:r>
              <w:rPr>
                <w:sz w:val="20"/>
              </w:rPr>
              <w:t>NZ</w:t>
            </w:r>
          </w:p>
        </w:tc>
        <w:tc>
          <w:tcPr>
            <w:tcW w:w="701" w:type="dxa"/>
          </w:tcPr>
          <w:p w:rsidR="00CD03C9" w:rsidP="00CD03C9">
            <w:pPr>
              <w:pStyle w:val="Paragrafyzkona"/>
              <w:spacing w:before="0" w:line="240" w:lineRule="auto"/>
              <w:jc w:val="left"/>
              <w:rPr>
                <w:b w:val="0"/>
                <w:sz w:val="20"/>
                <w:szCs w:val="20"/>
                <w:lang w:eastAsia="en-US"/>
              </w:rPr>
            </w:pPr>
            <w:r w:rsidR="009434A0">
              <w:rPr>
                <w:b w:val="0"/>
                <w:sz w:val="20"/>
                <w:szCs w:val="20"/>
                <w:lang w:eastAsia="en-US"/>
              </w:rPr>
              <w:t>§ 41</w:t>
            </w:r>
          </w:p>
          <w:p w:rsidR="00CD03C9" w:rsidP="00CD03C9">
            <w:pPr>
              <w:pStyle w:val="Paragrafyzkona"/>
              <w:spacing w:before="0" w:line="240" w:lineRule="auto"/>
              <w:jc w:val="left"/>
              <w:rPr>
                <w:b w:val="0"/>
                <w:sz w:val="20"/>
                <w:szCs w:val="20"/>
                <w:lang w:eastAsia="en-US"/>
              </w:rPr>
            </w:pPr>
            <w:r>
              <w:rPr>
                <w:b w:val="0"/>
                <w:sz w:val="20"/>
                <w:szCs w:val="20"/>
                <w:lang w:eastAsia="en-US"/>
              </w:rPr>
              <w:t>Ph</w:t>
            </w:r>
          </w:p>
          <w:p w:rsidR="00CD03C9" w:rsidP="00CD03C9">
            <w:pPr>
              <w:pStyle w:val="Paragrafyzkona"/>
              <w:spacing w:before="0" w:line="240" w:lineRule="auto"/>
              <w:jc w:val="left"/>
              <w:rPr>
                <w:b w:val="0"/>
                <w:sz w:val="20"/>
                <w:szCs w:val="20"/>
                <w:lang w:eastAsia="en-US"/>
              </w:rPr>
            </w:pPr>
          </w:p>
          <w:p w:rsidR="002511B3" w:rsidP="00B44DD7">
            <w:pPr>
              <w:pStyle w:val="Paragrafyzkona"/>
              <w:spacing w:before="0" w:line="240" w:lineRule="auto"/>
              <w:jc w:val="left"/>
              <w:rPr>
                <w:b w:val="0"/>
                <w:sz w:val="20"/>
                <w:szCs w:val="20"/>
                <w:lang w:eastAsia="en-US"/>
              </w:rPr>
            </w:pPr>
          </w:p>
        </w:tc>
        <w:tc>
          <w:tcPr>
            <w:tcW w:w="7797" w:type="dxa"/>
          </w:tcPr>
          <w:p w:rsidR="00715F12" w:rsidP="00012600">
            <w:pPr>
              <w:spacing w:after="120"/>
              <w:jc w:val="both"/>
              <w:rPr>
                <w:sz w:val="20"/>
              </w:rPr>
            </w:pPr>
            <w:r>
              <w:rPr>
                <w:sz w:val="20"/>
              </w:rPr>
              <w:t>Ministerstvo</w:t>
            </w:r>
          </w:p>
          <w:p w:rsidR="00012600" w:rsidP="00012600">
            <w:pPr>
              <w:spacing w:after="120"/>
              <w:jc w:val="both"/>
              <w:rPr>
                <w:sz w:val="20"/>
              </w:rPr>
            </w:pPr>
            <w:r>
              <w:rPr>
                <w:sz w:val="20"/>
              </w:rPr>
              <w:t xml:space="preserve">h) </w:t>
            </w:r>
            <w:r w:rsidRPr="00B44DD7">
              <w:rPr>
                <w:sz w:val="20"/>
              </w:rPr>
              <w:t xml:space="preserve">vo veciach hodnotenia a riadenia kvality ovzdušia zabezpečuje prostredníctvom poverenej organizácie </w:t>
            </w:r>
          </w:p>
          <w:p w:rsidR="002511B3" w:rsidP="00012600">
            <w:pPr>
              <w:spacing w:after="120"/>
              <w:jc w:val="both"/>
              <w:rPr>
                <w:sz w:val="20"/>
              </w:rPr>
            </w:pPr>
            <w:r w:rsidR="00A51A4F">
              <w:rPr>
                <w:sz w:val="20"/>
              </w:rPr>
              <w:t xml:space="preserve">Bod </w:t>
            </w:r>
            <w:r w:rsidRPr="00012600" w:rsidR="00012600">
              <w:rPr>
                <w:sz w:val="20"/>
              </w:rPr>
              <w:t>10.</w:t>
              <w:tab/>
              <w:t>spoluprácu s príslušnými organizáciami členských štátov Európskej únie, Európskeho hospodárskeho priestoru a s Komisiou v oblasti hodnotenia a riadenia kvality ovzdušia a koor</w:t>
            </w:r>
            <w:r w:rsidRPr="00012600" w:rsidR="00012600">
              <w:rPr>
                <w:sz w:val="20"/>
              </w:rPr>
              <w:t>dináciu programov na zlepšenie kvality ovzdušia na území Slovenskej republiky, ktoré organizuje Komisia</w:t>
            </w:r>
            <w:r w:rsidR="00A51A4F">
              <w:rPr>
                <w:sz w:val="20"/>
              </w:rPr>
              <w:t>.</w:t>
            </w:r>
          </w:p>
        </w:tc>
        <w:tc>
          <w:tcPr>
            <w:tcW w:w="708" w:type="dxa"/>
          </w:tcPr>
          <w:p w:rsidR="002511B3" w:rsidRPr="00B44DD7">
            <w:pPr>
              <w:jc w:val="both"/>
              <w:rPr>
                <w:sz w:val="20"/>
              </w:rPr>
            </w:pPr>
            <w:r>
              <w:rPr>
                <w:sz w:val="20"/>
              </w:rPr>
              <w:t>Ú</w:t>
            </w:r>
          </w:p>
        </w:tc>
        <w:tc>
          <w:tcPr>
            <w:tcW w:w="1130" w:type="dxa"/>
          </w:tcPr>
          <w:p w:rsidR="002511B3"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605DAE">
            <w:pPr>
              <w:jc w:val="both"/>
              <w:rPr>
                <w:sz w:val="20"/>
              </w:rPr>
            </w:pPr>
            <w:r>
              <w:rPr>
                <w:sz w:val="20"/>
              </w:rPr>
              <w:t>Č4</w:t>
            </w:r>
          </w:p>
          <w:p w:rsidR="00605DAE">
            <w:pPr>
              <w:jc w:val="both"/>
              <w:rPr>
                <w:sz w:val="20"/>
              </w:rPr>
            </w:pPr>
          </w:p>
        </w:tc>
        <w:tc>
          <w:tcPr>
            <w:tcW w:w="4074" w:type="dxa"/>
            <w:tcBorders>
              <w:bottom w:val="single" w:sz="4" w:space="0" w:color="auto"/>
            </w:tcBorders>
          </w:tcPr>
          <w:p w:rsidR="00605DAE" w:rsidRPr="00605DAE" w:rsidP="00605DAE">
            <w:pPr>
              <w:jc w:val="both"/>
              <w:rPr>
                <w:sz w:val="20"/>
              </w:rPr>
            </w:pPr>
            <w:r w:rsidRPr="00605DAE">
              <w:rPr>
                <w:sz w:val="20"/>
              </w:rPr>
              <w:t>Ustanovenie zón a aglomerácií</w:t>
            </w:r>
          </w:p>
          <w:p w:rsidR="00605DAE" w:rsidP="00605DAE">
            <w:pPr>
              <w:jc w:val="both"/>
              <w:rPr>
                <w:sz w:val="20"/>
              </w:rPr>
            </w:pPr>
            <w:r w:rsidRPr="00605DAE">
              <w:rPr>
                <w:sz w:val="20"/>
              </w:rPr>
              <w:t>Členské štáty ustanovia na svojom území zóny a aglomerácie. Vo všetkých zónach a aglomeráciách sa vykonáva hodnot</w:t>
            </w:r>
            <w:r w:rsidRPr="00605DAE">
              <w:rPr>
                <w:sz w:val="20"/>
              </w:rPr>
              <w:t>enie a riadenie kvality</w:t>
            </w:r>
            <w:r w:rsidR="00FD7BF3">
              <w:rPr>
                <w:sz w:val="20"/>
              </w:rPr>
              <w:t xml:space="preserve"> </w:t>
            </w:r>
            <w:r w:rsidRPr="00605DAE">
              <w:rPr>
                <w:sz w:val="20"/>
              </w:rPr>
              <w:t>ovzdušia.</w:t>
            </w:r>
          </w:p>
          <w:p w:rsidR="00605DAE" w:rsidP="00605DAE">
            <w:pPr>
              <w:jc w:val="both"/>
              <w:rPr>
                <w:sz w:val="20"/>
              </w:rPr>
            </w:pPr>
          </w:p>
        </w:tc>
        <w:tc>
          <w:tcPr>
            <w:tcW w:w="747" w:type="dxa"/>
          </w:tcPr>
          <w:p w:rsidR="00605DAE" w:rsidRPr="00D86B9D" w:rsidP="00D86B9D">
            <w:pPr>
              <w:ind w:right="-249"/>
              <w:rPr>
                <w:sz w:val="20"/>
              </w:rPr>
            </w:pPr>
            <w:r w:rsidR="00B07BF2">
              <w:rPr>
                <w:sz w:val="20"/>
              </w:rPr>
              <w:t>N</w:t>
            </w:r>
          </w:p>
        </w:tc>
        <w:tc>
          <w:tcPr>
            <w:tcW w:w="574" w:type="dxa"/>
          </w:tcPr>
          <w:p w:rsidR="00605DAE" w:rsidRPr="00B07BF2">
            <w:pPr>
              <w:jc w:val="both"/>
              <w:rPr>
                <w:sz w:val="20"/>
              </w:rPr>
            </w:pPr>
            <w:r w:rsidRPr="00B07BF2" w:rsidR="00B07BF2">
              <w:rPr>
                <w:sz w:val="20"/>
              </w:rPr>
              <w:t>NZ</w:t>
            </w:r>
          </w:p>
        </w:tc>
        <w:tc>
          <w:tcPr>
            <w:tcW w:w="701" w:type="dxa"/>
          </w:tcPr>
          <w:p w:rsidR="00CD03C9" w:rsidRPr="00CD03C9" w:rsidP="00CD03C9">
            <w:pPr>
              <w:pStyle w:val="Paragrafyzkona"/>
              <w:spacing w:before="0" w:after="120" w:line="240" w:lineRule="auto"/>
              <w:jc w:val="left"/>
              <w:rPr>
                <w:b w:val="0"/>
                <w:sz w:val="20"/>
                <w:szCs w:val="20"/>
                <w:lang w:eastAsia="en-US"/>
              </w:rPr>
            </w:pPr>
            <w:r w:rsidRPr="00CD03C9">
              <w:rPr>
                <w:b w:val="0"/>
                <w:sz w:val="20"/>
                <w:szCs w:val="20"/>
                <w:lang w:eastAsia="en-US"/>
              </w:rPr>
              <w:t>§ 62</w:t>
            </w:r>
          </w:p>
          <w:p w:rsidR="00605DAE" w:rsidP="00CD03C9">
            <w:pPr>
              <w:pStyle w:val="Paragrafyzkona"/>
              <w:spacing w:before="0" w:line="240" w:lineRule="auto"/>
              <w:jc w:val="left"/>
              <w:rPr>
                <w:b w:val="0"/>
                <w:sz w:val="20"/>
              </w:rPr>
            </w:pPr>
            <w:r w:rsidR="00CD03C9">
              <w:rPr>
                <w:b w:val="0"/>
                <w:sz w:val="20"/>
              </w:rPr>
              <w:t>Pc</w:t>
            </w:r>
          </w:p>
          <w:p w:rsidR="00CD03C9" w:rsidRPr="008658BB" w:rsidP="00CD03C9">
            <w:pPr>
              <w:pStyle w:val="Paragrafyzkona"/>
              <w:spacing w:before="0" w:line="240" w:lineRule="auto"/>
              <w:jc w:val="left"/>
              <w:rPr>
                <w:b w:val="0"/>
                <w:sz w:val="20"/>
              </w:rPr>
            </w:pPr>
          </w:p>
        </w:tc>
        <w:tc>
          <w:tcPr>
            <w:tcW w:w="7797" w:type="dxa"/>
          </w:tcPr>
          <w:p w:rsidR="00C73BFB" w:rsidRPr="00B07BF2" w:rsidP="00CD03C9">
            <w:pPr>
              <w:pStyle w:val="ListParagraph"/>
              <w:spacing w:line="240" w:lineRule="auto"/>
              <w:ind w:left="0"/>
              <w:contextualSpacing w:val="0"/>
              <w:jc w:val="both"/>
              <w:rPr>
                <w:sz w:val="20"/>
                <w:szCs w:val="20"/>
                <w:lang w:eastAsia="en-US"/>
              </w:rPr>
            </w:pPr>
            <w:r w:rsidRPr="00CD03C9" w:rsidR="00CD03C9">
              <w:rPr>
                <w:sz w:val="20"/>
                <w:szCs w:val="20"/>
                <w:lang w:eastAsia="en-US"/>
              </w:rPr>
              <w:t>Všeobecne záväzný právny predpis, ktorý vydá ministerstvo, ustanoví</w:t>
            </w:r>
          </w:p>
          <w:p w:rsidR="00C73BFB" w:rsidP="00C73BFB">
            <w:pPr>
              <w:pStyle w:val="ListParagraph"/>
              <w:spacing w:line="240" w:lineRule="auto"/>
              <w:ind w:left="0"/>
              <w:contextualSpacing w:val="0"/>
              <w:jc w:val="both"/>
            </w:pPr>
            <w:r w:rsidRPr="00CD03C9" w:rsidR="00CD03C9">
              <w:rPr>
                <w:sz w:val="20"/>
                <w:szCs w:val="20"/>
                <w:lang w:eastAsia="en-US"/>
              </w:rPr>
              <w:t>c)</w:t>
            </w:r>
            <w:r w:rsidR="00CD03C9">
              <w:t xml:space="preserve"> </w:t>
            </w:r>
            <w:r w:rsidRPr="00CD03C9" w:rsidR="00CD03C9">
              <w:rPr>
                <w:sz w:val="20"/>
                <w:szCs w:val="20"/>
                <w:lang w:eastAsia="en-US"/>
              </w:rPr>
              <w:t>aglomerácie a zóny, minimálny rozsah programu na zlepšenie kvality ovzdušia a  programu starostlivosti o kvalitu ovzdušia, podrobnosti o</w:t>
            </w:r>
            <w:r w:rsidRPr="00CD03C9" w:rsidR="00CD03C9">
              <w:rPr>
                <w:sz w:val="20"/>
                <w:szCs w:val="20"/>
                <w:lang w:eastAsia="en-US"/>
              </w:rPr>
              <w:t xml:space="preserve"> informáciách a údajoch o kvalite ovzdušia, ktoré sa sprístupňujú verejnosti</w:t>
            </w:r>
            <w:r w:rsidR="00A51A4F">
              <w:rPr>
                <w:sz w:val="20"/>
                <w:szCs w:val="20"/>
                <w:lang w:eastAsia="en-US"/>
              </w:rPr>
              <w:t>.</w:t>
            </w:r>
          </w:p>
          <w:p w:rsidR="00605DAE" w:rsidP="008658BB">
            <w:pPr>
              <w:pStyle w:val="Normlny"/>
              <w:jc w:val="center"/>
              <w:rPr>
                <w:b/>
              </w:rPr>
            </w:pPr>
          </w:p>
        </w:tc>
        <w:tc>
          <w:tcPr>
            <w:tcW w:w="708" w:type="dxa"/>
          </w:tcPr>
          <w:p w:rsidR="00605DAE" w:rsidRPr="00B07BF2">
            <w:pPr>
              <w:jc w:val="both"/>
              <w:rPr>
                <w:sz w:val="20"/>
              </w:rPr>
            </w:pPr>
            <w:r w:rsidRPr="00B07BF2" w:rsidR="00B07BF2">
              <w:rPr>
                <w:sz w:val="20"/>
              </w:rPr>
              <w:t>Ú</w:t>
            </w:r>
          </w:p>
        </w:tc>
        <w:tc>
          <w:tcPr>
            <w:tcW w:w="1130" w:type="dxa"/>
          </w:tcPr>
          <w:p w:rsidR="00605DAE"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605DAE">
            <w:pPr>
              <w:jc w:val="both"/>
              <w:rPr>
                <w:sz w:val="20"/>
              </w:rPr>
            </w:pPr>
            <w:r>
              <w:rPr>
                <w:sz w:val="20"/>
              </w:rPr>
              <w:t>Č5</w:t>
            </w:r>
          </w:p>
          <w:p w:rsidR="00605DAE">
            <w:pPr>
              <w:jc w:val="both"/>
              <w:rPr>
                <w:sz w:val="20"/>
              </w:rPr>
            </w:pPr>
            <w:r>
              <w:rPr>
                <w:sz w:val="20"/>
              </w:rPr>
              <w:t>O1</w:t>
            </w:r>
          </w:p>
        </w:tc>
        <w:tc>
          <w:tcPr>
            <w:tcW w:w="4074" w:type="dxa"/>
            <w:tcBorders>
              <w:bottom w:val="single" w:sz="4" w:space="0" w:color="auto"/>
            </w:tcBorders>
          </w:tcPr>
          <w:p w:rsidR="00605DAE" w:rsidRPr="00605DAE" w:rsidP="00605DAE">
            <w:pPr>
              <w:jc w:val="both"/>
              <w:rPr>
                <w:sz w:val="20"/>
              </w:rPr>
            </w:pPr>
            <w:r w:rsidRPr="00605DAE">
              <w:rPr>
                <w:sz w:val="20"/>
              </w:rPr>
              <w:t>Režim hodnotenia</w:t>
            </w:r>
          </w:p>
          <w:p w:rsidR="00605DAE" w:rsidRPr="00605DAE" w:rsidP="00605DAE">
            <w:pPr>
              <w:jc w:val="both"/>
              <w:rPr>
                <w:sz w:val="20"/>
              </w:rPr>
            </w:pPr>
            <w:r w:rsidRPr="00605DAE">
              <w:rPr>
                <w:sz w:val="20"/>
              </w:rPr>
              <w:t>1. Horné a dolné prahy na hodnotenie uvedené v oddiele A prílohy II</w:t>
            </w:r>
            <w:r w:rsidR="003529C9">
              <w:rPr>
                <w:sz w:val="20"/>
              </w:rPr>
              <w:t xml:space="preserve"> </w:t>
            </w:r>
            <w:r w:rsidRPr="00605DAE">
              <w:rPr>
                <w:sz w:val="20"/>
              </w:rPr>
              <w:t>sa vzťahujú na oxid siričitý, oxid dusičitý a oxidy dusíka, suspendované</w:t>
            </w:r>
          </w:p>
          <w:p w:rsidR="00605DAE" w:rsidP="00605DAE">
            <w:pPr>
              <w:jc w:val="both"/>
              <w:rPr>
                <w:sz w:val="20"/>
              </w:rPr>
            </w:pPr>
            <w:r w:rsidRPr="00605DAE">
              <w:rPr>
                <w:sz w:val="20"/>
              </w:rPr>
              <w:t>častice (</w:t>
            </w:r>
            <w:r w:rsidRPr="00605DAE">
              <w:rPr>
                <w:sz w:val="20"/>
              </w:rPr>
              <w:t>PM</w:t>
            </w:r>
            <w:r w:rsidRPr="003529C9">
              <w:rPr>
                <w:sz w:val="20"/>
                <w:vertAlign w:val="subscript"/>
              </w:rPr>
              <w:t>10</w:t>
            </w:r>
            <w:r w:rsidRPr="00605DAE">
              <w:rPr>
                <w:sz w:val="20"/>
              </w:rPr>
              <w:t xml:space="preserve"> a PM</w:t>
            </w:r>
            <w:r w:rsidRPr="003529C9">
              <w:rPr>
                <w:sz w:val="20"/>
                <w:vertAlign w:val="subscript"/>
              </w:rPr>
              <w:t>2,5</w:t>
            </w:r>
            <w:r w:rsidRPr="00605DAE">
              <w:rPr>
                <w:sz w:val="20"/>
              </w:rPr>
              <w:t>), olovo, benzén a oxid uhoľnatý.</w:t>
            </w:r>
            <w:r w:rsidR="003529C9">
              <w:rPr>
                <w:sz w:val="20"/>
              </w:rPr>
              <w:t xml:space="preserve"> </w:t>
            </w:r>
            <w:r w:rsidRPr="00605DAE">
              <w:rPr>
                <w:sz w:val="20"/>
              </w:rPr>
              <w:t>Každá zóna a aglomerácia sa klasifikuje podľa týchto prahov na hodnotenie.</w:t>
            </w:r>
          </w:p>
          <w:p w:rsidR="00605DAE" w:rsidRPr="00605DAE" w:rsidP="00605DAE">
            <w:pPr>
              <w:jc w:val="both"/>
              <w:rPr>
                <w:sz w:val="20"/>
              </w:rPr>
            </w:pPr>
          </w:p>
        </w:tc>
        <w:tc>
          <w:tcPr>
            <w:tcW w:w="747" w:type="dxa"/>
          </w:tcPr>
          <w:p w:rsidR="00605DAE" w:rsidRPr="00D86B9D" w:rsidP="00D86B9D">
            <w:pPr>
              <w:ind w:right="-249"/>
              <w:rPr>
                <w:sz w:val="20"/>
              </w:rPr>
            </w:pPr>
            <w:r w:rsidR="00B07BF2">
              <w:rPr>
                <w:sz w:val="20"/>
              </w:rPr>
              <w:t>N</w:t>
            </w:r>
          </w:p>
        </w:tc>
        <w:tc>
          <w:tcPr>
            <w:tcW w:w="574" w:type="dxa"/>
          </w:tcPr>
          <w:p w:rsidR="00605DAE" w:rsidRPr="00B07BF2">
            <w:pPr>
              <w:jc w:val="both"/>
              <w:rPr>
                <w:sz w:val="20"/>
              </w:rPr>
            </w:pPr>
            <w:r w:rsidRPr="00B07BF2" w:rsidR="00B07BF2">
              <w:rPr>
                <w:sz w:val="20"/>
              </w:rPr>
              <w:t>NZ</w:t>
            </w:r>
          </w:p>
        </w:tc>
        <w:tc>
          <w:tcPr>
            <w:tcW w:w="701" w:type="dxa"/>
          </w:tcPr>
          <w:p w:rsidR="00364B3D" w:rsidP="00364B3D">
            <w:pPr>
              <w:pStyle w:val="Paragrafyzkona"/>
              <w:spacing w:before="0" w:after="120" w:line="240" w:lineRule="auto"/>
              <w:jc w:val="left"/>
              <w:rPr>
                <w:b w:val="0"/>
                <w:sz w:val="20"/>
                <w:szCs w:val="20"/>
                <w:lang w:eastAsia="en-US"/>
              </w:rPr>
            </w:pPr>
            <w:r w:rsidR="000048EC">
              <w:rPr>
                <w:b w:val="0"/>
                <w:sz w:val="20"/>
                <w:szCs w:val="20"/>
                <w:lang w:eastAsia="en-US"/>
              </w:rPr>
              <w:t>§ 4</w:t>
            </w:r>
          </w:p>
          <w:p w:rsidR="00364B3D" w:rsidP="00364B3D">
            <w:pPr>
              <w:pStyle w:val="Paragrafyzkona"/>
              <w:spacing w:before="0" w:after="120" w:line="240" w:lineRule="auto"/>
              <w:jc w:val="left"/>
              <w:rPr>
                <w:b w:val="0"/>
                <w:sz w:val="20"/>
                <w:szCs w:val="20"/>
                <w:lang w:eastAsia="en-US"/>
              </w:rPr>
            </w:pPr>
            <w:r w:rsidR="000048EC">
              <w:rPr>
                <w:b w:val="0"/>
                <w:sz w:val="20"/>
              </w:rPr>
              <w:t>O2</w:t>
            </w:r>
          </w:p>
          <w:p w:rsidR="00364B3D" w:rsidRPr="00364B3D" w:rsidP="00364B3D">
            <w:pPr>
              <w:pStyle w:val="Paragrafyzkona"/>
              <w:spacing w:before="0" w:after="120" w:line="240" w:lineRule="auto"/>
              <w:jc w:val="left"/>
              <w:rPr>
                <w:b w:val="0"/>
                <w:sz w:val="20"/>
              </w:rPr>
            </w:pPr>
            <w:r w:rsidR="000048EC">
              <w:rPr>
                <w:b w:val="0"/>
                <w:sz w:val="20"/>
              </w:rPr>
              <w:t>O4</w:t>
            </w:r>
          </w:p>
          <w:p w:rsidR="000048EC" w:rsidP="000048EC">
            <w:pPr>
              <w:pStyle w:val="Paragrafyzkona"/>
              <w:spacing w:before="0" w:line="240" w:lineRule="auto"/>
              <w:jc w:val="left"/>
              <w:rPr>
                <w:b w:val="0"/>
                <w:sz w:val="20"/>
              </w:rPr>
            </w:pPr>
            <w:r>
              <w:rPr>
                <w:b w:val="0"/>
                <w:sz w:val="20"/>
              </w:rPr>
              <w:t>Pa</w:t>
            </w:r>
          </w:p>
          <w:p w:rsidR="00747B67" w:rsidP="000048EC">
            <w:pPr>
              <w:pStyle w:val="Paragrafyzkona"/>
              <w:spacing w:before="0" w:line="240" w:lineRule="auto"/>
              <w:jc w:val="left"/>
              <w:rPr>
                <w:b w:val="0"/>
                <w:sz w:val="20"/>
              </w:rPr>
            </w:pPr>
          </w:p>
          <w:p w:rsidR="00BA43E3"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r w:rsidR="006C51B5">
              <w:rPr>
                <w:b w:val="0"/>
                <w:sz w:val="20"/>
              </w:rPr>
              <w:t>O6</w:t>
            </w: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r>
              <w:rPr>
                <w:b w:val="0"/>
                <w:sz w:val="20"/>
              </w:rPr>
              <w:t>Pa</w:t>
            </w:r>
          </w:p>
          <w:p w:rsidR="00747B67" w:rsidP="000048EC">
            <w:pPr>
              <w:pStyle w:val="Paragrafyzkona"/>
              <w:spacing w:before="0" w:line="240" w:lineRule="auto"/>
              <w:jc w:val="left"/>
              <w:rPr>
                <w:b w:val="0"/>
                <w:sz w:val="20"/>
              </w:rPr>
            </w:pPr>
          </w:p>
          <w:p w:rsidR="00747B67" w:rsidP="000048EC">
            <w:pPr>
              <w:pStyle w:val="Paragrafyzkona"/>
              <w:spacing w:before="0" w:line="240" w:lineRule="auto"/>
              <w:jc w:val="left"/>
              <w:rPr>
                <w:b w:val="0"/>
                <w:sz w:val="20"/>
              </w:rPr>
            </w:pPr>
          </w:p>
          <w:p w:rsidR="00747B67" w:rsidRPr="008658BB" w:rsidP="000048EC">
            <w:pPr>
              <w:pStyle w:val="Paragrafyzkona"/>
              <w:spacing w:before="0" w:line="240" w:lineRule="auto"/>
              <w:jc w:val="left"/>
              <w:rPr>
                <w:b w:val="0"/>
                <w:sz w:val="20"/>
              </w:rPr>
            </w:pPr>
            <w:r>
              <w:rPr>
                <w:b w:val="0"/>
                <w:sz w:val="20"/>
              </w:rPr>
              <w:t>Pb</w:t>
            </w:r>
          </w:p>
        </w:tc>
        <w:tc>
          <w:tcPr>
            <w:tcW w:w="7797" w:type="dxa"/>
          </w:tcPr>
          <w:p w:rsidR="000048EC" w:rsidP="00747B67">
            <w:pPr>
              <w:pStyle w:val="ListParagraph"/>
              <w:spacing w:line="240" w:lineRule="auto"/>
              <w:ind w:left="0"/>
              <w:contextualSpacing w:val="0"/>
              <w:jc w:val="both"/>
              <w:rPr>
                <w:sz w:val="20"/>
                <w:szCs w:val="20"/>
                <w:lang w:eastAsia="en-US"/>
              </w:rPr>
            </w:pPr>
            <w:r>
              <w:rPr>
                <w:sz w:val="20"/>
                <w:szCs w:val="20"/>
                <w:lang w:eastAsia="en-US"/>
              </w:rPr>
              <w:t xml:space="preserve">(2) </w:t>
            </w:r>
            <w:r w:rsidRPr="00CE29BE" w:rsidR="00CE29BE">
              <w:rPr>
                <w:sz w:val="20"/>
                <w:szCs w:val="20"/>
                <w:lang w:eastAsia="en-US"/>
              </w:rPr>
              <w:t>Zoznam znečisťujúcich látok na účely hodnotenia a riadenia kvality ovzdušia je uvedený v prílohe č. 1. Hodnotenie kvality ovzdušia môže ministerstvo rozšíriť v odôvodnených prípadoch aj na iné znečisťujúce látky.</w:t>
            </w:r>
          </w:p>
          <w:p w:rsidR="000048EC" w:rsidRPr="000048EC" w:rsidP="00747B67">
            <w:pPr>
              <w:pStyle w:val="ListParagraph"/>
              <w:spacing w:line="240" w:lineRule="auto"/>
              <w:ind w:left="0"/>
              <w:contextualSpacing w:val="0"/>
              <w:jc w:val="both"/>
              <w:rPr>
                <w:sz w:val="20"/>
                <w:szCs w:val="20"/>
                <w:lang w:eastAsia="en-US"/>
              </w:rPr>
            </w:pPr>
            <w:r w:rsidR="00BA43E3">
              <w:rPr>
                <w:sz w:val="20"/>
                <w:szCs w:val="20"/>
                <w:lang w:eastAsia="en-US"/>
              </w:rPr>
              <w:t xml:space="preserve">(4) </w:t>
            </w:r>
            <w:r w:rsidRPr="00BA43E3" w:rsidR="00BA43E3">
              <w:rPr>
                <w:sz w:val="20"/>
                <w:szCs w:val="20"/>
                <w:lang w:eastAsia="en-US"/>
              </w:rPr>
              <w:t>Hodnotenie kvality ovzdušia zabezpečuje ministerstvo prostredníctvom poverenej organizácie</w:t>
            </w:r>
          </w:p>
          <w:p w:rsidR="000048EC" w:rsidP="00747B67">
            <w:pPr>
              <w:pStyle w:val="ListParagraph"/>
              <w:spacing w:line="240" w:lineRule="auto"/>
              <w:ind w:left="0"/>
              <w:contextualSpacing w:val="0"/>
              <w:jc w:val="both"/>
              <w:rPr>
                <w:sz w:val="20"/>
                <w:szCs w:val="20"/>
                <w:lang w:eastAsia="en-US"/>
              </w:rPr>
            </w:pPr>
            <w:r w:rsidR="00F35B1F">
              <w:rPr>
                <w:sz w:val="20"/>
                <w:szCs w:val="20"/>
                <w:lang w:eastAsia="en-US"/>
              </w:rPr>
              <w:t xml:space="preserve">a) </w:t>
            </w:r>
            <w:r w:rsidRPr="00BA43E3" w:rsidR="00BA43E3">
              <w:rPr>
                <w:sz w:val="20"/>
                <w:szCs w:val="20"/>
                <w:lang w:eastAsia="en-US"/>
              </w:rPr>
              <w:t>vo všetkých aglomeráciách a zónach pre znečisťujúce látky, pre ktoré sú určené normy kvality ovzdušia, na základe určeného režimu hodnotenia podľa odsekov 6 a 7.</w:t>
            </w:r>
          </w:p>
          <w:p w:rsidR="00747B67" w:rsidRPr="00747B67" w:rsidP="00747B67">
            <w:pPr>
              <w:pStyle w:val="ListParagraph"/>
              <w:spacing w:line="240" w:lineRule="auto"/>
              <w:ind w:left="0"/>
              <w:contextualSpacing w:val="0"/>
              <w:jc w:val="both"/>
              <w:rPr>
                <w:sz w:val="20"/>
                <w:szCs w:val="20"/>
                <w:lang w:eastAsia="en-US"/>
              </w:rPr>
            </w:pPr>
            <w:r w:rsidR="006C51B5">
              <w:rPr>
                <w:sz w:val="20"/>
                <w:szCs w:val="20"/>
                <w:lang w:eastAsia="en-US"/>
              </w:rPr>
              <w:t>(6</w:t>
            </w:r>
            <w:r>
              <w:rPr>
                <w:sz w:val="20"/>
                <w:szCs w:val="20"/>
                <w:lang w:eastAsia="en-US"/>
              </w:rPr>
              <w:t xml:space="preserve">) </w:t>
            </w:r>
            <w:r w:rsidRPr="00747B67">
              <w:rPr>
                <w:sz w:val="20"/>
                <w:szCs w:val="20"/>
                <w:lang w:eastAsia="en-US"/>
              </w:rPr>
              <w:t xml:space="preserve">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b) na ochranu zdravia, ochranu vegetácie a prírodných ekosystémov, pričom </w:t>
            </w:r>
          </w:p>
          <w:p w:rsidR="00747B67" w:rsidRPr="00747B67" w:rsidP="00747B67">
            <w:pPr>
              <w:pStyle w:val="ListParagraph"/>
              <w:numPr>
                <w:ilvl w:val="1"/>
                <w:numId w:val="8"/>
              </w:numPr>
              <w:spacing w:line="240" w:lineRule="auto"/>
              <w:ind w:left="284" w:hanging="284"/>
              <w:contextualSpacing w:val="0"/>
              <w:jc w:val="both"/>
              <w:rPr>
                <w:sz w:val="20"/>
                <w:szCs w:val="20"/>
                <w:lang w:eastAsia="en-US"/>
              </w:rPr>
            </w:pPr>
            <w:r w:rsidRPr="00747B67">
              <w:rPr>
                <w:sz w:val="20"/>
                <w:szCs w:val="20"/>
                <w:lang w:eastAsia="en-US"/>
              </w:rPr>
              <w:t>hornou medzou je ustanovená úroveň znečistenia ovzdušia, pod ktorou možno na hodnotenie kvality ovzdušia použiť kombináciu stálych meraní a modelovacích techník alebo aj indikatívnych meraní,</w:t>
            </w:r>
          </w:p>
          <w:p w:rsidR="00747B67" w:rsidP="00747B67">
            <w:pPr>
              <w:pStyle w:val="ListParagraph"/>
              <w:spacing w:line="240" w:lineRule="auto"/>
              <w:ind w:left="0"/>
              <w:contextualSpacing w:val="0"/>
              <w:jc w:val="both"/>
              <w:rPr>
                <w:sz w:val="20"/>
                <w:szCs w:val="20"/>
                <w:lang w:eastAsia="en-US"/>
              </w:rPr>
            </w:pPr>
            <w:r>
              <w:rPr>
                <w:sz w:val="20"/>
                <w:szCs w:val="20"/>
                <w:lang w:eastAsia="en-US"/>
              </w:rPr>
              <w:t xml:space="preserve">b) </w:t>
            </w:r>
            <w:r w:rsidRPr="00747B67">
              <w:rPr>
                <w:sz w:val="20"/>
                <w:szCs w:val="20"/>
                <w:lang w:eastAsia="en-US"/>
              </w:rPr>
              <w:t>dolnou medzou je ustanovená úroveň znečistenia ovzdušia, pod ktorou možno na hodnotenie kvality ovzdušia použiť modelovacie techniky alebo techniky objektívneho odhadu</w:t>
            </w:r>
          </w:p>
          <w:p w:rsidR="00747B67" w:rsidP="00747B67">
            <w:pPr>
              <w:pStyle w:val="ListParagraph"/>
              <w:spacing w:line="240" w:lineRule="auto"/>
              <w:ind w:left="0"/>
              <w:contextualSpacing w:val="0"/>
              <w:jc w:val="both"/>
              <w:rPr>
                <w:sz w:val="20"/>
                <w:szCs w:val="20"/>
                <w:lang w:eastAsia="en-US"/>
              </w:rPr>
            </w:pPr>
          </w:p>
          <w:p w:rsidR="00747B67" w:rsidRPr="00B07BF2" w:rsidP="00747B67">
            <w:pPr>
              <w:pStyle w:val="ListParagraph"/>
              <w:spacing w:line="240" w:lineRule="auto"/>
              <w:ind w:left="0"/>
              <w:contextualSpacing w:val="0"/>
              <w:jc w:val="both"/>
            </w:pPr>
          </w:p>
        </w:tc>
        <w:tc>
          <w:tcPr>
            <w:tcW w:w="708" w:type="dxa"/>
          </w:tcPr>
          <w:p w:rsidR="00605DAE" w:rsidRPr="00B07BF2">
            <w:pPr>
              <w:jc w:val="both"/>
              <w:rPr>
                <w:sz w:val="20"/>
              </w:rPr>
            </w:pPr>
            <w:r w:rsidRPr="00B07BF2" w:rsidR="00B07BF2">
              <w:rPr>
                <w:sz w:val="20"/>
              </w:rPr>
              <w:t>Ú</w:t>
            </w:r>
          </w:p>
        </w:tc>
        <w:tc>
          <w:tcPr>
            <w:tcW w:w="1130" w:type="dxa"/>
          </w:tcPr>
          <w:p w:rsidR="00605DAE"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605DAE">
            <w:pPr>
              <w:jc w:val="both"/>
              <w:rPr>
                <w:sz w:val="20"/>
              </w:rPr>
            </w:pPr>
            <w:r>
              <w:rPr>
                <w:sz w:val="20"/>
              </w:rPr>
              <w:t>Č5</w:t>
            </w:r>
          </w:p>
          <w:p w:rsidR="00605DAE">
            <w:pPr>
              <w:jc w:val="both"/>
              <w:rPr>
                <w:sz w:val="20"/>
              </w:rPr>
            </w:pPr>
            <w:r>
              <w:rPr>
                <w:sz w:val="20"/>
              </w:rPr>
              <w:t>O2</w:t>
            </w:r>
          </w:p>
        </w:tc>
        <w:tc>
          <w:tcPr>
            <w:tcW w:w="4074" w:type="dxa"/>
            <w:tcBorders>
              <w:bottom w:val="single" w:sz="4" w:space="0" w:color="auto"/>
            </w:tcBorders>
          </w:tcPr>
          <w:p w:rsidR="00605DAE" w:rsidRPr="00605DAE" w:rsidP="00605DAE">
            <w:pPr>
              <w:jc w:val="both"/>
              <w:rPr>
                <w:sz w:val="20"/>
              </w:rPr>
            </w:pPr>
            <w:r>
              <w:rPr>
                <w:sz w:val="20"/>
              </w:rPr>
              <w:t xml:space="preserve">2. </w:t>
            </w:r>
            <w:r w:rsidRPr="00605DAE">
              <w:rPr>
                <w:sz w:val="20"/>
              </w:rPr>
              <w:t>Klasifikácia uvedená v odseku 1 sa preskúma najmenej každých</w:t>
            </w:r>
            <w:r w:rsidR="00DD064E">
              <w:rPr>
                <w:sz w:val="20"/>
              </w:rPr>
              <w:t xml:space="preserve"> </w:t>
            </w:r>
            <w:r w:rsidRPr="00605DAE">
              <w:rPr>
                <w:sz w:val="20"/>
              </w:rPr>
              <w:t>päť rokov v súlade s postupom ustanoveným v oddiele B prílohy II.</w:t>
            </w:r>
          </w:p>
          <w:p w:rsidR="00605DAE" w:rsidRPr="00605DAE" w:rsidP="00605DAE">
            <w:pPr>
              <w:jc w:val="both"/>
              <w:rPr>
                <w:sz w:val="20"/>
              </w:rPr>
            </w:pPr>
            <w:r w:rsidRPr="00605DAE">
              <w:rPr>
                <w:sz w:val="20"/>
              </w:rPr>
              <w:t>Klasifikácie sa však preskúmajú častejšie v prípade, ak dôjde</w:t>
            </w:r>
            <w:r w:rsidR="00DD064E">
              <w:rPr>
                <w:sz w:val="20"/>
              </w:rPr>
              <w:t xml:space="preserve"> </w:t>
            </w:r>
            <w:r w:rsidRPr="00605DAE">
              <w:rPr>
                <w:sz w:val="20"/>
              </w:rPr>
              <w:t>k významným zmenám v činnostiach súvisiacich s</w:t>
            </w:r>
            <w:r w:rsidR="00DD064E">
              <w:rPr>
                <w:sz w:val="20"/>
              </w:rPr>
              <w:t> </w:t>
            </w:r>
            <w:r w:rsidRPr="00605DAE">
              <w:rPr>
                <w:sz w:val="20"/>
              </w:rPr>
              <w:t>koncentráciami</w:t>
            </w:r>
            <w:r w:rsidR="00DD064E">
              <w:rPr>
                <w:sz w:val="20"/>
              </w:rPr>
              <w:t xml:space="preserve"> </w:t>
            </w:r>
            <w:r w:rsidRPr="00605DAE">
              <w:rPr>
                <w:sz w:val="20"/>
              </w:rPr>
              <w:t>oxidu siričitého, oxidu dusičitého alebo prípadne oxidov dusíka, suspendovaných častíc (PM</w:t>
            </w:r>
            <w:r w:rsidRPr="00C259A7">
              <w:rPr>
                <w:sz w:val="20"/>
                <w:vertAlign w:val="subscript"/>
              </w:rPr>
              <w:t>10</w:t>
            </w:r>
            <w:r w:rsidRPr="00605DAE">
              <w:rPr>
                <w:sz w:val="20"/>
              </w:rPr>
              <w:t>, PM</w:t>
            </w:r>
            <w:r w:rsidRPr="00C259A7">
              <w:rPr>
                <w:sz w:val="20"/>
                <w:vertAlign w:val="subscript"/>
              </w:rPr>
              <w:t>2,5</w:t>
            </w:r>
            <w:r w:rsidRPr="00605DAE">
              <w:rPr>
                <w:sz w:val="20"/>
              </w:rPr>
              <w:t>), olova, benzénu alebo oxidu uhoľnatého</w:t>
            </w:r>
          </w:p>
          <w:p w:rsidR="00605DAE" w:rsidP="00605DAE">
            <w:pPr>
              <w:jc w:val="both"/>
              <w:rPr>
                <w:sz w:val="20"/>
              </w:rPr>
            </w:pPr>
            <w:r w:rsidRPr="00605DAE">
              <w:rPr>
                <w:sz w:val="20"/>
              </w:rPr>
              <w:t>v okolitom ovzduš</w:t>
            </w:r>
            <w:r w:rsidRPr="00605DAE">
              <w:rPr>
                <w:sz w:val="20"/>
              </w:rPr>
              <w:t>í.</w:t>
            </w:r>
          </w:p>
          <w:p w:rsidR="00605DAE" w:rsidRPr="00605DAE" w:rsidP="00605DAE">
            <w:pPr>
              <w:jc w:val="both"/>
              <w:rPr>
                <w:sz w:val="20"/>
              </w:rPr>
            </w:pPr>
          </w:p>
        </w:tc>
        <w:tc>
          <w:tcPr>
            <w:tcW w:w="747" w:type="dxa"/>
          </w:tcPr>
          <w:p w:rsidR="00605DAE" w:rsidRPr="00D86B9D" w:rsidP="00D86B9D">
            <w:pPr>
              <w:ind w:right="-249"/>
              <w:rPr>
                <w:sz w:val="20"/>
              </w:rPr>
            </w:pPr>
            <w:r w:rsidR="0099761B">
              <w:rPr>
                <w:sz w:val="20"/>
              </w:rPr>
              <w:t>N</w:t>
            </w:r>
          </w:p>
        </w:tc>
        <w:tc>
          <w:tcPr>
            <w:tcW w:w="574" w:type="dxa"/>
          </w:tcPr>
          <w:p w:rsidR="00605DAE" w:rsidRPr="0099761B">
            <w:pPr>
              <w:jc w:val="both"/>
              <w:rPr>
                <w:sz w:val="20"/>
              </w:rPr>
            </w:pPr>
            <w:r w:rsidRPr="0099761B" w:rsidR="0099761B">
              <w:rPr>
                <w:sz w:val="20"/>
              </w:rPr>
              <w:t>NZ</w:t>
            </w:r>
          </w:p>
        </w:tc>
        <w:tc>
          <w:tcPr>
            <w:tcW w:w="701" w:type="dxa"/>
          </w:tcPr>
          <w:p w:rsidR="00364B3D" w:rsidP="00364B3D">
            <w:pPr>
              <w:pStyle w:val="Paragrafyzkona"/>
              <w:spacing w:before="0" w:after="120" w:line="240" w:lineRule="auto"/>
              <w:jc w:val="left"/>
              <w:rPr>
                <w:b w:val="0"/>
                <w:sz w:val="20"/>
                <w:szCs w:val="20"/>
                <w:lang w:eastAsia="en-US"/>
              </w:rPr>
            </w:pPr>
            <w:r>
              <w:rPr>
                <w:b w:val="0"/>
                <w:sz w:val="20"/>
                <w:szCs w:val="20"/>
                <w:lang w:eastAsia="en-US"/>
              </w:rPr>
              <w:t>§ 4</w:t>
            </w:r>
          </w:p>
          <w:p w:rsidR="00605DAE" w:rsidRPr="00364B3D" w:rsidP="00364B3D">
            <w:pPr>
              <w:pStyle w:val="Paragrafyzkona"/>
              <w:spacing w:before="0" w:after="120" w:line="240" w:lineRule="auto"/>
              <w:jc w:val="left"/>
              <w:rPr>
                <w:b w:val="0"/>
                <w:sz w:val="20"/>
                <w:szCs w:val="20"/>
                <w:lang w:eastAsia="en-US"/>
              </w:rPr>
            </w:pPr>
            <w:r w:rsidR="00680E72">
              <w:rPr>
                <w:b w:val="0"/>
                <w:sz w:val="20"/>
              </w:rPr>
              <w:t>O10</w:t>
            </w:r>
          </w:p>
        </w:tc>
        <w:tc>
          <w:tcPr>
            <w:tcW w:w="7797" w:type="dxa"/>
          </w:tcPr>
          <w:p w:rsidR="00364B3D" w:rsidRPr="00364B3D" w:rsidP="00364B3D">
            <w:pPr>
              <w:pStyle w:val="ListParagraph"/>
              <w:spacing w:after="360" w:line="240" w:lineRule="auto"/>
              <w:ind w:left="0"/>
              <w:jc w:val="both"/>
              <w:rPr>
                <w:sz w:val="20"/>
                <w:szCs w:val="20"/>
                <w:lang w:eastAsia="en-US"/>
              </w:rPr>
            </w:pPr>
            <w:r w:rsidR="00680E72">
              <w:rPr>
                <w:sz w:val="20"/>
                <w:szCs w:val="20"/>
                <w:lang w:eastAsia="en-US"/>
              </w:rPr>
              <w:t>(10</w:t>
            </w:r>
            <w:r>
              <w:rPr>
                <w:sz w:val="20"/>
                <w:szCs w:val="20"/>
                <w:lang w:eastAsia="en-US"/>
              </w:rPr>
              <w:t xml:space="preserve">) </w:t>
            </w:r>
            <w:r w:rsidRPr="00364B3D">
              <w:rPr>
                <w:sz w:val="20"/>
                <w:szCs w:val="20"/>
                <w:lang w:eastAsia="en-US"/>
              </w:rPr>
              <w:t>Klasifikácia zón a aglomerácii podľa režimu hodnotenia kvality ovzdušia sa prehodnotí vždy, ak dôjde k významnej zmene v znečisťovaní ovzdušia, ktorá môže ovplyvniť koncentráciu sledovaných znečisťujúcich látok v ovzduší, najmenej však raz za päť rokov.</w:t>
            </w:r>
          </w:p>
          <w:p w:rsidR="00605DAE" w:rsidRPr="0099761B" w:rsidP="000048EC">
            <w:pPr>
              <w:spacing w:after="60"/>
              <w:jc w:val="both"/>
              <w:rPr>
                <w:sz w:val="20"/>
              </w:rPr>
            </w:pPr>
          </w:p>
        </w:tc>
        <w:tc>
          <w:tcPr>
            <w:tcW w:w="708" w:type="dxa"/>
          </w:tcPr>
          <w:p w:rsidR="00605DAE" w:rsidRPr="0099761B">
            <w:pPr>
              <w:jc w:val="both"/>
              <w:rPr>
                <w:sz w:val="20"/>
              </w:rPr>
            </w:pPr>
            <w:r w:rsidRPr="0099761B" w:rsidR="0099761B">
              <w:rPr>
                <w:sz w:val="20"/>
              </w:rPr>
              <w:t>Ú</w:t>
            </w:r>
          </w:p>
        </w:tc>
        <w:tc>
          <w:tcPr>
            <w:tcW w:w="1130" w:type="dxa"/>
          </w:tcPr>
          <w:p w:rsidR="00605DAE"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605DAE">
            <w:pPr>
              <w:jc w:val="both"/>
              <w:rPr>
                <w:sz w:val="20"/>
              </w:rPr>
            </w:pPr>
            <w:r>
              <w:rPr>
                <w:sz w:val="20"/>
              </w:rPr>
              <w:t>Č6</w:t>
            </w:r>
          </w:p>
          <w:p w:rsidR="00605DAE">
            <w:pPr>
              <w:jc w:val="both"/>
              <w:rPr>
                <w:sz w:val="20"/>
              </w:rPr>
            </w:pPr>
            <w:r>
              <w:rPr>
                <w:sz w:val="20"/>
              </w:rPr>
              <w:t>O1</w:t>
            </w:r>
          </w:p>
        </w:tc>
        <w:tc>
          <w:tcPr>
            <w:tcW w:w="4074" w:type="dxa"/>
            <w:tcBorders>
              <w:bottom w:val="single" w:sz="4" w:space="0" w:color="auto"/>
            </w:tcBorders>
          </w:tcPr>
          <w:p w:rsidR="00605DAE" w:rsidRPr="00605DAE" w:rsidP="00605DAE">
            <w:pPr>
              <w:jc w:val="both"/>
              <w:rPr>
                <w:sz w:val="20"/>
              </w:rPr>
            </w:pPr>
            <w:r>
              <w:rPr>
                <w:sz w:val="20"/>
              </w:rPr>
              <w:t xml:space="preserve">1. </w:t>
            </w:r>
            <w:r w:rsidRPr="00605DAE">
              <w:rPr>
                <w:sz w:val="20"/>
              </w:rPr>
              <w:t>Členské štáty hodnotia kvalitu okolitého ovzdušia vzhľadom na</w:t>
            </w:r>
            <w:r w:rsidR="00C71A2A">
              <w:rPr>
                <w:sz w:val="20"/>
              </w:rPr>
              <w:t xml:space="preserve"> </w:t>
            </w:r>
            <w:r w:rsidRPr="00605DAE">
              <w:rPr>
                <w:sz w:val="20"/>
              </w:rPr>
              <w:t>znečisťujúce látky uvedené v článku 5 vo všetkých svojich zónach</w:t>
            </w:r>
          </w:p>
          <w:p w:rsidR="00605DAE" w:rsidP="00605DAE">
            <w:pPr>
              <w:jc w:val="both"/>
              <w:rPr>
                <w:sz w:val="20"/>
              </w:rPr>
            </w:pPr>
            <w:r w:rsidRPr="00605DAE">
              <w:rPr>
                <w:sz w:val="20"/>
              </w:rPr>
              <w:t>a aglomeráciách v súlade s kritériami ustanovenými v odsekoch 2, 3</w:t>
            </w:r>
            <w:r w:rsidR="00C71A2A">
              <w:rPr>
                <w:sz w:val="20"/>
              </w:rPr>
              <w:t xml:space="preserve"> </w:t>
            </w:r>
            <w:r w:rsidRPr="00605DAE">
              <w:rPr>
                <w:sz w:val="20"/>
              </w:rPr>
              <w:t xml:space="preserve">a 4 tohto článku a v súlade </w:t>
            </w:r>
            <w:r w:rsidRPr="00605DAE">
              <w:rPr>
                <w:sz w:val="20"/>
              </w:rPr>
              <w:t>s kritériami ustanovenými v prílohe III</w:t>
            </w:r>
          </w:p>
          <w:p w:rsidR="00BE061C" w:rsidRPr="00605DAE" w:rsidP="00BE061C">
            <w:pPr>
              <w:jc w:val="both"/>
              <w:rPr>
                <w:sz w:val="20"/>
              </w:rPr>
            </w:pPr>
            <w:r>
              <w:rPr>
                <w:sz w:val="20"/>
              </w:rPr>
              <w:t xml:space="preserve">2. </w:t>
            </w:r>
            <w:r w:rsidRPr="00605DAE">
              <w:rPr>
                <w:sz w:val="20"/>
              </w:rPr>
              <w:t>Vo všetkých zónach a aglomeráciách, v ktorých úroveň znečisťujúcich látok uvedená v odseku 1 prekračuje horný prah na hodnotenie</w:t>
            </w:r>
          </w:p>
          <w:p w:rsidR="00BE061C" w:rsidRPr="00605DAE" w:rsidP="00BE061C">
            <w:pPr>
              <w:jc w:val="both"/>
              <w:rPr>
                <w:sz w:val="20"/>
              </w:rPr>
            </w:pPr>
            <w:r w:rsidRPr="00605DAE">
              <w:rPr>
                <w:sz w:val="20"/>
              </w:rPr>
              <w:t>stanovený pre dané znečisťujúce látky, sa na hodnotenie kvality okolitého ovzdušia použijú stále merania. Tieto stále merania sa môžu</w:t>
            </w:r>
          </w:p>
          <w:p w:rsidR="00BE061C" w:rsidP="00BE061C">
            <w:pPr>
              <w:jc w:val="both"/>
              <w:rPr>
                <w:sz w:val="20"/>
              </w:rPr>
            </w:pPr>
            <w:r w:rsidRPr="00605DAE">
              <w:rPr>
                <w:sz w:val="20"/>
              </w:rPr>
              <w:t>doplniť modelovacími technikami a/alebo indikatívnymi meraniami</w:t>
            </w:r>
            <w:r w:rsidR="009E5012">
              <w:rPr>
                <w:sz w:val="20"/>
              </w:rPr>
              <w:t xml:space="preserve"> </w:t>
            </w:r>
            <w:r w:rsidRPr="00605DAE">
              <w:rPr>
                <w:sz w:val="20"/>
              </w:rPr>
              <w:t>s cieľom poskytnúť primerané informácie o priestorovom rozložení</w:t>
            </w:r>
            <w:r>
              <w:rPr>
                <w:sz w:val="20"/>
              </w:rPr>
              <w:t xml:space="preserve"> </w:t>
            </w:r>
            <w:r w:rsidRPr="00605DAE">
              <w:rPr>
                <w:sz w:val="20"/>
              </w:rPr>
              <w:t>kvality okolitého ovzdušia.</w:t>
            </w:r>
          </w:p>
          <w:p w:rsidR="00BE061C" w:rsidRPr="00F77FAE" w:rsidP="00BE061C">
            <w:pPr>
              <w:jc w:val="both"/>
              <w:rPr>
                <w:sz w:val="20"/>
              </w:rPr>
            </w:pPr>
            <w:r>
              <w:rPr>
                <w:sz w:val="20"/>
              </w:rPr>
              <w:t xml:space="preserve">3. </w:t>
            </w:r>
            <w:r w:rsidRPr="00F77FAE">
              <w:rPr>
                <w:sz w:val="20"/>
              </w:rPr>
              <w:t>Vo všetkých zónach a aglomeráciách, v ktorých úroveň znečisťujúcich látok uvedená v odseku 1 nedosiahne horný prah na hodnotenie</w:t>
            </w:r>
          </w:p>
          <w:p w:rsidR="00BE061C" w:rsidP="00BE061C">
            <w:pPr>
              <w:jc w:val="both"/>
              <w:rPr>
                <w:sz w:val="20"/>
              </w:rPr>
            </w:pPr>
            <w:r w:rsidRPr="00F77FAE">
              <w:rPr>
                <w:sz w:val="20"/>
              </w:rPr>
              <w:t>stanovený pre dané znečisťujúce látky, sa na hodnotenie kvality okolitého ovzdušia môže použiť kombinácia stálych meraní a</w:t>
            </w:r>
            <w:r>
              <w:rPr>
                <w:sz w:val="20"/>
              </w:rPr>
              <w:t> </w:t>
            </w:r>
            <w:r w:rsidRPr="00F77FAE">
              <w:rPr>
                <w:sz w:val="20"/>
              </w:rPr>
              <w:t>modelovacích</w:t>
            </w:r>
            <w:r>
              <w:rPr>
                <w:sz w:val="20"/>
              </w:rPr>
              <w:t xml:space="preserve"> </w:t>
            </w:r>
            <w:r w:rsidRPr="00F77FAE">
              <w:rPr>
                <w:sz w:val="20"/>
              </w:rPr>
              <w:t>techník a/alebo indikatívnych meraní.</w:t>
            </w:r>
          </w:p>
          <w:p w:rsidR="00BE061C" w:rsidP="00BE061C">
            <w:pPr>
              <w:jc w:val="both"/>
              <w:rPr>
                <w:sz w:val="20"/>
              </w:rPr>
            </w:pPr>
            <w:r w:rsidRPr="00F77FAE">
              <w:rPr>
                <w:sz w:val="20"/>
              </w:rPr>
              <w:t>4.</w:t>
            </w:r>
            <w:r>
              <w:t xml:space="preserve"> </w:t>
            </w:r>
            <w:r w:rsidRPr="00F77FAE">
              <w:rPr>
                <w:sz w:val="20"/>
              </w:rPr>
              <w:t>Vo všetkých zónach a aglomeráciách, v ktorých úroveň znečisťujúcich látok uvedená v odseku 1 nedosiahne dolný prah na hodnotenie stanovený pre dané znečisťujúce látky, postačujú na hodnotenie kvality okolitého ovzdušia modelovacie techniky alebo techniky objektívneho odhadu či obe tieto techniky.</w:t>
            </w:r>
          </w:p>
          <w:p w:rsidR="00605DAE" w:rsidRPr="00605DAE" w:rsidP="00605DAE">
            <w:pPr>
              <w:jc w:val="both"/>
              <w:rPr>
                <w:sz w:val="20"/>
              </w:rPr>
            </w:pPr>
          </w:p>
        </w:tc>
        <w:tc>
          <w:tcPr>
            <w:tcW w:w="747" w:type="dxa"/>
          </w:tcPr>
          <w:p w:rsidR="00605DAE" w:rsidRPr="00D86B9D" w:rsidP="00D86B9D">
            <w:pPr>
              <w:ind w:right="-249"/>
              <w:rPr>
                <w:sz w:val="20"/>
              </w:rPr>
            </w:pPr>
            <w:r w:rsidR="00C639D2">
              <w:rPr>
                <w:sz w:val="20"/>
              </w:rPr>
              <w:t>N</w:t>
            </w:r>
          </w:p>
        </w:tc>
        <w:tc>
          <w:tcPr>
            <w:tcW w:w="574" w:type="dxa"/>
          </w:tcPr>
          <w:p w:rsidR="00605DAE" w:rsidRPr="00C639D2">
            <w:pPr>
              <w:jc w:val="both"/>
              <w:rPr>
                <w:sz w:val="20"/>
              </w:rPr>
            </w:pPr>
            <w:r w:rsidRPr="00C639D2" w:rsidR="00C639D2">
              <w:rPr>
                <w:sz w:val="20"/>
              </w:rPr>
              <w:t>NZ</w:t>
            </w:r>
          </w:p>
        </w:tc>
        <w:tc>
          <w:tcPr>
            <w:tcW w:w="701" w:type="dxa"/>
          </w:tcPr>
          <w:p w:rsidR="00BE061C" w:rsidP="00C639D2">
            <w:pPr>
              <w:pStyle w:val="Paragrafyzkona"/>
              <w:spacing w:before="0" w:after="120" w:line="240" w:lineRule="auto"/>
              <w:jc w:val="left"/>
              <w:rPr>
                <w:b w:val="0"/>
                <w:sz w:val="20"/>
                <w:szCs w:val="20"/>
                <w:lang w:eastAsia="en-US"/>
              </w:rPr>
            </w:pPr>
            <w:r w:rsidR="00C639D2">
              <w:rPr>
                <w:b w:val="0"/>
                <w:sz w:val="20"/>
                <w:szCs w:val="20"/>
                <w:lang w:eastAsia="en-US"/>
              </w:rPr>
              <w:t>§ 4</w:t>
            </w:r>
          </w:p>
          <w:p w:rsidR="00864D77" w:rsidP="00C639D2">
            <w:pPr>
              <w:pStyle w:val="Paragrafyzkona"/>
              <w:spacing w:before="0" w:after="120" w:line="240" w:lineRule="auto"/>
              <w:jc w:val="left"/>
              <w:rPr>
                <w:b w:val="0"/>
                <w:sz w:val="20"/>
                <w:szCs w:val="20"/>
                <w:lang w:eastAsia="en-US"/>
              </w:rPr>
            </w:pPr>
            <w:r w:rsidR="000F5D11">
              <w:rPr>
                <w:b w:val="0"/>
                <w:sz w:val="20"/>
                <w:szCs w:val="20"/>
                <w:lang w:eastAsia="en-US"/>
              </w:rPr>
              <w:t>O7</w:t>
            </w:r>
          </w:p>
          <w:p w:rsidR="00864D77" w:rsidP="00C639D2">
            <w:pPr>
              <w:pStyle w:val="Paragrafyzkona"/>
              <w:spacing w:before="0" w:after="120" w:line="240" w:lineRule="auto"/>
              <w:jc w:val="left"/>
              <w:rPr>
                <w:b w:val="0"/>
                <w:sz w:val="20"/>
                <w:szCs w:val="20"/>
                <w:lang w:eastAsia="en-US"/>
              </w:rPr>
            </w:pPr>
            <w:r>
              <w:rPr>
                <w:b w:val="0"/>
                <w:sz w:val="20"/>
                <w:szCs w:val="20"/>
                <w:lang w:eastAsia="en-US"/>
              </w:rPr>
              <w:t>Pa</w:t>
            </w:r>
          </w:p>
          <w:p w:rsidR="00864D77" w:rsidP="00C639D2">
            <w:pPr>
              <w:pStyle w:val="Paragrafyzkona"/>
              <w:spacing w:before="0" w:after="120" w:line="240" w:lineRule="auto"/>
              <w:jc w:val="left"/>
              <w:rPr>
                <w:b w:val="0"/>
                <w:sz w:val="20"/>
                <w:szCs w:val="20"/>
                <w:lang w:eastAsia="en-US"/>
              </w:rPr>
            </w:pPr>
          </w:p>
          <w:p w:rsidR="00864D77" w:rsidP="00C639D2">
            <w:pPr>
              <w:pStyle w:val="Paragrafyzkona"/>
              <w:spacing w:before="0" w:after="120" w:line="240" w:lineRule="auto"/>
              <w:jc w:val="left"/>
              <w:rPr>
                <w:b w:val="0"/>
                <w:sz w:val="20"/>
                <w:szCs w:val="20"/>
                <w:lang w:eastAsia="en-US"/>
              </w:rPr>
            </w:pPr>
          </w:p>
          <w:p w:rsidR="00BE061C" w:rsidP="00C639D2">
            <w:pPr>
              <w:pStyle w:val="Paragrafyzkona"/>
              <w:spacing w:before="0" w:after="120" w:line="240" w:lineRule="auto"/>
              <w:jc w:val="left"/>
              <w:rPr>
                <w:b w:val="0"/>
                <w:sz w:val="20"/>
                <w:szCs w:val="20"/>
                <w:lang w:eastAsia="en-US"/>
              </w:rPr>
            </w:pPr>
          </w:p>
          <w:p w:rsidR="00BE061C" w:rsidP="00C639D2">
            <w:pPr>
              <w:pStyle w:val="Paragrafyzkona"/>
              <w:spacing w:before="0" w:after="120" w:line="240" w:lineRule="auto"/>
              <w:jc w:val="left"/>
              <w:rPr>
                <w:b w:val="0"/>
                <w:sz w:val="20"/>
                <w:szCs w:val="20"/>
                <w:lang w:eastAsia="en-US"/>
              </w:rPr>
            </w:pPr>
          </w:p>
          <w:p w:rsidR="00A51A4F" w:rsidP="00C639D2">
            <w:pPr>
              <w:pStyle w:val="Paragrafyzkona"/>
              <w:spacing w:before="0" w:after="120" w:line="240" w:lineRule="auto"/>
              <w:jc w:val="left"/>
              <w:rPr>
                <w:b w:val="0"/>
                <w:sz w:val="20"/>
                <w:szCs w:val="20"/>
                <w:lang w:eastAsia="en-US"/>
              </w:rPr>
            </w:pPr>
          </w:p>
          <w:p w:rsidR="00A51A4F" w:rsidP="00C639D2">
            <w:pPr>
              <w:pStyle w:val="Paragrafyzkona"/>
              <w:spacing w:before="0" w:after="120" w:line="240" w:lineRule="auto"/>
              <w:jc w:val="left"/>
              <w:rPr>
                <w:b w:val="0"/>
                <w:sz w:val="20"/>
                <w:szCs w:val="20"/>
                <w:lang w:eastAsia="en-US"/>
              </w:rPr>
            </w:pPr>
          </w:p>
          <w:p w:rsidR="00864D77" w:rsidP="00C639D2">
            <w:pPr>
              <w:pStyle w:val="Paragrafyzkona"/>
              <w:spacing w:before="0" w:after="120" w:line="240" w:lineRule="auto"/>
              <w:jc w:val="left"/>
              <w:rPr>
                <w:b w:val="0"/>
                <w:sz w:val="20"/>
                <w:szCs w:val="20"/>
                <w:lang w:eastAsia="en-US"/>
              </w:rPr>
            </w:pPr>
            <w:r>
              <w:rPr>
                <w:b w:val="0"/>
                <w:sz w:val="20"/>
                <w:szCs w:val="20"/>
                <w:lang w:eastAsia="en-US"/>
              </w:rPr>
              <w:t>Pb</w:t>
            </w:r>
          </w:p>
          <w:p w:rsidR="00864D77" w:rsidP="00C639D2">
            <w:pPr>
              <w:pStyle w:val="Paragrafyzkona"/>
              <w:spacing w:before="0" w:after="120" w:line="240" w:lineRule="auto"/>
              <w:jc w:val="left"/>
              <w:rPr>
                <w:b w:val="0"/>
                <w:sz w:val="20"/>
                <w:szCs w:val="20"/>
                <w:lang w:eastAsia="en-US"/>
              </w:rPr>
            </w:pPr>
          </w:p>
          <w:p w:rsidR="00BE061C" w:rsidP="00C639D2">
            <w:pPr>
              <w:pStyle w:val="Paragrafyzkona"/>
              <w:spacing w:before="0" w:after="120" w:line="240" w:lineRule="auto"/>
              <w:jc w:val="left"/>
              <w:rPr>
                <w:b w:val="0"/>
                <w:sz w:val="20"/>
                <w:szCs w:val="20"/>
                <w:lang w:eastAsia="en-US"/>
              </w:rPr>
            </w:pPr>
          </w:p>
          <w:p w:rsidR="00864D77" w:rsidP="00C639D2">
            <w:pPr>
              <w:pStyle w:val="Paragrafyzkona"/>
              <w:spacing w:before="0" w:after="120" w:line="240" w:lineRule="auto"/>
              <w:jc w:val="left"/>
              <w:rPr>
                <w:b w:val="0"/>
                <w:sz w:val="20"/>
                <w:szCs w:val="20"/>
                <w:lang w:eastAsia="en-US"/>
              </w:rPr>
            </w:pPr>
          </w:p>
          <w:p w:rsidR="002E7590" w:rsidP="00C639D2">
            <w:pPr>
              <w:pStyle w:val="Paragrafyzkona"/>
              <w:spacing w:before="0" w:after="120" w:line="240" w:lineRule="auto"/>
              <w:jc w:val="left"/>
              <w:rPr>
                <w:b w:val="0"/>
                <w:sz w:val="20"/>
                <w:szCs w:val="20"/>
                <w:lang w:eastAsia="en-US"/>
              </w:rPr>
            </w:pPr>
          </w:p>
          <w:p w:rsidR="002E7590" w:rsidP="00C639D2">
            <w:pPr>
              <w:pStyle w:val="Paragrafyzkona"/>
              <w:spacing w:before="0" w:after="120" w:line="240" w:lineRule="auto"/>
              <w:jc w:val="left"/>
              <w:rPr>
                <w:b w:val="0"/>
                <w:sz w:val="20"/>
                <w:szCs w:val="20"/>
                <w:lang w:eastAsia="en-US"/>
              </w:rPr>
            </w:pPr>
          </w:p>
          <w:p w:rsidR="00864D77" w:rsidP="00C639D2">
            <w:pPr>
              <w:pStyle w:val="Paragrafyzkona"/>
              <w:spacing w:before="0" w:after="120" w:line="240" w:lineRule="auto"/>
              <w:jc w:val="left"/>
              <w:rPr>
                <w:b w:val="0"/>
                <w:sz w:val="20"/>
                <w:szCs w:val="20"/>
                <w:lang w:eastAsia="en-US"/>
              </w:rPr>
            </w:pPr>
            <w:r>
              <w:rPr>
                <w:b w:val="0"/>
                <w:sz w:val="20"/>
                <w:szCs w:val="20"/>
                <w:lang w:eastAsia="en-US"/>
              </w:rPr>
              <w:t>Pc</w:t>
            </w:r>
          </w:p>
          <w:p w:rsidR="00605DAE" w:rsidRPr="008658BB" w:rsidP="00E95D21">
            <w:pPr>
              <w:jc w:val="both"/>
              <w:rPr>
                <w:b/>
                <w:sz w:val="20"/>
              </w:rPr>
            </w:pPr>
          </w:p>
        </w:tc>
        <w:tc>
          <w:tcPr>
            <w:tcW w:w="7797" w:type="dxa"/>
          </w:tcPr>
          <w:p w:rsidR="00605DAE" w:rsidP="00BE061C">
            <w:pPr>
              <w:pStyle w:val="Normlny"/>
              <w:jc w:val="both"/>
            </w:pPr>
            <w:r w:rsidR="000F5D11">
              <w:t>(7</w:t>
            </w:r>
            <w:r w:rsidR="00864D77">
              <w:t xml:space="preserve">) </w:t>
            </w:r>
            <w:r w:rsidRPr="00C639D2" w:rsidR="00C639D2">
              <w:t>Hodnotenie kvality ovzdušia sa vykonáva</w:t>
            </w:r>
          </w:p>
          <w:p w:rsidR="00864D77" w:rsidP="00BE061C">
            <w:pPr>
              <w:pStyle w:val="Normlny"/>
              <w:jc w:val="both"/>
            </w:pPr>
            <w:r>
              <w:t xml:space="preserve">a) stálym meraním v súlade s § 5 ods. 3 v zónach a aglomeráciách, v ktorých je úroveň znečistenia ovzdušia </w:t>
            </w:r>
          </w:p>
          <w:p w:rsidR="00A51A4F" w:rsidP="00BE061C">
            <w:pPr>
              <w:pStyle w:val="Normlny"/>
              <w:jc w:val="both"/>
            </w:pPr>
          </w:p>
          <w:p w:rsidR="00A51A4F" w:rsidP="00BE061C">
            <w:pPr>
              <w:pStyle w:val="Normlny"/>
              <w:jc w:val="both"/>
            </w:pPr>
            <w:r>
              <w:t xml:space="preserve">Bod </w:t>
            </w:r>
            <w:r w:rsidR="009C3BA7">
              <w:t xml:space="preserve">1. </w:t>
            </w:r>
            <w:r w:rsidRPr="009C3BA7" w:rsidR="009C3BA7">
              <w:t>vyššia ako horná medza na hodnotenie úrovne znečistenia ovzdušia pre oxid siričitý, oxid dusičitý, oxidy dusíka, PM10, PM2,5, oxid uhoľnatý, benzén, olovo, arzén, kadmium, nikel alebo benzo(a)pyrén,</w:t>
            </w:r>
          </w:p>
          <w:p w:rsidR="009C3BA7" w:rsidP="00BE061C">
            <w:pPr>
              <w:pStyle w:val="Normlny"/>
              <w:jc w:val="both"/>
            </w:pPr>
          </w:p>
          <w:p w:rsidR="00864D77" w:rsidP="00BE061C">
            <w:pPr>
              <w:pStyle w:val="Normlny"/>
              <w:jc w:val="both"/>
            </w:pPr>
            <w:r w:rsidR="00A51A4F">
              <w:t xml:space="preserve">Bod </w:t>
            </w:r>
            <w:r>
              <w:t xml:space="preserve">3. </w:t>
            </w:r>
            <w:r w:rsidRPr="00864D77">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emisných inventúr a modelovania,</w:t>
            </w:r>
          </w:p>
          <w:p w:rsidR="00A51A4F" w:rsidP="00BE061C">
            <w:pPr>
              <w:pStyle w:val="Normlny"/>
              <w:jc w:val="both"/>
            </w:pPr>
          </w:p>
          <w:p w:rsidR="00864D77" w:rsidP="00BE061C">
            <w:pPr>
              <w:pStyle w:val="Normlny"/>
              <w:jc w:val="both"/>
            </w:pPr>
            <w:r>
              <w:t>b)</w:t>
              <w:tab/>
              <w:t xml:space="preserve">kombináciou stálych meraní, indikatívnych meraní a modelovacích techník v zónach a aglomeráciách, v ktorých je úroveň znečistenia ovzdušia </w:t>
            </w:r>
          </w:p>
          <w:p w:rsidR="00864D77" w:rsidP="00BE061C">
            <w:pPr>
              <w:pStyle w:val="Normlny"/>
              <w:jc w:val="both"/>
            </w:pPr>
            <w:r w:rsidR="00A51A4F">
              <w:t xml:space="preserve">Bod </w:t>
            </w:r>
            <w:r>
              <w:t>1.</w:t>
              <w:tab/>
            </w:r>
            <w:r w:rsidRPr="00A9549D" w:rsidR="00A9549D">
              <w:t xml:space="preserve">rovnaká alebo vyššia ako dolná medza na hodnotenie úrovne znečistenia ovzdušia a rovnaká alebo nižšia ako horná medza na hodnotenie úrovne znečistenia ovzdušia pre oxid siričitý, oxid dusičitý, oxidy dusíka, PM10, PM2,5, oxid uhoľnatý, benzén alebo olovo, </w:t>
            </w:r>
            <w:r>
              <w:t xml:space="preserve"> </w:t>
            </w:r>
          </w:p>
          <w:p w:rsidR="00A51A4F" w:rsidP="00BE061C">
            <w:pPr>
              <w:pStyle w:val="Normlny"/>
              <w:jc w:val="both"/>
            </w:pPr>
          </w:p>
          <w:p w:rsidR="00864D77" w:rsidP="00BE061C">
            <w:pPr>
              <w:pStyle w:val="Normlny"/>
              <w:jc w:val="both"/>
            </w:pPr>
            <w:r w:rsidR="00A51A4F">
              <w:t xml:space="preserve">Bod </w:t>
            </w:r>
            <w:r>
              <w:t>2.</w:t>
              <w:tab/>
              <w:t>v reprezentatívnom časovom období, medzi hornou medzou a dolnou medzou na hodnotenie úrovne znečistenia ovzdušia, ak ide o arzén, kadmium, nikel a benzo(a)pyrén,</w:t>
            </w:r>
          </w:p>
          <w:p w:rsidR="002E7590" w:rsidP="00BE061C">
            <w:pPr>
              <w:pStyle w:val="Normlny"/>
              <w:jc w:val="both"/>
            </w:pPr>
          </w:p>
          <w:p w:rsidR="00864D77" w:rsidP="00BE061C">
            <w:pPr>
              <w:pStyle w:val="Normlny"/>
              <w:jc w:val="both"/>
            </w:pPr>
            <w:r>
              <w:t>c)</w:t>
              <w:tab/>
              <w:t>modelovacími technikami alebo technikami objektívneho odhadu v zónach a aglomeráciách, v ktorých úroveň znečistenia ovzdušia je nižšia ako dolná medza pre hodnotenie úrovne znečistenia ovzdušia.</w:t>
            </w:r>
          </w:p>
          <w:p w:rsidR="00864D77" w:rsidRPr="00C639D2" w:rsidP="00864D77">
            <w:pPr>
              <w:pStyle w:val="Normlny"/>
            </w:pPr>
          </w:p>
        </w:tc>
        <w:tc>
          <w:tcPr>
            <w:tcW w:w="708" w:type="dxa"/>
          </w:tcPr>
          <w:p w:rsidR="00605DAE" w:rsidRPr="00C639D2">
            <w:pPr>
              <w:jc w:val="both"/>
              <w:rPr>
                <w:sz w:val="20"/>
              </w:rPr>
            </w:pPr>
            <w:r w:rsidRPr="00C639D2" w:rsidR="00C639D2">
              <w:rPr>
                <w:sz w:val="20"/>
              </w:rPr>
              <w:t>Ú</w:t>
            </w:r>
          </w:p>
        </w:tc>
        <w:tc>
          <w:tcPr>
            <w:tcW w:w="1130" w:type="dxa"/>
          </w:tcPr>
          <w:p w:rsidR="00605DAE" w:rsidRPr="008658BB">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Č6</w:t>
            </w:r>
          </w:p>
          <w:p w:rsidR="00E20C4A" w:rsidP="00E20C4A">
            <w:pPr>
              <w:jc w:val="both"/>
              <w:rPr>
                <w:sz w:val="20"/>
              </w:rPr>
            </w:pPr>
            <w:r>
              <w:rPr>
                <w:sz w:val="20"/>
              </w:rPr>
              <w:t>O5</w:t>
            </w:r>
          </w:p>
          <w:p w:rsidR="00E20C4A" w:rsidP="00E20C4A">
            <w:pPr>
              <w:jc w:val="both"/>
              <w:rPr>
                <w:sz w:val="20"/>
              </w:rPr>
            </w:pPr>
          </w:p>
        </w:tc>
        <w:tc>
          <w:tcPr>
            <w:tcW w:w="4074" w:type="dxa"/>
            <w:tcBorders>
              <w:bottom w:val="single" w:sz="4" w:space="0" w:color="auto"/>
            </w:tcBorders>
          </w:tcPr>
          <w:p w:rsidR="00E20C4A" w:rsidP="00E20C4A">
            <w:pPr>
              <w:jc w:val="both"/>
              <w:rPr>
                <w:sz w:val="20"/>
              </w:rPr>
            </w:pPr>
            <w:r>
              <w:rPr>
                <w:sz w:val="20"/>
              </w:rPr>
              <w:t xml:space="preserve">5. </w:t>
            </w:r>
            <w:r w:rsidRPr="00F77FAE">
              <w:rPr>
                <w:sz w:val="20"/>
              </w:rPr>
              <w:t>Okrem hodnotení uvedených v odsekoch 2, 3 a 4 sa uskutočňujú</w:t>
            </w:r>
            <w:r>
              <w:rPr>
                <w:sz w:val="20"/>
              </w:rPr>
              <w:t xml:space="preserve"> </w:t>
            </w:r>
            <w:r w:rsidRPr="00F77FAE">
              <w:rPr>
                <w:sz w:val="20"/>
              </w:rPr>
              <w:t>aj merania na vidieckych pozaďových miestach mimo významných</w:t>
            </w:r>
            <w:r>
              <w:rPr>
                <w:sz w:val="20"/>
              </w:rPr>
              <w:t xml:space="preserve"> </w:t>
            </w:r>
            <w:r w:rsidRPr="00F77FAE">
              <w:rPr>
                <w:sz w:val="20"/>
              </w:rPr>
              <w:t>zdrojov znečisťovania ovzdušia, ktoré majú poskytnúť informácie</w:t>
            </w:r>
            <w:r>
              <w:rPr>
                <w:sz w:val="20"/>
              </w:rPr>
              <w:t xml:space="preserve"> </w:t>
            </w:r>
            <w:r w:rsidRPr="00F77FAE">
              <w:rPr>
                <w:sz w:val="20"/>
              </w:rPr>
              <w:t>aspoň o celkovej hmotnostnej koncentrácii a koncentráciách týkajúcich</w:t>
            </w:r>
            <w:r>
              <w:rPr>
                <w:sz w:val="20"/>
              </w:rPr>
              <w:t xml:space="preserve"> </w:t>
            </w:r>
            <w:r w:rsidRPr="00F77FAE">
              <w:rPr>
                <w:sz w:val="20"/>
              </w:rPr>
              <w:t>sa chemického zloženia jemných suspendovaných častíc (PM</w:t>
            </w:r>
            <w:r w:rsidRPr="009E5012">
              <w:rPr>
                <w:sz w:val="20"/>
                <w:vertAlign w:val="subscript"/>
              </w:rPr>
              <w:t>2,5</w:t>
            </w:r>
            <w:r w:rsidRPr="00F77FAE">
              <w:rPr>
                <w:sz w:val="20"/>
              </w:rPr>
              <w:t>) na</w:t>
            </w:r>
            <w:r>
              <w:rPr>
                <w:sz w:val="20"/>
              </w:rPr>
              <w:t xml:space="preserve"> </w:t>
            </w:r>
            <w:r w:rsidRPr="00F77FAE">
              <w:rPr>
                <w:sz w:val="20"/>
              </w:rPr>
              <w:t>základe ročného priemeru a ktoré sa uskutočňujú s použitím týchto</w:t>
            </w:r>
            <w:r>
              <w:rPr>
                <w:sz w:val="20"/>
              </w:rPr>
              <w:t xml:space="preserve"> </w:t>
            </w:r>
            <w:r w:rsidRPr="00F77FAE">
              <w:rPr>
                <w:sz w:val="20"/>
              </w:rPr>
              <w:t>kritérií:</w:t>
            </w:r>
          </w:p>
          <w:p w:rsidR="00E20C4A" w:rsidP="00E20C4A">
            <w:pPr>
              <w:jc w:val="both"/>
              <w:rPr>
                <w:sz w:val="20"/>
              </w:rPr>
            </w:pPr>
            <w:r>
              <w:rPr>
                <w:sz w:val="20"/>
              </w:rPr>
              <w:t>a)</w:t>
            </w:r>
            <w:r>
              <w:t xml:space="preserve"> </w:t>
            </w:r>
            <w:r w:rsidRPr="004E5A7A">
              <w:rPr>
                <w:sz w:val="20"/>
              </w:rPr>
              <w:t>na každých 100 0</w:t>
            </w:r>
            <w:r w:rsidRPr="004E5A7A">
              <w:rPr>
                <w:sz w:val="20"/>
              </w:rPr>
              <w:t>00 km</w:t>
            </w:r>
            <w:r w:rsidRPr="009E5012">
              <w:rPr>
                <w:sz w:val="20"/>
                <w:vertAlign w:val="superscript"/>
              </w:rPr>
              <w:t>2</w:t>
            </w:r>
            <w:r w:rsidRPr="004E5A7A">
              <w:rPr>
                <w:sz w:val="20"/>
              </w:rPr>
              <w:t xml:space="preserve"> sa umiestni jedno vzorkovacie miesto;</w:t>
            </w:r>
          </w:p>
          <w:p w:rsidR="00E20C4A" w:rsidRPr="004E5A7A" w:rsidP="00E20C4A">
            <w:pPr>
              <w:jc w:val="both"/>
              <w:rPr>
                <w:sz w:val="20"/>
              </w:rPr>
            </w:pPr>
            <w:r w:rsidRPr="004E5A7A">
              <w:rPr>
                <w:sz w:val="20"/>
              </w:rPr>
              <w:t>b) každý členský štát zriadi aspoň jednu meraciu stanicu alebo môže po</w:t>
            </w:r>
            <w:r>
              <w:rPr>
                <w:sz w:val="20"/>
              </w:rPr>
              <w:t xml:space="preserve"> </w:t>
            </w:r>
            <w:r w:rsidRPr="004E5A7A">
              <w:rPr>
                <w:sz w:val="20"/>
              </w:rPr>
              <w:t>dohode s priľahlými členskými štátmi zriadiť jednu alebo niekoľko</w:t>
            </w:r>
          </w:p>
          <w:p w:rsidR="00E20C4A" w:rsidRPr="004E5A7A" w:rsidP="00E20C4A">
            <w:pPr>
              <w:jc w:val="both"/>
              <w:rPr>
                <w:sz w:val="20"/>
              </w:rPr>
            </w:pPr>
            <w:r w:rsidRPr="004E5A7A">
              <w:rPr>
                <w:sz w:val="20"/>
              </w:rPr>
              <w:t>spoločných meracích staníc pokrývajúcich príslušné susediace zóny</w:t>
            </w:r>
            <w:r>
              <w:rPr>
                <w:sz w:val="20"/>
              </w:rPr>
              <w:t xml:space="preserve"> </w:t>
            </w:r>
            <w:r w:rsidRPr="004E5A7A">
              <w:rPr>
                <w:sz w:val="20"/>
              </w:rPr>
              <w:t>tak, aby</w:t>
            </w:r>
            <w:r w:rsidRPr="004E5A7A">
              <w:rPr>
                <w:sz w:val="20"/>
              </w:rPr>
              <w:t xml:space="preserve"> sa dosiahlo potrebné priestorové rozlíšenie;</w:t>
            </w:r>
          </w:p>
          <w:p w:rsidR="00E20C4A" w:rsidRPr="004E5A7A" w:rsidP="00E20C4A">
            <w:pPr>
              <w:jc w:val="both"/>
              <w:rPr>
                <w:sz w:val="20"/>
              </w:rPr>
            </w:pPr>
            <w:r w:rsidRPr="004E5A7A">
              <w:rPr>
                <w:sz w:val="20"/>
              </w:rPr>
              <w:t>c) vo vhodných prípadoch sa monitorovanie koordinuje so stratégiou</w:t>
            </w:r>
            <w:r>
              <w:rPr>
                <w:sz w:val="20"/>
              </w:rPr>
              <w:t xml:space="preserve"> </w:t>
            </w:r>
            <w:r w:rsidRPr="004E5A7A">
              <w:rPr>
                <w:sz w:val="20"/>
              </w:rPr>
              <w:t>monitorovania a programom merania Programu spolupráce pre monitorovanie a vyhodnocovanie diaľkového šírenia látok znečisťujúcich</w:t>
            </w:r>
            <w:r>
              <w:rPr>
                <w:sz w:val="20"/>
              </w:rPr>
              <w:t xml:space="preserve"> </w:t>
            </w:r>
            <w:r w:rsidRPr="004E5A7A">
              <w:rPr>
                <w:sz w:val="20"/>
              </w:rPr>
              <w:t>ovzdušie v Eur</w:t>
            </w:r>
            <w:r w:rsidRPr="004E5A7A">
              <w:rPr>
                <w:sz w:val="20"/>
              </w:rPr>
              <w:t>ópe (EMEP);</w:t>
            </w:r>
          </w:p>
          <w:p w:rsidR="00E20C4A" w:rsidRPr="004E5A7A" w:rsidP="00E20C4A">
            <w:pPr>
              <w:jc w:val="both"/>
              <w:rPr>
                <w:sz w:val="20"/>
              </w:rPr>
            </w:pPr>
            <w:r w:rsidRPr="004E5A7A">
              <w:rPr>
                <w:sz w:val="20"/>
              </w:rPr>
              <w:t>d) oddiely A a C prílohy I sa vzťahujú na ciele kvality údajov pre</w:t>
            </w:r>
            <w:r>
              <w:rPr>
                <w:sz w:val="20"/>
              </w:rPr>
              <w:t xml:space="preserve"> </w:t>
            </w:r>
            <w:r w:rsidRPr="004E5A7A">
              <w:rPr>
                <w:sz w:val="20"/>
              </w:rPr>
              <w:t>merania hmotnostnej koncentrácie suspendovaných častíc a príloha IV</w:t>
            </w:r>
          </w:p>
          <w:p w:rsidR="00E20C4A" w:rsidP="00E20C4A">
            <w:pPr>
              <w:jc w:val="both"/>
              <w:rPr>
                <w:sz w:val="20"/>
              </w:rPr>
            </w:pPr>
            <w:r w:rsidRPr="004E5A7A">
              <w:rPr>
                <w:sz w:val="20"/>
              </w:rPr>
              <w:t>sa uplatňuje v celom rozsahu.</w:t>
            </w:r>
            <w:r>
              <w:rPr>
                <w:sz w:val="20"/>
              </w:rPr>
              <w:t xml:space="preserve"> </w:t>
            </w:r>
            <w:r w:rsidRPr="004E5A7A">
              <w:rPr>
                <w:sz w:val="20"/>
              </w:rPr>
              <w:t>Členské štáty oznámia Komisii metódy merania, ktoré použili pri</w:t>
            </w:r>
            <w:r>
              <w:rPr>
                <w:sz w:val="20"/>
              </w:rPr>
              <w:t xml:space="preserve"> </w:t>
            </w:r>
            <w:r w:rsidRPr="004E5A7A">
              <w:rPr>
                <w:sz w:val="20"/>
              </w:rPr>
              <w:t>meraní chemického zloženia jemných suspendovaných častíc (PM</w:t>
            </w:r>
            <w:r w:rsidRPr="009E5012">
              <w:rPr>
                <w:sz w:val="20"/>
                <w:vertAlign w:val="subscript"/>
              </w:rPr>
              <w:t>2,5</w:t>
            </w:r>
            <w:r w:rsidRPr="004E5A7A">
              <w:rPr>
                <w:sz w:val="20"/>
              </w:rPr>
              <w:t>).</w:t>
            </w:r>
          </w:p>
          <w:p w:rsidR="00E20C4A" w:rsidP="00E20C4A">
            <w:pPr>
              <w:jc w:val="both"/>
              <w:rPr>
                <w:sz w:val="20"/>
              </w:rPr>
            </w:pPr>
          </w:p>
        </w:tc>
        <w:tc>
          <w:tcPr>
            <w:tcW w:w="747" w:type="dxa"/>
          </w:tcPr>
          <w:p w:rsidR="00E20C4A" w:rsidRPr="00D86B9D" w:rsidP="00E20C4A">
            <w:pPr>
              <w:ind w:right="-249"/>
              <w:rPr>
                <w:sz w:val="20"/>
              </w:rPr>
            </w:pPr>
            <w:r>
              <w:rPr>
                <w:sz w:val="20"/>
              </w:rPr>
              <w:t>N</w:t>
            </w:r>
          </w:p>
        </w:tc>
        <w:tc>
          <w:tcPr>
            <w:tcW w:w="574" w:type="dxa"/>
          </w:tcPr>
          <w:p w:rsidR="00E20C4A" w:rsidRPr="00E20C4A" w:rsidP="00E20C4A">
            <w:pPr>
              <w:jc w:val="both"/>
              <w:rPr>
                <w:sz w:val="20"/>
              </w:rPr>
            </w:pPr>
            <w:r w:rsidR="0050371C">
              <w:rPr>
                <w:sz w:val="20"/>
              </w:rPr>
              <w:t>NV</w:t>
            </w:r>
          </w:p>
        </w:tc>
        <w:tc>
          <w:tcPr>
            <w:tcW w:w="701" w:type="dxa"/>
          </w:tcPr>
          <w:p w:rsidR="00E20C4A" w:rsidP="00E20C4A">
            <w:pPr>
              <w:pStyle w:val="Paragrafyzkona"/>
              <w:spacing w:before="0" w:line="240" w:lineRule="auto"/>
              <w:jc w:val="left"/>
              <w:rPr>
                <w:b w:val="0"/>
                <w:sz w:val="20"/>
                <w:szCs w:val="20"/>
                <w:lang w:eastAsia="en-US"/>
              </w:rPr>
            </w:pPr>
            <w:r w:rsidR="0050371C">
              <w:rPr>
                <w:b w:val="0"/>
                <w:sz w:val="20"/>
                <w:szCs w:val="20"/>
                <w:lang w:eastAsia="en-US"/>
              </w:rPr>
              <w:t>Príl. 8</w:t>
            </w:r>
          </w:p>
          <w:p w:rsidR="0050371C" w:rsidP="00E20C4A">
            <w:pPr>
              <w:pStyle w:val="Paragrafyzkona"/>
              <w:spacing w:before="0" w:line="240" w:lineRule="auto"/>
              <w:jc w:val="left"/>
              <w:rPr>
                <w:b w:val="0"/>
                <w:sz w:val="20"/>
                <w:szCs w:val="20"/>
                <w:lang w:eastAsia="en-US"/>
              </w:rPr>
            </w:pPr>
            <w:r>
              <w:rPr>
                <w:b w:val="0"/>
                <w:sz w:val="20"/>
                <w:szCs w:val="20"/>
                <w:lang w:eastAsia="en-US"/>
              </w:rPr>
              <w:t>Časť II.</w:t>
            </w:r>
          </w:p>
          <w:p w:rsidR="00E20C4A" w:rsidRPr="008658BB" w:rsidP="00E20C4A">
            <w:pPr>
              <w:jc w:val="both"/>
              <w:rPr>
                <w:b/>
                <w:sz w:val="20"/>
              </w:rPr>
            </w:pPr>
          </w:p>
        </w:tc>
        <w:tc>
          <w:tcPr>
            <w:tcW w:w="7797" w:type="dxa"/>
          </w:tcPr>
          <w:p w:rsidR="00051207" w:rsidRPr="00051207" w:rsidP="00051207">
            <w:pPr>
              <w:pStyle w:val="Heading1"/>
              <w:keepNext w:val="0"/>
              <w:widowControl w:val="0"/>
              <w:rPr>
                <w:b w:val="0"/>
                <w:sz w:val="20"/>
              </w:rPr>
            </w:pPr>
            <w:r w:rsidRPr="00051207">
              <w:rPr>
                <w:b w:val="0"/>
                <w:sz w:val="20"/>
              </w:rPr>
              <w:t xml:space="preserve">Požiadavky na merania na vidieckych pozaďových miestach </w:t>
            </w:r>
          </w:p>
          <w:p w:rsidR="00051207" w:rsidRPr="00051207" w:rsidP="00051207">
            <w:pPr>
              <w:pStyle w:val="NormalWeb"/>
              <w:widowControl w:val="0"/>
              <w:spacing w:before="0" w:beforeAutospacing="0" w:after="120" w:afterAutospacing="0"/>
              <w:rPr>
                <w:sz w:val="20"/>
                <w:szCs w:val="20"/>
                <w:lang w:eastAsia="en-US"/>
              </w:rPr>
            </w:pPr>
            <w:r w:rsidRPr="00051207">
              <w:rPr>
                <w:sz w:val="20"/>
                <w:szCs w:val="20"/>
                <w:lang w:eastAsia="en-US"/>
              </w:rPr>
              <w:t>A. Ciele</w:t>
            </w:r>
          </w:p>
          <w:p w:rsidR="00051207" w:rsidRPr="00051207" w:rsidP="00051207">
            <w:pPr>
              <w:pStyle w:val="NormalWeb"/>
              <w:widowControl w:val="0"/>
              <w:spacing w:before="0" w:beforeAutospacing="0" w:after="120" w:afterAutospacing="0"/>
              <w:ind w:left="284"/>
              <w:rPr>
                <w:sz w:val="20"/>
                <w:szCs w:val="20"/>
                <w:lang w:eastAsia="en-US"/>
              </w:rPr>
            </w:pPr>
            <w:r w:rsidRPr="00051207">
              <w:rPr>
                <w:sz w:val="20"/>
                <w:szCs w:val="20"/>
                <w:lang w:eastAsia="en-US"/>
              </w:rPr>
              <w:t>Hlavným cieľom týchto meraní je zabezpečiť, aby boli k dispozícii primerané informácie o úrovniach znečistenia ovzdušia v pozadí. Tieto informácie majú zásadný význam pri posúdení zvýšených úrovní znečistenia ovzdušia v znečistenejších oblastiach ako sú mestské pozaďové lokality, priemyselné lokality a dopravné lokality, pri hodnotení možného príspevku diaľkového prenosu látok znečisťujúcich ovzdušie, pri podpore analýzy rozčlenenia zdrojov a pri získavaní vedomostí o špecifických znečisťujúcich látkach, ako sú suspendované častice. Sú tiež dôležité pre zvýšené využívanie modelovania aj v mestských oblastiach.</w:t>
            </w:r>
          </w:p>
          <w:p w:rsidR="00051207" w:rsidRPr="00051207" w:rsidP="00051207">
            <w:pPr>
              <w:pStyle w:val="NormalWeb"/>
              <w:widowControl w:val="0"/>
              <w:spacing w:before="0" w:beforeAutospacing="0" w:after="120" w:afterAutospacing="0"/>
              <w:rPr>
                <w:sz w:val="20"/>
                <w:szCs w:val="20"/>
                <w:lang w:eastAsia="en-US"/>
              </w:rPr>
            </w:pPr>
            <w:r w:rsidRPr="00051207">
              <w:rPr>
                <w:sz w:val="20"/>
                <w:szCs w:val="20"/>
                <w:lang w:eastAsia="en-US"/>
              </w:rPr>
              <w:t>B. Látky</w:t>
            </w:r>
          </w:p>
          <w:p w:rsidR="00051207" w:rsidRPr="00051207" w:rsidP="00051207">
            <w:pPr>
              <w:pStyle w:val="NormalWeb"/>
              <w:widowControl w:val="0"/>
              <w:spacing w:before="0" w:beforeAutospacing="0" w:after="120" w:afterAutospacing="0"/>
              <w:ind w:left="284"/>
              <w:rPr>
                <w:sz w:val="20"/>
                <w:szCs w:val="20"/>
                <w:lang w:eastAsia="en-US"/>
              </w:rPr>
            </w:pPr>
            <w:r w:rsidRPr="00051207">
              <w:rPr>
                <w:sz w:val="20"/>
                <w:szCs w:val="20"/>
                <w:lang w:eastAsia="en-US"/>
              </w:rPr>
              <w:t>Meranie častíc PM</w:t>
            </w:r>
            <w:r w:rsidRPr="00A51A4F">
              <w:rPr>
                <w:sz w:val="20"/>
                <w:szCs w:val="20"/>
                <w:vertAlign w:val="subscript"/>
                <w:lang w:eastAsia="en-US"/>
              </w:rPr>
              <w:t xml:space="preserve">2,5 </w:t>
            </w:r>
            <w:r w:rsidRPr="00051207">
              <w:rPr>
                <w:sz w:val="20"/>
                <w:szCs w:val="20"/>
                <w:lang w:eastAsia="en-US"/>
              </w:rPr>
              <w:t>zahŕňa aspoň celkovú hmotnostnú koncentráciu a koncentrácie príslušných zlúčenín na určenie ich chemického zloženia. Je potrebné zahrnúť aspoň tento zoznam chemických látok</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523"/>
              <w:gridCol w:w="644"/>
              <w:gridCol w:w="633"/>
              <w:gridCol w:w="2622"/>
            </w:tblGrid>
            <w:tr w:rsidTr="00CE4A27">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964"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SO</w:t>
                  </w:r>
                  <w:r w:rsidRPr="00051207">
                    <w:rPr>
                      <w:sz w:val="20"/>
                      <w:szCs w:val="20"/>
                      <w:lang w:eastAsia="en-US"/>
                    </w:rPr>
                    <w:t>4</w:t>
                  </w:r>
                  <w:r w:rsidRPr="0023009A">
                    <w:rPr>
                      <w:sz w:val="20"/>
                      <w:szCs w:val="20"/>
                      <w:vertAlign w:val="superscript"/>
                      <w:lang w:eastAsia="en-US"/>
                    </w:rPr>
                    <w:t>2–</w:t>
                  </w:r>
                </w:p>
              </w:tc>
              <w:tc>
                <w:tcPr>
                  <w:tcW w:w="523"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Na</w:t>
                  </w:r>
                  <w:r w:rsidRPr="0023009A">
                    <w:rPr>
                      <w:sz w:val="20"/>
                      <w:szCs w:val="20"/>
                      <w:vertAlign w:val="superscript"/>
                      <w:lang w:eastAsia="en-US"/>
                    </w:rPr>
                    <w:t>+</w:t>
                  </w:r>
                </w:p>
              </w:tc>
              <w:tc>
                <w:tcPr>
                  <w:tcW w:w="644"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NH</w:t>
                  </w:r>
                  <w:r w:rsidRPr="0023009A">
                    <w:rPr>
                      <w:sz w:val="20"/>
                      <w:szCs w:val="20"/>
                      <w:vertAlign w:val="subscript"/>
                      <w:lang w:eastAsia="en-US"/>
                    </w:rPr>
                    <w:t>4</w:t>
                  </w:r>
                  <w:r w:rsidRPr="0023009A">
                    <w:rPr>
                      <w:sz w:val="20"/>
                      <w:szCs w:val="20"/>
                      <w:vertAlign w:val="superscript"/>
                      <w:lang w:eastAsia="en-US"/>
                    </w:rPr>
                    <w:t>+</w:t>
                  </w:r>
                </w:p>
              </w:tc>
              <w:tc>
                <w:tcPr>
                  <w:tcW w:w="633"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Ca</w:t>
                  </w:r>
                  <w:r w:rsidRPr="0023009A">
                    <w:rPr>
                      <w:sz w:val="20"/>
                      <w:szCs w:val="20"/>
                      <w:vertAlign w:val="superscript"/>
                      <w:lang w:eastAsia="en-US"/>
                    </w:rPr>
                    <w:t>2+</w:t>
                  </w:r>
                </w:p>
              </w:tc>
              <w:tc>
                <w:tcPr>
                  <w:tcW w:w="2622"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elementárny uhlík</w:t>
                  </w:r>
                </w:p>
              </w:tc>
            </w:tr>
            <w:tr w:rsidTr="00CE4A27">
              <w:tblPrEx>
                <w:tblW w:w="0" w:type="auto"/>
                <w:tblInd w:w="392" w:type="dxa"/>
                <w:tblLayout w:type="fixed"/>
                <w:tblLook w:val="01E0"/>
              </w:tblPrEx>
              <w:trPr>
                <w:trHeight w:val="340"/>
              </w:trPr>
              <w:tc>
                <w:tcPr>
                  <w:tcW w:w="964"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NO</w:t>
                  </w:r>
                  <w:r w:rsidRPr="0023009A">
                    <w:rPr>
                      <w:sz w:val="20"/>
                      <w:szCs w:val="20"/>
                      <w:vertAlign w:val="subscript"/>
                      <w:lang w:eastAsia="en-US"/>
                    </w:rPr>
                    <w:t>3</w:t>
                  </w:r>
                  <w:r w:rsidRPr="0023009A">
                    <w:rPr>
                      <w:sz w:val="20"/>
                      <w:szCs w:val="20"/>
                      <w:vertAlign w:val="superscript"/>
                      <w:lang w:eastAsia="en-US"/>
                    </w:rPr>
                    <w:t>–</w:t>
                  </w:r>
                </w:p>
              </w:tc>
              <w:tc>
                <w:tcPr>
                  <w:tcW w:w="523"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K</w:t>
                  </w:r>
                  <w:r w:rsidRPr="00051207">
                    <w:rPr>
                      <w:sz w:val="20"/>
                      <w:szCs w:val="20"/>
                      <w:lang w:eastAsia="en-US"/>
                    </w:rPr>
                    <w:t>+</w:t>
                  </w:r>
                </w:p>
              </w:tc>
              <w:tc>
                <w:tcPr>
                  <w:tcW w:w="644"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Cl</w:t>
                  </w:r>
                  <w:r w:rsidRPr="0023009A">
                    <w:rPr>
                      <w:sz w:val="20"/>
                      <w:szCs w:val="20"/>
                      <w:vertAlign w:val="superscript"/>
                      <w:lang w:eastAsia="en-US"/>
                    </w:rPr>
                    <w:t>–</w:t>
                  </w:r>
                </w:p>
              </w:tc>
              <w:tc>
                <w:tcPr>
                  <w:tcW w:w="633"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Mg</w:t>
                  </w:r>
                  <w:r w:rsidRPr="0023009A">
                    <w:rPr>
                      <w:sz w:val="20"/>
                      <w:szCs w:val="20"/>
                      <w:vertAlign w:val="superscript"/>
                      <w:lang w:eastAsia="en-US"/>
                    </w:rPr>
                    <w:t>2+</w:t>
                  </w:r>
                </w:p>
              </w:tc>
              <w:tc>
                <w:tcPr>
                  <w:tcW w:w="2622" w:type="dxa"/>
                  <w:vAlign w:val="center"/>
                </w:tcPr>
                <w:p w:rsidR="00051207" w:rsidRPr="007B57C0" w:rsidP="00051207">
                  <w:pPr>
                    <w:pStyle w:val="NormalWeb"/>
                    <w:widowControl w:val="0"/>
                    <w:spacing w:before="0" w:beforeAutospacing="0" w:after="120" w:afterAutospacing="0"/>
                    <w:rPr>
                      <w:sz w:val="20"/>
                      <w:szCs w:val="20"/>
                      <w:lang w:eastAsia="en-US"/>
                    </w:rPr>
                  </w:pPr>
                  <w:r w:rsidRPr="007B57C0">
                    <w:rPr>
                      <w:sz w:val="20"/>
                      <w:szCs w:val="20"/>
                      <w:lang w:eastAsia="en-US"/>
                    </w:rPr>
                    <w:t>organi</w:t>
                  </w:r>
                  <w:r w:rsidRPr="007B57C0">
                    <w:rPr>
                      <w:sz w:val="20"/>
                      <w:szCs w:val="20"/>
                      <w:lang w:eastAsia="en-US"/>
                    </w:rPr>
                    <w:t>cký uhlík</w:t>
                  </w:r>
                </w:p>
              </w:tc>
            </w:tr>
          </w:tbl>
          <w:p w:rsidR="00051207" w:rsidRPr="00051207" w:rsidP="00051207">
            <w:pPr>
              <w:pStyle w:val="NormalWeb"/>
              <w:widowControl w:val="0"/>
              <w:spacing w:before="0" w:beforeAutospacing="0" w:after="120" w:afterAutospacing="0"/>
              <w:rPr>
                <w:sz w:val="20"/>
                <w:szCs w:val="20"/>
                <w:lang w:eastAsia="en-US"/>
              </w:rPr>
            </w:pPr>
          </w:p>
          <w:p w:rsidR="00051207" w:rsidRPr="00051207" w:rsidP="00051207">
            <w:pPr>
              <w:pStyle w:val="NormalWeb"/>
              <w:widowControl w:val="0"/>
              <w:spacing w:before="0" w:beforeAutospacing="0" w:after="120" w:afterAutospacing="0"/>
              <w:rPr>
                <w:sz w:val="20"/>
                <w:szCs w:val="20"/>
                <w:lang w:eastAsia="en-US"/>
              </w:rPr>
            </w:pPr>
            <w:r w:rsidRPr="00051207">
              <w:rPr>
                <w:sz w:val="20"/>
                <w:szCs w:val="20"/>
                <w:lang w:eastAsia="en-US"/>
              </w:rPr>
              <w:t>C. Umiestnenie</w:t>
            </w:r>
          </w:p>
          <w:p w:rsidR="00051207" w:rsidRPr="00051207" w:rsidP="00051207">
            <w:pPr>
              <w:pStyle w:val="NormalWeb"/>
              <w:widowControl w:val="0"/>
              <w:spacing w:before="0" w:beforeAutospacing="0" w:after="120" w:afterAutospacing="0"/>
              <w:ind w:left="284"/>
              <w:rPr>
                <w:sz w:val="20"/>
                <w:szCs w:val="20"/>
                <w:lang w:eastAsia="en-US"/>
              </w:rPr>
            </w:pPr>
            <w:r w:rsidRPr="00051207">
              <w:rPr>
                <w:sz w:val="20"/>
                <w:szCs w:val="20"/>
                <w:lang w:eastAsia="en-US"/>
              </w:rPr>
              <w:t>Merania by sa mali vykonať najmä vo vidieckych pozaďových oblastiach podľa časti I písm. A až C.</w:t>
            </w:r>
          </w:p>
          <w:p w:rsidR="00051207" w:rsidRPr="00051207" w:rsidP="00051207">
            <w:pPr>
              <w:widowControl w:val="0"/>
              <w:spacing w:after="120"/>
              <w:ind w:left="284"/>
              <w:jc w:val="both"/>
              <w:rPr>
                <w:sz w:val="20"/>
              </w:rPr>
            </w:pPr>
            <w:r w:rsidRPr="00051207">
              <w:rPr>
                <w:sz w:val="20"/>
              </w:rPr>
              <w:t>Poverená organizácia koordinuje monitorovanie znečisťujúcich látok podľa odseku 12 so stratégiou monitorovania a v súlade s meraniami Programu spolupráce pre monitorovanie a vyhodnocovanie diaľkového šírenia látok znečisťujúcich ovzdušie v Európe (EMEP), ak je to vhodné. Jedno vzorkovacie miesto sa umiestni na 100 000 km</w:t>
            </w:r>
            <w:r w:rsidRPr="009E5012">
              <w:rPr>
                <w:sz w:val="20"/>
                <w:vertAlign w:val="superscript"/>
              </w:rPr>
              <w:t>2</w:t>
            </w:r>
            <w:r w:rsidRPr="00051207">
              <w:rPr>
                <w:sz w:val="20"/>
              </w:rPr>
              <w:t xml:space="preserve">.Vzorkovacie miesta pre uvedené znečisťujúce látky sa vyberajú takým spôsobom, aby sa mohli identifikovať geografické variácie a dlhodobé trendy. V záujme dosiahnutia potrebného priestorového rozlíšenia môže poverená organizácia po dohode s príslušnými organizáciami v susedných členských štátoch Európskej únie zriadiť aj spoločné meracie stanice, ktoré pokryjú susediace zóny v susedných členských štátoch Európskej únie. </w:t>
            </w:r>
          </w:p>
          <w:p w:rsidR="00E20C4A" w:rsidRPr="00051207" w:rsidP="00051207">
            <w:pPr>
              <w:pStyle w:val="NormalWeb"/>
              <w:keepLines/>
              <w:spacing w:before="0" w:beforeAutospacing="0" w:after="0" w:afterAutospacing="0"/>
              <w:ind w:left="284"/>
              <w:contextualSpacing/>
              <w:rPr>
                <w:sz w:val="20"/>
                <w:szCs w:val="20"/>
                <w:lang w:eastAsia="en-US"/>
              </w:rPr>
            </w:pPr>
          </w:p>
        </w:tc>
        <w:tc>
          <w:tcPr>
            <w:tcW w:w="708" w:type="dxa"/>
          </w:tcPr>
          <w:p w:rsidR="00E20C4A" w:rsidRPr="00E20C4A" w:rsidP="00E20C4A">
            <w:pPr>
              <w:jc w:val="both"/>
              <w:rPr>
                <w:sz w:val="20"/>
              </w:rPr>
            </w:pPr>
            <w:r w:rsidRPr="00E20C4A">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Č7</w:t>
            </w:r>
          </w:p>
          <w:p w:rsidR="00E20C4A" w:rsidP="00E20C4A">
            <w:pPr>
              <w:jc w:val="both"/>
              <w:rPr>
                <w:sz w:val="20"/>
              </w:rPr>
            </w:pPr>
            <w:r>
              <w:rPr>
                <w:sz w:val="20"/>
              </w:rPr>
              <w:t>O1</w:t>
            </w:r>
          </w:p>
        </w:tc>
        <w:tc>
          <w:tcPr>
            <w:tcW w:w="4074" w:type="dxa"/>
            <w:tcBorders>
              <w:bottom w:val="single" w:sz="4" w:space="0" w:color="auto"/>
            </w:tcBorders>
          </w:tcPr>
          <w:p w:rsidR="00E20C4A" w:rsidRPr="004E5A7A" w:rsidP="00E20C4A">
            <w:pPr>
              <w:jc w:val="both"/>
              <w:rPr>
                <w:sz w:val="20"/>
              </w:rPr>
            </w:pPr>
            <w:r w:rsidRPr="004E5A7A">
              <w:rPr>
                <w:sz w:val="20"/>
              </w:rPr>
              <w:t>Vzorkovacie miesta</w:t>
            </w:r>
          </w:p>
          <w:p w:rsidR="00E20C4A" w:rsidP="00E20C4A">
            <w:pPr>
              <w:jc w:val="both"/>
              <w:rPr>
                <w:sz w:val="20"/>
              </w:rPr>
            </w:pPr>
            <w:r w:rsidRPr="004E5A7A">
              <w:rPr>
                <w:sz w:val="20"/>
              </w:rPr>
              <w:t>1. Umiestnenie vzorkovacích miest na meranie oxidu siričitého,</w:t>
            </w:r>
            <w:r>
              <w:rPr>
                <w:sz w:val="20"/>
              </w:rPr>
              <w:t xml:space="preserve"> </w:t>
            </w:r>
            <w:r w:rsidRPr="004E5A7A">
              <w:rPr>
                <w:sz w:val="20"/>
              </w:rPr>
              <w:t>oxidu dusičitého a oxidov dusíka, suspendovaných častíc (PM</w:t>
            </w:r>
            <w:r w:rsidRPr="009E5012">
              <w:rPr>
                <w:sz w:val="20"/>
                <w:vertAlign w:val="subscript"/>
              </w:rPr>
              <w:t>10</w:t>
            </w:r>
            <w:r w:rsidRPr="004E5A7A">
              <w:rPr>
                <w:sz w:val="20"/>
              </w:rPr>
              <w:t>,</w:t>
            </w:r>
            <w:r>
              <w:rPr>
                <w:sz w:val="20"/>
              </w:rPr>
              <w:t xml:space="preserve"> </w:t>
            </w:r>
            <w:r w:rsidRPr="004E5A7A">
              <w:rPr>
                <w:sz w:val="20"/>
              </w:rPr>
              <w:t>PM</w:t>
            </w:r>
            <w:r w:rsidRPr="009E5012">
              <w:rPr>
                <w:sz w:val="20"/>
                <w:vertAlign w:val="subscript"/>
              </w:rPr>
              <w:t>2,5</w:t>
            </w:r>
            <w:r w:rsidRPr="004E5A7A">
              <w:rPr>
                <w:sz w:val="20"/>
              </w:rPr>
              <w:t>), olova, benzénu a oxidu uhoľnatého v okolitom ovzduší sa</w:t>
            </w:r>
            <w:r>
              <w:rPr>
                <w:sz w:val="20"/>
              </w:rPr>
              <w:t xml:space="preserve"> </w:t>
            </w:r>
            <w:r w:rsidRPr="004E5A7A">
              <w:rPr>
                <w:sz w:val="20"/>
              </w:rPr>
              <w:t>určí s použitím kritérií uvedených v prílohe III.</w:t>
            </w:r>
          </w:p>
          <w:p w:rsidR="00E20C4A" w:rsidP="00E20C4A">
            <w:pPr>
              <w:jc w:val="both"/>
              <w:rPr>
                <w:sz w:val="20"/>
              </w:rPr>
            </w:pPr>
          </w:p>
        </w:tc>
        <w:tc>
          <w:tcPr>
            <w:tcW w:w="747" w:type="dxa"/>
          </w:tcPr>
          <w:p w:rsidR="00E20C4A" w:rsidRPr="00D86B9D" w:rsidP="00E20C4A">
            <w:pPr>
              <w:ind w:right="-249"/>
              <w:rPr>
                <w:sz w:val="20"/>
              </w:rPr>
            </w:pPr>
            <w:r w:rsidR="00302E31">
              <w:rPr>
                <w:sz w:val="20"/>
              </w:rPr>
              <w:t>N</w:t>
            </w:r>
          </w:p>
        </w:tc>
        <w:tc>
          <w:tcPr>
            <w:tcW w:w="574" w:type="dxa"/>
          </w:tcPr>
          <w:p w:rsidR="00E20C4A" w:rsidRPr="00302E31" w:rsidP="00E20C4A">
            <w:pPr>
              <w:jc w:val="both"/>
              <w:rPr>
                <w:sz w:val="20"/>
              </w:rPr>
            </w:pPr>
            <w:r w:rsidR="005C4283">
              <w:rPr>
                <w:sz w:val="20"/>
              </w:rPr>
              <w:t>N</w:t>
            </w:r>
            <w:r w:rsidR="00D8493B">
              <w:rPr>
                <w:sz w:val="20"/>
              </w:rPr>
              <w:t>V</w:t>
            </w:r>
          </w:p>
        </w:tc>
        <w:tc>
          <w:tcPr>
            <w:tcW w:w="701" w:type="dxa"/>
          </w:tcPr>
          <w:p w:rsidR="00302E31" w:rsidP="00302E31">
            <w:pPr>
              <w:pStyle w:val="Paragrafyzkona"/>
              <w:spacing w:before="0" w:line="240" w:lineRule="auto"/>
              <w:jc w:val="left"/>
              <w:rPr>
                <w:b w:val="0"/>
                <w:sz w:val="20"/>
                <w:szCs w:val="20"/>
                <w:lang w:eastAsia="en-US"/>
              </w:rPr>
            </w:pPr>
            <w:r w:rsidR="002D77C5">
              <w:rPr>
                <w:b w:val="0"/>
                <w:sz w:val="20"/>
                <w:szCs w:val="20"/>
                <w:lang w:eastAsia="en-US"/>
              </w:rPr>
              <w:t>Príl. 8</w:t>
            </w:r>
          </w:p>
          <w:p w:rsidR="001604CD" w:rsidP="00302E31">
            <w:pPr>
              <w:pStyle w:val="Paragrafyzkona"/>
              <w:spacing w:before="0" w:line="240" w:lineRule="auto"/>
              <w:jc w:val="left"/>
              <w:rPr>
                <w:b w:val="0"/>
                <w:sz w:val="20"/>
                <w:szCs w:val="20"/>
                <w:lang w:eastAsia="en-US"/>
              </w:rPr>
            </w:pPr>
            <w:r>
              <w:rPr>
                <w:b w:val="0"/>
                <w:sz w:val="20"/>
                <w:szCs w:val="20"/>
                <w:lang w:eastAsia="en-US"/>
              </w:rPr>
              <w:t>Časť I.</w:t>
            </w:r>
          </w:p>
          <w:p w:rsidR="001604CD" w:rsidP="00302E31">
            <w:pPr>
              <w:pStyle w:val="Paragrafyzkona"/>
              <w:spacing w:before="0" w:line="240" w:lineRule="auto"/>
              <w:jc w:val="left"/>
              <w:rPr>
                <w:b w:val="0"/>
                <w:sz w:val="20"/>
                <w:szCs w:val="20"/>
                <w:lang w:eastAsia="en-US"/>
              </w:rPr>
            </w:pPr>
          </w:p>
          <w:p w:rsidR="001604CD" w:rsidP="00302E31">
            <w:pPr>
              <w:pStyle w:val="Paragrafyzkona"/>
              <w:spacing w:before="0" w:line="240" w:lineRule="auto"/>
              <w:jc w:val="left"/>
              <w:rPr>
                <w:b w:val="0"/>
                <w:sz w:val="20"/>
                <w:szCs w:val="20"/>
                <w:lang w:eastAsia="en-US"/>
              </w:rPr>
            </w:pPr>
          </w:p>
          <w:p w:rsidR="001604CD" w:rsidP="00302E31">
            <w:pPr>
              <w:pStyle w:val="Paragrafyzkona"/>
              <w:spacing w:before="0" w:line="240" w:lineRule="auto"/>
              <w:jc w:val="left"/>
              <w:rPr>
                <w:b w:val="0"/>
                <w:sz w:val="20"/>
                <w:szCs w:val="20"/>
                <w:lang w:eastAsia="en-US"/>
              </w:rPr>
            </w:pPr>
          </w:p>
          <w:p w:rsidR="001604CD" w:rsidP="00302E31">
            <w:pPr>
              <w:pStyle w:val="Paragrafyzkona"/>
              <w:spacing w:before="0" w:line="240" w:lineRule="auto"/>
              <w:jc w:val="left"/>
              <w:rPr>
                <w:b w:val="0"/>
                <w:sz w:val="20"/>
                <w:szCs w:val="20"/>
                <w:lang w:eastAsia="en-US"/>
              </w:rPr>
            </w:pPr>
          </w:p>
          <w:p w:rsidR="001604CD" w:rsidP="00302E31">
            <w:pPr>
              <w:pStyle w:val="Paragrafyzkona"/>
              <w:spacing w:before="0" w:line="240" w:lineRule="auto"/>
              <w:jc w:val="left"/>
              <w:rPr>
                <w:b w:val="0"/>
                <w:sz w:val="20"/>
                <w:szCs w:val="20"/>
                <w:lang w:eastAsia="en-US"/>
              </w:rPr>
            </w:pPr>
          </w:p>
          <w:p w:rsidR="001604CD" w:rsidP="00302E31">
            <w:pPr>
              <w:pStyle w:val="Paragrafyzkona"/>
              <w:spacing w:before="0" w:line="240" w:lineRule="auto"/>
              <w:jc w:val="left"/>
              <w:rPr>
                <w:b w:val="0"/>
                <w:sz w:val="20"/>
                <w:szCs w:val="20"/>
                <w:lang w:eastAsia="en-US"/>
              </w:rPr>
            </w:pPr>
          </w:p>
          <w:p w:rsidR="001604CD" w:rsidP="00302E31">
            <w:pPr>
              <w:pStyle w:val="Paragrafyzkona"/>
              <w:spacing w:before="0" w:line="240" w:lineRule="auto"/>
              <w:jc w:val="left"/>
              <w:rPr>
                <w:b w:val="0"/>
                <w:sz w:val="20"/>
                <w:szCs w:val="20"/>
                <w:lang w:eastAsia="en-US"/>
              </w:rPr>
            </w:pPr>
            <w:r>
              <w:rPr>
                <w:b w:val="0"/>
                <w:sz w:val="20"/>
                <w:szCs w:val="20"/>
                <w:lang w:eastAsia="en-US"/>
              </w:rPr>
              <w:t>Časť II.</w:t>
            </w:r>
          </w:p>
          <w:p w:rsidR="00E20C4A" w:rsidRPr="008658BB" w:rsidP="00E20C4A">
            <w:pPr>
              <w:jc w:val="both"/>
              <w:rPr>
                <w:b/>
                <w:sz w:val="20"/>
              </w:rPr>
            </w:pPr>
          </w:p>
        </w:tc>
        <w:tc>
          <w:tcPr>
            <w:tcW w:w="7797" w:type="dxa"/>
          </w:tcPr>
          <w:p w:rsidR="00D8493B" w:rsidRPr="00D8493B" w:rsidP="00D8493B">
            <w:pPr>
              <w:pStyle w:val="ListParagraph"/>
              <w:ind w:left="0"/>
              <w:jc w:val="both"/>
              <w:rPr>
                <w:sz w:val="20"/>
                <w:szCs w:val="20"/>
                <w:lang w:eastAsia="en-US"/>
              </w:rPr>
            </w:pPr>
            <w:r w:rsidRPr="00D8493B">
              <w:rPr>
                <w:sz w:val="20"/>
                <w:szCs w:val="20"/>
                <w:lang w:eastAsia="en-US"/>
              </w:rPr>
              <w:t xml:space="preserve">POŽIADAVKY NA UMIESTNENIE VZORKOVACÍCH MIEST NA STÁLE MERANIE A NA MERANIA NA VIDIECKYCH POZAĎOVÝCH </w:t>
            </w:r>
            <w:r w:rsidRPr="00D8493B">
              <w:rPr>
                <w:sz w:val="20"/>
                <w:szCs w:val="20"/>
                <w:lang w:eastAsia="en-US"/>
              </w:rPr>
              <w:t>STANICIACH</w:t>
            </w:r>
          </w:p>
          <w:p w:rsidR="00D8493B" w:rsidRPr="00D8493B" w:rsidP="00D8493B">
            <w:pPr>
              <w:pStyle w:val="ListParagraph"/>
              <w:ind w:left="0"/>
              <w:jc w:val="both"/>
              <w:rPr>
                <w:sz w:val="20"/>
                <w:szCs w:val="20"/>
                <w:lang w:eastAsia="en-US"/>
              </w:rPr>
            </w:pPr>
            <w:r w:rsidRPr="00D8493B">
              <w:rPr>
                <w:sz w:val="20"/>
                <w:szCs w:val="20"/>
                <w:lang w:eastAsia="en-US"/>
              </w:rPr>
              <w:t>Časť I</w:t>
            </w:r>
          </w:p>
          <w:p w:rsidR="00E20C4A" w:rsidP="00D8493B">
            <w:pPr>
              <w:pStyle w:val="ListParagraph"/>
              <w:spacing w:line="240" w:lineRule="auto"/>
              <w:ind w:left="0"/>
              <w:contextualSpacing w:val="0"/>
              <w:jc w:val="both"/>
              <w:rPr>
                <w:sz w:val="20"/>
                <w:szCs w:val="20"/>
                <w:lang w:eastAsia="en-US"/>
              </w:rPr>
            </w:pPr>
            <w:r w:rsidRPr="00D8493B" w:rsidR="00D8493B">
              <w:rPr>
                <w:sz w:val="20"/>
                <w:szCs w:val="20"/>
                <w:lang w:eastAsia="en-US"/>
              </w:rPr>
              <w:t>Požiadavky na umiestňovanie vzorkovacích miest na stále meranie koncentrácií oxidu siričitého, oxidu dusičitého, oxidov dusíka, častíc PM</w:t>
            </w:r>
            <w:r w:rsidRPr="00A51A4F" w:rsidR="00D8493B">
              <w:rPr>
                <w:sz w:val="20"/>
                <w:szCs w:val="20"/>
                <w:vertAlign w:val="subscript"/>
                <w:lang w:eastAsia="en-US"/>
              </w:rPr>
              <w:t>10</w:t>
            </w:r>
            <w:r w:rsidRPr="00D8493B" w:rsidR="00D8493B">
              <w:rPr>
                <w:sz w:val="20"/>
                <w:szCs w:val="20"/>
                <w:lang w:eastAsia="en-US"/>
              </w:rPr>
              <w:t>, častíc PM</w:t>
            </w:r>
            <w:r w:rsidRPr="00A51A4F" w:rsidR="00D8493B">
              <w:rPr>
                <w:sz w:val="20"/>
                <w:szCs w:val="20"/>
                <w:vertAlign w:val="subscript"/>
                <w:lang w:eastAsia="en-US"/>
              </w:rPr>
              <w:t>2,5</w:t>
            </w:r>
            <w:r w:rsidRPr="00D8493B" w:rsidR="00D8493B">
              <w:rPr>
                <w:sz w:val="20"/>
                <w:szCs w:val="20"/>
                <w:lang w:eastAsia="en-US"/>
              </w:rPr>
              <w:t>, olova, benzénu, oxidu uhoľnatého, arzénu, kadmia, niklu a benzo(a)pyrénu vm ovzduší</w:t>
            </w:r>
          </w:p>
          <w:p w:rsidR="00D8493B" w:rsidP="00D8493B">
            <w:pPr>
              <w:pStyle w:val="ListParagraph"/>
              <w:spacing w:line="240" w:lineRule="auto"/>
              <w:ind w:left="0"/>
              <w:contextualSpacing w:val="0"/>
              <w:jc w:val="both"/>
              <w:rPr>
                <w:sz w:val="20"/>
                <w:szCs w:val="20"/>
                <w:lang w:eastAsia="en-US"/>
              </w:rPr>
            </w:pPr>
            <w:r>
              <w:rPr>
                <w:sz w:val="20"/>
                <w:szCs w:val="20"/>
                <w:lang w:eastAsia="en-US"/>
              </w:rPr>
              <w:t>Časť II.</w:t>
            </w:r>
          </w:p>
          <w:p w:rsidR="002D77C5" w:rsidP="00D8493B">
            <w:pPr>
              <w:pStyle w:val="ListParagraph"/>
              <w:spacing w:line="240" w:lineRule="auto"/>
              <w:ind w:left="0"/>
              <w:contextualSpacing w:val="0"/>
              <w:jc w:val="both"/>
              <w:rPr>
                <w:sz w:val="20"/>
                <w:szCs w:val="20"/>
                <w:lang w:eastAsia="en-US"/>
              </w:rPr>
            </w:pPr>
            <w:r w:rsidRPr="002D77C5">
              <w:rPr>
                <w:sz w:val="20"/>
                <w:szCs w:val="20"/>
                <w:lang w:eastAsia="en-US"/>
              </w:rPr>
              <w:t>Požiadavky na merania na vidieckych pozaďových miestach</w:t>
            </w:r>
          </w:p>
          <w:p w:rsidR="00D8493B" w:rsidP="00D8493B">
            <w:pPr>
              <w:pStyle w:val="ListParagraph"/>
              <w:spacing w:line="240" w:lineRule="auto"/>
              <w:ind w:left="0"/>
              <w:contextualSpacing w:val="0"/>
              <w:jc w:val="both"/>
              <w:rPr>
                <w:b/>
              </w:rPr>
            </w:pPr>
          </w:p>
        </w:tc>
        <w:tc>
          <w:tcPr>
            <w:tcW w:w="708" w:type="dxa"/>
          </w:tcPr>
          <w:p w:rsidR="00E20C4A" w:rsidRPr="00302E31" w:rsidP="00E20C4A">
            <w:pPr>
              <w:jc w:val="both"/>
              <w:rPr>
                <w:sz w:val="20"/>
              </w:rPr>
            </w:pPr>
            <w:r w:rsidRPr="00302E31" w:rsidR="00302E31">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Č7</w:t>
            </w:r>
          </w:p>
          <w:p w:rsidR="00E20C4A" w:rsidP="00E20C4A">
            <w:pPr>
              <w:jc w:val="both"/>
              <w:rPr>
                <w:sz w:val="20"/>
              </w:rPr>
            </w:pPr>
            <w:r>
              <w:rPr>
                <w:sz w:val="20"/>
              </w:rPr>
              <w:t>O2</w:t>
            </w:r>
          </w:p>
        </w:tc>
        <w:tc>
          <w:tcPr>
            <w:tcW w:w="4074" w:type="dxa"/>
            <w:tcBorders>
              <w:bottom w:val="single" w:sz="4" w:space="0" w:color="auto"/>
            </w:tcBorders>
          </w:tcPr>
          <w:p w:rsidR="00E20C4A" w:rsidRPr="009A03F3" w:rsidP="00E20C4A">
            <w:pPr>
              <w:jc w:val="both"/>
              <w:rPr>
                <w:sz w:val="20"/>
              </w:rPr>
            </w:pPr>
            <w:r>
              <w:rPr>
                <w:sz w:val="20"/>
              </w:rPr>
              <w:t xml:space="preserve">2. </w:t>
            </w:r>
            <w:r w:rsidRPr="009A03F3">
              <w:rPr>
                <w:sz w:val="20"/>
              </w:rPr>
              <w:t>V každej zóne alebo aglomerácii, v ktorej sú jediným zdrojom</w:t>
            </w:r>
            <w:r>
              <w:rPr>
                <w:sz w:val="20"/>
              </w:rPr>
              <w:t xml:space="preserve"> </w:t>
            </w:r>
            <w:r w:rsidRPr="009A03F3">
              <w:rPr>
                <w:sz w:val="20"/>
              </w:rPr>
              <w:t>informácií na hodnotenie kvality ovzdušia stále merania, nesmie byť</w:t>
            </w:r>
          </w:p>
          <w:p w:rsidR="00E20C4A" w:rsidP="00E20C4A">
            <w:pPr>
              <w:jc w:val="both"/>
              <w:rPr>
                <w:sz w:val="20"/>
              </w:rPr>
            </w:pPr>
            <w:r w:rsidRPr="009A03F3">
              <w:rPr>
                <w:sz w:val="20"/>
              </w:rPr>
              <w:t>počet vzorkovacích miest pre každú príslušnú znečisťujúcu látku nižší</w:t>
            </w:r>
            <w:r>
              <w:rPr>
                <w:sz w:val="20"/>
              </w:rPr>
              <w:t xml:space="preserve"> </w:t>
            </w:r>
            <w:r w:rsidRPr="009A03F3">
              <w:rPr>
                <w:sz w:val="20"/>
              </w:rPr>
              <w:t>ako minimálny počet vzorkovacích miest určený v oddiele A prílohy V.</w:t>
            </w:r>
          </w:p>
          <w:p w:rsidR="00E20C4A" w:rsidRPr="004E5A7A" w:rsidP="00E20C4A">
            <w:pPr>
              <w:jc w:val="both"/>
              <w:rPr>
                <w:sz w:val="20"/>
              </w:rPr>
            </w:pPr>
          </w:p>
        </w:tc>
        <w:tc>
          <w:tcPr>
            <w:tcW w:w="747" w:type="dxa"/>
          </w:tcPr>
          <w:p w:rsidR="00E20C4A" w:rsidRPr="00D86B9D" w:rsidP="00E20C4A">
            <w:pPr>
              <w:ind w:right="-249"/>
              <w:rPr>
                <w:sz w:val="20"/>
              </w:rPr>
            </w:pPr>
            <w:r w:rsidR="00225F6C">
              <w:rPr>
                <w:sz w:val="20"/>
              </w:rPr>
              <w:t>N</w:t>
            </w:r>
          </w:p>
        </w:tc>
        <w:tc>
          <w:tcPr>
            <w:tcW w:w="574" w:type="dxa"/>
          </w:tcPr>
          <w:p w:rsidR="00E20C4A" w:rsidRPr="00225F6C" w:rsidP="00E20C4A">
            <w:pPr>
              <w:jc w:val="both"/>
              <w:rPr>
                <w:sz w:val="20"/>
              </w:rPr>
            </w:pPr>
            <w:r w:rsidRPr="00225F6C" w:rsidR="00225F6C">
              <w:rPr>
                <w:sz w:val="20"/>
              </w:rPr>
              <w:t>NZ</w:t>
            </w:r>
          </w:p>
        </w:tc>
        <w:tc>
          <w:tcPr>
            <w:tcW w:w="701" w:type="dxa"/>
          </w:tcPr>
          <w:p w:rsidR="00225F6C" w:rsidRPr="00743DBC" w:rsidP="00225F6C">
            <w:pPr>
              <w:pStyle w:val="Paragrafyzkona"/>
              <w:spacing w:before="0" w:line="240" w:lineRule="auto"/>
              <w:jc w:val="left"/>
              <w:rPr>
                <w:b w:val="0"/>
                <w:sz w:val="20"/>
                <w:szCs w:val="20"/>
                <w:lang w:eastAsia="en-US"/>
              </w:rPr>
            </w:pPr>
            <w:r>
              <w:rPr>
                <w:b w:val="0"/>
                <w:sz w:val="20"/>
                <w:szCs w:val="20"/>
                <w:lang w:eastAsia="en-US"/>
              </w:rPr>
              <w:t>§ 5</w:t>
            </w:r>
          </w:p>
          <w:p w:rsidR="00225F6C" w:rsidP="00225F6C">
            <w:pPr>
              <w:pStyle w:val="Paragrafyzkona"/>
              <w:spacing w:before="0" w:line="240" w:lineRule="auto"/>
              <w:jc w:val="left"/>
              <w:rPr>
                <w:b w:val="0"/>
                <w:sz w:val="20"/>
                <w:szCs w:val="20"/>
                <w:lang w:eastAsia="en-US"/>
              </w:rPr>
            </w:pPr>
            <w:r w:rsidR="001D1207">
              <w:rPr>
                <w:b w:val="0"/>
                <w:sz w:val="20"/>
                <w:szCs w:val="20"/>
                <w:lang w:eastAsia="en-US"/>
              </w:rPr>
              <w:t>O5</w:t>
            </w:r>
          </w:p>
          <w:p w:rsidR="001604CD" w:rsidP="00225F6C">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225F6C" w:rsidP="00225F6C">
            <w:pPr>
              <w:pStyle w:val="ListParagraph"/>
              <w:spacing w:line="240" w:lineRule="auto"/>
              <w:ind w:left="0"/>
              <w:contextualSpacing w:val="0"/>
              <w:jc w:val="both"/>
              <w:rPr>
                <w:sz w:val="20"/>
                <w:szCs w:val="20"/>
                <w:lang w:eastAsia="en-US"/>
              </w:rPr>
            </w:pPr>
            <w:r w:rsidR="001D1207">
              <w:rPr>
                <w:sz w:val="20"/>
                <w:szCs w:val="20"/>
                <w:lang w:eastAsia="en-US"/>
              </w:rPr>
              <w:t>(5</w:t>
            </w:r>
            <w:r>
              <w:rPr>
                <w:sz w:val="20"/>
                <w:szCs w:val="20"/>
                <w:lang w:eastAsia="en-US"/>
              </w:rPr>
              <w:t xml:space="preserve">) </w:t>
            </w:r>
            <w:r w:rsidRPr="00225F6C">
              <w:rPr>
                <w:sz w:val="20"/>
                <w:szCs w:val="20"/>
                <w:lang w:eastAsia="en-US"/>
              </w:rPr>
              <w:t>Kritériá na minimálny počet vzorkovacích miest na stále merania sú ustanovené vykonávacím predpisom podľa § 62 písm. b). Každú zmenu týkajúcu sa počtu vzorkovacích miest prerokuje poverená organizácia vopred s ministerstvom. Celkový počet vzorkovacích miest</w:t>
            </w:r>
          </w:p>
          <w:p w:rsidR="00E20C4A" w:rsidRPr="00225F6C" w:rsidP="00225F6C">
            <w:pPr>
              <w:pStyle w:val="ListParagraph"/>
              <w:spacing w:line="240" w:lineRule="auto"/>
              <w:ind w:left="0"/>
              <w:contextualSpacing w:val="0"/>
              <w:jc w:val="both"/>
              <w:rPr>
                <w:sz w:val="20"/>
                <w:szCs w:val="20"/>
                <w:lang w:eastAsia="en-US"/>
              </w:rPr>
            </w:pPr>
            <w:r w:rsidR="00B8607C">
              <w:rPr>
                <w:sz w:val="20"/>
                <w:szCs w:val="20"/>
                <w:lang w:eastAsia="en-US"/>
              </w:rPr>
              <w:t xml:space="preserve">Bod </w:t>
            </w:r>
            <w:r w:rsidR="00225F6C">
              <w:rPr>
                <w:sz w:val="20"/>
                <w:szCs w:val="20"/>
                <w:lang w:eastAsia="en-US"/>
              </w:rPr>
              <w:t xml:space="preserve">1. </w:t>
            </w:r>
            <w:r w:rsidRPr="00225F6C" w:rsidR="00225F6C">
              <w:rPr>
                <w:sz w:val="20"/>
                <w:szCs w:val="20"/>
                <w:lang w:eastAsia="en-US"/>
              </w:rPr>
              <w:t>nesmie byť počet nižší ako ustanovený najnižší počet vzorkovacích miest, ak stále merania sú jediným zdrojom informácií na hodnotenie kv</w:t>
            </w:r>
            <w:r w:rsidRPr="00225F6C" w:rsidR="00225F6C">
              <w:rPr>
                <w:sz w:val="20"/>
                <w:szCs w:val="20"/>
                <w:lang w:eastAsia="en-US"/>
              </w:rPr>
              <w:t>ality ovzdušia v zóne a</w:t>
            </w:r>
            <w:r w:rsidR="00B8607C">
              <w:rPr>
                <w:sz w:val="20"/>
                <w:szCs w:val="20"/>
                <w:lang w:eastAsia="en-US"/>
              </w:rPr>
              <w:t> </w:t>
            </w:r>
            <w:r w:rsidRPr="00225F6C" w:rsidR="00225F6C">
              <w:rPr>
                <w:sz w:val="20"/>
                <w:szCs w:val="20"/>
                <w:lang w:eastAsia="en-US"/>
              </w:rPr>
              <w:t>aglomerácii</w:t>
            </w:r>
            <w:r w:rsidR="00B8607C">
              <w:rPr>
                <w:sz w:val="20"/>
                <w:szCs w:val="20"/>
                <w:lang w:eastAsia="en-US"/>
              </w:rPr>
              <w:t>.</w:t>
            </w:r>
          </w:p>
        </w:tc>
        <w:tc>
          <w:tcPr>
            <w:tcW w:w="708" w:type="dxa"/>
          </w:tcPr>
          <w:p w:rsidR="00E20C4A" w:rsidRPr="00225F6C" w:rsidP="00E20C4A">
            <w:pPr>
              <w:jc w:val="both"/>
              <w:rPr>
                <w:sz w:val="20"/>
              </w:rPr>
            </w:pPr>
            <w:r w:rsidRPr="00225F6C" w:rsidR="00225F6C">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Č7</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9A03F3">
              <w:rPr>
                <w:sz w:val="20"/>
              </w:rPr>
              <w:t>3. Pre zóny a aglomerácie, v rámci ktorých sú informácie zo vzorkovacích miest na stále meranie doplne</w:t>
            </w:r>
            <w:r>
              <w:rPr>
                <w:sz w:val="20"/>
              </w:rPr>
              <w:t xml:space="preserve">né informáciami z modelovania a) </w:t>
            </w:r>
            <w:r w:rsidRPr="009A03F3">
              <w:rPr>
                <w:sz w:val="20"/>
              </w:rPr>
              <w:t xml:space="preserve">alebo indikatívnymi meraniami, sa však môže celkový počet vzorkovacích miest uvedený v oddiele A prílohy V znížiť až o 50 % za predpokladu, že sú splnené tieto podmienky: a) doplnkové metódy poskytujú dostatočné informácie na hodnotenie kvality ovzdušia vzhľadom na limitné hodnoty alebo výstražné prahy, ako aj primerané informácie pre verejnosť; </w:t>
            </w:r>
          </w:p>
          <w:p w:rsidR="00E20C4A" w:rsidP="00E20C4A">
            <w:pPr>
              <w:jc w:val="both"/>
              <w:rPr>
                <w:sz w:val="20"/>
              </w:rPr>
            </w:pPr>
            <w:r w:rsidRPr="009A03F3">
              <w:rPr>
                <w:sz w:val="20"/>
              </w:rPr>
              <w:t>b) počet vzorkovacích miest, ktoré sa majú zriadiť, a priestorové rozlíšenie ostatných techník sú dostatočné na stanovenie koncentrácie príslušnej znečisťujúcej látky v súlade s cieľmi kvality údajov uvedenými v oddiele A prílohy I a vedú k výsledkom hodnotenia, ktoré spĺňajú kritériá uvedené v oddiele B prílohy I.</w:t>
            </w:r>
          </w:p>
          <w:p w:rsidR="00E20C4A" w:rsidP="00E20C4A">
            <w:pPr>
              <w:jc w:val="both"/>
              <w:rPr>
                <w:sz w:val="20"/>
              </w:rPr>
            </w:pPr>
            <w:r w:rsidRPr="009A03F3">
              <w:rPr>
                <w:sz w:val="20"/>
              </w:rPr>
              <w:t>Výsledky modelovania a/alebo indikatívneho merania sa zohľadňujú pri</w:t>
            </w:r>
            <w:r>
              <w:rPr>
                <w:sz w:val="20"/>
              </w:rPr>
              <w:t xml:space="preserve"> </w:t>
            </w:r>
            <w:r w:rsidRPr="009A03F3">
              <w:rPr>
                <w:sz w:val="20"/>
              </w:rPr>
              <w:t>hodnotení kvality ovzdušia vzhľadom na limitné hodnoty</w:t>
            </w:r>
          </w:p>
          <w:p w:rsidR="00E20C4A" w:rsidRPr="004E5A7A" w:rsidP="00E20C4A">
            <w:pPr>
              <w:jc w:val="both"/>
              <w:rPr>
                <w:sz w:val="20"/>
              </w:rPr>
            </w:pPr>
          </w:p>
        </w:tc>
        <w:tc>
          <w:tcPr>
            <w:tcW w:w="747" w:type="dxa"/>
          </w:tcPr>
          <w:p w:rsidR="00E20C4A" w:rsidRPr="00D86B9D" w:rsidP="00E20C4A">
            <w:pPr>
              <w:ind w:right="-249"/>
              <w:rPr>
                <w:sz w:val="20"/>
              </w:rPr>
            </w:pPr>
            <w:r w:rsidR="001604CD">
              <w:rPr>
                <w:sz w:val="20"/>
              </w:rPr>
              <w:t>N</w:t>
            </w:r>
          </w:p>
        </w:tc>
        <w:tc>
          <w:tcPr>
            <w:tcW w:w="574" w:type="dxa"/>
          </w:tcPr>
          <w:p w:rsidR="00E20C4A" w:rsidRPr="001604CD" w:rsidP="00E20C4A">
            <w:pPr>
              <w:jc w:val="both"/>
              <w:rPr>
                <w:sz w:val="20"/>
              </w:rPr>
            </w:pPr>
            <w:r w:rsidR="005C4283">
              <w:rPr>
                <w:sz w:val="20"/>
              </w:rPr>
              <w:t>N</w:t>
            </w:r>
            <w:r w:rsidRPr="001604CD" w:rsidR="001604CD">
              <w:rPr>
                <w:sz w:val="20"/>
              </w:rPr>
              <w:t>V</w:t>
            </w:r>
          </w:p>
        </w:tc>
        <w:tc>
          <w:tcPr>
            <w:tcW w:w="701" w:type="dxa"/>
          </w:tcPr>
          <w:p w:rsidR="00E20C4A" w:rsidP="00E20C4A">
            <w:pPr>
              <w:jc w:val="both"/>
              <w:rPr>
                <w:sz w:val="20"/>
              </w:rPr>
            </w:pPr>
            <w:r w:rsidRPr="001604CD" w:rsidR="001604CD">
              <w:rPr>
                <w:sz w:val="20"/>
              </w:rPr>
              <w:t>Príl. 8</w:t>
            </w:r>
          </w:p>
          <w:p w:rsidR="001604CD" w:rsidP="00E20C4A">
            <w:pPr>
              <w:jc w:val="both"/>
              <w:rPr>
                <w:sz w:val="20"/>
              </w:rPr>
            </w:pPr>
            <w:r>
              <w:rPr>
                <w:sz w:val="20"/>
              </w:rPr>
              <w:t>Časť I.</w:t>
            </w:r>
          </w:p>
          <w:p w:rsidR="001604CD" w:rsidRPr="001604CD" w:rsidP="00E20C4A">
            <w:pPr>
              <w:jc w:val="both"/>
              <w:rPr>
                <w:sz w:val="20"/>
              </w:rPr>
            </w:pPr>
            <w:r>
              <w:rPr>
                <w:sz w:val="20"/>
              </w:rPr>
              <w:t>PE</w:t>
            </w:r>
          </w:p>
        </w:tc>
        <w:tc>
          <w:tcPr>
            <w:tcW w:w="7797" w:type="dxa"/>
          </w:tcPr>
          <w:p w:rsidR="00051207" w:rsidRPr="00051207" w:rsidP="00051207">
            <w:pPr>
              <w:pStyle w:val="NormalWeb"/>
              <w:tabs>
                <w:tab w:val="left" w:pos="284"/>
              </w:tabs>
              <w:spacing w:before="0" w:beforeAutospacing="0" w:after="120" w:afterAutospacing="0"/>
              <w:rPr>
                <w:sz w:val="20"/>
                <w:szCs w:val="20"/>
                <w:lang w:eastAsia="en-US"/>
              </w:rPr>
            </w:pPr>
            <w:r w:rsidRPr="00051207">
              <w:rPr>
                <w:sz w:val="20"/>
                <w:szCs w:val="20"/>
                <w:lang w:eastAsia="en-US"/>
              </w:rPr>
              <w:t xml:space="preserve">E. Podmienky na zníženie počtu vzorkovacích miest </w:t>
            </w:r>
          </w:p>
          <w:p w:rsidR="00051207" w:rsidRPr="00051207" w:rsidP="00051207">
            <w:pPr>
              <w:autoSpaceDE w:val="0"/>
              <w:autoSpaceDN w:val="0"/>
              <w:adjustRightInd w:val="0"/>
              <w:spacing w:after="120"/>
              <w:jc w:val="both"/>
              <w:rPr>
                <w:sz w:val="20"/>
              </w:rPr>
            </w:pPr>
            <w:r w:rsidRPr="00051207">
              <w:rPr>
                <w:sz w:val="20"/>
              </w:rPr>
              <w:t>Pre zóny a aglomerácie, v rámci ktorých sú informácie zo vzorkovacích miest na stále meranie doplnené informáciami z modelovania a/alebo indikatívnymi meraniami, sa však môže celkový počet vzorkovacích miest uvedený v prílohe č. 9 písm. A znížiť až o 50 % za predpokladu, že sú splnené tieto podmienky:</w:t>
            </w:r>
          </w:p>
          <w:p w:rsidR="00051207" w:rsidRPr="00051207" w:rsidP="00051207">
            <w:pPr>
              <w:autoSpaceDE w:val="0"/>
              <w:autoSpaceDN w:val="0"/>
              <w:adjustRightInd w:val="0"/>
              <w:spacing w:after="120"/>
              <w:ind w:left="568" w:hanging="284"/>
              <w:jc w:val="both"/>
              <w:rPr>
                <w:sz w:val="20"/>
              </w:rPr>
            </w:pPr>
            <w:r w:rsidRPr="00051207">
              <w:rPr>
                <w:sz w:val="20"/>
              </w:rPr>
              <w:t>a) doplnkové metódy poskytujú dostatočné informácie na hodnotenie kvality ovzdušia vzhľadom na limitné hodnoty alebo výstražné prahy, ako aj primerané informácie pre verejnosť,</w:t>
            </w:r>
          </w:p>
          <w:p w:rsidR="00051207" w:rsidRPr="00051207" w:rsidP="00051207">
            <w:pPr>
              <w:tabs>
                <w:tab w:val="left" w:pos="284"/>
              </w:tabs>
              <w:autoSpaceDE w:val="0"/>
              <w:autoSpaceDN w:val="0"/>
              <w:adjustRightInd w:val="0"/>
              <w:spacing w:after="120"/>
              <w:ind w:left="568" w:hanging="284"/>
              <w:jc w:val="both"/>
              <w:rPr>
                <w:sz w:val="20"/>
              </w:rPr>
            </w:pPr>
            <w:r w:rsidRPr="00051207">
              <w:rPr>
                <w:sz w:val="20"/>
              </w:rPr>
              <w:t>b) počet vzorkovacích miest, ktoré sa majú zriadiť, a priestorové rozlíšenie ostatných techník sú dostatočné na stanovenie koncentrácie príslušnej znečisťujúcej látky v súlade s cieľmi kvality údajov uvedenými v prílohe č. 6 písm. A a vedú k výsledkom hodnotenia, ktoré spĺňajú kritériá uvedené v prílohe č. 6 písm. B.</w:t>
            </w:r>
          </w:p>
          <w:p w:rsidR="00E20C4A" w:rsidP="00051207">
            <w:pPr>
              <w:pStyle w:val="Normlny"/>
              <w:jc w:val="both"/>
              <w:rPr>
                <w:b/>
              </w:rPr>
            </w:pPr>
            <w:r w:rsidRPr="007B57C0" w:rsidR="00051207">
              <w:t>Výsledky modelovania a/alebo indikatívneho merania sa zohľadňujú pri hodnotení kvality ovzdušia vzhľadom na limitné hodnoty.</w:t>
            </w:r>
          </w:p>
        </w:tc>
        <w:tc>
          <w:tcPr>
            <w:tcW w:w="708" w:type="dxa"/>
          </w:tcPr>
          <w:p w:rsidR="00E20C4A" w:rsidRPr="00603499" w:rsidP="00E20C4A">
            <w:pPr>
              <w:jc w:val="both"/>
              <w:rPr>
                <w:sz w:val="20"/>
              </w:rPr>
            </w:pPr>
            <w:r w:rsidRPr="00603499" w:rsidR="0060349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Č7</w:t>
            </w:r>
          </w:p>
          <w:p w:rsidR="00E20C4A" w:rsidP="00E20C4A">
            <w:pPr>
              <w:jc w:val="both"/>
              <w:rPr>
                <w:sz w:val="20"/>
              </w:rPr>
            </w:pPr>
            <w:r>
              <w:rPr>
                <w:sz w:val="20"/>
              </w:rPr>
              <w:t>O4</w:t>
            </w:r>
          </w:p>
        </w:tc>
        <w:tc>
          <w:tcPr>
            <w:tcW w:w="4074" w:type="dxa"/>
            <w:tcBorders>
              <w:bottom w:val="single" w:sz="4" w:space="0" w:color="auto"/>
            </w:tcBorders>
          </w:tcPr>
          <w:p w:rsidR="00E20C4A" w:rsidP="00E20C4A">
            <w:pPr>
              <w:jc w:val="both"/>
              <w:rPr>
                <w:sz w:val="20"/>
              </w:rPr>
            </w:pPr>
            <w:r>
              <w:rPr>
                <w:sz w:val="20"/>
              </w:rPr>
              <w:t xml:space="preserve">4. </w:t>
            </w:r>
            <w:r w:rsidRPr="009A03F3">
              <w:rPr>
                <w:sz w:val="20"/>
              </w:rPr>
              <w:t>Komisia monitoruje uplatňovanie kritérií výberu vzorkovacích</w:t>
            </w:r>
            <w:r>
              <w:rPr>
                <w:sz w:val="20"/>
              </w:rPr>
              <w:t xml:space="preserve"> </w:t>
            </w:r>
            <w:r w:rsidRPr="009A03F3">
              <w:rPr>
                <w:sz w:val="20"/>
              </w:rPr>
              <w:t>miest v členských štátoch, aby sa uľahčilo harmonizované uplatňovanie</w:t>
            </w:r>
            <w:r>
              <w:rPr>
                <w:sz w:val="20"/>
              </w:rPr>
              <w:t xml:space="preserve"> </w:t>
            </w:r>
            <w:r w:rsidRPr="009A03F3">
              <w:rPr>
                <w:sz w:val="20"/>
              </w:rPr>
              <w:t>týchto kritérií v rámci celej Európskej únie</w:t>
            </w:r>
          </w:p>
          <w:p w:rsidR="00E20C4A" w:rsidRPr="004E5A7A" w:rsidP="00E20C4A">
            <w:pPr>
              <w:jc w:val="both"/>
              <w:rPr>
                <w:sz w:val="20"/>
              </w:rPr>
            </w:pPr>
          </w:p>
        </w:tc>
        <w:tc>
          <w:tcPr>
            <w:tcW w:w="747" w:type="dxa"/>
          </w:tcPr>
          <w:p w:rsidR="00E20C4A" w:rsidRPr="00D86B9D" w:rsidP="00E20C4A">
            <w:pPr>
              <w:ind w:right="-249"/>
              <w:rPr>
                <w:sz w:val="20"/>
              </w:rPr>
            </w:pPr>
            <w:r w:rsidR="001604CD">
              <w:rPr>
                <w:sz w:val="20"/>
              </w:rPr>
              <w:t xml:space="preserve">n.a </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p w:rsidR="001604CD" w:rsidP="00E20C4A">
            <w:pPr>
              <w:pStyle w:val="Normlny"/>
              <w:jc w:val="center"/>
              <w:rPr>
                <w:b/>
              </w:rPr>
            </w:pPr>
          </w:p>
          <w:p w:rsidR="001604CD" w:rsidP="00E20C4A">
            <w:pPr>
              <w:pStyle w:val="Normlny"/>
              <w:jc w:val="center"/>
              <w:rPr>
                <w:b/>
              </w:rPr>
            </w:pPr>
          </w:p>
          <w:p w:rsidR="001604CD" w:rsidP="00E20C4A">
            <w:pPr>
              <w:pStyle w:val="Normlny"/>
              <w:jc w:val="center"/>
              <w:rPr>
                <w:b/>
              </w:rPr>
            </w:pPr>
          </w:p>
          <w:p w:rsidR="001604CD" w:rsidP="00E20C4A">
            <w:pPr>
              <w:pStyle w:val="Normlny"/>
              <w:jc w:val="center"/>
              <w:rPr>
                <w:b/>
              </w:rPr>
            </w:pPr>
          </w:p>
          <w:p w:rsidR="001604CD" w:rsidP="00E20C4A">
            <w:pPr>
              <w:pStyle w:val="Normlny"/>
              <w:jc w:val="center"/>
              <w:rPr>
                <w:b/>
              </w:rPr>
            </w:pPr>
          </w:p>
        </w:tc>
        <w:tc>
          <w:tcPr>
            <w:tcW w:w="708" w:type="dxa"/>
          </w:tcPr>
          <w:p w:rsidR="00E20C4A" w:rsidRPr="00603499"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Č8</w:t>
            </w:r>
          </w:p>
          <w:p w:rsidR="00E20C4A" w:rsidP="00E20C4A">
            <w:pPr>
              <w:jc w:val="both"/>
              <w:rPr>
                <w:sz w:val="20"/>
              </w:rPr>
            </w:pPr>
          </w:p>
        </w:tc>
        <w:tc>
          <w:tcPr>
            <w:tcW w:w="4074" w:type="dxa"/>
            <w:tcBorders>
              <w:bottom w:val="single" w:sz="4" w:space="0" w:color="auto"/>
            </w:tcBorders>
          </w:tcPr>
          <w:p w:rsidR="00E20C4A" w:rsidRPr="00607D28" w:rsidP="00E20C4A">
            <w:pPr>
              <w:jc w:val="both"/>
              <w:rPr>
                <w:sz w:val="20"/>
              </w:rPr>
            </w:pPr>
            <w:r w:rsidRPr="00607D28">
              <w:rPr>
                <w:sz w:val="20"/>
              </w:rPr>
              <w:t>Referenčné metódy merania</w:t>
            </w:r>
          </w:p>
          <w:p w:rsidR="00E20C4A" w:rsidP="00E20C4A">
            <w:pPr>
              <w:jc w:val="both"/>
              <w:rPr>
                <w:sz w:val="20"/>
              </w:rPr>
            </w:pPr>
            <w:r w:rsidRPr="00607D28">
              <w:rPr>
                <w:sz w:val="20"/>
              </w:rPr>
              <w:t>1. Členské štáty uplatňujú referenčné metódy a kritériá merania</w:t>
            </w:r>
            <w:r>
              <w:rPr>
                <w:sz w:val="20"/>
              </w:rPr>
              <w:t xml:space="preserve"> </w:t>
            </w:r>
            <w:r w:rsidRPr="00607D28">
              <w:rPr>
                <w:sz w:val="20"/>
              </w:rPr>
              <w:t>určené v oddiele A a v oddie</w:t>
            </w:r>
            <w:r w:rsidRPr="00607D28">
              <w:rPr>
                <w:sz w:val="20"/>
              </w:rPr>
              <w:t>le C prílohy VI.</w:t>
            </w:r>
          </w:p>
          <w:p w:rsidR="005C7F85" w:rsidRPr="00607D28" w:rsidP="005C7F85">
            <w:pPr>
              <w:jc w:val="both"/>
              <w:rPr>
                <w:sz w:val="20"/>
              </w:rPr>
            </w:pPr>
            <w:r>
              <w:rPr>
                <w:sz w:val="20"/>
              </w:rPr>
              <w:t xml:space="preserve">2. </w:t>
            </w:r>
            <w:r w:rsidRPr="00607D28">
              <w:rPr>
                <w:sz w:val="20"/>
              </w:rPr>
              <w:t>Iné metódy merania sa môžu použiť za podmienok stanovených</w:t>
            </w:r>
          </w:p>
          <w:p w:rsidR="005C7F85" w:rsidP="005C7F85">
            <w:pPr>
              <w:jc w:val="both"/>
              <w:rPr>
                <w:sz w:val="20"/>
              </w:rPr>
            </w:pPr>
            <w:r w:rsidRPr="00607D28">
              <w:rPr>
                <w:sz w:val="20"/>
              </w:rPr>
              <w:t>v oddiele B prílohy VI.</w:t>
            </w:r>
          </w:p>
          <w:p w:rsidR="005C7F85" w:rsidP="00E20C4A">
            <w:pPr>
              <w:jc w:val="both"/>
              <w:rPr>
                <w:sz w:val="20"/>
              </w:rPr>
            </w:pPr>
          </w:p>
          <w:p w:rsidR="00E20C4A" w:rsidRPr="004E5A7A" w:rsidP="00E20C4A">
            <w:pPr>
              <w:jc w:val="both"/>
              <w:rPr>
                <w:sz w:val="20"/>
              </w:rPr>
            </w:pPr>
          </w:p>
        </w:tc>
        <w:tc>
          <w:tcPr>
            <w:tcW w:w="747" w:type="dxa"/>
          </w:tcPr>
          <w:p w:rsidR="00E20C4A" w:rsidRPr="00D86B9D" w:rsidP="00E20C4A">
            <w:pPr>
              <w:ind w:right="-249"/>
              <w:rPr>
                <w:sz w:val="20"/>
              </w:rPr>
            </w:pPr>
            <w:r w:rsidR="005C7F85">
              <w:rPr>
                <w:sz w:val="20"/>
              </w:rPr>
              <w:t>N</w:t>
            </w:r>
          </w:p>
        </w:tc>
        <w:tc>
          <w:tcPr>
            <w:tcW w:w="574" w:type="dxa"/>
          </w:tcPr>
          <w:p w:rsidR="00E20C4A" w:rsidRPr="005C7F85" w:rsidP="00E20C4A">
            <w:pPr>
              <w:jc w:val="both"/>
              <w:rPr>
                <w:sz w:val="20"/>
              </w:rPr>
            </w:pPr>
            <w:r w:rsidR="005C4283">
              <w:rPr>
                <w:sz w:val="20"/>
              </w:rPr>
              <w:t>N</w:t>
            </w:r>
            <w:r w:rsidRPr="005C7F85" w:rsidR="005C7F85">
              <w:rPr>
                <w:sz w:val="20"/>
              </w:rPr>
              <w:t>V</w:t>
            </w:r>
          </w:p>
        </w:tc>
        <w:tc>
          <w:tcPr>
            <w:tcW w:w="701" w:type="dxa"/>
          </w:tcPr>
          <w:p w:rsidR="00E20C4A" w:rsidRPr="005C7F85" w:rsidP="00E20C4A">
            <w:pPr>
              <w:jc w:val="both"/>
              <w:rPr>
                <w:sz w:val="20"/>
              </w:rPr>
            </w:pPr>
            <w:r w:rsidRPr="005C7F85" w:rsidR="005C7F85">
              <w:rPr>
                <w:sz w:val="20"/>
              </w:rPr>
              <w:t>Pr</w:t>
            </w:r>
            <w:r w:rsidR="0064294B">
              <w:rPr>
                <w:sz w:val="20"/>
              </w:rPr>
              <w:t>íl. 5</w:t>
            </w:r>
          </w:p>
          <w:p w:rsidR="005C7F85" w:rsidP="00E20C4A">
            <w:pPr>
              <w:jc w:val="both"/>
              <w:rPr>
                <w:sz w:val="20"/>
              </w:rPr>
            </w:pPr>
            <w:r w:rsidRPr="005C7F85">
              <w:rPr>
                <w:sz w:val="20"/>
              </w:rPr>
              <w:t xml:space="preserve">Časť </w:t>
            </w:r>
            <w:r w:rsidR="00A51A4F">
              <w:rPr>
                <w:sz w:val="20"/>
              </w:rPr>
              <w:t>P</w:t>
            </w:r>
            <w:r w:rsidRPr="005C7F85">
              <w:rPr>
                <w:sz w:val="20"/>
              </w:rPr>
              <w:t>B</w:t>
            </w:r>
          </w:p>
          <w:p w:rsidR="0064294B" w:rsidRPr="008658BB" w:rsidP="00E20C4A">
            <w:pPr>
              <w:jc w:val="both"/>
              <w:rPr>
                <w:b/>
                <w:sz w:val="20"/>
              </w:rPr>
            </w:pPr>
          </w:p>
        </w:tc>
        <w:tc>
          <w:tcPr>
            <w:tcW w:w="7797" w:type="dxa"/>
          </w:tcPr>
          <w:p w:rsidR="00051207" w:rsidP="00051207">
            <w:pPr>
              <w:jc w:val="both"/>
              <w:rPr>
                <w:sz w:val="20"/>
              </w:rPr>
            </w:pPr>
            <w:r w:rsidRPr="00051207">
              <w:rPr>
                <w:sz w:val="20"/>
              </w:rPr>
              <w:t>B. Preukázanie rovnocennosti</w:t>
            </w:r>
          </w:p>
          <w:p w:rsidR="00A51A4F" w:rsidRPr="00051207" w:rsidP="00051207">
            <w:pPr>
              <w:jc w:val="both"/>
              <w:rPr>
                <w:sz w:val="20"/>
              </w:rPr>
            </w:pPr>
          </w:p>
          <w:p w:rsidR="00051207" w:rsidRPr="00051207" w:rsidP="00051207">
            <w:pPr>
              <w:jc w:val="both"/>
              <w:rPr>
                <w:sz w:val="20"/>
              </w:rPr>
            </w:pPr>
            <w:r w:rsidR="00A51A4F">
              <w:rPr>
                <w:sz w:val="20"/>
              </w:rPr>
              <w:t xml:space="preserve">Bod </w:t>
            </w:r>
            <w:r w:rsidRPr="00051207">
              <w:rPr>
                <w:sz w:val="20"/>
              </w:rPr>
              <w:t>1. Použiť sa môže akákoľvek iná metóda, o ktorej sa dá preukázať, že výsledky sú rovnocenné s ktoroukoľvek z metód uvedených v písmene A, alebo pri suspendovaných časticiach ktorákoľvek iná alternatívna metóda, o ktorej sa dá preukázať, že v porovnaní s referenčnou metódou poskytuje konzistentné výsledky. Ak sa použije iná metóda alebo alternatívna metóda, takto dosiahnuté výsledky sa upravia tak, aby získané výsledky boli rovnocenné s tými, ktoré by sa dosiahli použitím referenčnej metódy.</w:t>
            </w:r>
          </w:p>
          <w:p w:rsidR="00E20C4A" w:rsidP="00051207">
            <w:pPr>
              <w:keepNext/>
              <w:keepLines/>
              <w:autoSpaceDE w:val="0"/>
              <w:autoSpaceDN w:val="0"/>
              <w:adjustRightInd w:val="0"/>
              <w:spacing w:after="120"/>
              <w:jc w:val="both"/>
              <w:rPr>
                <w:b/>
              </w:rPr>
            </w:pPr>
          </w:p>
        </w:tc>
        <w:tc>
          <w:tcPr>
            <w:tcW w:w="708" w:type="dxa"/>
          </w:tcPr>
          <w:p w:rsidR="00E20C4A" w:rsidRPr="00603499" w:rsidP="00E20C4A">
            <w:pPr>
              <w:jc w:val="both"/>
              <w:rPr>
                <w:sz w:val="20"/>
              </w:rPr>
            </w:pPr>
            <w:r w:rsidRPr="00603499" w:rsidR="0060349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Č9</w:t>
            </w:r>
          </w:p>
          <w:p w:rsidR="00E20C4A" w:rsidP="00E20C4A">
            <w:pPr>
              <w:jc w:val="both"/>
              <w:rPr>
                <w:sz w:val="20"/>
              </w:rPr>
            </w:pPr>
            <w:r>
              <w:rPr>
                <w:sz w:val="20"/>
              </w:rPr>
              <w:t>O1</w:t>
            </w:r>
          </w:p>
        </w:tc>
        <w:tc>
          <w:tcPr>
            <w:tcW w:w="4074" w:type="dxa"/>
            <w:tcBorders>
              <w:bottom w:val="single" w:sz="4" w:space="0" w:color="auto"/>
            </w:tcBorders>
          </w:tcPr>
          <w:p w:rsidR="00E20C4A" w:rsidRPr="00607D28" w:rsidP="00E20C4A">
            <w:pPr>
              <w:jc w:val="both"/>
              <w:rPr>
                <w:sz w:val="20"/>
              </w:rPr>
            </w:pPr>
            <w:r w:rsidRPr="00607D28">
              <w:rPr>
                <w:sz w:val="20"/>
              </w:rPr>
              <w:t>Kritériá hodnotenia</w:t>
            </w:r>
          </w:p>
          <w:p w:rsidR="00E20C4A" w:rsidP="00E20C4A">
            <w:pPr>
              <w:jc w:val="both"/>
              <w:rPr>
                <w:sz w:val="20"/>
              </w:rPr>
            </w:pPr>
            <w:r w:rsidRPr="00607D28">
              <w:rPr>
                <w:sz w:val="20"/>
              </w:rPr>
              <w:t>1. Stále merania sa uskutočňujú v zónach a aglomeráciách, v</w:t>
            </w:r>
            <w:r>
              <w:rPr>
                <w:sz w:val="20"/>
              </w:rPr>
              <w:t> </w:t>
            </w:r>
            <w:r w:rsidRPr="00607D28">
              <w:rPr>
                <w:sz w:val="20"/>
              </w:rPr>
              <w:t>ktorých</w:t>
            </w:r>
            <w:r>
              <w:rPr>
                <w:sz w:val="20"/>
              </w:rPr>
              <w:t xml:space="preserve"> </w:t>
            </w:r>
            <w:r w:rsidRPr="00607D28">
              <w:rPr>
                <w:sz w:val="20"/>
              </w:rPr>
              <w:t>počas ktoréhokoľvek z predchádzajúcich piatich rokov merania prekročili koncentrácie ozónu dlhodobé ciele určené v oddiele C prílohy VII.</w:t>
            </w:r>
          </w:p>
          <w:p w:rsidR="00E20C4A" w:rsidRPr="004E5A7A" w:rsidP="00E20C4A">
            <w:pPr>
              <w:jc w:val="both"/>
              <w:rPr>
                <w:sz w:val="20"/>
              </w:rPr>
            </w:pPr>
          </w:p>
        </w:tc>
        <w:tc>
          <w:tcPr>
            <w:tcW w:w="747" w:type="dxa"/>
          </w:tcPr>
          <w:p w:rsidR="00E20C4A" w:rsidRPr="00D86B9D" w:rsidP="00E20C4A">
            <w:pPr>
              <w:ind w:right="-249"/>
              <w:rPr>
                <w:sz w:val="20"/>
              </w:rPr>
            </w:pPr>
            <w:r w:rsidR="00EF329D">
              <w:rPr>
                <w:sz w:val="20"/>
              </w:rPr>
              <w:t>N</w:t>
            </w:r>
          </w:p>
        </w:tc>
        <w:tc>
          <w:tcPr>
            <w:tcW w:w="574" w:type="dxa"/>
          </w:tcPr>
          <w:p w:rsidR="00E20C4A" w:rsidRPr="00EF329D" w:rsidP="00E20C4A">
            <w:pPr>
              <w:jc w:val="both"/>
              <w:rPr>
                <w:sz w:val="20"/>
              </w:rPr>
            </w:pPr>
            <w:r w:rsidRPr="00EF329D" w:rsidR="00EF329D">
              <w:rPr>
                <w:sz w:val="20"/>
              </w:rPr>
              <w:t>NZ</w:t>
            </w:r>
          </w:p>
        </w:tc>
        <w:tc>
          <w:tcPr>
            <w:tcW w:w="701" w:type="dxa"/>
          </w:tcPr>
          <w:p w:rsidR="0064294B" w:rsidP="00EF329D">
            <w:pPr>
              <w:pStyle w:val="Paragrafyzkona"/>
              <w:spacing w:before="0" w:line="240" w:lineRule="auto"/>
              <w:jc w:val="left"/>
              <w:rPr>
                <w:b w:val="0"/>
                <w:sz w:val="20"/>
                <w:szCs w:val="20"/>
                <w:lang w:eastAsia="en-US"/>
              </w:rPr>
            </w:pPr>
            <w:r w:rsidR="005C4283">
              <w:rPr>
                <w:b w:val="0"/>
                <w:sz w:val="20"/>
                <w:szCs w:val="20"/>
                <w:lang w:eastAsia="en-US"/>
              </w:rPr>
              <w:t>§ 4</w:t>
            </w:r>
          </w:p>
          <w:p w:rsidR="005C4283" w:rsidRPr="00743DBC" w:rsidP="00EF329D">
            <w:pPr>
              <w:pStyle w:val="Paragrafyzkona"/>
              <w:spacing w:before="0" w:line="240" w:lineRule="auto"/>
              <w:jc w:val="left"/>
              <w:rPr>
                <w:b w:val="0"/>
                <w:sz w:val="20"/>
                <w:szCs w:val="20"/>
                <w:lang w:eastAsia="en-US"/>
              </w:rPr>
            </w:pPr>
            <w:r w:rsidR="00D35B1B">
              <w:rPr>
                <w:b w:val="0"/>
                <w:sz w:val="20"/>
                <w:szCs w:val="20"/>
                <w:lang w:eastAsia="en-US"/>
              </w:rPr>
              <w:t>O7</w:t>
            </w:r>
          </w:p>
          <w:p w:rsidR="00EF329D" w:rsidP="00EF329D">
            <w:pPr>
              <w:pStyle w:val="Paragrafyzkona"/>
              <w:spacing w:before="0" w:line="240" w:lineRule="auto"/>
              <w:jc w:val="left"/>
              <w:rPr>
                <w:b w:val="0"/>
                <w:sz w:val="20"/>
                <w:szCs w:val="20"/>
                <w:lang w:eastAsia="en-US"/>
              </w:rPr>
            </w:pPr>
            <w:r w:rsidR="0064294B">
              <w:rPr>
                <w:b w:val="0"/>
                <w:sz w:val="20"/>
                <w:szCs w:val="20"/>
                <w:lang w:eastAsia="en-US"/>
              </w:rPr>
              <w:t>Pa</w:t>
            </w:r>
          </w:p>
          <w:p w:rsidR="0064294B" w:rsidP="00EF329D">
            <w:pPr>
              <w:pStyle w:val="Paragrafyzkona"/>
              <w:spacing w:before="0" w:line="240" w:lineRule="auto"/>
              <w:jc w:val="left"/>
              <w:rPr>
                <w:b w:val="0"/>
                <w:sz w:val="20"/>
                <w:szCs w:val="20"/>
                <w:lang w:eastAsia="en-US"/>
              </w:rPr>
            </w:pPr>
          </w:p>
          <w:p w:rsidR="0064294B" w:rsidP="00EF329D">
            <w:pPr>
              <w:pStyle w:val="Paragrafyzkona"/>
              <w:spacing w:before="0" w:line="240" w:lineRule="auto"/>
              <w:jc w:val="left"/>
              <w:rPr>
                <w:b w:val="0"/>
                <w:sz w:val="20"/>
                <w:szCs w:val="20"/>
                <w:lang w:eastAsia="en-US"/>
              </w:rPr>
            </w:pPr>
          </w:p>
          <w:p w:rsidR="0064294B" w:rsidP="00EF329D">
            <w:pPr>
              <w:pStyle w:val="Paragrafyzkona"/>
              <w:spacing w:before="0" w:line="240" w:lineRule="auto"/>
              <w:jc w:val="left"/>
              <w:rPr>
                <w:b w:val="0"/>
                <w:sz w:val="20"/>
                <w:szCs w:val="20"/>
                <w:lang w:eastAsia="en-US"/>
              </w:rPr>
            </w:pPr>
          </w:p>
          <w:p w:rsidR="0064294B" w:rsidP="00EF329D">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64294B" w:rsidRPr="0064294B" w:rsidP="0064294B">
            <w:pPr>
              <w:pStyle w:val="ListParagraph"/>
              <w:ind w:left="0"/>
              <w:jc w:val="both"/>
              <w:rPr>
                <w:sz w:val="20"/>
                <w:szCs w:val="20"/>
                <w:lang w:eastAsia="en-US"/>
              </w:rPr>
            </w:pPr>
            <w:r w:rsidR="00D35B1B">
              <w:rPr>
                <w:sz w:val="20"/>
                <w:szCs w:val="20"/>
                <w:lang w:eastAsia="en-US"/>
              </w:rPr>
              <w:t>(7</w:t>
            </w:r>
            <w:r w:rsidR="005C4283">
              <w:rPr>
                <w:sz w:val="20"/>
                <w:szCs w:val="20"/>
                <w:lang w:eastAsia="en-US"/>
              </w:rPr>
              <w:t xml:space="preserve">) </w:t>
            </w:r>
            <w:r w:rsidRPr="0064294B">
              <w:rPr>
                <w:sz w:val="20"/>
                <w:szCs w:val="20"/>
                <w:lang w:eastAsia="en-US"/>
              </w:rPr>
              <w:t xml:space="preserve">Hodnotenie kvality ovzdušia sa vykonáva </w:t>
            </w:r>
          </w:p>
          <w:p w:rsidR="00EF329D" w:rsidP="0064294B">
            <w:pPr>
              <w:pStyle w:val="ListParagraph"/>
              <w:spacing w:line="240" w:lineRule="auto"/>
              <w:ind w:left="0"/>
              <w:contextualSpacing w:val="0"/>
              <w:jc w:val="both"/>
              <w:rPr>
                <w:sz w:val="20"/>
                <w:szCs w:val="20"/>
                <w:lang w:eastAsia="en-US"/>
              </w:rPr>
            </w:pPr>
            <w:r w:rsidR="0064294B">
              <w:rPr>
                <w:sz w:val="20"/>
                <w:szCs w:val="20"/>
                <w:lang w:eastAsia="en-US"/>
              </w:rPr>
              <w:t>a)</w:t>
            </w:r>
            <w:r w:rsidRPr="0064294B" w:rsidR="0064294B">
              <w:rPr>
                <w:sz w:val="20"/>
                <w:szCs w:val="20"/>
                <w:lang w:eastAsia="en-US"/>
              </w:rPr>
              <w:t xml:space="preserve">stálym meraním v súlade s § 5 ods. 3 v zónach a aglomeráciách, v ktorých je úroveň znečistenia ovzdušia </w:t>
            </w:r>
            <w:r w:rsidRPr="00EF329D">
              <w:rPr>
                <w:sz w:val="20"/>
                <w:szCs w:val="20"/>
                <w:lang w:eastAsia="en-US"/>
              </w:rPr>
              <w:t xml:space="preserve"> </w:t>
            </w:r>
          </w:p>
          <w:p w:rsidR="0064294B" w:rsidRPr="00EF329D" w:rsidP="0064294B">
            <w:pPr>
              <w:pStyle w:val="ListParagraph"/>
              <w:spacing w:line="240" w:lineRule="auto"/>
              <w:ind w:left="0"/>
              <w:contextualSpacing w:val="0"/>
              <w:jc w:val="both"/>
              <w:rPr>
                <w:sz w:val="20"/>
                <w:szCs w:val="20"/>
                <w:lang w:eastAsia="en-US"/>
              </w:rPr>
            </w:pPr>
            <w:r w:rsidR="00A51A4F">
              <w:rPr>
                <w:sz w:val="20"/>
                <w:szCs w:val="20"/>
                <w:lang w:eastAsia="en-US"/>
              </w:rPr>
              <w:t xml:space="preserve">Bod </w:t>
            </w:r>
            <w:r>
              <w:rPr>
                <w:sz w:val="20"/>
                <w:szCs w:val="20"/>
                <w:lang w:eastAsia="en-US"/>
              </w:rPr>
              <w:t xml:space="preserve">3. </w:t>
            </w:r>
            <w:r w:rsidRPr="0064294B">
              <w:rPr>
                <w:sz w:val="20"/>
                <w:szCs w:val="20"/>
                <w:lang w:eastAsia="en-US"/>
              </w:rPr>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w:t>
            </w:r>
            <w:r w:rsidR="00A51A4F">
              <w:rPr>
                <w:sz w:val="20"/>
                <w:szCs w:val="20"/>
                <w:lang w:eastAsia="en-US"/>
              </w:rPr>
              <w:t>ých inventúr a modelovania.</w:t>
            </w:r>
          </w:p>
          <w:p w:rsidR="00E20C4A" w:rsidP="00E20C4A">
            <w:pPr>
              <w:pStyle w:val="Normlny"/>
              <w:jc w:val="center"/>
              <w:rPr>
                <w:b/>
              </w:rPr>
            </w:pPr>
          </w:p>
        </w:tc>
        <w:tc>
          <w:tcPr>
            <w:tcW w:w="708" w:type="dxa"/>
          </w:tcPr>
          <w:p w:rsidR="00E20C4A" w:rsidRPr="00EF329D" w:rsidP="00E20C4A">
            <w:pPr>
              <w:jc w:val="both"/>
              <w:rPr>
                <w:sz w:val="20"/>
              </w:rPr>
            </w:pPr>
            <w:r w:rsidRPr="00EF329D" w:rsidR="00EF329D">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Č9</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607D28">
              <w:rPr>
                <w:sz w:val="20"/>
              </w:rPr>
              <w:t>V prípade, že je k dispozícii menej údajov ako za päť rokov, môžu</w:t>
            </w:r>
            <w:r>
              <w:rPr>
                <w:sz w:val="20"/>
              </w:rPr>
              <w:t xml:space="preserve"> </w:t>
            </w:r>
            <w:r w:rsidRPr="00607D28">
              <w:rPr>
                <w:sz w:val="20"/>
              </w:rPr>
              <w:t>členské štáty na účely určenia, či došlo počas týchto piatich rokov</w:t>
            </w:r>
            <w:r>
              <w:rPr>
                <w:sz w:val="20"/>
              </w:rPr>
              <w:t xml:space="preserve"> </w:t>
            </w:r>
            <w:r w:rsidRPr="00607D28">
              <w:rPr>
                <w:sz w:val="20"/>
              </w:rPr>
              <w:t>k prekročeniu dlhodobých cieľov uvedených v odseku 1, kombinovať</w:t>
            </w:r>
            <w:r>
              <w:rPr>
                <w:sz w:val="20"/>
              </w:rPr>
              <w:t xml:space="preserve"> </w:t>
            </w:r>
            <w:r w:rsidRPr="00607D28">
              <w:rPr>
                <w:sz w:val="20"/>
              </w:rPr>
              <w:t>výsledky z meracích kampaní krátkodobého trvania uskutočnených</w:t>
            </w:r>
            <w:r>
              <w:rPr>
                <w:sz w:val="20"/>
              </w:rPr>
              <w:t xml:space="preserve"> </w:t>
            </w:r>
            <w:r w:rsidRPr="00607D28">
              <w:rPr>
                <w:sz w:val="20"/>
              </w:rPr>
              <w:t>v čase a mieste najvyššej pravdepodobnej úrovne s v</w:t>
            </w:r>
            <w:r w:rsidRPr="00607D28">
              <w:rPr>
                <w:sz w:val="20"/>
              </w:rPr>
              <w:t>ýsledkami z emisných inventúr a modelovania.</w:t>
            </w:r>
          </w:p>
          <w:p w:rsidR="00E20C4A" w:rsidRPr="004E5A7A" w:rsidP="00E20C4A">
            <w:pPr>
              <w:jc w:val="both"/>
              <w:rPr>
                <w:sz w:val="20"/>
              </w:rPr>
            </w:pPr>
          </w:p>
        </w:tc>
        <w:tc>
          <w:tcPr>
            <w:tcW w:w="747" w:type="dxa"/>
          </w:tcPr>
          <w:p w:rsidR="00E20C4A" w:rsidRPr="00D86B9D" w:rsidP="00E20C4A">
            <w:pPr>
              <w:ind w:right="-249"/>
              <w:rPr>
                <w:sz w:val="20"/>
              </w:rPr>
            </w:pPr>
            <w:r w:rsidR="00923AE8">
              <w:rPr>
                <w:sz w:val="20"/>
              </w:rPr>
              <w:t>N</w:t>
            </w:r>
          </w:p>
        </w:tc>
        <w:tc>
          <w:tcPr>
            <w:tcW w:w="574" w:type="dxa"/>
          </w:tcPr>
          <w:p w:rsidR="00E20C4A" w:rsidRPr="007C2C2E" w:rsidP="00E20C4A">
            <w:pPr>
              <w:jc w:val="both"/>
              <w:rPr>
                <w:sz w:val="20"/>
              </w:rPr>
            </w:pPr>
            <w:r w:rsidRPr="007C2C2E" w:rsidR="00923AE8">
              <w:rPr>
                <w:sz w:val="20"/>
              </w:rPr>
              <w:t>NZ</w:t>
            </w:r>
          </w:p>
        </w:tc>
        <w:tc>
          <w:tcPr>
            <w:tcW w:w="701" w:type="dxa"/>
          </w:tcPr>
          <w:p w:rsidR="00923AE8" w:rsidP="00923AE8">
            <w:pPr>
              <w:pStyle w:val="Paragrafyzkona"/>
              <w:spacing w:before="0" w:line="240" w:lineRule="auto"/>
              <w:jc w:val="left"/>
              <w:rPr>
                <w:b w:val="0"/>
                <w:sz w:val="20"/>
                <w:szCs w:val="20"/>
                <w:lang w:eastAsia="en-US"/>
              </w:rPr>
            </w:pPr>
            <w:r w:rsidR="005C4283">
              <w:rPr>
                <w:b w:val="0"/>
                <w:sz w:val="20"/>
                <w:szCs w:val="20"/>
                <w:lang w:eastAsia="en-US"/>
              </w:rPr>
              <w:t>§ 4</w:t>
            </w:r>
          </w:p>
          <w:p w:rsidR="005C4283" w:rsidRPr="00743DBC" w:rsidP="00923AE8">
            <w:pPr>
              <w:pStyle w:val="Paragrafyzkona"/>
              <w:spacing w:before="0" w:line="240" w:lineRule="auto"/>
              <w:jc w:val="left"/>
              <w:rPr>
                <w:b w:val="0"/>
                <w:sz w:val="20"/>
                <w:szCs w:val="20"/>
                <w:lang w:eastAsia="en-US"/>
              </w:rPr>
            </w:pPr>
            <w:r w:rsidR="00CA55CF">
              <w:rPr>
                <w:b w:val="0"/>
                <w:sz w:val="20"/>
                <w:szCs w:val="20"/>
                <w:lang w:eastAsia="en-US"/>
              </w:rPr>
              <w:t>O7</w:t>
            </w:r>
          </w:p>
          <w:p w:rsidR="00923AE8" w:rsidP="00923AE8">
            <w:pPr>
              <w:pStyle w:val="Paragrafyzkona"/>
              <w:spacing w:before="0" w:line="240" w:lineRule="auto"/>
              <w:jc w:val="left"/>
              <w:rPr>
                <w:b w:val="0"/>
                <w:sz w:val="20"/>
                <w:szCs w:val="20"/>
                <w:lang w:eastAsia="en-US"/>
              </w:rPr>
            </w:pPr>
            <w:r>
              <w:rPr>
                <w:b w:val="0"/>
                <w:sz w:val="20"/>
                <w:szCs w:val="20"/>
                <w:lang w:eastAsia="en-US"/>
              </w:rPr>
              <w:t>Pa</w:t>
            </w:r>
          </w:p>
          <w:p w:rsidR="00CA55CF" w:rsidP="00923AE8">
            <w:pPr>
              <w:pStyle w:val="Paragrafyzkona"/>
              <w:spacing w:before="0" w:line="240" w:lineRule="auto"/>
              <w:jc w:val="left"/>
              <w:rPr>
                <w:b w:val="0"/>
                <w:sz w:val="20"/>
                <w:szCs w:val="20"/>
                <w:lang w:eastAsia="en-US"/>
              </w:rPr>
            </w:pPr>
          </w:p>
          <w:p w:rsidR="00923AE8" w:rsidP="00923AE8">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CA55CF" w:rsidRPr="00CA55CF" w:rsidP="00CA55CF">
            <w:pPr>
              <w:pStyle w:val="ListParagraph"/>
              <w:spacing w:line="240" w:lineRule="auto"/>
              <w:ind w:left="0"/>
              <w:contextualSpacing w:val="0"/>
              <w:jc w:val="both"/>
              <w:rPr>
                <w:sz w:val="20"/>
                <w:szCs w:val="20"/>
                <w:lang w:eastAsia="en-US"/>
              </w:rPr>
            </w:pPr>
            <w:r>
              <w:rPr>
                <w:sz w:val="20"/>
              </w:rPr>
              <w:t>(7</w:t>
            </w:r>
            <w:r w:rsidRPr="0028677B" w:rsidR="0028677B">
              <w:rPr>
                <w:sz w:val="20"/>
              </w:rPr>
              <w:t>)</w:t>
            </w:r>
            <w:r w:rsidRPr="00CA55CF" w:rsidR="0028677B">
              <w:rPr>
                <w:sz w:val="20"/>
                <w:szCs w:val="20"/>
                <w:lang w:eastAsia="en-US"/>
              </w:rPr>
              <w:tab/>
            </w:r>
            <w:r w:rsidRPr="00CA55CF">
              <w:rPr>
                <w:sz w:val="20"/>
                <w:szCs w:val="20"/>
                <w:lang w:eastAsia="en-US"/>
              </w:rPr>
              <w:t xml:space="preserve">Hodnotenie kvality ovzdušia sa vykonáva </w:t>
            </w:r>
          </w:p>
          <w:p w:rsidR="00CA55CF" w:rsidRPr="00CA55CF" w:rsidP="00CA55CF">
            <w:pPr>
              <w:numPr>
                <w:ilvl w:val="1"/>
                <w:numId w:val="36"/>
              </w:numPr>
              <w:spacing w:after="60"/>
              <w:ind w:left="284" w:hanging="284"/>
              <w:jc w:val="both"/>
              <w:rPr>
                <w:sz w:val="20"/>
              </w:rPr>
            </w:pPr>
            <w:r w:rsidRPr="00CA55CF">
              <w:rPr>
                <w:sz w:val="20"/>
              </w:rPr>
              <w:t xml:space="preserve">stálym meraním v súlade s § 5 ods. 5 v zónach a aglomeráciách, v ktorých je úroveň znečistenia ovzdušia </w:t>
            </w:r>
          </w:p>
          <w:p w:rsidR="00CA55CF" w:rsidRPr="00CA55CF" w:rsidP="00CA55CF">
            <w:pPr>
              <w:spacing w:after="120"/>
              <w:jc w:val="both"/>
              <w:rPr>
                <w:sz w:val="20"/>
              </w:rPr>
            </w:pPr>
            <w:r w:rsidR="00A51A4F">
              <w:rPr>
                <w:sz w:val="20"/>
              </w:rPr>
              <w:t xml:space="preserve">Bod </w:t>
            </w:r>
            <w:r w:rsidRPr="00CA55CF">
              <w:rPr>
                <w:sz w:val="20"/>
              </w:rPr>
              <w:t xml:space="preserve">3. 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w:t>
            </w:r>
            <w:r w:rsidR="00A51A4F">
              <w:rPr>
                <w:sz w:val="20"/>
              </w:rPr>
              <w:t>emisných inventúr a modelovania.</w:t>
            </w:r>
          </w:p>
          <w:p w:rsidR="00923AE8" w:rsidRPr="00CA55CF" w:rsidP="00CA55CF">
            <w:pPr>
              <w:spacing w:after="60"/>
              <w:jc w:val="both"/>
              <w:rPr>
                <w:b/>
                <w:sz w:val="20"/>
              </w:rPr>
            </w:pPr>
          </w:p>
          <w:p w:rsidR="00923AE8" w:rsidRPr="00B830BD" w:rsidP="00923AE8">
            <w:pPr>
              <w:spacing w:after="60"/>
              <w:ind w:left="284"/>
              <w:jc w:val="both"/>
            </w:pPr>
          </w:p>
          <w:p w:rsidR="00E20C4A" w:rsidP="00E20C4A">
            <w:pPr>
              <w:pStyle w:val="Normlny"/>
              <w:jc w:val="center"/>
              <w:rPr>
                <w:b/>
              </w:rPr>
            </w:pPr>
          </w:p>
        </w:tc>
        <w:tc>
          <w:tcPr>
            <w:tcW w:w="708" w:type="dxa"/>
          </w:tcPr>
          <w:p w:rsidR="00E20C4A" w:rsidRPr="007C2C2E" w:rsidP="00E20C4A">
            <w:pPr>
              <w:jc w:val="both"/>
              <w:rPr>
                <w:sz w:val="20"/>
              </w:rPr>
            </w:pPr>
            <w:r w:rsidRPr="007C2C2E" w:rsidR="007C2C2E">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Č10</w:t>
            </w:r>
          </w:p>
          <w:p w:rsidR="00E20C4A" w:rsidP="00E20C4A">
            <w:pPr>
              <w:jc w:val="both"/>
              <w:rPr>
                <w:sz w:val="20"/>
              </w:rPr>
            </w:pPr>
            <w:r>
              <w:rPr>
                <w:sz w:val="20"/>
              </w:rPr>
              <w:t>O1</w:t>
            </w:r>
          </w:p>
        </w:tc>
        <w:tc>
          <w:tcPr>
            <w:tcW w:w="4074" w:type="dxa"/>
            <w:tcBorders>
              <w:bottom w:val="single" w:sz="4" w:space="0" w:color="auto"/>
            </w:tcBorders>
          </w:tcPr>
          <w:p w:rsidR="00E20C4A" w:rsidRPr="00607D28" w:rsidP="00E20C4A">
            <w:pPr>
              <w:jc w:val="both"/>
              <w:rPr>
                <w:sz w:val="20"/>
              </w:rPr>
            </w:pPr>
            <w:r w:rsidRPr="00607D28">
              <w:rPr>
                <w:sz w:val="20"/>
              </w:rPr>
              <w:t>Vzorkovacie miesta</w:t>
            </w:r>
          </w:p>
          <w:p w:rsidR="00E20C4A" w:rsidP="00E20C4A">
            <w:pPr>
              <w:jc w:val="both"/>
              <w:rPr>
                <w:sz w:val="20"/>
              </w:rPr>
            </w:pPr>
            <w:r w:rsidRPr="00607D28">
              <w:rPr>
                <w:sz w:val="20"/>
              </w:rPr>
              <w:t>1. Umiestnenie vzorkovacích miest na meranie ozónu sa určí</w:t>
            </w:r>
            <w:r>
              <w:rPr>
                <w:sz w:val="20"/>
              </w:rPr>
              <w:t xml:space="preserve"> </w:t>
            </w:r>
            <w:r w:rsidRPr="00607D28">
              <w:rPr>
                <w:sz w:val="20"/>
              </w:rPr>
              <w:t>s použitím kritérií stanovených v prílohe VIII.</w:t>
            </w:r>
          </w:p>
          <w:p w:rsidR="00E20C4A" w:rsidRPr="00607D28" w:rsidP="00E20C4A">
            <w:pPr>
              <w:jc w:val="both"/>
              <w:rPr>
                <w:sz w:val="20"/>
              </w:rPr>
            </w:pPr>
          </w:p>
        </w:tc>
        <w:tc>
          <w:tcPr>
            <w:tcW w:w="747" w:type="dxa"/>
          </w:tcPr>
          <w:p w:rsidR="00E20C4A" w:rsidRPr="00D86B9D" w:rsidP="00E20C4A">
            <w:pPr>
              <w:ind w:right="-249"/>
              <w:rPr>
                <w:sz w:val="20"/>
              </w:rPr>
            </w:pPr>
            <w:r w:rsidR="00075822">
              <w:rPr>
                <w:sz w:val="20"/>
              </w:rPr>
              <w:t>N</w:t>
            </w:r>
          </w:p>
        </w:tc>
        <w:tc>
          <w:tcPr>
            <w:tcW w:w="574" w:type="dxa"/>
          </w:tcPr>
          <w:p w:rsidR="00E20C4A" w:rsidRPr="00075822" w:rsidP="00E20C4A">
            <w:pPr>
              <w:jc w:val="both"/>
              <w:rPr>
                <w:sz w:val="20"/>
              </w:rPr>
            </w:pPr>
            <w:r w:rsidRPr="00075822" w:rsidR="00075822">
              <w:rPr>
                <w:sz w:val="20"/>
              </w:rPr>
              <w:t>NZ</w:t>
            </w:r>
          </w:p>
        </w:tc>
        <w:tc>
          <w:tcPr>
            <w:tcW w:w="701" w:type="dxa"/>
          </w:tcPr>
          <w:p w:rsidR="00075822" w:rsidRPr="00743DBC" w:rsidP="00075822">
            <w:pPr>
              <w:pStyle w:val="Paragrafyzkona"/>
              <w:spacing w:before="0" w:line="240" w:lineRule="auto"/>
              <w:jc w:val="left"/>
              <w:rPr>
                <w:b w:val="0"/>
                <w:sz w:val="20"/>
                <w:szCs w:val="20"/>
                <w:lang w:eastAsia="en-US"/>
              </w:rPr>
            </w:pPr>
            <w:r>
              <w:rPr>
                <w:b w:val="0"/>
                <w:sz w:val="20"/>
                <w:szCs w:val="20"/>
                <w:lang w:eastAsia="en-US"/>
              </w:rPr>
              <w:t>§ 5</w:t>
            </w:r>
          </w:p>
          <w:p w:rsidR="00075822" w:rsidP="00075822">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4</w:t>
            </w:r>
          </w:p>
          <w:p w:rsidR="00E20C4A" w:rsidRPr="008658BB" w:rsidP="00E20C4A">
            <w:pPr>
              <w:jc w:val="both"/>
              <w:rPr>
                <w:b/>
                <w:sz w:val="20"/>
              </w:rPr>
            </w:pPr>
          </w:p>
        </w:tc>
        <w:tc>
          <w:tcPr>
            <w:tcW w:w="7797" w:type="dxa"/>
          </w:tcPr>
          <w:p w:rsidR="00075822" w:rsidRPr="00075822" w:rsidP="00075822">
            <w:pPr>
              <w:pStyle w:val="ListParagraph"/>
              <w:spacing w:after="360" w:line="240" w:lineRule="auto"/>
              <w:ind w:left="0"/>
              <w:contextualSpacing w:val="0"/>
              <w:jc w:val="both"/>
              <w:rPr>
                <w:sz w:val="20"/>
                <w:szCs w:val="20"/>
                <w:lang w:eastAsia="en-US"/>
              </w:rPr>
            </w:pPr>
            <w:r w:rsidR="005C4283">
              <w:rPr>
                <w:sz w:val="20"/>
                <w:szCs w:val="20"/>
                <w:lang w:eastAsia="en-US"/>
              </w:rPr>
              <w:t>(4)</w:t>
            </w:r>
            <w:r w:rsidR="00580AD2">
              <w:rPr>
                <w:sz w:val="20"/>
                <w:szCs w:val="20"/>
                <w:lang w:eastAsia="en-US"/>
              </w:rPr>
              <w:t xml:space="preserve"> </w:t>
            </w:r>
            <w:r w:rsidRPr="00075822">
              <w:rPr>
                <w:sz w:val="20"/>
                <w:szCs w:val="20"/>
                <w:lang w:eastAsia="en-US"/>
              </w:rPr>
              <w:t xml:space="preserve">Požiadavky na umiestnenie vzorkovacích miest sú ustanovené vykonávacím predpisom podľa § 62 písm. b). </w:t>
            </w:r>
          </w:p>
          <w:p w:rsidR="00E20C4A" w:rsidP="00E20C4A">
            <w:pPr>
              <w:pStyle w:val="Normlny"/>
              <w:jc w:val="center"/>
              <w:rPr>
                <w:b/>
              </w:rPr>
            </w:pPr>
          </w:p>
        </w:tc>
        <w:tc>
          <w:tcPr>
            <w:tcW w:w="708" w:type="dxa"/>
          </w:tcPr>
          <w:p w:rsidR="00E20C4A" w:rsidRPr="00075822" w:rsidP="00E20C4A">
            <w:pPr>
              <w:jc w:val="both"/>
              <w:rPr>
                <w:sz w:val="20"/>
              </w:rPr>
            </w:pPr>
            <w:r w:rsidRPr="00075822" w:rsidR="00075822">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Č10</w:t>
            </w:r>
          </w:p>
          <w:p w:rsidR="00E20C4A" w:rsidP="00E20C4A">
            <w:pPr>
              <w:jc w:val="both"/>
              <w:rPr>
                <w:sz w:val="20"/>
              </w:rPr>
            </w:pPr>
            <w:r>
              <w:rPr>
                <w:sz w:val="20"/>
              </w:rPr>
              <w:t>O2</w:t>
            </w:r>
          </w:p>
        </w:tc>
        <w:tc>
          <w:tcPr>
            <w:tcW w:w="4074" w:type="dxa"/>
            <w:tcBorders>
              <w:bottom w:val="single" w:sz="4" w:space="0" w:color="auto"/>
            </w:tcBorders>
          </w:tcPr>
          <w:p w:rsidR="00E20C4A" w:rsidRPr="00607D28" w:rsidP="00E20C4A">
            <w:pPr>
              <w:jc w:val="both"/>
              <w:rPr>
                <w:sz w:val="20"/>
              </w:rPr>
            </w:pPr>
            <w:r>
              <w:rPr>
                <w:sz w:val="20"/>
              </w:rPr>
              <w:t xml:space="preserve">2. </w:t>
            </w:r>
            <w:r w:rsidRPr="00607D28">
              <w:rPr>
                <w:sz w:val="20"/>
              </w:rPr>
              <w:t>V žiadnej zóne ani aglomerácii, v ktorej je jediným zdrojom</w:t>
            </w:r>
            <w:r>
              <w:rPr>
                <w:sz w:val="20"/>
              </w:rPr>
              <w:t xml:space="preserve"> </w:t>
            </w:r>
            <w:r w:rsidRPr="00607D28">
              <w:rPr>
                <w:sz w:val="20"/>
              </w:rPr>
              <w:t>informácií na hodnotenie kvality ovzdušia meranie, nesmie byť počet</w:t>
            </w:r>
          </w:p>
          <w:p w:rsidR="00E20C4A" w:rsidP="00E20C4A">
            <w:pPr>
              <w:jc w:val="both"/>
              <w:rPr>
                <w:sz w:val="20"/>
              </w:rPr>
            </w:pPr>
            <w:r w:rsidRPr="00607D28">
              <w:rPr>
                <w:sz w:val="20"/>
              </w:rPr>
              <w:t>vzorkovacích miest na stále merania ozónu nižší ako minimálny počet</w:t>
            </w:r>
            <w:r>
              <w:rPr>
                <w:sz w:val="20"/>
              </w:rPr>
              <w:t xml:space="preserve"> </w:t>
            </w:r>
            <w:r w:rsidRPr="00607D28">
              <w:rPr>
                <w:sz w:val="20"/>
              </w:rPr>
              <w:t>vzorkovacích miest určený v oddiele A prílohy IX.</w:t>
            </w:r>
          </w:p>
          <w:p w:rsidR="00E20C4A" w:rsidRPr="00607D28" w:rsidP="00E20C4A">
            <w:pPr>
              <w:jc w:val="both"/>
              <w:rPr>
                <w:sz w:val="20"/>
              </w:rPr>
            </w:pPr>
          </w:p>
        </w:tc>
        <w:tc>
          <w:tcPr>
            <w:tcW w:w="747" w:type="dxa"/>
          </w:tcPr>
          <w:p w:rsidR="00E20C4A" w:rsidRPr="00D86B9D" w:rsidP="00E20C4A">
            <w:pPr>
              <w:ind w:right="-249"/>
              <w:rPr>
                <w:sz w:val="20"/>
              </w:rPr>
            </w:pPr>
            <w:r w:rsidR="007656E5">
              <w:rPr>
                <w:sz w:val="20"/>
              </w:rPr>
              <w:t>N</w:t>
            </w:r>
          </w:p>
        </w:tc>
        <w:tc>
          <w:tcPr>
            <w:tcW w:w="574" w:type="dxa"/>
          </w:tcPr>
          <w:p w:rsidR="00E20C4A" w:rsidRPr="007C2C2E" w:rsidP="00E20C4A">
            <w:pPr>
              <w:jc w:val="both"/>
              <w:rPr>
                <w:sz w:val="20"/>
              </w:rPr>
            </w:pPr>
            <w:r w:rsidRPr="007C2C2E" w:rsidR="007656E5">
              <w:rPr>
                <w:sz w:val="20"/>
              </w:rPr>
              <w:t>N</w:t>
            </w:r>
            <w:r w:rsidR="00051207">
              <w:rPr>
                <w:sz w:val="20"/>
              </w:rPr>
              <w:t>Z</w:t>
            </w:r>
          </w:p>
        </w:tc>
        <w:tc>
          <w:tcPr>
            <w:tcW w:w="701" w:type="dxa"/>
          </w:tcPr>
          <w:p w:rsidR="005C4283" w:rsidRPr="00743DBC" w:rsidP="005C4283">
            <w:pPr>
              <w:pStyle w:val="Paragrafyzkona"/>
              <w:spacing w:before="0" w:line="240" w:lineRule="auto"/>
              <w:jc w:val="left"/>
              <w:rPr>
                <w:b w:val="0"/>
                <w:sz w:val="20"/>
                <w:szCs w:val="20"/>
                <w:lang w:eastAsia="en-US"/>
              </w:rPr>
            </w:pPr>
            <w:r>
              <w:rPr>
                <w:b w:val="0"/>
                <w:sz w:val="20"/>
                <w:szCs w:val="20"/>
                <w:lang w:eastAsia="en-US"/>
              </w:rPr>
              <w:t>§ 5</w:t>
            </w:r>
          </w:p>
          <w:p w:rsidR="005C4283" w:rsidP="005C4283">
            <w:pPr>
              <w:pStyle w:val="Paragrafyzkona"/>
              <w:spacing w:before="0" w:line="240" w:lineRule="auto"/>
              <w:jc w:val="left"/>
              <w:rPr>
                <w:b w:val="0"/>
                <w:sz w:val="20"/>
                <w:szCs w:val="20"/>
                <w:lang w:eastAsia="en-US"/>
              </w:rPr>
            </w:pPr>
            <w:r w:rsidRPr="00743DBC">
              <w:rPr>
                <w:b w:val="0"/>
                <w:sz w:val="20"/>
                <w:szCs w:val="20"/>
                <w:lang w:eastAsia="en-US"/>
              </w:rPr>
              <w:t>O</w:t>
            </w:r>
            <w:r w:rsidR="00580AD2">
              <w:rPr>
                <w:b w:val="0"/>
                <w:sz w:val="20"/>
                <w:szCs w:val="20"/>
                <w:lang w:eastAsia="en-US"/>
              </w:rPr>
              <w:t>5</w:t>
            </w:r>
          </w:p>
          <w:p w:rsidR="005C4283" w:rsidP="005C4283">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A51A4F" w:rsidP="00580AD2">
            <w:pPr>
              <w:pStyle w:val="ListParagraph"/>
              <w:spacing w:line="240" w:lineRule="auto"/>
              <w:ind w:left="0"/>
              <w:contextualSpacing w:val="0"/>
              <w:jc w:val="both"/>
              <w:rPr>
                <w:sz w:val="20"/>
                <w:szCs w:val="20"/>
                <w:lang w:eastAsia="en-US"/>
              </w:rPr>
            </w:pPr>
            <w:r w:rsidR="00580AD2">
              <w:rPr>
                <w:sz w:val="20"/>
                <w:szCs w:val="20"/>
                <w:lang w:eastAsia="en-US"/>
              </w:rPr>
              <w:t>(5</w:t>
            </w:r>
            <w:r w:rsidR="005C4283">
              <w:rPr>
                <w:sz w:val="20"/>
                <w:szCs w:val="20"/>
                <w:lang w:eastAsia="en-US"/>
              </w:rPr>
              <w:t>)</w:t>
            </w:r>
            <w:r w:rsidR="00580AD2">
              <w:rPr>
                <w:sz w:val="20"/>
                <w:szCs w:val="20"/>
                <w:lang w:eastAsia="en-US"/>
              </w:rPr>
              <w:t xml:space="preserve"> </w:t>
            </w:r>
            <w:r w:rsidRPr="005C4283" w:rsidR="005C4283">
              <w:rPr>
                <w:sz w:val="20"/>
                <w:szCs w:val="20"/>
                <w:lang w:eastAsia="en-US"/>
              </w:rPr>
              <w:t xml:space="preserve">Kritériá na určenie minimálneho počtu vzorkovacích miest na stále merania sú ustanovené vykonávacím predpisom podľa § 62 písm. b). Každú zmenu týkajúcu sa počtu vzorkovacích miest </w:t>
            </w:r>
          </w:p>
          <w:p w:rsidR="00E20C4A" w:rsidRPr="00580AD2" w:rsidP="00580AD2">
            <w:pPr>
              <w:pStyle w:val="ListParagraph"/>
              <w:spacing w:line="240" w:lineRule="auto"/>
              <w:ind w:left="0"/>
              <w:contextualSpacing w:val="0"/>
              <w:jc w:val="both"/>
              <w:rPr>
                <w:sz w:val="20"/>
                <w:szCs w:val="20"/>
                <w:lang w:eastAsia="en-US"/>
              </w:rPr>
            </w:pPr>
            <w:r w:rsidR="00A51A4F">
              <w:rPr>
                <w:sz w:val="20"/>
                <w:szCs w:val="20"/>
                <w:lang w:eastAsia="en-US"/>
              </w:rPr>
              <w:t xml:space="preserve">Bod </w:t>
            </w:r>
            <w:r w:rsidRPr="00580AD2" w:rsidR="00580AD2">
              <w:rPr>
                <w:sz w:val="20"/>
                <w:szCs w:val="20"/>
                <w:lang w:eastAsia="en-US"/>
              </w:rPr>
              <w:t>1.</w:t>
              <w:tab/>
              <w:t>nesmie byť nižší ako ustanovený najnižší počet vzorkovacích miest, ak stále merania sú jediným zdrojom informácií na hodnotenie kvalit</w:t>
            </w:r>
            <w:r w:rsidR="00B8607C">
              <w:rPr>
                <w:sz w:val="20"/>
                <w:szCs w:val="20"/>
                <w:lang w:eastAsia="en-US"/>
              </w:rPr>
              <w:t>y ovzdušia v zóne a aglomerácii.</w:t>
            </w:r>
          </w:p>
          <w:p w:rsidR="00254B0B" w:rsidP="007656E5">
            <w:pPr>
              <w:pStyle w:val="Normlny"/>
              <w:rPr>
                <w:b/>
              </w:rPr>
            </w:pPr>
          </w:p>
          <w:p w:rsidR="00254B0B" w:rsidP="007656E5">
            <w:pPr>
              <w:pStyle w:val="Normlny"/>
              <w:rPr>
                <w:b/>
              </w:rPr>
            </w:pPr>
          </w:p>
        </w:tc>
        <w:tc>
          <w:tcPr>
            <w:tcW w:w="708" w:type="dxa"/>
          </w:tcPr>
          <w:p w:rsidR="00E20C4A" w:rsidRPr="00603499" w:rsidP="00E20C4A">
            <w:pPr>
              <w:jc w:val="both"/>
              <w:rPr>
                <w:sz w:val="20"/>
              </w:rPr>
            </w:pPr>
            <w:r w:rsidRPr="00603499" w:rsidR="0060349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Č10</w:t>
            </w:r>
          </w:p>
          <w:p w:rsidR="00E20C4A" w:rsidP="00E20C4A">
            <w:pPr>
              <w:jc w:val="both"/>
              <w:rPr>
                <w:sz w:val="20"/>
              </w:rPr>
            </w:pPr>
            <w:r>
              <w:rPr>
                <w:sz w:val="20"/>
              </w:rPr>
              <w:t>O3</w:t>
            </w:r>
          </w:p>
        </w:tc>
        <w:tc>
          <w:tcPr>
            <w:tcW w:w="4074" w:type="dxa"/>
            <w:tcBorders>
              <w:bottom w:val="single" w:sz="4" w:space="0" w:color="auto"/>
            </w:tcBorders>
          </w:tcPr>
          <w:p w:rsidR="00E20C4A" w:rsidRPr="00607D28" w:rsidP="00E20C4A">
            <w:pPr>
              <w:jc w:val="both"/>
              <w:rPr>
                <w:sz w:val="20"/>
              </w:rPr>
            </w:pPr>
            <w:r>
              <w:rPr>
                <w:sz w:val="20"/>
              </w:rPr>
              <w:t xml:space="preserve">3. </w:t>
            </w:r>
            <w:r w:rsidRPr="00607D28">
              <w:rPr>
                <w:sz w:val="20"/>
              </w:rPr>
              <w:t>Pre zóny a</w:t>
            </w:r>
            <w:r w:rsidRPr="00607D28">
              <w:rPr>
                <w:sz w:val="20"/>
              </w:rPr>
              <w:t xml:space="preserve"> aglomerácie, v rámci ktorých sú informácie zo vzorkovacích miest na stále meranie doplnené informáciami z modelovania</w:t>
            </w:r>
          </w:p>
          <w:p w:rsidR="00E20C4A" w:rsidRPr="00607D28" w:rsidP="00E20C4A">
            <w:pPr>
              <w:jc w:val="both"/>
              <w:rPr>
                <w:sz w:val="20"/>
              </w:rPr>
            </w:pPr>
            <w:r w:rsidRPr="00607D28">
              <w:rPr>
                <w:sz w:val="20"/>
              </w:rPr>
              <w:t>a/alebo indikatívnymi meraniami, sa môže počet vzorkovacích miest</w:t>
            </w:r>
            <w:r>
              <w:rPr>
                <w:sz w:val="20"/>
              </w:rPr>
              <w:t xml:space="preserve"> </w:t>
            </w:r>
            <w:r w:rsidRPr="00607D28">
              <w:rPr>
                <w:sz w:val="20"/>
              </w:rPr>
              <w:t>určený v oddiele A prílohy IX znížiť za predpokladu, že sú splnené</w:t>
            </w:r>
          </w:p>
          <w:p w:rsidR="00E20C4A" w:rsidP="00E20C4A">
            <w:pPr>
              <w:jc w:val="both"/>
              <w:rPr>
                <w:sz w:val="20"/>
              </w:rPr>
            </w:pPr>
            <w:r w:rsidRPr="00607D28">
              <w:rPr>
                <w:sz w:val="20"/>
              </w:rPr>
              <w:t>tiet</w:t>
            </w:r>
            <w:r w:rsidRPr="00607D28">
              <w:rPr>
                <w:sz w:val="20"/>
              </w:rPr>
              <w:t>o podmienky:</w:t>
            </w:r>
          </w:p>
          <w:p w:rsidR="00E20C4A" w:rsidRPr="00607D28" w:rsidP="00E20C4A">
            <w:pPr>
              <w:jc w:val="both"/>
              <w:rPr>
                <w:sz w:val="20"/>
              </w:rPr>
            </w:pPr>
            <w:r w:rsidRPr="00607D28">
              <w:rPr>
                <w:sz w:val="20"/>
              </w:rPr>
              <w:t>a) doplnkové metódy poskytujú dostatočné informácie na hodnotenie</w:t>
            </w:r>
            <w:r>
              <w:rPr>
                <w:sz w:val="20"/>
              </w:rPr>
              <w:t xml:space="preserve"> </w:t>
            </w:r>
            <w:r w:rsidRPr="00607D28">
              <w:rPr>
                <w:sz w:val="20"/>
              </w:rPr>
              <w:t>kvality ovzdušia vzhľadom na cieľové hodnoty, dlhodobé ciele,</w:t>
            </w:r>
          </w:p>
          <w:p w:rsidR="00E20C4A" w:rsidRPr="00607D28" w:rsidP="00E20C4A">
            <w:pPr>
              <w:jc w:val="both"/>
              <w:rPr>
                <w:sz w:val="20"/>
              </w:rPr>
            </w:pPr>
            <w:r w:rsidRPr="00607D28">
              <w:rPr>
                <w:sz w:val="20"/>
              </w:rPr>
              <w:t>informačné a výstražné prahy;</w:t>
            </w:r>
          </w:p>
          <w:p w:rsidR="00E20C4A" w:rsidRPr="00607D28" w:rsidP="00E20C4A">
            <w:pPr>
              <w:jc w:val="both"/>
              <w:rPr>
                <w:sz w:val="20"/>
              </w:rPr>
            </w:pPr>
            <w:r w:rsidRPr="00607D28">
              <w:rPr>
                <w:sz w:val="20"/>
              </w:rPr>
              <w:t>b) počet vzorkovacích miest, ktoré sa majú zriadiť, a</w:t>
            </w:r>
            <w:r>
              <w:rPr>
                <w:sz w:val="20"/>
              </w:rPr>
              <w:t> </w:t>
            </w:r>
            <w:r w:rsidRPr="00607D28">
              <w:rPr>
                <w:sz w:val="20"/>
              </w:rPr>
              <w:t>priestorové</w:t>
            </w:r>
            <w:r>
              <w:rPr>
                <w:sz w:val="20"/>
              </w:rPr>
              <w:t xml:space="preserve"> </w:t>
            </w:r>
            <w:r w:rsidRPr="00607D28">
              <w:rPr>
                <w:sz w:val="20"/>
              </w:rPr>
              <w:t>rozlíšenie ostatných techník sú dostatočné na stanovenie koncentrácie ozónu v súlade s cieľmi pre kvalitu údajov uvedenými</w:t>
            </w:r>
            <w:r>
              <w:rPr>
                <w:sz w:val="20"/>
              </w:rPr>
              <w:t xml:space="preserve"> </w:t>
            </w:r>
            <w:r w:rsidRPr="00607D28">
              <w:rPr>
                <w:sz w:val="20"/>
              </w:rPr>
              <w:t>v oddiele A prílohy I a vedú k výsledkom hodnotenia, ktoré spĺňajú</w:t>
            </w:r>
          </w:p>
          <w:p w:rsidR="00E20C4A" w:rsidRPr="00607D28" w:rsidP="00E20C4A">
            <w:pPr>
              <w:jc w:val="both"/>
              <w:rPr>
                <w:sz w:val="20"/>
              </w:rPr>
            </w:pPr>
            <w:r w:rsidRPr="00607D28">
              <w:rPr>
                <w:sz w:val="20"/>
              </w:rPr>
              <w:t>kritériá uvedené v oddiele B prílohy I;</w:t>
            </w:r>
          </w:p>
          <w:p w:rsidR="00E20C4A" w:rsidRPr="00607D28" w:rsidP="00E20C4A">
            <w:pPr>
              <w:jc w:val="both"/>
              <w:rPr>
                <w:sz w:val="20"/>
              </w:rPr>
            </w:pPr>
            <w:r w:rsidRPr="00607D28">
              <w:rPr>
                <w:sz w:val="20"/>
              </w:rPr>
              <w:t>c) počet vzorkovacích miest v každej zóne ale</w:t>
            </w:r>
            <w:r w:rsidRPr="00607D28">
              <w:rPr>
                <w:sz w:val="20"/>
              </w:rPr>
              <w:t>bo aglomerácii sa rovná</w:t>
            </w:r>
            <w:r>
              <w:rPr>
                <w:sz w:val="20"/>
              </w:rPr>
              <w:t xml:space="preserve"> </w:t>
            </w:r>
            <w:r w:rsidRPr="00607D28">
              <w:rPr>
                <w:sz w:val="20"/>
              </w:rPr>
              <w:t>minimálne jednému vzorkovaciemu miestu na 2 milióny obyvateľov</w:t>
            </w:r>
          </w:p>
          <w:p w:rsidR="00E20C4A" w:rsidRPr="00607D28" w:rsidP="00E20C4A">
            <w:pPr>
              <w:jc w:val="both"/>
              <w:rPr>
                <w:sz w:val="20"/>
              </w:rPr>
            </w:pPr>
            <w:r w:rsidRPr="00607D28">
              <w:rPr>
                <w:sz w:val="20"/>
              </w:rPr>
              <w:t>alebo jednému vzorkovaciemu miestu na 50 000 km</w:t>
            </w:r>
            <w:r w:rsidRPr="009E5012">
              <w:rPr>
                <w:sz w:val="20"/>
                <w:vertAlign w:val="superscript"/>
              </w:rPr>
              <w:t>2</w:t>
            </w:r>
            <w:r w:rsidRPr="00607D28">
              <w:rPr>
                <w:sz w:val="20"/>
              </w:rPr>
              <w:t xml:space="preserve"> podľa toho,</w:t>
            </w:r>
            <w:r>
              <w:rPr>
                <w:sz w:val="20"/>
              </w:rPr>
              <w:t xml:space="preserve"> </w:t>
            </w:r>
            <w:r w:rsidRPr="00607D28">
              <w:rPr>
                <w:sz w:val="20"/>
              </w:rPr>
              <w:t>v ktorom prípade je počet vzorkovacích miest vyšší, ale v</w:t>
            </w:r>
            <w:r>
              <w:rPr>
                <w:sz w:val="20"/>
              </w:rPr>
              <w:t> </w:t>
            </w:r>
            <w:r w:rsidRPr="00607D28">
              <w:rPr>
                <w:sz w:val="20"/>
              </w:rPr>
              <w:t>žiadnej</w:t>
            </w:r>
            <w:r>
              <w:rPr>
                <w:sz w:val="20"/>
              </w:rPr>
              <w:t xml:space="preserve"> </w:t>
            </w:r>
            <w:r w:rsidRPr="00607D28">
              <w:rPr>
                <w:sz w:val="20"/>
              </w:rPr>
              <w:t>zóne ani aglomerácii nesmie klesnúť pod je</w:t>
            </w:r>
            <w:r w:rsidRPr="00607D28">
              <w:rPr>
                <w:sz w:val="20"/>
              </w:rPr>
              <w:t>dno vzorkovacie miesto;</w:t>
            </w:r>
          </w:p>
          <w:p w:rsidR="00E20C4A" w:rsidRPr="00607D28" w:rsidP="00E20C4A">
            <w:pPr>
              <w:jc w:val="both"/>
              <w:rPr>
                <w:sz w:val="20"/>
              </w:rPr>
            </w:pPr>
            <w:r w:rsidRPr="00607D28">
              <w:rPr>
                <w:sz w:val="20"/>
              </w:rPr>
              <w:t>d) oxid dusičitý sa meria vo všetkých ostatných vzorkovacích miestach</w:t>
            </w:r>
            <w:r>
              <w:rPr>
                <w:sz w:val="20"/>
              </w:rPr>
              <w:t xml:space="preserve"> </w:t>
            </w:r>
            <w:r w:rsidRPr="00607D28">
              <w:rPr>
                <w:sz w:val="20"/>
              </w:rPr>
              <w:t>s výnimkou vidieckych pozaďových staníc uvedených v</w:t>
            </w:r>
            <w:r>
              <w:rPr>
                <w:sz w:val="20"/>
              </w:rPr>
              <w:t> </w:t>
            </w:r>
            <w:r w:rsidRPr="00607D28">
              <w:rPr>
                <w:sz w:val="20"/>
              </w:rPr>
              <w:t>oddiele</w:t>
            </w:r>
            <w:r>
              <w:rPr>
                <w:sz w:val="20"/>
              </w:rPr>
              <w:t xml:space="preserve"> </w:t>
            </w:r>
            <w:r w:rsidRPr="00607D28">
              <w:rPr>
                <w:sz w:val="20"/>
              </w:rPr>
              <w:t>A prílohy VIII.</w:t>
            </w:r>
          </w:p>
          <w:p w:rsidR="00E20C4A" w:rsidP="00E20C4A">
            <w:pPr>
              <w:jc w:val="both"/>
              <w:rPr>
                <w:sz w:val="20"/>
              </w:rPr>
            </w:pPr>
            <w:r w:rsidRPr="00607D28">
              <w:rPr>
                <w:sz w:val="20"/>
              </w:rPr>
              <w:t>Výsledky modelovania a/alebo indikatívneho merania sa zohľadňujú pri</w:t>
            </w:r>
            <w:r>
              <w:rPr>
                <w:sz w:val="20"/>
              </w:rPr>
              <w:t xml:space="preserve"> </w:t>
            </w:r>
            <w:r w:rsidRPr="00607D28">
              <w:rPr>
                <w:sz w:val="20"/>
              </w:rPr>
              <w:t>hodnotení kvality ovzdušia vzhľadom na cieľové hodnoty</w:t>
            </w:r>
            <w:r>
              <w:rPr>
                <w:sz w:val="20"/>
              </w:rPr>
              <w:t>.</w:t>
            </w:r>
          </w:p>
          <w:p w:rsidR="00E20C4A" w:rsidRPr="00607D28" w:rsidP="00E20C4A">
            <w:pPr>
              <w:jc w:val="both"/>
              <w:rPr>
                <w:sz w:val="20"/>
              </w:rPr>
            </w:pPr>
          </w:p>
        </w:tc>
        <w:tc>
          <w:tcPr>
            <w:tcW w:w="747" w:type="dxa"/>
          </w:tcPr>
          <w:p w:rsidR="00E20C4A" w:rsidRPr="00D86B9D" w:rsidP="00E20C4A">
            <w:pPr>
              <w:ind w:right="-249"/>
              <w:rPr>
                <w:sz w:val="20"/>
              </w:rPr>
            </w:pPr>
            <w:r w:rsidR="00E76815">
              <w:rPr>
                <w:sz w:val="20"/>
              </w:rPr>
              <w:t>N</w:t>
            </w:r>
          </w:p>
        </w:tc>
        <w:tc>
          <w:tcPr>
            <w:tcW w:w="574" w:type="dxa"/>
          </w:tcPr>
          <w:p w:rsidR="00E20C4A" w:rsidRPr="00E76815" w:rsidP="00E20C4A">
            <w:pPr>
              <w:jc w:val="both"/>
              <w:rPr>
                <w:sz w:val="20"/>
              </w:rPr>
            </w:pPr>
            <w:r w:rsidRPr="00E76815" w:rsidR="00E76815">
              <w:rPr>
                <w:sz w:val="20"/>
              </w:rPr>
              <w:t>NV</w:t>
            </w:r>
          </w:p>
        </w:tc>
        <w:tc>
          <w:tcPr>
            <w:tcW w:w="701" w:type="dxa"/>
          </w:tcPr>
          <w:p w:rsidR="00E20C4A" w:rsidP="00E20C4A">
            <w:pPr>
              <w:jc w:val="both"/>
              <w:rPr>
                <w:sz w:val="20"/>
              </w:rPr>
            </w:pPr>
            <w:r w:rsidR="00254B0B">
              <w:rPr>
                <w:sz w:val="20"/>
              </w:rPr>
              <w:t>Príl. 9</w:t>
            </w:r>
          </w:p>
          <w:p w:rsidR="00254B0B" w:rsidP="00E20C4A">
            <w:pPr>
              <w:jc w:val="both"/>
              <w:rPr>
                <w:sz w:val="20"/>
              </w:rPr>
            </w:pPr>
            <w:r>
              <w:rPr>
                <w:sz w:val="20"/>
              </w:rPr>
              <w:t>Časť II.</w:t>
            </w:r>
          </w:p>
          <w:p w:rsidR="00254B0B" w:rsidRPr="00E76815" w:rsidP="00E20C4A">
            <w:pPr>
              <w:jc w:val="both"/>
              <w:rPr>
                <w:sz w:val="20"/>
              </w:rPr>
            </w:pPr>
            <w:r>
              <w:rPr>
                <w:sz w:val="20"/>
              </w:rPr>
              <w:t>PB</w:t>
            </w:r>
          </w:p>
        </w:tc>
        <w:tc>
          <w:tcPr>
            <w:tcW w:w="7797" w:type="dxa"/>
          </w:tcPr>
          <w:p w:rsidR="00051207" w:rsidRPr="00051207" w:rsidP="00051207">
            <w:pPr>
              <w:jc w:val="both"/>
              <w:rPr>
                <w:sz w:val="20"/>
              </w:rPr>
            </w:pPr>
            <w:r w:rsidRPr="00051207">
              <w:rPr>
                <w:sz w:val="20"/>
              </w:rPr>
              <w:t>B.  Najmenší počet vzorkovacích miest na stále merania v zónach a v aglomeráciách, ktoré dosahujú dlhodobé ciele pre ozón</w:t>
            </w:r>
          </w:p>
          <w:p w:rsidR="00051207" w:rsidRPr="00051207" w:rsidP="00051207">
            <w:pPr>
              <w:jc w:val="both"/>
              <w:rPr>
                <w:sz w:val="20"/>
              </w:rPr>
            </w:pPr>
          </w:p>
          <w:p w:rsidR="00051207" w:rsidRPr="00051207" w:rsidP="00051207">
            <w:pPr>
              <w:jc w:val="both"/>
              <w:rPr>
                <w:sz w:val="20"/>
              </w:rPr>
            </w:pPr>
            <w:r w:rsidRPr="00051207">
              <w:rPr>
                <w:sz w:val="20"/>
              </w:rPr>
              <w:t>Je potrebné, aby počet vzorkovacích miest pre ozón v kombinácii s ostatnými prostriedkami doplnkového hodnotenia, ako sú modely kvality ovzdušia a súbežné merania oxidu dusičitého bol dostatočný na preskúmanie trendov znečisťovania ozónom a na kontrolu dodržiavania dlhodobých cieľov. Počet staníc umiestnených v aglomeráciách a v iných zónach môže byť znížený na jednu tretinu počtu uvedeného v písmene A. Keď sú informácie zo staníc stáleho merania jediným zdrojom informácií, udržiava sa aspoň jedna monitorovacia stanica. Ak v zónach s doplnkovým hodnotením dochádza k tomu, že v zóne nezostane žiadna stanica, je potrebné koordináciou s určitým počtom staníc v susediacich zónach zabezpečiť primerané hodnotenie koncentrácií ozónu z hľadiska dlhodobých cieľov. Na území Slovenskej republiky sa zriadi a prevádzkuje najmenej jedna vidiecka pozaďová stanica.</w:t>
            </w:r>
          </w:p>
          <w:p w:rsidR="00051207" w:rsidRPr="00051207" w:rsidP="00051207">
            <w:pPr>
              <w:jc w:val="both"/>
              <w:rPr>
                <w:sz w:val="20"/>
              </w:rPr>
            </w:pPr>
          </w:p>
          <w:p w:rsidR="00051207" w:rsidRPr="00051207" w:rsidP="00051207">
            <w:pPr>
              <w:jc w:val="both"/>
              <w:rPr>
                <w:sz w:val="20"/>
              </w:rPr>
            </w:pPr>
            <w:r w:rsidRPr="00051207">
              <w:rPr>
                <w:sz w:val="20"/>
              </w:rPr>
              <w:t xml:space="preserve">Oxid dusičitý sa meria na minimálne 50 % vzorkovacích miest pre ozón požadovaných podľa písmena A. Takéto meranie je kontinuálne, s výnimkou vidieckych pozaďových staníc, ako sa uvádza v prílohe č. 8 časť II písm. A, kde sa môžu použiť iné metódy merania. </w:t>
            </w:r>
          </w:p>
          <w:p w:rsidR="00E20C4A" w:rsidRPr="00051207" w:rsidP="00051207">
            <w:pPr>
              <w:jc w:val="both"/>
              <w:rPr>
                <w:sz w:val="20"/>
              </w:rPr>
            </w:pPr>
            <w:r w:rsidRPr="007B57C0" w:rsidR="00051207">
              <w:rPr>
                <w:sz w:val="20"/>
              </w:rPr>
              <w:br w:type="page"/>
            </w:r>
          </w:p>
        </w:tc>
        <w:tc>
          <w:tcPr>
            <w:tcW w:w="708" w:type="dxa"/>
          </w:tcPr>
          <w:p w:rsidR="00E20C4A" w:rsidRPr="00603499" w:rsidP="00E20C4A">
            <w:pPr>
              <w:jc w:val="both"/>
              <w:rPr>
                <w:sz w:val="20"/>
              </w:rPr>
            </w:pPr>
            <w:r w:rsidRPr="00603499" w:rsidR="0060349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Č10</w:t>
            </w:r>
          </w:p>
          <w:p w:rsidR="00E20C4A" w:rsidP="00E20C4A">
            <w:pPr>
              <w:jc w:val="both"/>
              <w:rPr>
                <w:sz w:val="20"/>
              </w:rPr>
            </w:pPr>
            <w:r>
              <w:rPr>
                <w:sz w:val="20"/>
              </w:rPr>
              <w:t>O4</w:t>
            </w:r>
          </w:p>
        </w:tc>
        <w:tc>
          <w:tcPr>
            <w:tcW w:w="4074" w:type="dxa"/>
            <w:tcBorders>
              <w:bottom w:val="single" w:sz="4" w:space="0" w:color="auto"/>
            </w:tcBorders>
          </w:tcPr>
          <w:p w:rsidR="00E20C4A" w:rsidRPr="003D65E2" w:rsidP="00E20C4A">
            <w:pPr>
              <w:jc w:val="both"/>
              <w:rPr>
                <w:sz w:val="20"/>
              </w:rPr>
            </w:pPr>
            <w:r>
              <w:rPr>
                <w:sz w:val="20"/>
              </w:rPr>
              <w:t xml:space="preserve">4. </w:t>
            </w:r>
            <w:r w:rsidRPr="003D65E2">
              <w:rPr>
                <w:sz w:val="20"/>
              </w:rPr>
              <w:t>Oxid dusičitý sa meria na minimálne 50 % vzorkovacích miest pre</w:t>
            </w:r>
            <w:r>
              <w:rPr>
                <w:sz w:val="20"/>
              </w:rPr>
              <w:t xml:space="preserve"> </w:t>
            </w:r>
            <w:r w:rsidRPr="003D65E2">
              <w:rPr>
                <w:sz w:val="20"/>
              </w:rPr>
              <w:t>ozón požadovaných podľa oddielu A prílohy IX. Takéto meranie je</w:t>
            </w:r>
          </w:p>
          <w:p w:rsidR="00E20C4A" w:rsidP="00E20C4A">
            <w:pPr>
              <w:jc w:val="both"/>
              <w:rPr>
                <w:sz w:val="20"/>
              </w:rPr>
            </w:pPr>
            <w:r w:rsidRPr="003D65E2">
              <w:rPr>
                <w:sz w:val="20"/>
              </w:rPr>
              <w:t>nepretržité, s výnimkou vidieckych pozaďových staníc, ako sa uvádza</w:t>
            </w:r>
            <w:r>
              <w:rPr>
                <w:sz w:val="20"/>
              </w:rPr>
              <w:t xml:space="preserve"> </w:t>
            </w:r>
            <w:r w:rsidRPr="003D65E2">
              <w:rPr>
                <w:sz w:val="20"/>
              </w:rPr>
              <w:t>v oddiele A prílohy VIII, kde sa môžu použiť iné metódy merania.</w:t>
            </w:r>
          </w:p>
          <w:p w:rsidR="00E20C4A" w:rsidRPr="00607D28" w:rsidP="00E20C4A">
            <w:pPr>
              <w:jc w:val="both"/>
              <w:rPr>
                <w:sz w:val="20"/>
              </w:rPr>
            </w:pPr>
          </w:p>
        </w:tc>
        <w:tc>
          <w:tcPr>
            <w:tcW w:w="747" w:type="dxa"/>
          </w:tcPr>
          <w:p w:rsidR="00E20C4A" w:rsidRPr="00D86B9D" w:rsidP="00E20C4A">
            <w:pPr>
              <w:ind w:right="-249"/>
              <w:rPr>
                <w:sz w:val="20"/>
              </w:rPr>
            </w:pPr>
            <w:r w:rsidR="006F3EBA">
              <w:rPr>
                <w:sz w:val="20"/>
              </w:rPr>
              <w:t>N</w:t>
            </w:r>
          </w:p>
        </w:tc>
        <w:tc>
          <w:tcPr>
            <w:tcW w:w="574" w:type="dxa"/>
          </w:tcPr>
          <w:p w:rsidR="00E20C4A" w:rsidRPr="006F3EBA" w:rsidP="00E20C4A">
            <w:pPr>
              <w:jc w:val="both"/>
              <w:rPr>
                <w:sz w:val="20"/>
              </w:rPr>
            </w:pPr>
            <w:r w:rsidRPr="006F3EBA" w:rsidR="006F3EBA">
              <w:rPr>
                <w:sz w:val="20"/>
              </w:rPr>
              <w:t>N</w:t>
            </w:r>
            <w:r w:rsidR="002A0849">
              <w:rPr>
                <w:sz w:val="20"/>
              </w:rPr>
              <w:t>V</w:t>
            </w:r>
          </w:p>
        </w:tc>
        <w:tc>
          <w:tcPr>
            <w:tcW w:w="701" w:type="dxa"/>
          </w:tcPr>
          <w:p w:rsidR="00E20C4A" w:rsidP="002A0849">
            <w:pPr>
              <w:pStyle w:val="Paragrafyzkona"/>
              <w:spacing w:before="0" w:line="240" w:lineRule="auto"/>
              <w:jc w:val="left"/>
              <w:rPr>
                <w:b w:val="0"/>
                <w:sz w:val="20"/>
              </w:rPr>
            </w:pPr>
            <w:r w:rsidR="00980A5A">
              <w:rPr>
                <w:b w:val="0"/>
                <w:sz w:val="20"/>
              </w:rPr>
              <w:t>Príl. 9</w:t>
            </w:r>
          </w:p>
          <w:p w:rsidR="003A38A3" w:rsidP="002A0849">
            <w:pPr>
              <w:pStyle w:val="Paragrafyzkona"/>
              <w:spacing w:before="0" w:line="240" w:lineRule="auto"/>
              <w:jc w:val="left"/>
              <w:rPr>
                <w:b w:val="0"/>
                <w:sz w:val="20"/>
              </w:rPr>
            </w:pPr>
            <w:r>
              <w:rPr>
                <w:b w:val="0"/>
                <w:sz w:val="20"/>
              </w:rPr>
              <w:t>Časť II.</w:t>
            </w:r>
          </w:p>
          <w:p w:rsidR="00980A5A" w:rsidP="002A0849">
            <w:pPr>
              <w:pStyle w:val="Paragrafyzkona"/>
              <w:spacing w:before="0" w:line="240" w:lineRule="auto"/>
              <w:jc w:val="left"/>
              <w:rPr>
                <w:b w:val="0"/>
                <w:sz w:val="20"/>
              </w:rPr>
            </w:pPr>
            <w:r>
              <w:rPr>
                <w:b w:val="0"/>
                <w:sz w:val="20"/>
              </w:rPr>
              <w:t>PB</w:t>
            </w:r>
          </w:p>
          <w:p w:rsidR="00980A5A" w:rsidRPr="008658BB" w:rsidP="002A0849">
            <w:pPr>
              <w:pStyle w:val="Paragrafyzkona"/>
              <w:spacing w:before="0" w:line="240" w:lineRule="auto"/>
              <w:jc w:val="left"/>
              <w:rPr>
                <w:b w:val="0"/>
                <w:sz w:val="20"/>
              </w:rPr>
            </w:pPr>
          </w:p>
        </w:tc>
        <w:tc>
          <w:tcPr>
            <w:tcW w:w="7797" w:type="dxa"/>
          </w:tcPr>
          <w:p w:rsidR="00E20C4A" w:rsidRPr="00980A5A" w:rsidP="008E5BE6">
            <w:pPr>
              <w:jc w:val="both"/>
              <w:rPr>
                <w:sz w:val="20"/>
              </w:rPr>
            </w:pPr>
            <w:r w:rsidRPr="008E5BE6" w:rsidR="008E5BE6">
              <w:rPr>
                <w:sz w:val="20"/>
              </w:rPr>
              <w:t xml:space="preserve">Oxid dusičitý sa meria na minimálne 50 % vzorkovacích miest pre ozón požadovaných podľa písmena A. Takéto meranie je kontinuálne, s výnimkou vidieckych pozaďových staníc, ako sa uvádza v prílohe č. 8 časť II písm. A, kde sa môžu použiť iné metódy merania. </w:t>
            </w:r>
            <w:r w:rsidRPr="00980A5A" w:rsidR="00980A5A">
              <w:rPr>
                <w:sz w:val="20"/>
              </w:rPr>
              <w:br w:type="page"/>
            </w:r>
          </w:p>
        </w:tc>
        <w:tc>
          <w:tcPr>
            <w:tcW w:w="708" w:type="dxa"/>
          </w:tcPr>
          <w:p w:rsidR="00E20C4A" w:rsidRPr="006F3EBA" w:rsidP="00E20C4A">
            <w:pPr>
              <w:jc w:val="both"/>
              <w:rPr>
                <w:sz w:val="20"/>
              </w:rPr>
            </w:pPr>
            <w:r w:rsidRPr="006F3EBA" w:rsidR="006F3EBA">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Č10</w:t>
            </w:r>
          </w:p>
          <w:p w:rsidR="00E20C4A" w:rsidP="00E20C4A">
            <w:pPr>
              <w:jc w:val="both"/>
              <w:rPr>
                <w:sz w:val="20"/>
              </w:rPr>
            </w:pPr>
            <w:r>
              <w:rPr>
                <w:sz w:val="20"/>
              </w:rPr>
              <w:t>O5</w:t>
            </w:r>
          </w:p>
        </w:tc>
        <w:tc>
          <w:tcPr>
            <w:tcW w:w="4074" w:type="dxa"/>
            <w:tcBorders>
              <w:bottom w:val="single" w:sz="4" w:space="0" w:color="auto"/>
            </w:tcBorders>
          </w:tcPr>
          <w:p w:rsidR="00E20C4A" w:rsidRPr="003D65E2" w:rsidP="00E20C4A">
            <w:pPr>
              <w:jc w:val="both"/>
              <w:rPr>
                <w:sz w:val="20"/>
              </w:rPr>
            </w:pPr>
            <w:r>
              <w:rPr>
                <w:sz w:val="20"/>
              </w:rPr>
              <w:t xml:space="preserve">5. </w:t>
            </w:r>
            <w:r w:rsidRPr="003D65E2">
              <w:rPr>
                <w:sz w:val="20"/>
              </w:rPr>
              <w:t>V zónach a aglomeráciách, v ktorých sú počas každého z predchádzajúcich piatich rokov merania koncentrácie pod dlhodobými cieľmi,</w:t>
            </w:r>
          </w:p>
          <w:p w:rsidR="00E20C4A" w:rsidP="00E20C4A">
            <w:pPr>
              <w:jc w:val="both"/>
              <w:rPr>
                <w:sz w:val="20"/>
              </w:rPr>
            </w:pPr>
            <w:r w:rsidRPr="003D65E2">
              <w:rPr>
                <w:sz w:val="20"/>
              </w:rPr>
              <w:t>sa počet vzorkovacích miest na stále merania určuje v súlade s</w:t>
            </w:r>
            <w:r>
              <w:rPr>
                <w:sz w:val="20"/>
              </w:rPr>
              <w:t> </w:t>
            </w:r>
            <w:r w:rsidRPr="003D65E2">
              <w:rPr>
                <w:sz w:val="20"/>
              </w:rPr>
              <w:t>oddielom</w:t>
            </w:r>
            <w:r>
              <w:rPr>
                <w:sz w:val="20"/>
              </w:rPr>
              <w:t xml:space="preserve"> </w:t>
            </w:r>
            <w:r w:rsidRPr="003D65E2">
              <w:rPr>
                <w:sz w:val="20"/>
              </w:rPr>
              <w:t>B prílohy IX.</w:t>
            </w:r>
          </w:p>
          <w:p w:rsidR="00E20C4A" w:rsidP="00E20C4A">
            <w:pPr>
              <w:jc w:val="both"/>
              <w:rPr>
                <w:sz w:val="20"/>
              </w:rPr>
            </w:pPr>
          </w:p>
        </w:tc>
        <w:tc>
          <w:tcPr>
            <w:tcW w:w="747" w:type="dxa"/>
          </w:tcPr>
          <w:p w:rsidR="00E20C4A" w:rsidRPr="00D86B9D" w:rsidP="00E20C4A">
            <w:pPr>
              <w:ind w:right="-249"/>
              <w:rPr>
                <w:sz w:val="20"/>
              </w:rPr>
            </w:pPr>
            <w:r w:rsidR="00B62B04">
              <w:rPr>
                <w:sz w:val="20"/>
              </w:rPr>
              <w:t>N</w:t>
            </w:r>
          </w:p>
        </w:tc>
        <w:tc>
          <w:tcPr>
            <w:tcW w:w="574" w:type="dxa"/>
          </w:tcPr>
          <w:p w:rsidR="00E20C4A" w:rsidRPr="00B62B04" w:rsidP="00E20C4A">
            <w:pPr>
              <w:jc w:val="both"/>
              <w:rPr>
                <w:sz w:val="20"/>
              </w:rPr>
            </w:pPr>
            <w:r w:rsidRPr="00B62B04" w:rsidR="00B62B04">
              <w:rPr>
                <w:sz w:val="20"/>
              </w:rPr>
              <w:t>NZ</w:t>
            </w:r>
          </w:p>
        </w:tc>
        <w:tc>
          <w:tcPr>
            <w:tcW w:w="701" w:type="dxa"/>
          </w:tcPr>
          <w:p w:rsidR="009E0A48" w:rsidRPr="00743DBC" w:rsidP="009E0A48">
            <w:pPr>
              <w:pStyle w:val="Paragrafyzkona"/>
              <w:spacing w:before="0" w:line="240" w:lineRule="auto"/>
              <w:jc w:val="left"/>
              <w:rPr>
                <w:b w:val="0"/>
                <w:sz w:val="20"/>
                <w:szCs w:val="20"/>
                <w:lang w:eastAsia="en-US"/>
              </w:rPr>
            </w:pPr>
            <w:r>
              <w:rPr>
                <w:b w:val="0"/>
                <w:sz w:val="20"/>
                <w:szCs w:val="20"/>
                <w:lang w:eastAsia="en-US"/>
              </w:rPr>
              <w:t>§ 4</w:t>
            </w:r>
          </w:p>
          <w:p w:rsidR="009E0A48" w:rsidP="009E0A48">
            <w:pPr>
              <w:pStyle w:val="Paragrafyzkona"/>
              <w:spacing w:before="0" w:line="240" w:lineRule="auto"/>
              <w:jc w:val="left"/>
              <w:rPr>
                <w:b w:val="0"/>
                <w:sz w:val="20"/>
                <w:szCs w:val="20"/>
                <w:lang w:eastAsia="en-US"/>
              </w:rPr>
            </w:pPr>
            <w:r w:rsidRPr="00743DBC">
              <w:rPr>
                <w:b w:val="0"/>
                <w:sz w:val="20"/>
                <w:szCs w:val="20"/>
                <w:lang w:eastAsia="en-US"/>
              </w:rPr>
              <w:t>O</w:t>
            </w:r>
            <w:r w:rsidR="00441E23">
              <w:rPr>
                <w:b w:val="0"/>
                <w:sz w:val="20"/>
                <w:szCs w:val="20"/>
                <w:lang w:eastAsia="en-US"/>
              </w:rPr>
              <w:t>7</w:t>
            </w:r>
          </w:p>
          <w:p w:rsidR="00441E23" w:rsidP="009E0A48">
            <w:pPr>
              <w:pStyle w:val="Paragrafyzkona"/>
              <w:spacing w:before="0" w:line="240" w:lineRule="auto"/>
              <w:jc w:val="left"/>
              <w:rPr>
                <w:b w:val="0"/>
                <w:sz w:val="20"/>
                <w:szCs w:val="20"/>
                <w:lang w:eastAsia="en-US"/>
              </w:rPr>
            </w:pPr>
            <w:r>
              <w:rPr>
                <w:b w:val="0"/>
                <w:sz w:val="20"/>
                <w:szCs w:val="20"/>
                <w:lang w:eastAsia="en-US"/>
              </w:rPr>
              <w:t>Pa</w:t>
            </w: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r w:rsidR="00441E23">
              <w:rPr>
                <w:b w:val="0"/>
                <w:sz w:val="20"/>
                <w:szCs w:val="20"/>
                <w:lang w:eastAsia="en-US"/>
              </w:rPr>
              <w:t>O8</w:t>
            </w:r>
          </w:p>
          <w:p w:rsidR="004A6ABF"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9E0A48" w:rsidP="009E0A48">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441E23" w:rsidRPr="00B62B04" w:rsidP="00441E23">
            <w:pPr>
              <w:jc w:val="both"/>
              <w:rPr>
                <w:sz w:val="20"/>
              </w:rPr>
            </w:pPr>
            <w:r w:rsidRPr="00B62B04">
              <w:rPr>
                <w:sz w:val="20"/>
              </w:rPr>
              <w:t xml:space="preserve">Hodnotenie kvality ovzdušia sa vykonáva </w:t>
            </w:r>
          </w:p>
          <w:p w:rsidR="00441E23" w:rsidP="00441E23">
            <w:pPr>
              <w:jc w:val="both"/>
              <w:rPr>
                <w:sz w:val="20"/>
              </w:rPr>
            </w:pPr>
          </w:p>
          <w:p w:rsidR="00441E23" w:rsidRPr="00B62B04" w:rsidP="00441E23">
            <w:pPr>
              <w:jc w:val="both"/>
              <w:rPr>
                <w:sz w:val="20"/>
              </w:rPr>
            </w:pPr>
            <w:r>
              <w:rPr>
                <w:sz w:val="20"/>
              </w:rPr>
              <w:t xml:space="preserve">a) </w:t>
            </w:r>
            <w:r w:rsidRPr="00B62B04">
              <w:rPr>
                <w:sz w:val="20"/>
              </w:rPr>
              <w:t>stálym meraním v súlade s § 5 ods. 3 v zónach a aglomeráciách, v ktorých</w:t>
            </w:r>
            <w:r>
              <w:rPr>
                <w:sz w:val="20"/>
              </w:rPr>
              <w:t xml:space="preserve"> je úroveň znečistenia ovzdušia.</w:t>
            </w:r>
          </w:p>
          <w:p w:rsidR="00441E23" w:rsidP="00B62B04">
            <w:pPr>
              <w:pStyle w:val="ListParagraph"/>
              <w:spacing w:after="360" w:line="240" w:lineRule="auto"/>
              <w:ind w:left="0"/>
              <w:contextualSpacing w:val="0"/>
              <w:jc w:val="both"/>
              <w:rPr>
                <w:sz w:val="20"/>
                <w:szCs w:val="20"/>
                <w:lang w:eastAsia="en-US"/>
              </w:rPr>
            </w:pPr>
          </w:p>
          <w:p w:rsidR="00B62B04" w:rsidRPr="00B62B04" w:rsidP="00B62B04">
            <w:pPr>
              <w:pStyle w:val="ListParagraph"/>
              <w:spacing w:after="360" w:line="240" w:lineRule="auto"/>
              <w:ind w:left="0"/>
              <w:contextualSpacing w:val="0"/>
              <w:jc w:val="both"/>
              <w:rPr>
                <w:sz w:val="20"/>
                <w:szCs w:val="20"/>
                <w:lang w:eastAsia="en-US"/>
              </w:rPr>
            </w:pPr>
            <w:r w:rsidRPr="00B62B04">
              <w:rPr>
                <w:sz w:val="20"/>
                <w:szCs w:val="20"/>
                <w:lang w:eastAsia="en-US"/>
              </w:rPr>
              <w:t>V zónach a aglomeráciách, kde sa hodnotenie kvality ovzdušia vykonáva stálym meraním podľa odseku 6 písm. a), možno hodnotenie doplniť modelovacími technikami alebo indikatívnymi meraniami s cieľom poskytnúť primerané informácie o priestoro</w:t>
            </w:r>
            <w:r>
              <w:rPr>
                <w:sz w:val="20"/>
                <w:szCs w:val="20"/>
                <w:lang w:eastAsia="en-US"/>
              </w:rPr>
              <w:t>vom rozložení kvality ovzdušia.</w:t>
            </w:r>
          </w:p>
          <w:p w:rsidR="00E20C4A" w:rsidP="00441E23">
            <w:pPr>
              <w:jc w:val="both"/>
              <w:rPr>
                <w:b/>
              </w:rPr>
            </w:pPr>
          </w:p>
        </w:tc>
        <w:tc>
          <w:tcPr>
            <w:tcW w:w="708" w:type="dxa"/>
          </w:tcPr>
          <w:p w:rsidR="00E20C4A" w:rsidRPr="0050371C" w:rsidP="00E20C4A">
            <w:pPr>
              <w:jc w:val="both"/>
              <w:rPr>
                <w:sz w:val="20"/>
              </w:rPr>
            </w:pPr>
            <w:r w:rsidRPr="0050371C" w:rsidR="0050371C">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Č10</w:t>
            </w:r>
          </w:p>
          <w:p w:rsidR="00E20C4A" w:rsidP="00E20C4A">
            <w:pPr>
              <w:jc w:val="both"/>
              <w:rPr>
                <w:sz w:val="20"/>
              </w:rPr>
            </w:pPr>
            <w:r>
              <w:rPr>
                <w:sz w:val="20"/>
              </w:rPr>
              <w:t>O6</w:t>
            </w:r>
          </w:p>
        </w:tc>
        <w:tc>
          <w:tcPr>
            <w:tcW w:w="4074" w:type="dxa"/>
            <w:tcBorders>
              <w:bottom w:val="single" w:sz="4" w:space="0" w:color="auto"/>
            </w:tcBorders>
          </w:tcPr>
          <w:p w:rsidR="00E20C4A" w:rsidP="00E20C4A">
            <w:pPr>
              <w:jc w:val="both"/>
              <w:rPr>
                <w:sz w:val="20"/>
              </w:rPr>
            </w:pPr>
            <w:r>
              <w:rPr>
                <w:sz w:val="20"/>
              </w:rPr>
              <w:t xml:space="preserve">6. </w:t>
            </w:r>
            <w:r w:rsidRPr="003D65E2">
              <w:rPr>
                <w:sz w:val="20"/>
              </w:rPr>
              <w:t>Každý členský štát zabezpečí, aby sa na jeho území zriadilo</w:t>
            </w:r>
            <w:r>
              <w:rPr>
                <w:sz w:val="20"/>
              </w:rPr>
              <w:t xml:space="preserve"> </w:t>
            </w:r>
            <w:r w:rsidRPr="003D65E2">
              <w:rPr>
                <w:sz w:val="20"/>
              </w:rPr>
              <w:t>a prevádzkovalo aspoň jedno vzorkovacie miesto na poskytovanie</w:t>
            </w:r>
            <w:r>
              <w:rPr>
                <w:sz w:val="20"/>
              </w:rPr>
              <w:t xml:space="preserve"> </w:t>
            </w:r>
            <w:r w:rsidRPr="003D65E2">
              <w:rPr>
                <w:sz w:val="20"/>
              </w:rPr>
              <w:t>údajov o koncentráciách prekurzorov ozónu uvedených v prílohe X.</w:t>
            </w:r>
            <w:r>
              <w:rPr>
                <w:sz w:val="20"/>
              </w:rPr>
              <w:t xml:space="preserve"> </w:t>
            </w:r>
            <w:r w:rsidRPr="003D65E2">
              <w:rPr>
                <w:sz w:val="20"/>
              </w:rPr>
              <w:t>Každý členský štát si zvolí počet a umiestnenie staníc, na kt</w:t>
            </w:r>
            <w:r w:rsidRPr="003D65E2">
              <w:rPr>
                <w:sz w:val="20"/>
              </w:rPr>
              <w:t>orých sa</w:t>
            </w:r>
            <w:r>
              <w:rPr>
                <w:sz w:val="20"/>
              </w:rPr>
              <w:t xml:space="preserve"> </w:t>
            </w:r>
            <w:r w:rsidRPr="003D65E2">
              <w:rPr>
                <w:sz w:val="20"/>
              </w:rPr>
              <w:t>majú merať prekurzory ozónu, pričom sa zohľadnia ciele a</w:t>
            </w:r>
            <w:r>
              <w:rPr>
                <w:sz w:val="20"/>
              </w:rPr>
              <w:t> </w:t>
            </w:r>
            <w:r w:rsidRPr="003D65E2">
              <w:rPr>
                <w:sz w:val="20"/>
              </w:rPr>
              <w:t>metódy</w:t>
            </w:r>
            <w:r>
              <w:rPr>
                <w:sz w:val="20"/>
              </w:rPr>
              <w:t xml:space="preserve"> </w:t>
            </w:r>
            <w:r w:rsidRPr="003D65E2">
              <w:rPr>
                <w:sz w:val="20"/>
              </w:rPr>
              <w:t>ustanovené v prílohe X.</w:t>
            </w:r>
          </w:p>
          <w:p w:rsidR="00E20C4A" w:rsidP="00E20C4A">
            <w:pPr>
              <w:jc w:val="both"/>
              <w:rPr>
                <w:sz w:val="20"/>
              </w:rPr>
            </w:pPr>
          </w:p>
        </w:tc>
        <w:tc>
          <w:tcPr>
            <w:tcW w:w="747" w:type="dxa"/>
          </w:tcPr>
          <w:p w:rsidR="00E20C4A" w:rsidRPr="00D86B9D" w:rsidP="00E20C4A">
            <w:pPr>
              <w:ind w:right="-249"/>
              <w:rPr>
                <w:sz w:val="20"/>
              </w:rPr>
            </w:pPr>
            <w:r w:rsidR="00C22807">
              <w:rPr>
                <w:sz w:val="20"/>
              </w:rPr>
              <w:t>N</w:t>
            </w:r>
          </w:p>
        </w:tc>
        <w:tc>
          <w:tcPr>
            <w:tcW w:w="574" w:type="dxa"/>
          </w:tcPr>
          <w:p w:rsidR="00E20C4A" w:rsidRPr="00C22807" w:rsidP="00E20C4A">
            <w:pPr>
              <w:jc w:val="both"/>
              <w:rPr>
                <w:sz w:val="20"/>
              </w:rPr>
            </w:pPr>
            <w:r w:rsidRPr="00C22807" w:rsidR="00C22807">
              <w:rPr>
                <w:sz w:val="20"/>
              </w:rPr>
              <w:t>N</w:t>
            </w:r>
            <w:r w:rsidR="008E5BE6">
              <w:rPr>
                <w:sz w:val="20"/>
              </w:rPr>
              <w:t>Z</w:t>
            </w:r>
          </w:p>
        </w:tc>
        <w:tc>
          <w:tcPr>
            <w:tcW w:w="701" w:type="dxa"/>
          </w:tcPr>
          <w:p w:rsidR="00B71F11" w:rsidRPr="00743DBC" w:rsidP="00B71F11">
            <w:pPr>
              <w:pStyle w:val="Paragrafyzkona"/>
              <w:spacing w:before="0" w:line="240" w:lineRule="auto"/>
              <w:jc w:val="left"/>
              <w:rPr>
                <w:b w:val="0"/>
                <w:sz w:val="20"/>
                <w:szCs w:val="20"/>
                <w:lang w:eastAsia="en-US"/>
              </w:rPr>
            </w:pPr>
            <w:r>
              <w:rPr>
                <w:b w:val="0"/>
                <w:sz w:val="20"/>
                <w:szCs w:val="20"/>
                <w:lang w:eastAsia="en-US"/>
              </w:rPr>
              <w:t>§ 5</w:t>
            </w:r>
          </w:p>
          <w:p w:rsidR="00B71F11" w:rsidP="00C22807">
            <w:pPr>
              <w:pStyle w:val="Paragrafyzkona"/>
              <w:spacing w:before="0" w:line="240" w:lineRule="auto"/>
              <w:jc w:val="left"/>
              <w:rPr>
                <w:b w:val="0"/>
                <w:sz w:val="20"/>
                <w:szCs w:val="20"/>
                <w:lang w:eastAsia="en-US"/>
              </w:rPr>
            </w:pPr>
            <w:r>
              <w:rPr>
                <w:b w:val="0"/>
                <w:sz w:val="20"/>
                <w:szCs w:val="20"/>
                <w:lang w:eastAsia="en-US"/>
              </w:rPr>
              <w:t>O2</w:t>
            </w: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B71F11" w:rsidP="00C22807">
            <w:pPr>
              <w:pStyle w:val="Paragrafyzkona"/>
              <w:spacing w:before="0" w:line="240" w:lineRule="auto"/>
              <w:jc w:val="left"/>
              <w:rPr>
                <w:b w:val="0"/>
                <w:sz w:val="20"/>
                <w:szCs w:val="20"/>
                <w:lang w:eastAsia="en-US"/>
              </w:rPr>
            </w:pPr>
          </w:p>
          <w:p w:rsidR="00C22807" w:rsidRPr="00743DBC" w:rsidP="00C22807">
            <w:pPr>
              <w:pStyle w:val="Paragrafyzkona"/>
              <w:spacing w:before="0" w:line="240" w:lineRule="auto"/>
              <w:jc w:val="left"/>
              <w:rPr>
                <w:b w:val="0"/>
                <w:sz w:val="20"/>
                <w:szCs w:val="20"/>
                <w:lang w:eastAsia="en-US"/>
              </w:rPr>
            </w:pPr>
            <w:r w:rsidR="00323AA2">
              <w:rPr>
                <w:b w:val="0"/>
                <w:sz w:val="20"/>
                <w:szCs w:val="20"/>
                <w:lang w:eastAsia="en-US"/>
              </w:rPr>
              <w:t>§ 14</w:t>
            </w:r>
          </w:p>
          <w:p w:rsidR="00E80516" w:rsidP="00C22807">
            <w:pPr>
              <w:pStyle w:val="Paragrafyzkona"/>
              <w:spacing w:before="0" w:line="240" w:lineRule="auto"/>
              <w:jc w:val="left"/>
              <w:rPr>
                <w:b w:val="0"/>
                <w:sz w:val="20"/>
                <w:szCs w:val="20"/>
                <w:lang w:eastAsia="en-US"/>
              </w:rPr>
            </w:pPr>
            <w:r w:rsidRPr="00743DBC" w:rsidR="00C22807">
              <w:rPr>
                <w:b w:val="0"/>
                <w:sz w:val="20"/>
                <w:szCs w:val="20"/>
                <w:lang w:eastAsia="en-US"/>
              </w:rPr>
              <w:t>O</w:t>
            </w:r>
            <w:r w:rsidR="00C22807">
              <w:rPr>
                <w:b w:val="0"/>
                <w:sz w:val="20"/>
                <w:szCs w:val="20"/>
                <w:lang w:eastAsia="en-US"/>
              </w:rPr>
              <w:t>3</w:t>
            </w:r>
          </w:p>
          <w:p w:rsidR="00B8607C" w:rsidP="00C22807">
            <w:pPr>
              <w:pStyle w:val="Paragrafyzkona"/>
              <w:spacing w:before="0" w:line="240" w:lineRule="auto"/>
              <w:jc w:val="left"/>
              <w:rPr>
                <w:b w:val="0"/>
                <w:sz w:val="20"/>
                <w:szCs w:val="20"/>
                <w:lang w:eastAsia="en-US"/>
              </w:rPr>
            </w:pPr>
            <w:r w:rsidR="00896022">
              <w:rPr>
                <w:b w:val="0"/>
                <w:sz w:val="20"/>
                <w:szCs w:val="20"/>
                <w:lang w:eastAsia="en-US"/>
              </w:rPr>
              <w:t>Pa</w:t>
            </w:r>
          </w:p>
          <w:p w:rsidR="00AC2567" w:rsidP="00C22807">
            <w:pPr>
              <w:pStyle w:val="Paragrafyzkona"/>
              <w:spacing w:before="0" w:line="240" w:lineRule="auto"/>
              <w:jc w:val="left"/>
              <w:rPr>
                <w:b w:val="0"/>
                <w:sz w:val="20"/>
                <w:szCs w:val="20"/>
                <w:lang w:eastAsia="en-US"/>
              </w:rPr>
            </w:pPr>
          </w:p>
          <w:p w:rsidR="00896022" w:rsidP="00C22807">
            <w:pPr>
              <w:pStyle w:val="Paragrafyzkona"/>
              <w:spacing w:before="0" w:line="240" w:lineRule="auto"/>
              <w:jc w:val="left"/>
              <w:rPr>
                <w:b w:val="0"/>
                <w:sz w:val="20"/>
                <w:szCs w:val="20"/>
                <w:lang w:eastAsia="en-US"/>
              </w:rPr>
            </w:pPr>
            <w:r>
              <w:rPr>
                <w:b w:val="0"/>
                <w:sz w:val="20"/>
                <w:szCs w:val="20"/>
                <w:lang w:eastAsia="en-US"/>
              </w:rPr>
              <w:t>Pb</w:t>
            </w:r>
          </w:p>
          <w:p w:rsidR="00AC2567" w:rsidP="00C22807">
            <w:pPr>
              <w:pStyle w:val="Paragrafyzkona"/>
              <w:spacing w:before="0" w:line="240" w:lineRule="auto"/>
              <w:jc w:val="left"/>
              <w:rPr>
                <w:b w:val="0"/>
                <w:sz w:val="20"/>
                <w:szCs w:val="20"/>
                <w:lang w:eastAsia="en-US"/>
              </w:rPr>
            </w:pPr>
          </w:p>
          <w:p w:rsidR="00896022" w:rsidP="00C22807">
            <w:pPr>
              <w:pStyle w:val="Paragrafyzkona"/>
              <w:spacing w:before="0" w:line="240" w:lineRule="auto"/>
              <w:jc w:val="left"/>
              <w:rPr>
                <w:b w:val="0"/>
                <w:sz w:val="20"/>
                <w:szCs w:val="20"/>
                <w:lang w:eastAsia="en-US"/>
              </w:rPr>
            </w:pPr>
            <w:r>
              <w:rPr>
                <w:b w:val="0"/>
                <w:sz w:val="20"/>
                <w:szCs w:val="20"/>
                <w:lang w:eastAsia="en-US"/>
              </w:rPr>
              <w:t>Pc</w:t>
            </w:r>
          </w:p>
          <w:p w:rsidR="00AC2567" w:rsidP="00C22807">
            <w:pPr>
              <w:pStyle w:val="Paragrafyzkona"/>
              <w:spacing w:before="0" w:line="240" w:lineRule="auto"/>
              <w:jc w:val="left"/>
              <w:rPr>
                <w:b w:val="0"/>
                <w:sz w:val="20"/>
                <w:szCs w:val="20"/>
                <w:lang w:eastAsia="en-US"/>
              </w:rPr>
            </w:pPr>
          </w:p>
          <w:p w:rsidR="00AC2567" w:rsidP="00C22807">
            <w:pPr>
              <w:pStyle w:val="Paragrafyzkona"/>
              <w:spacing w:before="0" w:line="240" w:lineRule="auto"/>
              <w:jc w:val="left"/>
              <w:rPr>
                <w:b w:val="0"/>
                <w:sz w:val="20"/>
                <w:szCs w:val="20"/>
                <w:lang w:eastAsia="en-US"/>
              </w:rPr>
            </w:pPr>
          </w:p>
          <w:p w:rsidR="00896022" w:rsidP="00C22807">
            <w:pPr>
              <w:pStyle w:val="Paragrafyzkona"/>
              <w:spacing w:before="0" w:line="240" w:lineRule="auto"/>
              <w:jc w:val="left"/>
              <w:rPr>
                <w:b w:val="0"/>
                <w:sz w:val="20"/>
                <w:szCs w:val="20"/>
                <w:lang w:eastAsia="en-US"/>
              </w:rPr>
            </w:pPr>
            <w:r>
              <w:rPr>
                <w:b w:val="0"/>
                <w:sz w:val="20"/>
                <w:szCs w:val="20"/>
                <w:lang w:eastAsia="en-US"/>
              </w:rPr>
              <w:t>Pd</w:t>
            </w:r>
          </w:p>
          <w:p w:rsidR="00AC2567" w:rsidP="00C22807">
            <w:pPr>
              <w:pStyle w:val="Paragrafyzkona"/>
              <w:spacing w:before="0" w:line="240" w:lineRule="auto"/>
              <w:jc w:val="left"/>
              <w:rPr>
                <w:b w:val="0"/>
                <w:sz w:val="20"/>
                <w:szCs w:val="20"/>
                <w:lang w:eastAsia="en-US"/>
              </w:rPr>
            </w:pPr>
          </w:p>
          <w:p w:rsidR="00896022" w:rsidP="00C22807">
            <w:pPr>
              <w:pStyle w:val="Paragrafyzkona"/>
              <w:spacing w:before="0" w:line="240" w:lineRule="auto"/>
              <w:jc w:val="left"/>
              <w:rPr>
                <w:b w:val="0"/>
                <w:sz w:val="20"/>
                <w:szCs w:val="20"/>
                <w:lang w:eastAsia="en-US"/>
              </w:rPr>
            </w:pPr>
            <w:r>
              <w:rPr>
                <w:b w:val="0"/>
                <w:sz w:val="20"/>
                <w:szCs w:val="20"/>
                <w:lang w:eastAsia="en-US"/>
              </w:rPr>
              <w:t>Pe</w:t>
            </w: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D53B1" w:rsidP="00ED53B1">
            <w:pPr>
              <w:pStyle w:val="Paragrafyzkona"/>
              <w:spacing w:before="0" w:line="240" w:lineRule="auto"/>
              <w:jc w:val="left"/>
              <w:rPr>
                <w:b w:val="0"/>
                <w:sz w:val="20"/>
                <w:szCs w:val="20"/>
                <w:lang w:eastAsia="en-US"/>
              </w:rPr>
            </w:pPr>
            <w:r>
              <w:rPr>
                <w:b w:val="0"/>
                <w:sz w:val="20"/>
                <w:szCs w:val="20"/>
                <w:lang w:eastAsia="en-US"/>
              </w:rPr>
              <w:t>§ 29</w:t>
            </w:r>
          </w:p>
          <w:p w:rsidR="00ED53B1" w:rsidP="00ED53B1">
            <w:pPr>
              <w:pStyle w:val="Paragrafyzkona"/>
              <w:spacing w:before="0" w:line="240" w:lineRule="auto"/>
              <w:jc w:val="left"/>
              <w:rPr>
                <w:b w:val="0"/>
                <w:sz w:val="20"/>
                <w:szCs w:val="20"/>
                <w:lang w:eastAsia="en-US"/>
              </w:rPr>
            </w:pPr>
            <w:r>
              <w:rPr>
                <w:b w:val="0"/>
                <w:sz w:val="20"/>
                <w:szCs w:val="20"/>
                <w:lang w:eastAsia="en-US"/>
              </w:rPr>
              <w:t>O1</w:t>
            </w:r>
          </w:p>
          <w:p w:rsidR="00ED53B1" w:rsidP="00ED53B1">
            <w:pPr>
              <w:pStyle w:val="Paragrafyzkona"/>
              <w:spacing w:before="0" w:line="240" w:lineRule="auto"/>
              <w:jc w:val="left"/>
              <w:rPr>
                <w:b w:val="0"/>
                <w:sz w:val="20"/>
                <w:szCs w:val="20"/>
                <w:lang w:eastAsia="en-US"/>
              </w:rPr>
            </w:pPr>
          </w:p>
          <w:p w:rsidR="00ED53B1" w:rsidP="00ED53B1">
            <w:pPr>
              <w:pStyle w:val="Paragrafyzkona"/>
              <w:spacing w:before="0" w:line="240" w:lineRule="auto"/>
              <w:jc w:val="left"/>
              <w:rPr>
                <w:b w:val="0"/>
                <w:sz w:val="20"/>
                <w:szCs w:val="20"/>
                <w:lang w:eastAsia="en-US"/>
              </w:rPr>
            </w:pPr>
          </w:p>
          <w:p w:rsidR="00ED53B1" w:rsidRPr="00743DBC" w:rsidP="00ED53B1">
            <w:pPr>
              <w:pStyle w:val="Paragrafyzkona"/>
              <w:spacing w:before="0" w:line="240" w:lineRule="auto"/>
              <w:jc w:val="left"/>
              <w:rPr>
                <w:b w:val="0"/>
                <w:sz w:val="20"/>
                <w:szCs w:val="20"/>
                <w:lang w:eastAsia="en-US"/>
              </w:rPr>
            </w:pPr>
            <w:r>
              <w:rPr>
                <w:b w:val="0"/>
                <w:sz w:val="20"/>
                <w:szCs w:val="20"/>
                <w:lang w:eastAsia="en-US"/>
              </w:rPr>
              <w:t>Pa</w:t>
            </w:r>
          </w:p>
          <w:p w:rsidR="00ED53B1" w:rsidP="00C22807">
            <w:pPr>
              <w:pStyle w:val="Paragrafyzkona"/>
              <w:spacing w:before="0" w:line="240" w:lineRule="auto"/>
              <w:jc w:val="left"/>
              <w:rPr>
                <w:b w:val="0"/>
                <w:sz w:val="20"/>
                <w:szCs w:val="20"/>
                <w:lang w:eastAsia="en-US"/>
              </w:rPr>
            </w:pPr>
          </w:p>
          <w:p w:rsidR="00ED53B1" w:rsidP="00C22807">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B71F11" w:rsidP="00B71F11">
            <w:pPr>
              <w:jc w:val="both"/>
              <w:rPr>
                <w:sz w:val="20"/>
              </w:rPr>
            </w:pPr>
            <w:r w:rsidRPr="00B71F11">
              <w:rPr>
                <w:sz w:val="20"/>
              </w:rPr>
              <w:t>(2) Pri meraniach podľa odseku 1 písm. a) okrem  koncentrácií znečisťujúcich látok podľa § 4 ods. 2 sa spolu s</w:t>
            </w:r>
          </w:p>
          <w:p w:rsidR="00B71F11" w:rsidRPr="00B71F11" w:rsidP="00B71F11">
            <w:pPr>
              <w:jc w:val="both"/>
              <w:rPr>
                <w:sz w:val="20"/>
              </w:rPr>
            </w:pPr>
          </w:p>
          <w:p w:rsidR="00B71F11" w:rsidRPr="00B71F11" w:rsidP="00B71F11">
            <w:pPr>
              <w:jc w:val="both"/>
              <w:rPr>
                <w:sz w:val="20"/>
              </w:rPr>
            </w:pPr>
            <w:r>
              <w:rPr>
                <w:sz w:val="20"/>
              </w:rPr>
              <w:t xml:space="preserve">a) </w:t>
            </w:r>
            <w:r w:rsidRPr="00B71F11">
              <w:rPr>
                <w:sz w:val="20"/>
              </w:rPr>
              <w:t>ozónom sa monitorujú aj prekurzory ozónu ako sú oxid dusičitý a prchavé organické látky;  monitorovanie prekurzorov ozónu zahŕňa meranie:</w:t>
            </w:r>
          </w:p>
          <w:p w:rsidR="00B71F11" w:rsidP="00B71F11">
            <w:pPr>
              <w:jc w:val="both"/>
            </w:pPr>
            <w:r w:rsidRPr="00B71F11">
              <w:rPr>
                <w:sz w:val="20"/>
              </w:rPr>
              <w:t>odporúčaných  prchavých organických zlúčenín podľa požiadaviek ustanovených  vykonávacím predpisom podľa § 62 písm. b), aspoň na jednom mieste v rámci územia Slovenskej republiky,</w:t>
            </w:r>
            <w:r>
              <w:t xml:space="preserve"> </w:t>
            </w:r>
          </w:p>
          <w:p w:rsidR="00B71F11" w:rsidP="00B71F11">
            <w:pPr>
              <w:jc w:val="both"/>
            </w:pPr>
          </w:p>
          <w:p w:rsidR="00B71F11" w:rsidP="00B71F11">
            <w:pPr>
              <w:jc w:val="both"/>
              <w:rPr>
                <w:sz w:val="20"/>
              </w:rPr>
            </w:pPr>
            <w:r>
              <w:rPr>
                <w:sz w:val="20"/>
              </w:rPr>
              <w:t xml:space="preserve">2. </w:t>
            </w:r>
            <w:r w:rsidRPr="00B71F11">
              <w:rPr>
                <w:sz w:val="20"/>
              </w:rPr>
              <w:t>oxidu dusičitého kontinuálne, najmenej na 50 % vzorkovacích miest,</w:t>
            </w:r>
          </w:p>
          <w:p w:rsidR="00B71F11" w:rsidRPr="00B71F11" w:rsidP="00B71F11">
            <w:pPr>
              <w:jc w:val="both"/>
              <w:rPr>
                <w:sz w:val="20"/>
              </w:rPr>
            </w:pPr>
          </w:p>
          <w:p w:rsidR="00B71F11" w:rsidRPr="00B71F11" w:rsidP="00B71F11">
            <w:pPr>
              <w:jc w:val="both"/>
              <w:rPr>
                <w:sz w:val="20"/>
              </w:rPr>
            </w:pPr>
            <w:r>
              <w:rPr>
                <w:sz w:val="20"/>
              </w:rPr>
              <w:t xml:space="preserve">b) </w:t>
            </w:r>
            <w:r w:rsidRPr="00B71F11">
              <w:rPr>
                <w:sz w:val="20"/>
              </w:rPr>
              <w:t>benzo(a)pyrénom sa na vymedzenom počte vzorkovacích miest monitorujú aj iné polycyklické aromatické uhľovodíky, najmä benz(a)antracén, chryzén, benzo(b)fluorantén, benzo(k)fluorantén, indeno(1,2,3-cd)pyrén a dibenzo(a,h)antracén, benzo(g,h,i)perylen (ďalej len „vybrané polycyklické aromatické uhľovodíky“); vzorkovacie miesta sa umiestňujú s cieľom identifikovania geografických variácií a dlhodobých trendov.</w:t>
            </w:r>
          </w:p>
          <w:p w:rsidR="00C22807" w:rsidRPr="00B71F11" w:rsidP="00C22807">
            <w:pPr>
              <w:spacing w:after="120"/>
              <w:jc w:val="both"/>
              <w:rPr>
                <w:sz w:val="20"/>
              </w:rPr>
            </w:pPr>
            <w:r w:rsidRPr="00B71F11">
              <w:rPr>
                <w:sz w:val="20"/>
              </w:rPr>
              <w:t xml:space="preserve">Poverená organizácia vypracuje a zverejní na svojom webovom sídle </w:t>
            </w:r>
          </w:p>
          <w:p w:rsidR="00C22807" w:rsidRPr="00B71F11" w:rsidP="00557828">
            <w:pPr>
              <w:numPr>
                <w:ilvl w:val="1"/>
                <w:numId w:val="21"/>
              </w:numPr>
              <w:spacing w:after="120"/>
              <w:ind w:left="284" w:hanging="284"/>
              <w:jc w:val="both"/>
              <w:rPr>
                <w:sz w:val="20"/>
              </w:rPr>
            </w:pPr>
            <w:r w:rsidRPr="00B71F11">
              <w:rPr>
                <w:sz w:val="20"/>
              </w:rPr>
              <w:t xml:space="preserve">hodnotenie kvality ovzdušia za uplynulý mesiac, najneskôr do konca nasledujúceho mesiaca, </w:t>
            </w:r>
          </w:p>
          <w:p w:rsidR="00C22807" w:rsidRPr="00B71F11" w:rsidP="00557828">
            <w:pPr>
              <w:pStyle w:val="ListParagraph"/>
              <w:numPr>
                <w:ilvl w:val="1"/>
                <w:numId w:val="21"/>
              </w:numPr>
              <w:spacing w:line="240" w:lineRule="auto"/>
              <w:ind w:left="284" w:hanging="284"/>
              <w:contextualSpacing w:val="0"/>
              <w:jc w:val="both"/>
              <w:rPr>
                <w:sz w:val="20"/>
                <w:szCs w:val="20"/>
                <w:lang w:eastAsia="en-US"/>
              </w:rPr>
            </w:pPr>
            <w:r w:rsidRPr="00B71F11">
              <w:rPr>
                <w:sz w:val="20"/>
                <w:szCs w:val="20"/>
                <w:lang w:eastAsia="en-US"/>
              </w:rPr>
              <w:t>predbežné hodnotenie k</w:t>
            </w:r>
            <w:r w:rsidRPr="00B71F11">
              <w:rPr>
                <w:sz w:val="20"/>
                <w:szCs w:val="20"/>
                <w:lang w:eastAsia="en-US"/>
              </w:rPr>
              <w:t xml:space="preserve">vality ovzdušia v rozsahu validovaných výsledkov z monitorovania kvality ovzdušia za uplynulý rok, najneskôr 30. apríla nasledujúceho roku, </w:t>
            </w:r>
          </w:p>
          <w:p w:rsidR="00C22807" w:rsidRPr="00B71F11" w:rsidP="00557828">
            <w:pPr>
              <w:pStyle w:val="ListParagraph"/>
              <w:numPr>
                <w:ilvl w:val="1"/>
                <w:numId w:val="21"/>
              </w:numPr>
              <w:spacing w:line="240" w:lineRule="auto"/>
              <w:ind w:left="284" w:hanging="284"/>
              <w:contextualSpacing w:val="0"/>
              <w:jc w:val="both"/>
              <w:rPr>
                <w:sz w:val="20"/>
                <w:szCs w:val="20"/>
                <w:lang w:eastAsia="en-US"/>
              </w:rPr>
            </w:pPr>
            <w:r w:rsidRPr="00B71F11">
              <w:rPr>
                <w:sz w:val="20"/>
                <w:szCs w:val="20"/>
                <w:lang w:eastAsia="en-US"/>
              </w:rPr>
              <w:t xml:space="preserve">zoznam aglomerácií a zón, kde bola limitná hodnota alebo cieľová hodnota v uplynulom roku prekročená, s vymedzenými oblasťami riadenia kvality ovzdušia, </w:t>
            </w:r>
          </w:p>
          <w:p w:rsidR="00C22807" w:rsidRPr="00B71F11" w:rsidP="00557828">
            <w:pPr>
              <w:pStyle w:val="ListParagraph"/>
              <w:numPr>
                <w:ilvl w:val="1"/>
                <w:numId w:val="21"/>
              </w:numPr>
              <w:spacing w:line="240" w:lineRule="auto"/>
              <w:ind w:left="284" w:hanging="284"/>
              <w:contextualSpacing w:val="0"/>
              <w:jc w:val="both"/>
              <w:rPr>
                <w:sz w:val="20"/>
                <w:szCs w:val="20"/>
                <w:lang w:eastAsia="en-US"/>
              </w:rPr>
            </w:pPr>
            <w:r w:rsidRPr="00B71F11">
              <w:rPr>
                <w:sz w:val="20"/>
                <w:szCs w:val="20"/>
                <w:lang w:eastAsia="en-US"/>
              </w:rPr>
              <w:t>index kvality ovzdušia podľa odseku 5,</w:t>
            </w:r>
          </w:p>
          <w:p w:rsidR="000945F4" w:rsidRPr="00B71F11" w:rsidP="00896022">
            <w:pPr>
              <w:pStyle w:val="ListParagraph"/>
              <w:tabs>
                <w:tab w:val="left" w:pos="5203"/>
              </w:tabs>
              <w:spacing w:line="240" w:lineRule="auto"/>
              <w:ind w:left="0"/>
              <w:contextualSpacing w:val="0"/>
              <w:jc w:val="both"/>
              <w:rPr>
                <w:sz w:val="20"/>
                <w:szCs w:val="20"/>
                <w:lang w:eastAsia="en-US"/>
              </w:rPr>
            </w:pPr>
            <w:r w:rsidRPr="00B71F11" w:rsidR="00896022">
              <w:rPr>
                <w:sz w:val="20"/>
                <w:szCs w:val="20"/>
                <w:lang w:eastAsia="en-US"/>
              </w:rPr>
              <w:t xml:space="preserve">e)  </w:t>
            </w:r>
            <w:r w:rsidRPr="00B71F11" w:rsidR="00C22807">
              <w:rPr>
                <w:sz w:val="20"/>
                <w:szCs w:val="20"/>
                <w:lang w:eastAsia="en-US"/>
              </w:rPr>
              <w:t>správu o kvalite ovzdušia v Slovenskej republike najneskôr 30. júna nasledujúceho roku, ktorej súčasťou je komplexné hodnotenie kvality ovzdušia za každú zónu a aglomeráciu z</w:t>
            </w:r>
            <w:r w:rsidRPr="00B71F11" w:rsidR="00C22807">
              <w:rPr>
                <w:sz w:val="20"/>
                <w:szCs w:val="20"/>
                <w:lang w:eastAsia="en-US"/>
              </w:rPr>
              <w:t xml:space="preserve">a uplynulý rok, ktorá </w:t>
            </w:r>
          </w:p>
          <w:p w:rsidR="00C22807" w:rsidRPr="00B71F11" w:rsidP="00AC2567">
            <w:pPr>
              <w:pStyle w:val="ListParagraph"/>
              <w:spacing w:after="60" w:line="240" w:lineRule="auto"/>
              <w:ind w:left="0"/>
              <w:contextualSpacing w:val="0"/>
              <w:jc w:val="both"/>
              <w:rPr>
                <w:sz w:val="20"/>
                <w:szCs w:val="20"/>
                <w:lang w:eastAsia="en-US"/>
              </w:rPr>
            </w:pPr>
            <w:r w:rsidRPr="00B71F11" w:rsidR="00AC2567">
              <w:rPr>
                <w:sz w:val="20"/>
                <w:szCs w:val="20"/>
                <w:lang w:eastAsia="en-US"/>
              </w:rPr>
              <w:t xml:space="preserve">Bod 1. </w:t>
            </w:r>
            <w:r w:rsidRPr="00B71F11">
              <w:rPr>
                <w:sz w:val="20"/>
                <w:szCs w:val="20"/>
                <w:lang w:eastAsia="en-US"/>
              </w:rPr>
              <w:t xml:space="preserve">obsahuje informácie o podiele zdrojov na znečistení ovzdušia podľa sektorov za rok X-2, </w:t>
            </w:r>
          </w:p>
          <w:p w:rsidR="00C22807" w:rsidRPr="00B71F11" w:rsidP="00AC2567">
            <w:pPr>
              <w:pStyle w:val="ListParagraph"/>
              <w:spacing w:after="60" w:line="240" w:lineRule="auto"/>
              <w:ind w:left="0"/>
              <w:contextualSpacing w:val="0"/>
              <w:jc w:val="both"/>
              <w:rPr>
                <w:sz w:val="20"/>
                <w:szCs w:val="20"/>
                <w:lang w:eastAsia="en-US"/>
              </w:rPr>
            </w:pPr>
            <w:r w:rsidRPr="00B71F11" w:rsidR="00AC2567">
              <w:rPr>
                <w:sz w:val="20"/>
                <w:szCs w:val="20"/>
                <w:lang w:eastAsia="en-US"/>
              </w:rPr>
              <w:t xml:space="preserve">Bod 2. </w:t>
            </w:r>
            <w:r w:rsidRPr="00B71F11">
              <w:rPr>
                <w:sz w:val="20"/>
                <w:szCs w:val="20"/>
                <w:lang w:eastAsia="en-US"/>
              </w:rPr>
              <w:t>môže obsahovať stručné hodnotenie účinkov prekročení prípustnej miery znečistenia ovzdušia,</w:t>
            </w:r>
          </w:p>
          <w:p w:rsidR="00C22807" w:rsidRPr="00B71F11" w:rsidP="00AC2567">
            <w:pPr>
              <w:pStyle w:val="ListParagraph"/>
              <w:spacing w:after="360" w:line="240" w:lineRule="auto"/>
              <w:ind w:left="0"/>
              <w:contextualSpacing w:val="0"/>
              <w:jc w:val="both"/>
              <w:rPr>
                <w:sz w:val="20"/>
                <w:szCs w:val="20"/>
                <w:lang w:eastAsia="en-US"/>
              </w:rPr>
            </w:pPr>
            <w:r w:rsidRPr="00B71F11" w:rsidR="00AC2567">
              <w:rPr>
                <w:sz w:val="20"/>
                <w:szCs w:val="20"/>
                <w:lang w:eastAsia="en-US"/>
              </w:rPr>
              <w:t xml:space="preserve">Bod 3. </w:t>
            </w:r>
            <w:r w:rsidRPr="00B71F11">
              <w:rPr>
                <w:sz w:val="20"/>
                <w:szCs w:val="20"/>
                <w:lang w:eastAsia="en-US"/>
              </w:rPr>
              <w:t xml:space="preserve">môže obsahovať informácie a hodnotenia ochrany lesov, ako aj informácie o ďalších znečisťujúcich látkach, pre ktoré sú ustanovené požiadavky na monitorovanie napr. vybraných neregulovaných prekurzorov ozónu. </w:t>
            </w:r>
          </w:p>
          <w:p w:rsidR="00E80516" w:rsidRPr="00E80516" w:rsidP="00E80516">
            <w:pPr>
              <w:pStyle w:val="ListParagraph"/>
              <w:spacing w:after="360"/>
              <w:ind w:left="0"/>
              <w:jc w:val="both"/>
              <w:rPr>
                <w:sz w:val="20"/>
                <w:szCs w:val="20"/>
                <w:lang w:eastAsia="en-US"/>
              </w:rPr>
            </w:pPr>
            <w:r w:rsidRPr="00B71F11" w:rsidR="00ED53B1">
              <w:rPr>
                <w:sz w:val="20"/>
                <w:szCs w:val="20"/>
                <w:lang w:eastAsia="en-US"/>
              </w:rPr>
              <w:t xml:space="preserve">(1) </w:t>
            </w:r>
            <w:r w:rsidRPr="00E80516">
              <w:rPr>
                <w:sz w:val="20"/>
                <w:szCs w:val="20"/>
                <w:lang w:eastAsia="en-US"/>
              </w:rPr>
              <w:t>Novobudovaný stacionárny zdroj a stacionárny zdroj a jeho zariadenia po vykonaní podstatnej zmeny podľa § 2 ods. 1 písm. o) musí byť navrhnutý a konštruovaný tak, aby spĺňal</w:t>
            </w:r>
          </w:p>
          <w:p w:rsidR="00E20C4A" w:rsidRPr="009E327E" w:rsidP="00E80516">
            <w:pPr>
              <w:pStyle w:val="ListParagraph"/>
              <w:spacing w:after="360" w:line="240" w:lineRule="auto"/>
              <w:ind w:left="0"/>
              <w:contextualSpacing w:val="0"/>
              <w:jc w:val="both"/>
              <w:rPr>
                <w:sz w:val="20"/>
                <w:szCs w:val="20"/>
                <w:vertAlign w:val="superscript"/>
                <w:lang w:eastAsia="en-US"/>
              </w:rPr>
            </w:pPr>
            <w:r w:rsidRPr="009E327E" w:rsidR="00E80516">
              <w:rPr>
                <w:sz w:val="20"/>
                <w:szCs w:val="20"/>
                <w:lang w:eastAsia="en-US"/>
              </w:rPr>
              <w:t>a) požiadavky najlepšej dostupnej techniky,</w:t>
            </w:r>
            <w:r w:rsidRPr="009E327E" w:rsidR="009E327E">
              <w:rPr>
                <w:sz w:val="20"/>
                <w:szCs w:val="20"/>
                <w:vertAlign w:val="superscript"/>
                <w:lang w:eastAsia="en-US"/>
              </w:rPr>
              <w:t>18</w:t>
            </w:r>
            <w:r w:rsidRPr="009E327E" w:rsidR="00E80516">
              <w:rPr>
                <w:sz w:val="20"/>
                <w:szCs w:val="20"/>
                <w:vertAlign w:val="superscript"/>
                <w:lang w:eastAsia="en-US"/>
              </w:rPr>
              <w:t>)</w:t>
            </w:r>
          </w:p>
          <w:p w:rsidR="00E80516" w:rsidRPr="00E80516" w:rsidP="009E327E">
            <w:pPr>
              <w:pStyle w:val="ListParagraph"/>
              <w:spacing w:after="360" w:line="240" w:lineRule="auto"/>
              <w:ind w:left="0"/>
              <w:contextualSpacing w:val="0"/>
              <w:jc w:val="both"/>
              <w:rPr>
                <w:b/>
              </w:rPr>
            </w:pPr>
            <w:r w:rsidRPr="009E327E" w:rsidR="009E327E">
              <w:rPr>
                <w:sz w:val="20"/>
                <w:szCs w:val="20"/>
                <w:vertAlign w:val="superscript"/>
                <w:lang w:eastAsia="en-US"/>
              </w:rPr>
              <w:t>18</w:t>
            </w:r>
            <w:r w:rsidRPr="009E327E">
              <w:rPr>
                <w:sz w:val="20"/>
                <w:szCs w:val="20"/>
                <w:vertAlign w:val="superscript"/>
                <w:lang w:eastAsia="en-US"/>
              </w:rPr>
              <w:t>)</w:t>
            </w:r>
            <w:r w:rsidRPr="009E327E">
              <w:rPr>
                <w:lang w:val="sk"/>
              </w:rPr>
              <w:t xml:space="preserve"> </w:t>
            </w:r>
            <w:r w:rsidRPr="009E327E" w:rsidR="009E327E">
              <w:rPr>
                <w:sz w:val="18"/>
                <w:szCs w:val="18"/>
                <w:lang w:eastAsia="en-US"/>
              </w:rPr>
              <w:t>§ 2 písm. n) zákona č. 39/2013 Z. z. v znení neskorších predpisov.</w:t>
            </w:r>
          </w:p>
        </w:tc>
        <w:tc>
          <w:tcPr>
            <w:tcW w:w="708" w:type="dxa"/>
          </w:tcPr>
          <w:p w:rsidR="00E20C4A" w:rsidRPr="00C22807" w:rsidP="00E20C4A">
            <w:pPr>
              <w:jc w:val="both"/>
              <w:rPr>
                <w:sz w:val="20"/>
              </w:rPr>
            </w:pPr>
            <w:r w:rsidRPr="00C22807" w:rsidR="00C22807">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Č11</w:t>
            </w:r>
          </w:p>
          <w:p w:rsidR="004803BE" w:rsidP="00E20C4A">
            <w:pPr>
              <w:jc w:val="both"/>
              <w:rPr>
                <w:sz w:val="20"/>
              </w:rPr>
            </w:pPr>
            <w:r>
              <w:rPr>
                <w:sz w:val="20"/>
              </w:rPr>
              <w:t>O1</w:t>
            </w:r>
          </w:p>
          <w:p w:rsidR="00E20C4A" w:rsidP="00E20C4A">
            <w:pPr>
              <w:jc w:val="both"/>
              <w:rPr>
                <w:sz w:val="20"/>
              </w:rPr>
            </w:pPr>
          </w:p>
        </w:tc>
        <w:tc>
          <w:tcPr>
            <w:tcW w:w="4074" w:type="dxa"/>
            <w:tcBorders>
              <w:bottom w:val="single" w:sz="4" w:space="0" w:color="auto"/>
            </w:tcBorders>
          </w:tcPr>
          <w:p w:rsidR="00E20C4A" w:rsidRPr="003D65E2" w:rsidP="00E20C4A">
            <w:pPr>
              <w:jc w:val="both"/>
              <w:rPr>
                <w:sz w:val="20"/>
              </w:rPr>
            </w:pPr>
            <w:r w:rsidRPr="003D65E2">
              <w:rPr>
                <w:sz w:val="20"/>
              </w:rPr>
              <w:t>Referenčné metódy merania</w:t>
            </w:r>
          </w:p>
          <w:p w:rsidR="00E20C4A" w:rsidP="00E20C4A">
            <w:pPr>
              <w:jc w:val="both"/>
              <w:rPr>
                <w:sz w:val="20"/>
              </w:rPr>
            </w:pPr>
            <w:r w:rsidRPr="003D65E2">
              <w:rPr>
                <w:sz w:val="20"/>
              </w:rPr>
              <w:t>1. Členské štáty uplatňujú referenčné metódy merania ozónu stanovené v bode 8 oddielu A príloh</w:t>
            </w:r>
            <w:r>
              <w:rPr>
                <w:sz w:val="20"/>
              </w:rPr>
              <w:t xml:space="preserve">y VI. Iné metódy merania sa môžu </w:t>
            </w:r>
            <w:r w:rsidRPr="003D65E2">
              <w:rPr>
                <w:sz w:val="20"/>
              </w:rPr>
              <w:t>použiť za podmienok stanovených v oddiele B prílohy VI.</w:t>
            </w:r>
          </w:p>
          <w:p w:rsidR="00E20C4A" w:rsidP="00E20C4A">
            <w:pPr>
              <w:jc w:val="both"/>
              <w:rPr>
                <w:sz w:val="20"/>
              </w:rPr>
            </w:pPr>
          </w:p>
          <w:p w:rsidR="00A002F8" w:rsidP="00E20C4A">
            <w:pPr>
              <w:jc w:val="both"/>
              <w:rPr>
                <w:sz w:val="20"/>
              </w:rPr>
            </w:pPr>
          </w:p>
          <w:p w:rsidR="00A002F8" w:rsidP="00E20C4A">
            <w:pPr>
              <w:jc w:val="both"/>
              <w:rPr>
                <w:sz w:val="20"/>
              </w:rPr>
            </w:pPr>
          </w:p>
          <w:p w:rsidR="00A002F8" w:rsidP="00E20C4A">
            <w:pPr>
              <w:jc w:val="both"/>
              <w:rPr>
                <w:sz w:val="20"/>
              </w:rPr>
            </w:pPr>
          </w:p>
          <w:p w:rsidR="00A002F8" w:rsidP="00E20C4A">
            <w:pPr>
              <w:jc w:val="both"/>
              <w:rPr>
                <w:sz w:val="20"/>
              </w:rPr>
            </w:pPr>
          </w:p>
          <w:p w:rsidR="00A002F8" w:rsidP="00E20C4A">
            <w:pPr>
              <w:jc w:val="both"/>
              <w:rPr>
                <w:sz w:val="20"/>
              </w:rPr>
            </w:pPr>
          </w:p>
          <w:p w:rsidR="00A002F8" w:rsidP="00E20C4A">
            <w:pPr>
              <w:jc w:val="both"/>
              <w:rPr>
                <w:sz w:val="20"/>
              </w:rPr>
            </w:pPr>
          </w:p>
        </w:tc>
        <w:tc>
          <w:tcPr>
            <w:tcW w:w="747" w:type="dxa"/>
          </w:tcPr>
          <w:p w:rsidR="00E20C4A" w:rsidRPr="00D86B9D" w:rsidP="00E20C4A">
            <w:pPr>
              <w:ind w:right="-249"/>
              <w:rPr>
                <w:sz w:val="20"/>
              </w:rPr>
            </w:pPr>
            <w:r w:rsidR="002E48D3">
              <w:rPr>
                <w:sz w:val="20"/>
              </w:rPr>
              <w:t>N</w:t>
            </w:r>
          </w:p>
        </w:tc>
        <w:tc>
          <w:tcPr>
            <w:tcW w:w="574" w:type="dxa"/>
          </w:tcPr>
          <w:p w:rsidR="00E20C4A" w:rsidRPr="002E48D3" w:rsidP="00E20C4A">
            <w:pPr>
              <w:jc w:val="both"/>
              <w:rPr>
                <w:sz w:val="20"/>
              </w:rPr>
            </w:pPr>
            <w:r w:rsidRPr="002E48D3" w:rsidR="002E48D3">
              <w:rPr>
                <w:sz w:val="20"/>
              </w:rPr>
              <w:t>N</w:t>
            </w:r>
            <w:r w:rsidR="004D4DCD">
              <w:rPr>
                <w:sz w:val="20"/>
              </w:rPr>
              <w:t>V</w:t>
            </w:r>
          </w:p>
        </w:tc>
        <w:tc>
          <w:tcPr>
            <w:tcW w:w="701" w:type="dxa"/>
          </w:tcPr>
          <w:p w:rsidR="00E20C4A" w:rsidP="004D4DCD">
            <w:pPr>
              <w:pStyle w:val="Paragrafyzkona"/>
              <w:spacing w:before="0" w:line="240" w:lineRule="auto"/>
              <w:jc w:val="left"/>
              <w:rPr>
                <w:b w:val="0"/>
                <w:sz w:val="20"/>
              </w:rPr>
            </w:pPr>
            <w:r w:rsidRPr="004D4DCD" w:rsidR="004D4DCD">
              <w:rPr>
                <w:b w:val="0"/>
                <w:sz w:val="20"/>
              </w:rPr>
              <w:t>Príl. 5</w:t>
            </w:r>
          </w:p>
          <w:p w:rsidR="008E5BE6" w:rsidP="004D4DCD">
            <w:pPr>
              <w:pStyle w:val="Paragrafyzkona"/>
              <w:spacing w:before="0" w:line="240" w:lineRule="auto"/>
              <w:jc w:val="left"/>
              <w:rPr>
                <w:b w:val="0"/>
                <w:sz w:val="20"/>
              </w:rPr>
            </w:pPr>
            <w:r>
              <w:rPr>
                <w:b w:val="0"/>
                <w:sz w:val="20"/>
              </w:rPr>
              <w:t>PA</w:t>
            </w:r>
          </w:p>
          <w:p w:rsidR="008E5BE6" w:rsidRPr="004D4DCD" w:rsidP="004D4DCD">
            <w:pPr>
              <w:pStyle w:val="Paragrafyzkona"/>
              <w:spacing w:before="0" w:line="240" w:lineRule="auto"/>
              <w:jc w:val="left"/>
              <w:rPr>
                <w:b w:val="0"/>
                <w:sz w:val="20"/>
              </w:rPr>
            </w:pPr>
          </w:p>
        </w:tc>
        <w:tc>
          <w:tcPr>
            <w:tcW w:w="7797" w:type="dxa"/>
          </w:tcPr>
          <w:p w:rsidR="004D4DCD" w:rsidRPr="00B71F11" w:rsidP="00A47562">
            <w:pPr>
              <w:jc w:val="both"/>
              <w:rPr>
                <w:sz w:val="20"/>
              </w:rPr>
            </w:pPr>
            <w:r w:rsidRPr="00B71F11">
              <w:rPr>
                <w:sz w:val="20"/>
              </w:rPr>
              <w:t>Referenčné metódy  na hodnotenie kvality ovzdušia</w:t>
            </w:r>
            <w:r w:rsidRPr="00B71F11">
              <w:rPr>
                <w:sz w:val="20"/>
              </w:rPr>
              <w:t xml:space="preserve"> </w:t>
            </w:r>
          </w:p>
          <w:p w:rsidR="008E5BE6" w:rsidRPr="00B71F11" w:rsidP="008E5BE6">
            <w:pPr>
              <w:keepNext/>
              <w:keepLines/>
              <w:autoSpaceDE w:val="0"/>
              <w:autoSpaceDN w:val="0"/>
              <w:adjustRightInd w:val="0"/>
              <w:spacing w:after="240"/>
              <w:ind w:left="284" w:hanging="284"/>
              <w:rPr>
                <w:sz w:val="20"/>
              </w:rPr>
            </w:pPr>
            <w:r w:rsidRPr="00B71F11">
              <w:rPr>
                <w:sz w:val="20"/>
              </w:rPr>
              <w:t>A. Referenčné metódy</w:t>
            </w:r>
          </w:p>
          <w:p w:rsidR="000945F4" w:rsidRPr="00B71F11" w:rsidP="008E5BE6">
            <w:pPr>
              <w:pStyle w:val="ListParagraph"/>
              <w:keepLines/>
              <w:autoSpaceDE w:val="0"/>
              <w:autoSpaceDN w:val="0"/>
              <w:adjustRightInd w:val="0"/>
              <w:ind w:left="0"/>
              <w:rPr>
                <w:sz w:val="20"/>
                <w:szCs w:val="20"/>
                <w:lang w:bidi="sk-SK"/>
              </w:rPr>
            </w:pPr>
            <w:r w:rsidRPr="00B71F11">
              <w:rPr>
                <w:sz w:val="20"/>
                <w:szCs w:val="20"/>
                <w:lang w:bidi="sk-SK"/>
              </w:rPr>
              <w:t>Bod 8. Referenčná metóda merania ozónu štandardnou ultrafialovou fotometrickou metódou merania koncentrácie ozónu podľa technickej normy</w:t>
            </w:r>
            <w:r w:rsidRPr="00B71F11" w:rsidR="00B8607C">
              <w:rPr>
                <w:sz w:val="20"/>
                <w:szCs w:val="20"/>
                <w:lang w:bidi="sk-SK"/>
              </w:rPr>
              <w:t>.</w:t>
            </w:r>
            <w:r w:rsidRPr="00B71F11" w:rsidR="00B8607C">
              <w:rPr>
                <w:sz w:val="20"/>
                <w:szCs w:val="20"/>
                <w:vertAlign w:val="superscript"/>
                <w:lang w:bidi="sk-SK"/>
              </w:rPr>
              <w:t>8</w:t>
            </w:r>
            <w:r w:rsidRPr="00B71F11">
              <w:rPr>
                <w:sz w:val="20"/>
                <w:szCs w:val="20"/>
                <w:lang w:bidi="sk-SK"/>
              </w:rPr>
              <w:t xml:space="preserve">)   </w:t>
            </w:r>
          </w:p>
          <w:p w:rsidR="008E5BE6" w:rsidP="008E5BE6">
            <w:pPr>
              <w:pStyle w:val="ListParagraph"/>
              <w:keepLines/>
              <w:autoSpaceDE w:val="0"/>
              <w:autoSpaceDN w:val="0"/>
              <w:adjustRightInd w:val="0"/>
              <w:ind w:left="0"/>
            </w:pPr>
            <w:r w:rsidRPr="00B71F11" w:rsidR="00B8607C">
              <w:rPr>
                <w:sz w:val="20"/>
                <w:szCs w:val="20"/>
                <w:vertAlign w:val="superscript"/>
                <w:lang w:bidi="sk-SK"/>
              </w:rPr>
              <w:t>8</w:t>
            </w:r>
            <w:r w:rsidRPr="00B71F11" w:rsidR="000945F4">
              <w:rPr>
                <w:sz w:val="20"/>
                <w:szCs w:val="20"/>
                <w:lang w:bidi="sk-SK"/>
              </w:rPr>
              <w:t xml:space="preserve">) </w:t>
            </w:r>
            <w:r w:rsidRPr="00B71F11">
              <w:rPr>
                <w:sz w:val="18"/>
                <w:szCs w:val="18"/>
                <w:lang w:bidi="sk-SK"/>
              </w:rPr>
              <w:t>STN EN 14625:2012-4 (835724)  Ochrana ovzdušia. Vonkajšie ovzdušie. Štandardná ultrafia</w:t>
            </w:r>
            <w:r w:rsidRPr="00B71F11">
              <w:rPr>
                <w:sz w:val="18"/>
                <w:szCs w:val="18"/>
                <w:lang w:bidi="sk-SK"/>
              </w:rPr>
              <w:t>lová fotometrická metóda merania koncentrácie ozónu.</w:t>
            </w:r>
          </w:p>
          <w:p w:rsidR="008E5BE6" w:rsidRPr="007B57C0" w:rsidP="008E5BE6">
            <w:pPr>
              <w:pStyle w:val="ListParagraph"/>
              <w:keepLines/>
              <w:autoSpaceDE w:val="0"/>
              <w:autoSpaceDN w:val="0"/>
              <w:adjustRightInd w:val="0"/>
              <w:ind w:left="0"/>
            </w:pPr>
          </w:p>
          <w:p w:rsidR="00E20C4A" w:rsidRPr="002E48D3" w:rsidP="008E5BE6">
            <w:pPr>
              <w:jc w:val="both"/>
              <w:rPr>
                <w:sz w:val="20"/>
              </w:rPr>
            </w:pPr>
          </w:p>
        </w:tc>
        <w:tc>
          <w:tcPr>
            <w:tcW w:w="708" w:type="dxa"/>
          </w:tcPr>
          <w:p w:rsidR="00E20C4A" w:rsidRPr="002E48D3" w:rsidP="00E20C4A">
            <w:pPr>
              <w:jc w:val="both"/>
              <w:rPr>
                <w:sz w:val="20"/>
              </w:rPr>
            </w:pPr>
            <w:r w:rsidRPr="002E48D3" w:rsidR="002E48D3">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4803BE" w:rsidP="00E20C4A">
            <w:pPr>
              <w:jc w:val="both"/>
              <w:rPr>
                <w:sz w:val="20"/>
              </w:rPr>
            </w:pPr>
            <w:r>
              <w:rPr>
                <w:sz w:val="20"/>
              </w:rPr>
              <w:t>Č11</w:t>
            </w:r>
          </w:p>
          <w:p w:rsidR="004803BE" w:rsidP="00E20C4A">
            <w:pPr>
              <w:jc w:val="both"/>
              <w:rPr>
                <w:sz w:val="20"/>
              </w:rPr>
            </w:pPr>
            <w:r>
              <w:rPr>
                <w:sz w:val="20"/>
              </w:rPr>
              <w:t>O2</w:t>
            </w:r>
          </w:p>
        </w:tc>
        <w:tc>
          <w:tcPr>
            <w:tcW w:w="4074" w:type="dxa"/>
            <w:tcBorders>
              <w:bottom w:val="single" w:sz="4" w:space="0" w:color="auto"/>
            </w:tcBorders>
          </w:tcPr>
          <w:p w:rsidR="004803BE" w:rsidP="004803BE">
            <w:pPr>
              <w:jc w:val="both"/>
              <w:rPr>
                <w:sz w:val="20"/>
              </w:rPr>
            </w:pPr>
            <w:r>
              <w:rPr>
                <w:sz w:val="20"/>
              </w:rPr>
              <w:t xml:space="preserve">2. </w:t>
            </w:r>
            <w:r w:rsidRPr="003D65E2">
              <w:rPr>
                <w:sz w:val="20"/>
              </w:rPr>
              <w:t>Každý členský štát oznámi Komisii metódy, ktoré používa na</w:t>
            </w:r>
            <w:r>
              <w:rPr>
                <w:sz w:val="20"/>
              </w:rPr>
              <w:t xml:space="preserve"> </w:t>
            </w:r>
            <w:r w:rsidRPr="003D65E2">
              <w:rPr>
                <w:sz w:val="20"/>
              </w:rPr>
              <w:t>odber vzoriek a meranie VOC, ako sú uvedené v prílohe X.</w:t>
            </w:r>
          </w:p>
          <w:p w:rsidR="004803BE" w:rsidRPr="003D65E2" w:rsidP="00E20C4A">
            <w:pPr>
              <w:jc w:val="both"/>
              <w:rPr>
                <w:sz w:val="20"/>
              </w:rPr>
            </w:pPr>
          </w:p>
        </w:tc>
        <w:tc>
          <w:tcPr>
            <w:tcW w:w="747" w:type="dxa"/>
          </w:tcPr>
          <w:p w:rsidR="004803BE" w:rsidP="00E20C4A">
            <w:pPr>
              <w:ind w:right="-249"/>
              <w:rPr>
                <w:sz w:val="20"/>
              </w:rPr>
            </w:pPr>
            <w:r>
              <w:rPr>
                <w:sz w:val="20"/>
              </w:rPr>
              <w:t>N</w:t>
            </w:r>
          </w:p>
        </w:tc>
        <w:tc>
          <w:tcPr>
            <w:tcW w:w="574" w:type="dxa"/>
          </w:tcPr>
          <w:p w:rsidR="004803BE" w:rsidRPr="002E48D3" w:rsidP="00E20C4A">
            <w:pPr>
              <w:jc w:val="both"/>
              <w:rPr>
                <w:sz w:val="20"/>
              </w:rPr>
            </w:pPr>
            <w:r>
              <w:rPr>
                <w:sz w:val="20"/>
              </w:rPr>
              <w:t>NZ</w:t>
            </w:r>
          </w:p>
        </w:tc>
        <w:tc>
          <w:tcPr>
            <w:tcW w:w="701" w:type="dxa"/>
          </w:tcPr>
          <w:p w:rsidR="00A47562" w:rsidP="00A47562">
            <w:pPr>
              <w:pStyle w:val="Paragrafyzkona"/>
              <w:spacing w:before="0" w:line="240" w:lineRule="auto"/>
              <w:jc w:val="left"/>
              <w:rPr>
                <w:b w:val="0"/>
                <w:sz w:val="20"/>
                <w:szCs w:val="20"/>
                <w:lang w:eastAsia="en-US"/>
              </w:rPr>
            </w:pPr>
            <w:r w:rsidR="009434A0">
              <w:rPr>
                <w:b w:val="0"/>
                <w:sz w:val="20"/>
                <w:szCs w:val="20"/>
                <w:lang w:eastAsia="en-US"/>
              </w:rPr>
              <w:t>§ 41</w:t>
            </w:r>
          </w:p>
          <w:p w:rsidR="00A47562" w:rsidP="00A47562">
            <w:pPr>
              <w:pStyle w:val="Paragrafyzkona"/>
              <w:spacing w:before="0" w:line="240" w:lineRule="auto"/>
              <w:jc w:val="left"/>
              <w:rPr>
                <w:b w:val="0"/>
                <w:sz w:val="20"/>
                <w:szCs w:val="20"/>
                <w:lang w:eastAsia="en-US"/>
              </w:rPr>
            </w:pPr>
            <w:r w:rsidR="00CE746E">
              <w:rPr>
                <w:b w:val="0"/>
                <w:sz w:val="20"/>
                <w:szCs w:val="20"/>
                <w:lang w:eastAsia="en-US"/>
              </w:rPr>
              <w:t>Pd</w:t>
            </w:r>
          </w:p>
          <w:p w:rsidR="004803BE" w:rsidRPr="004D4DCD" w:rsidP="004D4DCD">
            <w:pPr>
              <w:pStyle w:val="Paragrafyzkona"/>
              <w:spacing w:before="0" w:line="240" w:lineRule="auto"/>
              <w:jc w:val="left"/>
              <w:rPr>
                <w:b w:val="0"/>
                <w:sz w:val="20"/>
              </w:rPr>
            </w:pPr>
          </w:p>
        </w:tc>
        <w:tc>
          <w:tcPr>
            <w:tcW w:w="7797" w:type="dxa"/>
          </w:tcPr>
          <w:p w:rsidR="00715F12" w:rsidP="00A47562">
            <w:pPr>
              <w:jc w:val="both"/>
              <w:rPr>
                <w:sz w:val="20"/>
              </w:rPr>
            </w:pPr>
            <w:r>
              <w:rPr>
                <w:sz w:val="20"/>
              </w:rPr>
              <w:t>Ministerstvo</w:t>
            </w:r>
          </w:p>
          <w:p w:rsidR="00A47562" w:rsidRPr="00A47562" w:rsidP="00A47562">
            <w:pPr>
              <w:jc w:val="both"/>
              <w:rPr>
                <w:sz w:val="20"/>
              </w:rPr>
            </w:pPr>
            <w:r w:rsidR="00CE746E">
              <w:rPr>
                <w:sz w:val="20"/>
              </w:rPr>
              <w:t xml:space="preserve">d) </w:t>
            </w:r>
            <w:r w:rsidRPr="00A47562">
              <w:rPr>
                <w:sz w:val="20"/>
              </w:rPr>
              <w:t>je vo vzťahu ku Komisii notifikačným orgánom, sprístupňuje a podáva Komisii ustanovené informácie a správy vo veciach ochrany ovzdušia a v ustanovených lehotách a rozsahu ustanovenom vykonávací</w:t>
            </w:r>
            <w:r w:rsidR="00B8607C">
              <w:rPr>
                <w:sz w:val="20"/>
              </w:rPr>
              <w:t>m predpisom podľa § 62 písm. n).</w:t>
            </w:r>
          </w:p>
          <w:p w:rsidR="004803BE" w:rsidRPr="004D4DCD" w:rsidP="004D4DCD">
            <w:pPr>
              <w:rPr>
                <w:sz w:val="20"/>
              </w:rPr>
            </w:pPr>
          </w:p>
        </w:tc>
        <w:tc>
          <w:tcPr>
            <w:tcW w:w="708" w:type="dxa"/>
          </w:tcPr>
          <w:p w:rsidR="004803BE" w:rsidRPr="002E48D3" w:rsidP="00E20C4A">
            <w:pPr>
              <w:jc w:val="both"/>
              <w:rPr>
                <w:sz w:val="20"/>
              </w:rPr>
            </w:pPr>
            <w:r>
              <w:rPr>
                <w:sz w:val="20"/>
              </w:rPr>
              <w:t>Ú</w:t>
            </w:r>
          </w:p>
        </w:tc>
        <w:tc>
          <w:tcPr>
            <w:tcW w:w="1130" w:type="dxa"/>
          </w:tcPr>
          <w:p w:rsidR="004803BE"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Č12</w:t>
            </w:r>
          </w:p>
          <w:p w:rsidR="00E20C4A" w:rsidP="00E20C4A">
            <w:pPr>
              <w:jc w:val="both"/>
              <w:rPr>
                <w:sz w:val="20"/>
              </w:rPr>
            </w:pPr>
          </w:p>
        </w:tc>
        <w:tc>
          <w:tcPr>
            <w:tcW w:w="4074" w:type="dxa"/>
            <w:tcBorders>
              <w:bottom w:val="single" w:sz="4" w:space="0" w:color="auto"/>
            </w:tcBorders>
          </w:tcPr>
          <w:p w:rsidR="00E20C4A" w:rsidP="00E20C4A">
            <w:pPr>
              <w:jc w:val="both"/>
              <w:rPr>
                <w:sz w:val="20"/>
              </w:rPr>
            </w:pPr>
            <w:r w:rsidRPr="00B42708">
              <w:rPr>
                <w:sz w:val="20"/>
              </w:rPr>
              <w:t>Požiadavky pre prípady, ak sú úrovne nižšie ako limitné hodn</w:t>
            </w:r>
            <w:r w:rsidRPr="00B42708">
              <w:rPr>
                <w:sz w:val="20"/>
              </w:rPr>
              <w:t>oty</w:t>
            </w:r>
            <w:r>
              <w:rPr>
                <w:sz w:val="20"/>
              </w:rPr>
              <w:t xml:space="preserve"> </w:t>
            </w:r>
            <w:r w:rsidRPr="00B42708">
              <w:rPr>
                <w:sz w:val="20"/>
              </w:rPr>
              <w:t>V zónach a aglomeráciách, v ktorých sú úrovne oxidu siričitého, oxidu</w:t>
            </w:r>
            <w:r>
              <w:rPr>
                <w:sz w:val="20"/>
              </w:rPr>
              <w:t xml:space="preserve"> </w:t>
            </w:r>
            <w:r w:rsidRPr="00B42708">
              <w:rPr>
                <w:sz w:val="20"/>
              </w:rPr>
              <w:t>dusičitého, PM</w:t>
            </w:r>
            <w:r w:rsidRPr="009E5012">
              <w:rPr>
                <w:sz w:val="20"/>
                <w:vertAlign w:val="subscript"/>
              </w:rPr>
              <w:t>10</w:t>
            </w:r>
            <w:r w:rsidRPr="00B42708">
              <w:rPr>
                <w:sz w:val="20"/>
              </w:rPr>
              <w:t>, PM</w:t>
            </w:r>
            <w:r w:rsidRPr="009E5012">
              <w:rPr>
                <w:sz w:val="20"/>
                <w:vertAlign w:val="subscript"/>
              </w:rPr>
              <w:t>2,5</w:t>
            </w:r>
            <w:r w:rsidRPr="00B42708">
              <w:rPr>
                <w:sz w:val="20"/>
              </w:rPr>
              <w:t>, olova, benzénu a oxidu uhoľnatého v</w:t>
            </w:r>
            <w:r>
              <w:rPr>
                <w:sz w:val="20"/>
              </w:rPr>
              <w:t> </w:t>
            </w:r>
            <w:r w:rsidRPr="00B42708">
              <w:rPr>
                <w:sz w:val="20"/>
              </w:rPr>
              <w:t>okolitom</w:t>
            </w:r>
            <w:r>
              <w:rPr>
                <w:sz w:val="20"/>
              </w:rPr>
              <w:t xml:space="preserve"> </w:t>
            </w:r>
            <w:r w:rsidRPr="00B42708">
              <w:rPr>
                <w:sz w:val="20"/>
              </w:rPr>
              <w:t>ovzduší pod príslušnými limitnými hodnotami určenými v prílohách XI</w:t>
            </w:r>
            <w:r>
              <w:rPr>
                <w:sz w:val="20"/>
              </w:rPr>
              <w:t xml:space="preserve"> </w:t>
            </w:r>
            <w:r w:rsidRPr="00B42708">
              <w:rPr>
                <w:sz w:val="20"/>
              </w:rPr>
              <w:t>a XIV, členské štáty udržujú úrovne týchto znečisťujúcich látok pod</w:t>
            </w:r>
            <w:r>
              <w:rPr>
                <w:sz w:val="20"/>
              </w:rPr>
              <w:t xml:space="preserve"> </w:t>
            </w:r>
            <w:r w:rsidRPr="00B42708">
              <w:rPr>
                <w:sz w:val="20"/>
              </w:rPr>
              <w:t>limitnými hodnotami a usilujú sa zachovať najlepšiu kvalitu okolitého</w:t>
            </w:r>
            <w:r>
              <w:rPr>
                <w:sz w:val="20"/>
              </w:rPr>
              <w:t xml:space="preserve"> </w:t>
            </w:r>
            <w:r w:rsidRPr="00B42708">
              <w:rPr>
                <w:sz w:val="20"/>
              </w:rPr>
              <w:t>ovzdušia v súlade s trvalo udržateľným rozvojom.</w:t>
            </w:r>
          </w:p>
          <w:p w:rsidR="00E20C4A" w:rsidP="00E20C4A">
            <w:pPr>
              <w:jc w:val="both"/>
              <w:rPr>
                <w:sz w:val="20"/>
              </w:rPr>
            </w:pPr>
          </w:p>
        </w:tc>
        <w:tc>
          <w:tcPr>
            <w:tcW w:w="747" w:type="dxa"/>
          </w:tcPr>
          <w:p w:rsidR="00E20C4A" w:rsidRPr="00D86B9D" w:rsidP="00E20C4A">
            <w:pPr>
              <w:ind w:right="-249"/>
              <w:rPr>
                <w:sz w:val="20"/>
              </w:rPr>
            </w:pPr>
            <w:r w:rsidR="00AD2ED8">
              <w:rPr>
                <w:sz w:val="20"/>
              </w:rPr>
              <w:t>N</w:t>
            </w:r>
          </w:p>
        </w:tc>
        <w:tc>
          <w:tcPr>
            <w:tcW w:w="574" w:type="dxa"/>
          </w:tcPr>
          <w:p w:rsidR="00E20C4A" w:rsidRPr="00AD2ED8" w:rsidP="00E20C4A">
            <w:pPr>
              <w:jc w:val="both"/>
              <w:rPr>
                <w:sz w:val="20"/>
              </w:rPr>
            </w:pPr>
            <w:r w:rsidRPr="00AD2ED8" w:rsidR="00AD2ED8">
              <w:rPr>
                <w:sz w:val="20"/>
              </w:rPr>
              <w:t>NZ</w:t>
            </w:r>
          </w:p>
        </w:tc>
        <w:tc>
          <w:tcPr>
            <w:tcW w:w="701" w:type="dxa"/>
          </w:tcPr>
          <w:p w:rsidR="00AD2ED8" w:rsidRPr="00743DBC" w:rsidP="00AD2ED8">
            <w:pPr>
              <w:pStyle w:val="Paragrafyzkona"/>
              <w:spacing w:before="0" w:line="240" w:lineRule="auto"/>
              <w:jc w:val="left"/>
              <w:rPr>
                <w:b w:val="0"/>
                <w:sz w:val="20"/>
                <w:szCs w:val="20"/>
                <w:lang w:eastAsia="en-US"/>
              </w:rPr>
            </w:pPr>
            <w:r>
              <w:rPr>
                <w:b w:val="0"/>
                <w:sz w:val="20"/>
                <w:szCs w:val="20"/>
                <w:lang w:eastAsia="en-US"/>
              </w:rPr>
              <w:t>§ 6</w:t>
            </w:r>
          </w:p>
          <w:p w:rsidR="00AD2ED8" w:rsidP="00AD2ED8">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w:t>
            </w:r>
          </w:p>
          <w:p w:rsidR="00AD2ED8" w:rsidP="00AD2ED8">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AD2ED8" w:rsidP="00AD2ED8">
            <w:pPr>
              <w:tabs>
                <w:tab w:val="left" w:pos="1276"/>
              </w:tabs>
              <w:spacing w:after="360"/>
              <w:jc w:val="both"/>
              <w:rPr>
                <w:sz w:val="20"/>
              </w:rPr>
            </w:pPr>
            <w:r>
              <w:rPr>
                <w:sz w:val="20"/>
              </w:rPr>
              <w:t xml:space="preserve">(1) </w:t>
            </w:r>
            <w:r w:rsidRPr="00AD2ED8">
              <w:rPr>
                <w:sz w:val="20"/>
              </w:rPr>
              <w:t>V zóne a aglomerácii s dobrou kvalitou ovzdušia, okresný úrad v sídle kraja,  príslušný okresný úrad, vyšší územný celok a obec v rozsahu svojich právomocí zabezpečujú prostredníctvom primeraných opatrení udržiavanie čo najlepšej kvality ovzdušia v súlade s trvalo udržateľným rozvojom</w:t>
            </w:r>
            <w:r w:rsidRPr="000945F4" w:rsidR="00F43370">
              <w:rPr>
                <w:sz w:val="20"/>
                <w:vertAlign w:val="superscript"/>
              </w:rPr>
              <w:t>1</w:t>
            </w:r>
            <w:r w:rsidR="00AB117F">
              <w:rPr>
                <w:sz w:val="20"/>
                <w:vertAlign w:val="superscript"/>
              </w:rPr>
              <w:t>2</w:t>
            </w:r>
            <w:r w:rsidRPr="00AD2ED8">
              <w:rPr>
                <w:sz w:val="20"/>
              </w:rPr>
              <w:t>) a vysokou úrovňou ochrany životného prostredia a zdravia ľudí</w:t>
            </w:r>
            <w:r w:rsidRPr="00AD2ED8">
              <w:rPr>
                <w:sz w:val="20"/>
              </w:rPr>
              <w:t xml:space="preserve">. </w:t>
            </w:r>
          </w:p>
          <w:p w:rsidR="00F43370" w:rsidRPr="00AD2ED8" w:rsidP="00AD2ED8">
            <w:pPr>
              <w:tabs>
                <w:tab w:val="left" w:pos="1276"/>
              </w:tabs>
              <w:spacing w:after="360"/>
              <w:jc w:val="both"/>
              <w:rPr>
                <w:sz w:val="20"/>
              </w:rPr>
            </w:pPr>
            <w:r w:rsidRPr="000945F4" w:rsidR="000945F4">
              <w:rPr>
                <w:sz w:val="20"/>
                <w:vertAlign w:val="superscript"/>
              </w:rPr>
              <w:t>1</w:t>
            </w:r>
            <w:r w:rsidR="00AB117F">
              <w:rPr>
                <w:sz w:val="20"/>
                <w:vertAlign w:val="superscript"/>
              </w:rPr>
              <w:t>2</w:t>
            </w:r>
            <w:r w:rsidR="000945F4">
              <w:rPr>
                <w:sz w:val="20"/>
              </w:rPr>
              <w:t xml:space="preserve">) </w:t>
            </w:r>
            <w:r w:rsidRPr="00AC2567">
              <w:rPr>
                <w:sz w:val="18"/>
                <w:szCs w:val="18"/>
              </w:rPr>
              <w:t>§ 6 zákona č. 17/1992 Zb. o životnom prostredí.</w:t>
            </w:r>
          </w:p>
          <w:p w:rsidR="00E20C4A" w:rsidP="00E20C4A">
            <w:pPr>
              <w:pStyle w:val="Normlny"/>
              <w:jc w:val="center"/>
              <w:rPr>
                <w:b/>
              </w:rPr>
            </w:pPr>
          </w:p>
          <w:p w:rsidR="007D3B16" w:rsidP="00E20C4A">
            <w:pPr>
              <w:pStyle w:val="Normlny"/>
              <w:jc w:val="center"/>
              <w:rPr>
                <w:b/>
              </w:rPr>
            </w:pPr>
          </w:p>
          <w:p w:rsidR="007D3B16" w:rsidP="00E20C4A">
            <w:pPr>
              <w:pStyle w:val="Normlny"/>
              <w:jc w:val="center"/>
              <w:rPr>
                <w:b/>
              </w:rPr>
            </w:pPr>
          </w:p>
          <w:p w:rsidR="007D3B16" w:rsidP="00E20C4A">
            <w:pPr>
              <w:pStyle w:val="Normlny"/>
              <w:jc w:val="center"/>
              <w:rPr>
                <w:b/>
              </w:rPr>
            </w:pPr>
          </w:p>
          <w:p w:rsidR="007D3B16" w:rsidP="00E20C4A">
            <w:pPr>
              <w:pStyle w:val="Normlny"/>
              <w:jc w:val="center"/>
              <w:rPr>
                <w:b/>
              </w:rPr>
            </w:pPr>
          </w:p>
          <w:p w:rsidR="007D3B16" w:rsidP="00E20C4A">
            <w:pPr>
              <w:pStyle w:val="Normlny"/>
              <w:jc w:val="center"/>
              <w:rPr>
                <w:b/>
              </w:rPr>
            </w:pPr>
          </w:p>
          <w:p w:rsidR="007D3B16" w:rsidP="00E20C4A">
            <w:pPr>
              <w:pStyle w:val="Normlny"/>
              <w:jc w:val="center"/>
              <w:rPr>
                <w:b/>
              </w:rPr>
            </w:pPr>
          </w:p>
          <w:p w:rsidR="007D3B16" w:rsidP="00E20C4A">
            <w:pPr>
              <w:pStyle w:val="Normlny"/>
              <w:jc w:val="center"/>
              <w:rPr>
                <w:b/>
              </w:rPr>
            </w:pPr>
          </w:p>
        </w:tc>
        <w:tc>
          <w:tcPr>
            <w:tcW w:w="708" w:type="dxa"/>
          </w:tcPr>
          <w:p w:rsidR="00E20C4A" w:rsidRPr="007D3B16" w:rsidP="00E20C4A">
            <w:pPr>
              <w:jc w:val="both"/>
              <w:rPr>
                <w:sz w:val="20"/>
              </w:rPr>
            </w:pPr>
            <w:r w:rsidRPr="007D3B16" w:rsidR="007D3B16">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Č13</w:t>
            </w:r>
          </w:p>
          <w:p w:rsidR="00E20C4A" w:rsidP="00E20C4A">
            <w:pPr>
              <w:jc w:val="both"/>
              <w:rPr>
                <w:sz w:val="20"/>
              </w:rPr>
            </w:pPr>
            <w:r>
              <w:rPr>
                <w:sz w:val="20"/>
              </w:rPr>
              <w:t>O1</w:t>
            </w:r>
          </w:p>
        </w:tc>
        <w:tc>
          <w:tcPr>
            <w:tcW w:w="4074" w:type="dxa"/>
            <w:tcBorders>
              <w:bottom w:val="single" w:sz="4" w:space="0" w:color="auto"/>
            </w:tcBorders>
          </w:tcPr>
          <w:p w:rsidR="00E20C4A" w:rsidRPr="00B42708" w:rsidP="00E20C4A">
            <w:pPr>
              <w:jc w:val="both"/>
              <w:rPr>
                <w:sz w:val="20"/>
              </w:rPr>
            </w:pPr>
            <w:r w:rsidRPr="00B42708">
              <w:rPr>
                <w:sz w:val="20"/>
              </w:rPr>
              <w:t>Limitné hodnoty a výstražné prahy na ochranu zdravia ľudí</w:t>
            </w:r>
          </w:p>
          <w:p w:rsidR="00E20C4A" w:rsidRPr="00B42708" w:rsidP="00E20C4A">
            <w:pPr>
              <w:jc w:val="both"/>
              <w:rPr>
                <w:sz w:val="20"/>
              </w:rPr>
            </w:pPr>
            <w:r w:rsidRPr="00B42708">
              <w:rPr>
                <w:sz w:val="20"/>
              </w:rPr>
              <w:t>1. Členské štáty zabezpečia, aby úrovne oxidu siričitého, PM</w:t>
            </w:r>
            <w:r w:rsidRPr="009E5012">
              <w:rPr>
                <w:sz w:val="20"/>
                <w:vertAlign w:val="subscript"/>
              </w:rPr>
              <w:t>10</w:t>
            </w:r>
            <w:r w:rsidRPr="00B42708">
              <w:rPr>
                <w:sz w:val="20"/>
              </w:rPr>
              <w:t>,</w:t>
            </w:r>
            <w:r>
              <w:rPr>
                <w:sz w:val="20"/>
              </w:rPr>
              <w:t xml:space="preserve"> </w:t>
            </w:r>
            <w:r w:rsidRPr="00B42708">
              <w:rPr>
                <w:sz w:val="20"/>
              </w:rPr>
              <w:t xml:space="preserve">olova a oxidu uhoľnatého v okolitom ovzduší neprekročili na </w:t>
            </w:r>
            <w:r w:rsidRPr="00B42708">
              <w:rPr>
                <w:sz w:val="20"/>
              </w:rPr>
              <w:t>území</w:t>
            </w:r>
          </w:p>
          <w:p w:rsidR="00E20C4A" w:rsidRPr="00B42708" w:rsidP="00E20C4A">
            <w:pPr>
              <w:jc w:val="both"/>
              <w:rPr>
                <w:sz w:val="20"/>
              </w:rPr>
            </w:pPr>
            <w:r w:rsidRPr="00B42708">
              <w:rPr>
                <w:sz w:val="20"/>
              </w:rPr>
              <w:t>ich zón a aglomerácií limitné hodnoty stanovené v prílohe XI.</w:t>
            </w:r>
            <w:r>
              <w:rPr>
                <w:sz w:val="20"/>
              </w:rPr>
              <w:t xml:space="preserve"> </w:t>
            </w:r>
            <w:r w:rsidRPr="00B42708">
              <w:rPr>
                <w:sz w:val="20"/>
              </w:rPr>
              <w:t>Pokiaľ ide o oxid dusičitý a benzén, limitné hodnoty určené v prílohe XI</w:t>
            </w:r>
          </w:p>
          <w:p w:rsidR="00E20C4A" w:rsidRPr="00B42708" w:rsidP="00E20C4A">
            <w:pPr>
              <w:jc w:val="both"/>
              <w:rPr>
                <w:sz w:val="20"/>
              </w:rPr>
            </w:pPr>
            <w:r w:rsidRPr="00B42708">
              <w:rPr>
                <w:sz w:val="20"/>
              </w:rPr>
              <w:t>sa nesmú od dátumov v nej stanovených prekročiť.</w:t>
            </w:r>
            <w:r>
              <w:rPr>
                <w:sz w:val="20"/>
              </w:rPr>
              <w:t xml:space="preserve"> </w:t>
            </w:r>
            <w:r w:rsidRPr="00B42708">
              <w:rPr>
                <w:sz w:val="20"/>
              </w:rPr>
              <w:t>Dodržiavanie týchto požiadaviek sa vyhodnotí v súlade s prílohou I</w:t>
            </w:r>
            <w:r w:rsidRPr="00B42708">
              <w:rPr>
                <w:sz w:val="20"/>
              </w:rPr>
              <w:t>II.</w:t>
            </w:r>
          </w:p>
          <w:p w:rsidR="00E20C4A" w:rsidP="00E20C4A">
            <w:pPr>
              <w:jc w:val="both"/>
              <w:rPr>
                <w:sz w:val="20"/>
              </w:rPr>
            </w:pPr>
            <w:r w:rsidRPr="00B42708">
              <w:rPr>
                <w:sz w:val="20"/>
              </w:rPr>
              <w:t>Medze tolerancie stanovené v prílohe XI sa uplatňujú v</w:t>
            </w:r>
            <w:r>
              <w:rPr>
                <w:sz w:val="20"/>
              </w:rPr>
              <w:t> </w:t>
            </w:r>
            <w:r w:rsidRPr="00B42708">
              <w:rPr>
                <w:sz w:val="20"/>
              </w:rPr>
              <w:t>súlade</w:t>
            </w:r>
            <w:r>
              <w:rPr>
                <w:sz w:val="20"/>
              </w:rPr>
              <w:t xml:space="preserve"> </w:t>
            </w:r>
            <w:r w:rsidRPr="00B42708">
              <w:rPr>
                <w:sz w:val="20"/>
              </w:rPr>
              <w:t>s článkom 22 ods. 3 a článkom 23 ods. 1.</w:t>
            </w:r>
          </w:p>
          <w:p w:rsidR="00E20C4A" w:rsidP="00E20C4A">
            <w:pPr>
              <w:jc w:val="both"/>
              <w:rPr>
                <w:sz w:val="20"/>
              </w:rPr>
            </w:pPr>
          </w:p>
        </w:tc>
        <w:tc>
          <w:tcPr>
            <w:tcW w:w="747" w:type="dxa"/>
          </w:tcPr>
          <w:p w:rsidR="00E20C4A" w:rsidRPr="00D86B9D" w:rsidP="00E20C4A">
            <w:pPr>
              <w:ind w:right="-249"/>
              <w:rPr>
                <w:sz w:val="20"/>
              </w:rPr>
            </w:pPr>
            <w:r w:rsidR="007D3B16">
              <w:rPr>
                <w:sz w:val="20"/>
              </w:rPr>
              <w:t>N</w:t>
            </w:r>
          </w:p>
        </w:tc>
        <w:tc>
          <w:tcPr>
            <w:tcW w:w="574" w:type="dxa"/>
          </w:tcPr>
          <w:p w:rsidR="00E20C4A" w:rsidRPr="007D3B16" w:rsidP="00E20C4A">
            <w:pPr>
              <w:jc w:val="both"/>
              <w:rPr>
                <w:sz w:val="20"/>
              </w:rPr>
            </w:pPr>
            <w:r w:rsidRPr="007D3B16" w:rsidR="007D3B16">
              <w:rPr>
                <w:sz w:val="20"/>
              </w:rPr>
              <w:t>NZ</w:t>
            </w:r>
          </w:p>
        </w:tc>
        <w:tc>
          <w:tcPr>
            <w:tcW w:w="701" w:type="dxa"/>
          </w:tcPr>
          <w:p w:rsidR="007D3B16" w:rsidRPr="00743DBC" w:rsidP="007D3B16">
            <w:pPr>
              <w:pStyle w:val="Paragrafyzkona"/>
              <w:spacing w:before="0" w:line="240" w:lineRule="auto"/>
              <w:jc w:val="left"/>
              <w:rPr>
                <w:b w:val="0"/>
                <w:sz w:val="20"/>
                <w:szCs w:val="20"/>
                <w:lang w:eastAsia="en-US"/>
              </w:rPr>
            </w:pPr>
            <w:r>
              <w:rPr>
                <w:b w:val="0"/>
                <w:sz w:val="20"/>
                <w:szCs w:val="20"/>
                <w:lang w:eastAsia="en-US"/>
              </w:rPr>
              <w:t>§ 3</w:t>
            </w:r>
          </w:p>
          <w:p w:rsidR="007D3B16" w:rsidP="007D3B16">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5</w:t>
            </w: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r>
              <w:rPr>
                <w:b w:val="0"/>
                <w:sz w:val="20"/>
                <w:szCs w:val="20"/>
                <w:lang w:eastAsia="en-US"/>
              </w:rPr>
              <w:t>O6</w:t>
            </w: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400690" w:rsidP="007D3B16">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400690" w:rsidP="00400690">
            <w:pPr>
              <w:pStyle w:val="ListParagraph"/>
              <w:spacing w:after="360" w:line="240" w:lineRule="auto"/>
              <w:ind w:left="0"/>
              <w:contextualSpacing w:val="0"/>
              <w:jc w:val="both"/>
              <w:rPr>
                <w:sz w:val="20"/>
                <w:szCs w:val="20"/>
                <w:lang w:eastAsia="en-US"/>
              </w:rPr>
            </w:pPr>
            <w:r w:rsidR="007D3B16">
              <w:rPr>
                <w:sz w:val="20"/>
                <w:szCs w:val="20"/>
                <w:lang w:eastAsia="en-US"/>
              </w:rPr>
              <w:t xml:space="preserve">(5) </w:t>
            </w:r>
            <w:r w:rsidRPr="007D3B16" w:rsidR="007D3B16">
              <w:rPr>
                <w:sz w:val="20"/>
                <w:szCs w:val="20"/>
                <w:lang w:eastAsia="en-US"/>
              </w:rPr>
              <w:t>Limitnou hodnotou je úroveň znečistenia ovzdušia určená na základe vedeckých poznatkov s cieľom zabrániť škodlivým účinkom na zdravie ľudí alebo životné prostredie ako celok, predchádzať im alebo ich znížiť, ktorá sa má dosiahnuť v danom čase a od toho času nesmie byť prekročená; limitné hodnoty a podmienky ich platnosti sú ustanovené pre oxid siričitý, oxid dusičitý, oxid uhoľnatý, olovo, benzén, PM</w:t>
            </w:r>
            <w:r w:rsidRPr="00B8607C" w:rsidR="007D3B16">
              <w:rPr>
                <w:sz w:val="20"/>
                <w:szCs w:val="20"/>
                <w:vertAlign w:val="subscript"/>
                <w:lang w:eastAsia="en-US"/>
              </w:rPr>
              <w:t>10</w:t>
            </w:r>
            <w:r w:rsidRPr="007D3B16" w:rsidR="007D3B16">
              <w:rPr>
                <w:sz w:val="20"/>
                <w:szCs w:val="20"/>
                <w:lang w:eastAsia="en-US"/>
              </w:rPr>
              <w:t xml:space="preserve"> a PM</w:t>
            </w:r>
            <w:r w:rsidRPr="00B8607C" w:rsidR="007D3B16">
              <w:rPr>
                <w:sz w:val="20"/>
                <w:szCs w:val="20"/>
                <w:vertAlign w:val="subscript"/>
                <w:lang w:eastAsia="en-US"/>
              </w:rPr>
              <w:t>2,5</w:t>
            </w:r>
            <w:r w:rsidRPr="007D3B16" w:rsidR="007D3B16">
              <w:rPr>
                <w:sz w:val="20"/>
                <w:szCs w:val="20"/>
                <w:lang w:eastAsia="en-US"/>
              </w:rPr>
              <w:t>.</w:t>
            </w:r>
          </w:p>
          <w:p w:rsidR="002E4F0F" w:rsidRPr="00C90246" w:rsidP="002E4F0F">
            <w:pPr>
              <w:pStyle w:val="ListParagraph"/>
              <w:spacing w:after="360" w:line="240" w:lineRule="auto"/>
              <w:ind w:left="0"/>
              <w:contextualSpacing w:val="0"/>
              <w:jc w:val="both"/>
            </w:pPr>
            <w:r w:rsidR="00400690">
              <w:rPr>
                <w:sz w:val="20"/>
                <w:szCs w:val="20"/>
                <w:lang w:eastAsia="en-US"/>
              </w:rPr>
              <w:t xml:space="preserve">(6) </w:t>
            </w:r>
            <w:r w:rsidRPr="002E4F0F">
              <w:rPr>
                <w:sz w:val="20"/>
                <w:szCs w:val="20"/>
                <w:lang w:eastAsia="en-US"/>
              </w:rPr>
              <w:t>Medzou tolerancie je percento limitnej hodnoty, o ktoré môže byť limitná hodnota prekročená v určenom čase a v súlade s vykonávacím predpisom podľa § 62 písm. a). V období, keď sa uplatňuje medza tolerancie, hodnota koncentrácie znečisťujúcej látky nesmie prekročiť limitnú hodnotu viac ako o medzu tolerancie.</w:t>
            </w:r>
          </w:p>
          <w:p w:rsidR="00400690" w:rsidP="00400690">
            <w:pPr>
              <w:pStyle w:val="ListParagraph"/>
              <w:spacing w:after="360" w:line="240" w:lineRule="auto"/>
              <w:ind w:left="0"/>
              <w:contextualSpacing w:val="0"/>
              <w:jc w:val="both"/>
              <w:rPr>
                <w:sz w:val="20"/>
                <w:szCs w:val="20"/>
                <w:lang w:eastAsia="en-US"/>
              </w:rPr>
            </w:pPr>
          </w:p>
          <w:p w:rsidR="00E20C4A" w:rsidP="002934D7">
            <w:pPr>
              <w:pStyle w:val="Normlny"/>
              <w:rPr>
                <w:b/>
              </w:rPr>
            </w:pPr>
          </w:p>
        </w:tc>
        <w:tc>
          <w:tcPr>
            <w:tcW w:w="708" w:type="dxa"/>
          </w:tcPr>
          <w:p w:rsidR="00E20C4A" w:rsidRPr="007D3B16" w:rsidP="00E20C4A">
            <w:pPr>
              <w:jc w:val="both"/>
              <w:rPr>
                <w:sz w:val="20"/>
              </w:rPr>
            </w:pPr>
            <w:r w:rsidRPr="007D3B16" w:rsidR="007D3B16">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Č13</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Pr>
                <w:sz w:val="20"/>
              </w:rPr>
              <w:t xml:space="preserve">2. </w:t>
            </w:r>
            <w:r w:rsidRPr="00B42708">
              <w:rPr>
                <w:sz w:val="20"/>
              </w:rPr>
              <w:t>Výstražné prahy pre koncentrácie oxidu siričitého a oxidu dusičitého v okolitom ovzduší sú také, ako sú stanovené v</w:t>
            </w:r>
            <w:r>
              <w:rPr>
                <w:sz w:val="20"/>
              </w:rPr>
              <w:t> </w:t>
            </w:r>
            <w:r w:rsidRPr="00B42708">
              <w:rPr>
                <w:sz w:val="20"/>
              </w:rPr>
              <w:t>oddiele</w:t>
            </w:r>
            <w:r>
              <w:rPr>
                <w:sz w:val="20"/>
              </w:rPr>
              <w:t xml:space="preserve"> </w:t>
            </w:r>
            <w:r w:rsidRPr="00B42708">
              <w:rPr>
                <w:sz w:val="20"/>
              </w:rPr>
              <w:t>A prílohy XII.</w:t>
            </w:r>
          </w:p>
          <w:p w:rsidR="00E20C4A" w:rsidP="00E20C4A">
            <w:pPr>
              <w:jc w:val="both"/>
              <w:rPr>
                <w:sz w:val="20"/>
              </w:rPr>
            </w:pPr>
          </w:p>
        </w:tc>
        <w:tc>
          <w:tcPr>
            <w:tcW w:w="747" w:type="dxa"/>
          </w:tcPr>
          <w:p w:rsidR="00E20C4A" w:rsidRPr="00D86B9D" w:rsidP="00E20C4A">
            <w:pPr>
              <w:ind w:right="-249"/>
              <w:rPr>
                <w:sz w:val="20"/>
              </w:rPr>
            </w:pPr>
            <w:r w:rsidR="002934D7">
              <w:rPr>
                <w:sz w:val="20"/>
              </w:rPr>
              <w:t>N</w:t>
            </w:r>
          </w:p>
        </w:tc>
        <w:tc>
          <w:tcPr>
            <w:tcW w:w="574" w:type="dxa"/>
          </w:tcPr>
          <w:p w:rsidR="00E20C4A" w:rsidRPr="002934D7" w:rsidP="00E20C4A">
            <w:pPr>
              <w:jc w:val="both"/>
              <w:rPr>
                <w:sz w:val="20"/>
              </w:rPr>
            </w:pPr>
            <w:r w:rsidRPr="002934D7" w:rsidR="002934D7">
              <w:rPr>
                <w:sz w:val="20"/>
              </w:rPr>
              <w:t>NZ</w:t>
            </w:r>
          </w:p>
        </w:tc>
        <w:tc>
          <w:tcPr>
            <w:tcW w:w="701" w:type="dxa"/>
          </w:tcPr>
          <w:p w:rsidR="002934D7" w:rsidRPr="00743DBC" w:rsidP="002934D7">
            <w:pPr>
              <w:pStyle w:val="Paragrafyzkona"/>
              <w:spacing w:before="0" w:line="240" w:lineRule="auto"/>
              <w:jc w:val="left"/>
              <w:rPr>
                <w:b w:val="0"/>
                <w:sz w:val="20"/>
                <w:szCs w:val="20"/>
                <w:lang w:eastAsia="en-US"/>
              </w:rPr>
            </w:pPr>
            <w:r>
              <w:rPr>
                <w:b w:val="0"/>
                <w:sz w:val="20"/>
                <w:szCs w:val="20"/>
                <w:lang w:eastAsia="en-US"/>
              </w:rPr>
              <w:t>§ 3</w:t>
            </w:r>
          </w:p>
          <w:p w:rsidR="002934D7" w:rsidP="002934D7">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15</w:t>
            </w:r>
          </w:p>
          <w:p w:rsidR="00E20C4A" w:rsidRPr="008658BB" w:rsidP="00E20C4A">
            <w:pPr>
              <w:jc w:val="both"/>
              <w:rPr>
                <w:b/>
                <w:sz w:val="20"/>
              </w:rPr>
            </w:pPr>
          </w:p>
        </w:tc>
        <w:tc>
          <w:tcPr>
            <w:tcW w:w="7797" w:type="dxa"/>
          </w:tcPr>
          <w:p w:rsidR="00E20C4A" w:rsidRPr="002934D7" w:rsidP="002934D7">
            <w:pPr>
              <w:pStyle w:val="ListParagraph"/>
              <w:spacing w:after="360" w:line="240" w:lineRule="auto"/>
              <w:ind w:left="0"/>
              <w:contextualSpacing w:val="0"/>
              <w:jc w:val="both"/>
              <w:rPr>
                <w:sz w:val="20"/>
                <w:szCs w:val="20"/>
                <w:lang w:eastAsia="en-US"/>
              </w:rPr>
            </w:pPr>
            <w:r w:rsidR="002934D7">
              <w:rPr>
                <w:sz w:val="20"/>
                <w:szCs w:val="20"/>
                <w:lang w:eastAsia="en-US"/>
              </w:rPr>
              <w:t xml:space="preserve">(15) </w:t>
            </w:r>
            <w:r w:rsidRPr="00400690" w:rsidR="002934D7">
              <w:rPr>
                <w:sz w:val="20"/>
                <w:szCs w:val="20"/>
                <w:lang w:eastAsia="en-US"/>
              </w:rPr>
              <w:t>Výstražným prahom je úroveň znečistenia ovzdušia, pri ktorej prekročení existuje už pri krátkodobej expozícii riziko poškodenia zdravia ľudí. Pri prekročení výstražného prahu je potrebné vydať výstrahu pred závažnou smogovou situáciou. Výstražné prahy sú ustanovené pre oxid siričitý, oxid dusičitý, ozón a PM</w:t>
            </w:r>
            <w:r w:rsidRPr="00744CD4" w:rsidR="002934D7">
              <w:rPr>
                <w:sz w:val="20"/>
                <w:szCs w:val="20"/>
                <w:vertAlign w:val="subscript"/>
                <w:lang w:eastAsia="en-US"/>
              </w:rPr>
              <w:t>10</w:t>
            </w:r>
            <w:r w:rsidRPr="00400690" w:rsidR="002934D7">
              <w:rPr>
                <w:sz w:val="20"/>
                <w:szCs w:val="20"/>
                <w:lang w:eastAsia="en-US"/>
              </w:rPr>
              <w:t>.</w:t>
            </w:r>
          </w:p>
        </w:tc>
        <w:tc>
          <w:tcPr>
            <w:tcW w:w="708" w:type="dxa"/>
          </w:tcPr>
          <w:p w:rsidR="00E20C4A" w:rsidRPr="002934D7" w:rsidP="00E20C4A">
            <w:pPr>
              <w:jc w:val="both"/>
              <w:rPr>
                <w:sz w:val="20"/>
              </w:rPr>
            </w:pPr>
            <w:r w:rsidRPr="002934D7" w:rsidR="002934D7">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Č14</w:t>
            </w:r>
          </w:p>
          <w:p w:rsidR="00E20C4A" w:rsidP="00E20C4A">
            <w:pPr>
              <w:jc w:val="both"/>
              <w:rPr>
                <w:sz w:val="20"/>
              </w:rPr>
            </w:pPr>
            <w:r>
              <w:rPr>
                <w:sz w:val="20"/>
              </w:rPr>
              <w:t>O1</w:t>
            </w:r>
          </w:p>
        </w:tc>
        <w:tc>
          <w:tcPr>
            <w:tcW w:w="4074" w:type="dxa"/>
            <w:tcBorders>
              <w:bottom w:val="single" w:sz="4" w:space="0" w:color="auto"/>
            </w:tcBorders>
          </w:tcPr>
          <w:p w:rsidR="00E20C4A" w:rsidRPr="00B42708" w:rsidP="00E20C4A">
            <w:pPr>
              <w:jc w:val="both"/>
              <w:rPr>
                <w:sz w:val="20"/>
              </w:rPr>
            </w:pPr>
            <w:r w:rsidRPr="00B42708">
              <w:rPr>
                <w:sz w:val="20"/>
              </w:rPr>
              <w:t>Kritické úrovne</w:t>
            </w:r>
          </w:p>
          <w:p w:rsidR="00E20C4A" w:rsidP="00E20C4A">
            <w:pPr>
              <w:jc w:val="both"/>
              <w:rPr>
                <w:sz w:val="20"/>
              </w:rPr>
            </w:pPr>
            <w:r w:rsidRPr="00B42708">
              <w:rPr>
                <w:sz w:val="20"/>
              </w:rPr>
              <w:t>1. Členské štáty zabezpečia dodržiavanie kritických úrovní určených</w:t>
            </w:r>
            <w:r>
              <w:rPr>
                <w:sz w:val="20"/>
              </w:rPr>
              <w:t xml:space="preserve"> </w:t>
            </w:r>
            <w:r w:rsidRPr="00B42708">
              <w:rPr>
                <w:sz w:val="20"/>
              </w:rPr>
              <w:t>v prílohe XIII, ako sú hodnotené v súlade s oddielom A prílohy III.</w:t>
            </w:r>
          </w:p>
          <w:p w:rsidR="00E20C4A" w:rsidP="00E20C4A">
            <w:pPr>
              <w:jc w:val="both"/>
              <w:rPr>
                <w:sz w:val="20"/>
              </w:rPr>
            </w:pPr>
          </w:p>
        </w:tc>
        <w:tc>
          <w:tcPr>
            <w:tcW w:w="747" w:type="dxa"/>
          </w:tcPr>
          <w:p w:rsidR="00E20C4A" w:rsidRPr="00D86B9D" w:rsidP="00E20C4A">
            <w:pPr>
              <w:ind w:right="-249"/>
              <w:rPr>
                <w:sz w:val="20"/>
              </w:rPr>
            </w:pPr>
            <w:r w:rsidR="00D701AE">
              <w:rPr>
                <w:sz w:val="20"/>
              </w:rPr>
              <w:t>N</w:t>
            </w:r>
          </w:p>
        </w:tc>
        <w:tc>
          <w:tcPr>
            <w:tcW w:w="574" w:type="dxa"/>
          </w:tcPr>
          <w:p w:rsidR="00E20C4A" w:rsidRPr="00D701AE" w:rsidP="00E20C4A">
            <w:pPr>
              <w:jc w:val="both"/>
              <w:rPr>
                <w:sz w:val="20"/>
              </w:rPr>
            </w:pPr>
            <w:r w:rsidRPr="00D701AE" w:rsidR="00D701AE">
              <w:rPr>
                <w:sz w:val="20"/>
              </w:rPr>
              <w:t>NZ</w:t>
            </w:r>
          </w:p>
        </w:tc>
        <w:tc>
          <w:tcPr>
            <w:tcW w:w="701" w:type="dxa"/>
          </w:tcPr>
          <w:p w:rsidR="00D701AE" w:rsidRPr="00743DBC" w:rsidP="00D701AE">
            <w:pPr>
              <w:pStyle w:val="Paragrafyzkona"/>
              <w:spacing w:before="0" w:line="240" w:lineRule="auto"/>
              <w:jc w:val="left"/>
              <w:rPr>
                <w:b w:val="0"/>
                <w:sz w:val="20"/>
                <w:szCs w:val="20"/>
                <w:lang w:eastAsia="en-US"/>
              </w:rPr>
            </w:pPr>
            <w:r>
              <w:rPr>
                <w:b w:val="0"/>
                <w:sz w:val="20"/>
                <w:szCs w:val="20"/>
                <w:lang w:eastAsia="en-US"/>
              </w:rPr>
              <w:t>§ 3</w:t>
            </w:r>
          </w:p>
          <w:p w:rsidR="00D701AE" w:rsidP="00D701AE">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7</w:t>
            </w:r>
          </w:p>
          <w:p w:rsidR="00E20C4A" w:rsidRPr="008658BB" w:rsidP="00E20C4A">
            <w:pPr>
              <w:jc w:val="both"/>
              <w:rPr>
                <w:b/>
                <w:sz w:val="20"/>
              </w:rPr>
            </w:pPr>
          </w:p>
        </w:tc>
        <w:tc>
          <w:tcPr>
            <w:tcW w:w="7797" w:type="dxa"/>
          </w:tcPr>
          <w:p w:rsidR="00D701AE" w:rsidRPr="00D701AE" w:rsidP="00D701AE">
            <w:pPr>
              <w:pStyle w:val="ListParagraph"/>
              <w:spacing w:after="360" w:line="240" w:lineRule="auto"/>
              <w:ind w:left="0"/>
              <w:contextualSpacing w:val="0"/>
              <w:jc w:val="both"/>
              <w:rPr>
                <w:sz w:val="20"/>
                <w:szCs w:val="20"/>
                <w:lang w:eastAsia="en-US"/>
              </w:rPr>
            </w:pPr>
            <w:r w:rsidR="00A44ADE">
              <w:rPr>
                <w:sz w:val="20"/>
                <w:szCs w:val="20"/>
                <w:lang w:eastAsia="en-US"/>
              </w:rPr>
              <w:t>(7)</w:t>
            </w:r>
            <w:r w:rsidR="00A44ADE">
              <w:rPr>
                <w:sz w:val="20"/>
                <w:szCs w:val="20"/>
                <w:lang w:eastAsia="en-US"/>
              </w:rPr>
              <w:t xml:space="preserve"> </w:t>
            </w:r>
            <w:r w:rsidRPr="00A44ADE" w:rsidR="00A44ADE">
              <w:rPr>
                <w:sz w:val="20"/>
                <w:szCs w:val="20"/>
                <w:lang w:eastAsia="en-US"/>
              </w:rPr>
              <w:t>Kritickou úrovňou na účely hodnotenia kvality ovzdušia je úroveň znečistenia ovzdušia určená na základe vedeckých poznatkov, pri prekročení ktorej sa môžu vyskytnúť priame nepriaznivé vplyvy na vegetáciu, ako sú stromy a iné rastliny, alebo prírodné ekosystémy, ale nie na ľudí; kritická úroveň je ustanovená pre oxid siričitý a oxidy dusíka.</w:t>
            </w:r>
          </w:p>
          <w:p w:rsidR="00E20C4A" w:rsidP="00E20C4A">
            <w:pPr>
              <w:pStyle w:val="Normlny"/>
              <w:jc w:val="center"/>
              <w:rPr>
                <w:b/>
              </w:rPr>
            </w:pPr>
          </w:p>
        </w:tc>
        <w:tc>
          <w:tcPr>
            <w:tcW w:w="708" w:type="dxa"/>
          </w:tcPr>
          <w:p w:rsidR="00E20C4A" w:rsidRPr="00D701AE" w:rsidP="00E20C4A">
            <w:pPr>
              <w:jc w:val="both"/>
              <w:rPr>
                <w:sz w:val="20"/>
              </w:rPr>
            </w:pPr>
            <w:r w:rsidRPr="00D701AE" w:rsidR="00D701AE">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Č14</w:t>
            </w:r>
          </w:p>
          <w:p w:rsidR="00E20C4A" w:rsidP="00E20C4A">
            <w:pPr>
              <w:jc w:val="both"/>
              <w:rPr>
                <w:sz w:val="20"/>
              </w:rPr>
            </w:pPr>
            <w:r>
              <w:rPr>
                <w:sz w:val="20"/>
              </w:rPr>
              <w:t>O2</w:t>
            </w:r>
          </w:p>
        </w:tc>
        <w:tc>
          <w:tcPr>
            <w:tcW w:w="4074" w:type="dxa"/>
            <w:tcBorders>
              <w:bottom w:val="single" w:sz="4" w:space="0" w:color="auto"/>
            </w:tcBorders>
          </w:tcPr>
          <w:p w:rsidR="00E20C4A" w:rsidRPr="00B42708" w:rsidP="00E20C4A">
            <w:pPr>
              <w:jc w:val="both"/>
              <w:rPr>
                <w:sz w:val="20"/>
              </w:rPr>
            </w:pPr>
            <w:r w:rsidRPr="00B42708">
              <w:rPr>
                <w:sz w:val="20"/>
              </w:rPr>
              <w:t>2. Na miestach, kde sú jediným zdrojom informácií na hodnotenie</w:t>
            </w:r>
            <w:r>
              <w:rPr>
                <w:sz w:val="20"/>
              </w:rPr>
              <w:t xml:space="preserve"> </w:t>
            </w:r>
            <w:r w:rsidRPr="00B42708">
              <w:rPr>
                <w:sz w:val="20"/>
              </w:rPr>
              <w:t>kvality ovzdušia stále merania, nesmie byť počet vzorkovacích miest</w:t>
            </w:r>
          </w:p>
          <w:p w:rsidR="00E20C4A" w:rsidP="00E20C4A">
            <w:pPr>
              <w:jc w:val="both"/>
              <w:rPr>
                <w:sz w:val="20"/>
              </w:rPr>
            </w:pPr>
            <w:r w:rsidRPr="00B42708">
              <w:rPr>
                <w:sz w:val="20"/>
              </w:rPr>
              <w:t>nižší ako minimálny počet určený v oddiele C prílohy V. Na miestach,</w:t>
            </w:r>
            <w:r>
              <w:rPr>
                <w:sz w:val="20"/>
              </w:rPr>
              <w:t xml:space="preserve"> </w:t>
            </w:r>
            <w:r w:rsidRPr="00B42708">
              <w:rPr>
                <w:sz w:val="20"/>
              </w:rPr>
              <w:t>kde sú tieto informácie doplnené indikatívnymi meraniami alebo modelovaním, môže byť minimálny počet vzorkovacích miest znížený až</w:t>
            </w:r>
            <w:r>
              <w:rPr>
                <w:sz w:val="20"/>
              </w:rPr>
              <w:t xml:space="preserve"> </w:t>
            </w:r>
            <w:r w:rsidRPr="00B42708">
              <w:rPr>
                <w:sz w:val="20"/>
              </w:rPr>
              <w:t>o 50 %, pokiaľ možno hodnotené koncentrácie príslušnej znečisťujúcej</w:t>
            </w:r>
            <w:r>
              <w:rPr>
                <w:sz w:val="20"/>
              </w:rPr>
              <w:t xml:space="preserve"> </w:t>
            </w:r>
            <w:r w:rsidRPr="00B42708">
              <w:rPr>
                <w:sz w:val="20"/>
              </w:rPr>
              <w:t>látky stanoviť v súlade s cieľmi kvality údajov určenými v</w:t>
            </w:r>
            <w:r>
              <w:rPr>
                <w:sz w:val="20"/>
              </w:rPr>
              <w:t> </w:t>
            </w:r>
            <w:r w:rsidRPr="00B42708">
              <w:rPr>
                <w:sz w:val="20"/>
              </w:rPr>
              <w:t>oddiele</w:t>
            </w:r>
            <w:r>
              <w:rPr>
                <w:sz w:val="20"/>
              </w:rPr>
              <w:t xml:space="preserve"> </w:t>
            </w:r>
            <w:r w:rsidRPr="00B42708">
              <w:rPr>
                <w:sz w:val="20"/>
              </w:rPr>
              <w:t>A prílohy I.</w:t>
            </w:r>
          </w:p>
          <w:p w:rsidR="00E20C4A" w:rsidP="00E20C4A">
            <w:pPr>
              <w:jc w:val="both"/>
              <w:rPr>
                <w:sz w:val="20"/>
              </w:rPr>
            </w:pPr>
          </w:p>
        </w:tc>
        <w:tc>
          <w:tcPr>
            <w:tcW w:w="747" w:type="dxa"/>
          </w:tcPr>
          <w:p w:rsidR="00E20C4A" w:rsidRPr="00D86B9D" w:rsidP="00E20C4A">
            <w:pPr>
              <w:ind w:right="-249"/>
              <w:rPr>
                <w:sz w:val="20"/>
              </w:rPr>
            </w:pPr>
            <w:r w:rsidR="00D05ED4">
              <w:rPr>
                <w:sz w:val="20"/>
              </w:rPr>
              <w:t>N</w:t>
            </w:r>
          </w:p>
        </w:tc>
        <w:tc>
          <w:tcPr>
            <w:tcW w:w="574" w:type="dxa"/>
          </w:tcPr>
          <w:p w:rsidR="00E20C4A" w:rsidP="00E20C4A">
            <w:pPr>
              <w:jc w:val="both"/>
              <w:rPr>
                <w:sz w:val="20"/>
              </w:rPr>
            </w:pPr>
            <w:r w:rsidRPr="00D05ED4" w:rsidR="00D05ED4">
              <w:rPr>
                <w:sz w:val="20"/>
              </w:rPr>
              <w:t>NZ</w:t>
            </w:r>
          </w:p>
          <w:p w:rsidR="00D54AF3" w:rsidP="00E20C4A">
            <w:pPr>
              <w:jc w:val="both"/>
              <w:rPr>
                <w:sz w:val="20"/>
              </w:rPr>
            </w:pPr>
          </w:p>
          <w:p w:rsidR="00D54AF3" w:rsidP="00E20C4A">
            <w:pPr>
              <w:jc w:val="both"/>
              <w:rPr>
                <w:sz w:val="20"/>
              </w:rPr>
            </w:pPr>
          </w:p>
          <w:p w:rsidR="00D54AF3" w:rsidP="00E20C4A">
            <w:pPr>
              <w:jc w:val="both"/>
              <w:rPr>
                <w:sz w:val="20"/>
              </w:rPr>
            </w:pPr>
          </w:p>
          <w:p w:rsidR="00D54AF3"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744CD4" w:rsidP="00E20C4A">
            <w:pPr>
              <w:jc w:val="both"/>
              <w:rPr>
                <w:sz w:val="20"/>
              </w:rPr>
            </w:pPr>
          </w:p>
          <w:p w:rsidR="00D54AF3" w:rsidRPr="00D05ED4" w:rsidP="00E20C4A">
            <w:pPr>
              <w:jc w:val="both"/>
              <w:rPr>
                <w:sz w:val="20"/>
              </w:rPr>
            </w:pPr>
            <w:r>
              <w:rPr>
                <w:sz w:val="20"/>
              </w:rPr>
              <w:t>NV</w:t>
            </w:r>
          </w:p>
        </w:tc>
        <w:tc>
          <w:tcPr>
            <w:tcW w:w="701" w:type="dxa"/>
          </w:tcPr>
          <w:p w:rsidR="00D05ED4" w:rsidRPr="00743DBC" w:rsidP="00D05ED4">
            <w:pPr>
              <w:pStyle w:val="Paragrafyzkona"/>
              <w:spacing w:before="0" w:line="240" w:lineRule="auto"/>
              <w:jc w:val="left"/>
              <w:rPr>
                <w:b w:val="0"/>
                <w:sz w:val="20"/>
                <w:szCs w:val="20"/>
                <w:lang w:eastAsia="en-US"/>
              </w:rPr>
            </w:pPr>
            <w:r>
              <w:rPr>
                <w:b w:val="0"/>
                <w:sz w:val="20"/>
                <w:szCs w:val="20"/>
                <w:lang w:eastAsia="en-US"/>
              </w:rPr>
              <w:t>§ 5</w:t>
            </w:r>
          </w:p>
          <w:p w:rsidR="00D05ED4" w:rsidP="00D05ED4">
            <w:pPr>
              <w:pStyle w:val="Paragrafyzkona"/>
              <w:spacing w:before="0" w:line="240" w:lineRule="auto"/>
              <w:jc w:val="left"/>
              <w:rPr>
                <w:b w:val="0"/>
                <w:sz w:val="20"/>
                <w:szCs w:val="20"/>
                <w:lang w:eastAsia="en-US"/>
              </w:rPr>
            </w:pPr>
            <w:r w:rsidRPr="00743DBC">
              <w:rPr>
                <w:b w:val="0"/>
                <w:sz w:val="20"/>
                <w:szCs w:val="20"/>
                <w:lang w:eastAsia="en-US"/>
              </w:rPr>
              <w:t>O</w:t>
            </w:r>
            <w:r w:rsidR="00744CD4">
              <w:rPr>
                <w:b w:val="0"/>
                <w:sz w:val="20"/>
                <w:szCs w:val="20"/>
                <w:lang w:eastAsia="en-US"/>
              </w:rPr>
              <w:t>5</w:t>
            </w:r>
          </w:p>
          <w:p w:rsidR="00744CD4" w:rsidP="00D05ED4">
            <w:pPr>
              <w:pStyle w:val="Paragrafyzkona"/>
              <w:spacing w:before="0" w:line="240" w:lineRule="auto"/>
              <w:jc w:val="left"/>
              <w:rPr>
                <w:b w:val="0"/>
                <w:sz w:val="20"/>
                <w:szCs w:val="20"/>
                <w:lang w:eastAsia="en-US"/>
              </w:rPr>
            </w:pPr>
          </w:p>
          <w:p w:rsidR="00D05ED4" w:rsidP="00D05ED4">
            <w:pPr>
              <w:pStyle w:val="Paragrafyzkona"/>
              <w:spacing w:before="0" w:line="240" w:lineRule="auto"/>
              <w:jc w:val="left"/>
              <w:rPr>
                <w:b w:val="0"/>
                <w:sz w:val="20"/>
                <w:szCs w:val="20"/>
                <w:lang w:eastAsia="en-US"/>
              </w:rPr>
            </w:pPr>
          </w:p>
          <w:p w:rsidR="00E20C4A" w:rsidP="00E20C4A">
            <w:pPr>
              <w:jc w:val="both"/>
              <w:rPr>
                <w:b/>
                <w:sz w:val="20"/>
              </w:rPr>
            </w:pPr>
          </w:p>
          <w:p w:rsidR="00D54AF3" w:rsidP="00E20C4A">
            <w:pPr>
              <w:jc w:val="both"/>
              <w:rPr>
                <w:b/>
                <w:sz w:val="20"/>
              </w:rPr>
            </w:pPr>
          </w:p>
          <w:p w:rsidR="00744CD4" w:rsidP="00E20C4A">
            <w:pPr>
              <w:jc w:val="both"/>
              <w:rPr>
                <w:b/>
                <w:sz w:val="20"/>
              </w:rPr>
            </w:pPr>
          </w:p>
          <w:p w:rsidR="00744CD4" w:rsidP="00E20C4A">
            <w:pPr>
              <w:jc w:val="both"/>
              <w:rPr>
                <w:b/>
                <w:sz w:val="20"/>
              </w:rPr>
            </w:pPr>
          </w:p>
          <w:p w:rsidR="00744CD4" w:rsidP="00E20C4A">
            <w:pPr>
              <w:jc w:val="both"/>
              <w:rPr>
                <w:b/>
                <w:sz w:val="20"/>
              </w:rPr>
            </w:pPr>
          </w:p>
          <w:p w:rsidR="00744CD4" w:rsidP="00E20C4A">
            <w:pPr>
              <w:jc w:val="both"/>
              <w:rPr>
                <w:b/>
                <w:sz w:val="20"/>
              </w:rPr>
            </w:pPr>
          </w:p>
          <w:p w:rsidR="00744CD4" w:rsidP="00E20C4A">
            <w:pPr>
              <w:jc w:val="both"/>
              <w:rPr>
                <w:b/>
                <w:sz w:val="20"/>
              </w:rPr>
            </w:pPr>
          </w:p>
          <w:p w:rsidR="00744CD4" w:rsidP="00E20C4A">
            <w:pPr>
              <w:jc w:val="both"/>
              <w:rPr>
                <w:b/>
                <w:sz w:val="20"/>
              </w:rPr>
            </w:pPr>
          </w:p>
          <w:p w:rsidR="00744CD4" w:rsidP="00E20C4A">
            <w:pPr>
              <w:jc w:val="both"/>
              <w:rPr>
                <w:b/>
                <w:sz w:val="20"/>
              </w:rPr>
            </w:pPr>
          </w:p>
          <w:p w:rsidR="00744CD4" w:rsidP="00E20C4A">
            <w:pPr>
              <w:jc w:val="both"/>
              <w:rPr>
                <w:b/>
                <w:sz w:val="20"/>
              </w:rPr>
            </w:pPr>
          </w:p>
          <w:p w:rsidR="00D54AF3" w:rsidRPr="00D54AF3" w:rsidP="00E20C4A">
            <w:pPr>
              <w:jc w:val="both"/>
              <w:rPr>
                <w:sz w:val="20"/>
              </w:rPr>
            </w:pPr>
            <w:r w:rsidRPr="00D54AF3">
              <w:rPr>
                <w:sz w:val="20"/>
              </w:rPr>
              <w:t>Príl. 8</w:t>
            </w:r>
          </w:p>
          <w:p w:rsidR="00D54AF3" w:rsidRPr="00D54AF3" w:rsidP="00E20C4A">
            <w:pPr>
              <w:jc w:val="both"/>
              <w:rPr>
                <w:sz w:val="20"/>
              </w:rPr>
            </w:pPr>
            <w:r w:rsidRPr="00D54AF3">
              <w:rPr>
                <w:sz w:val="20"/>
              </w:rPr>
              <w:t>Časť I.</w:t>
            </w:r>
          </w:p>
          <w:p w:rsidR="00D54AF3" w:rsidRPr="008658BB" w:rsidP="00E20C4A">
            <w:pPr>
              <w:jc w:val="both"/>
              <w:rPr>
                <w:b/>
                <w:sz w:val="20"/>
              </w:rPr>
            </w:pPr>
            <w:r w:rsidRPr="00D54AF3">
              <w:rPr>
                <w:sz w:val="20"/>
              </w:rPr>
              <w:t>PE</w:t>
            </w:r>
          </w:p>
        </w:tc>
        <w:tc>
          <w:tcPr>
            <w:tcW w:w="7797" w:type="dxa"/>
          </w:tcPr>
          <w:p w:rsidR="00744CD4" w:rsidRPr="00744CD4" w:rsidP="00744CD4">
            <w:pPr>
              <w:pStyle w:val="ListParagraph"/>
              <w:ind w:left="0"/>
              <w:jc w:val="both"/>
              <w:rPr>
                <w:sz w:val="20"/>
                <w:szCs w:val="20"/>
                <w:lang w:eastAsia="en-US"/>
              </w:rPr>
            </w:pPr>
            <w:r>
              <w:rPr>
                <w:sz w:val="20"/>
                <w:szCs w:val="20"/>
                <w:lang w:eastAsia="en-US"/>
              </w:rPr>
              <w:t>(5)</w:t>
            </w:r>
            <w:r w:rsidR="00D05ED4">
              <w:rPr>
                <w:sz w:val="20"/>
                <w:szCs w:val="20"/>
                <w:lang w:eastAsia="en-US"/>
              </w:rPr>
              <w:t xml:space="preserve"> </w:t>
            </w:r>
            <w:r w:rsidRPr="00744CD4">
              <w:rPr>
                <w:sz w:val="20"/>
                <w:szCs w:val="20"/>
                <w:lang w:eastAsia="en-US"/>
              </w:rPr>
              <w:t>Kritériá na určenie minimálneho počtu vzorkovacích miest na stále merania sú ustanovené vykonávacím predpisom podľa § 62 písm. b). Každú zmenu týkajúcu sa počtu vzorkovacích miest prerokuje poverená organizácia vopred s ministerstvom. Celkový počet vzorkovacích miest</w:t>
            </w:r>
          </w:p>
          <w:p w:rsidR="00744CD4" w:rsidRPr="00744CD4" w:rsidP="00744CD4">
            <w:pPr>
              <w:pStyle w:val="ListParagraph"/>
              <w:ind w:left="0"/>
              <w:jc w:val="both"/>
              <w:rPr>
                <w:sz w:val="20"/>
                <w:szCs w:val="20"/>
                <w:lang w:eastAsia="en-US"/>
              </w:rPr>
            </w:pPr>
            <w:r w:rsidRPr="00744CD4">
              <w:rPr>
                <w:sz w:val="20"/>
                <w:szCs w:val="20"/>
                <w:lang w:eastAsia="en-US"/>
              </w:rPr>
              <w:t>1.</w:t>
              <w:tab/>
              <w:t>nesmie byť nižší ako ustanovený najnižší počet vzorkovacích miest, ak stále merania sú jediným zdrojom infor</w:t>
            </w:r>
            <w:r w:rsidRPr="00744CD4">
              <w:rPr>
                <w:sz w:val="20"/>
                <w:szCs w:val="20"/>
                <w:lang w:eastAsia="en-US"/>
              </w:rPr>
              <w:t xml:space="preserve">mácií na hodnotenie kvality ovzdušia v zóne a aglomerácii, </w:t>
            </w:r>
          </w:p>
          <w:p w:rsidR="00744CD4" w:rsidP="00744CD4">
            <w:pPr>
              <w:pStyle w:val="ListParagraph"/>
              <w:spacing w:line="240" w:lineRule="auto"/>
              <w:ind w:left="0"/>
              <w:contextualSpacing w:val="0"/>
              <w:jc w:val="both"/>
              <w:rPr>
                <w:sz w:val="20"/>
                <w:szCs w:val="20"/>
                <w:lang w:eastAsia="en-US"/>
              </w:rPr>
            </w:pPr>
            <w:r w:rsidRPr="00744CD4">
              <w:rPr>
                <w:sz w:val="20"/>
                <w:szCs w:val="20"/>
                <w:lang w:eastAsia="en-US"/>
              </w:rPr>
              <w:t>2.</w:t>
              <w:tab/>
              <w:t xml:space="preserve">môže byť znížený v súlade s podmienkami ustanovenými vo vykonávacom predpise podľa § 62 písm. b), pričom pri hodnotení kvality ovzdušia je potrebné zohľadniť výsledky modelovania na základe informácií z emisných inventúr alebo indikatívneho merania, vzhľadom na limitné hodnoty a cieľové hodnoty.    </w:t>
            </w:r>
          </w:p>
          <w:p w:rsidR="00D05ED4" w:rsidRPr="00D05ED4" w:rsidP="00744CD4">
            <w:pPr>
              <w:pStyle w:val="ListParagraph"/>
              <w:spacing w:line="240" w:lineRule="auto"/>
              <w:ind w:left="0"/>
              <w:contextualSpacing w:val="0"/>
              <w:jc w:val="both"/>
              <w:rPr>
                <w:sz w:val="20"/>
                <w:szCs w:val="20"/>
                <w:lang w:eastAsia="en-US"/>
              </w:rPr>
            </w:pPr>
            <w:r w:rsidRPr="00744CD4" w:rsidR="00744CD4">
              <w:rPr>
                <w:sz w:val="20"/>
                <w:szCs w:val="20"/>
                <w:lang w:eastAsia="en-US"/>
              </w:rPr>
              <w:t xml:space="preserve"> </w:t>
            </w:r>
          </w:p>
          <w:p w:rsidR="008E5BE6" w:rsidRPr="008E5BE6" w:rsidP="008E5BE6">
            <w:pPr>
              <w:pStyle w:val="NormalWeb"/>
              <w:tabs>
                <w:tab w:val="left" w:pos="284"/>
              </w:tabs>
              <w:spacing w:before="0" w:beforeAutospacing="0" w:after="120" w:afterAutospacing="0"/>
              <w:jc w:val="both"/>
              <w:rPr>
                <w:sz w:val="20"/>
                <w:szCs w:val="20"/>
                <w:lang w:eastAsia="en-US"/>
              </w:rPr>
            </w:pPr>
            <w:r w:rsidRPr="008E5BE6">
              <w:rPr>
                <w:sz w:val="20"/>
                <w:szCs w:val="20"/>
                <w:lang w:eastAsia="en-US"/>
              </w:rPr>
              <w:t xml:space="preserve">E. Podmienky na zníženie počtu vzorkovacích miest </w:t>
            </w:r>
          </w:p>
          <w:p w:rsidR="008E5BE6" w:rsidRPr="008E5BE6" w:rsidP="008E5BE6">
            <w:pPr>
              <w:autoSpaceDE w:val="0"/>
              <w:autoSpaceDN w:val="0"/>
              <w:adjustRightInd w:val="0"/>
              <w:spacing w:after="120"/>
              <w:jc w:val="both"/>
              <w:rPr>
                <w:sz w:val="20"/>
              </w:rPr>
            </w:pPr>
            <w:r w:rsidRPr="008E5BE6">
              <w:rPr>
                <w:sz w:val="20"/>
              </w:rPr>
              <w:t>Pre zóny a aglomerácie, v rámci ktorých sú informácie zo vzorkovacích miest na stále meranie doplnené informáciami z modelovania a/alebo indikatívnymi meraniami, sa však môže celkový počet vzorkovacích miest uvedený v prílohe č. 9 písm. A znížiť až o 50 % za predpokladu, že sú splnené tieto podmienky:</w:t>
            </w:r>
          </w:p>
          <w:p w:rsidR="008E5BE6" w:rsidRPr="008E5BE6" w:rsidP="008E5BE6">
            <w:pPr>
              <w:autoSpaceDE w:val="0"/>
              <w:autoSpaceDN w:val="0"/>
              <w:adjustRightInd w:val="0"/>
              <w:spacing w:after="120"/>
              <w:ind w:left="568" w:hanging="284"/>
              <w:jc w:val="both"/>
              <w:rPr>
                <w:sz w:val="20"/>
              </w:rPr>
            </w:pPr>
            <w:r w:rsidRPr="008E5BE6">
              <w:rPr>
                <w:sz w:val="20"/>
              </w:rPr>
              <w:t>a) doplnkové metódy poskytujú dostatočné informácie na hodnotenie kvality ovzdušia vzhľadom na limitné hodnoty alebo výstražné prahy, ako aj primerané informácie pre verejnosť,</w:t>
            </w:r>
          </w:p>
          <w:p w:rsidR="008E5BE6" w:rsidRPr="008E5BE6" w:rsidP="008E5BE6">
            <w:pPr>
              <w:tabs>
                <w:tab w:val="left" w:pos="284"/>
              </w:tabs>
              <w:autoSpaceDE w:val="0"/>
              <w:autoSpaceDN w:val="0"/>
              <w:adjustRightInd w:val="0"/>
              <w:spacing w:after="120"/>
              <w:ind w:left="568" w:hanging="284"/>
              <w:jc w:val="both"/>
              <w:rPr>
                <w:sz w:val="20"/>
              </w:rPr>
            </w:pPr>
            <w:r w:rsidRPr="008E5BE6">
              <w:rPr>
                <w:sz w:val="20"/>
              </w:rPr>
              <w:t>b) počet vzorkovacích miest, ktoré sa majú zriadiť, a priestorové rozlíšenie ostatných techník sú dostatočné na stanovenie koncentrácie príslušnej znečisťujúcej látky v súlade s cieľmi kvality údajov uvedenými v prílohe č. 6 písm. A a vedú k výsledkom hodnotenia, ktoré spĺňajú kritériá uvedené v prílohe č. 6 písm. B.</w:t>
            </w:r>
          </w:p>
          <w:p w:rsidR="008E5BE6" w:rsidRPr="008E5BE6" w:rsidP="008E5BE6">
            <w:pPr>
              <w:pStyle w:val="NormalWeb"/>
              <w:widowControl w:val="0"/>
              <w:spacing w:before="0" w:beforeAutospacing="0" w:after="0" w:afterAutospacing="0"/>
              <w:jc w:val="both"/>
              <w:rPr>
                <w:sz w:val="20"/>
                <w:szCs w:val="20"/>
                <w:lang w:eastAsia="en-US"/>
              </w:rPr>
            </w:pPr>
            <w:r w:rsidRPr="008E5BE6">
              <w:rPr>
                <w:sz w:val="20"/>
                <w:szCs w:val="20"/>
                <w:lang w:eastAsia="en-US"/>
              </w:rPr>
              <w:t xml:space="preserve">Výsledky modelovania a/alebo indikatívneho merania sa zohľadňujú pri hodnotení kvality ovzdušia vzhľadom na limitné hodnoty. </w:t>
            </w:r>
          </w:p>
          <w:p w:rsidR="00D54AF3" w:rsidP="008E5BE6">
            <w:pPr>
              <w:pStyle w:val="Normlny"/>
              <w:jc w:val="both"/>
              <w:rPr>
                <w:b/>
              </w:rPr>
            </w:pPr>
          </w:p>
        </w:tc>
        <w:tc>
          <w:tcPr>
            <w:tcW w:w="708" w:type="dxa"/>
          </w:tcPr>
          <w:p w:rsidR="00E20C4A" w:rsidRPr="00D05ED4" w:rsidP="00E20C4A">
            <w:pPr>
              <w:jc w:val="both"/>
              <w:rPr>
                <w:sz w:val="20"/>
              </w:rPr>
            </w:pPr>
            <w:r w:rsidRPr="00D05ED4" w:rsidR="00D05ED4">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Č15</w:t>
            </w:r>
          </w:p>
          <w:p w:rsidR="00E20C4A" w:rsidP="00E20C4A">
            <w:pPr>
              <w:jc w:val="both"/>
              <w:rPr>
                <w:sz w:val="20"/>
              </w:rPr>
            </w:pPr>
            <w:r>
              <w:rPr>
                <w:sz w:val="20"/>
              </w:rPr>
              <w:t>O1</w:t>
            </w:r>
          </w:p>
        </w:tc>
        <w:tc>
          <w:tcPr>
            <w:tcW w:w="4074" w:type="dxa"/>
            <w:tcBorders>
              <w:bottom w:val="single" w:sz="4" w:space="0" w:color="auto"/>
            </w:tcBorders>
          </w:tcPr>
          <w:p w:rsidR="00E20C4A" w:rsidRPr="00B42708" w:rsidP="00E20C4A">
            <w:pPr>
              <w:jc w:val="both"/>
              <w:rPr>
                <w:sz w:val="20"/>
              </w:rPr>
            </w:pPr>
            <w:r w:rsidRPr="00B42708">
              <w:rPr>
                <w:sz w:val="20"/>
              </w:rPr>
              <w:t>Národný cieľ zníženia expozície pre PM</w:t>
            </w:r>
            <w:r w:rsidRPr="009E5012">
              <w:rPr>
                <w:sz w:val="20"/>
                <w:vertAlign w:val="subscript"/>
              </w:rPr>
              <w:t xml:space="preserve">2,5 </w:t>
            </w:r>
            <w:r w:rsidRPr="00B42708">
              <w:rPr>
                <w:sz w:val="20"/>
              </w:rPr>
              <w:t>na ochranu zdravia ľudí</w:t>
            </w:r>
          </w:p>
          <w:p w:rsidR="00E20C4A" w:rsidP="00E20C4A">
            <w:pPr>
              <w:jc w:val="both"/>
              <w:rPr>
                <w:sz w:val="20"/>
              </w:rPr>
            </w:pPr>
            <w:r w:rsidRPr="00B42708">
              <w:rPr>
                <w:sz w:val="20"/>
              </w:rPr>
              <w:t>1. Členské štáty prijmú všetky potrebné opatrenia na zníženie expozície PM</w:t>
            </w:r>
            <w:r w:rsidRPr="009E5012">
              <w:rPr>
                <w:sz w:val="20"/>
                <w:vertAlign w:val="subscript"/>
              </w:rPr>
              <w:t>2.5</w:t>
            </w:r>
            <w:r w:rsidRPr="00B42708">
              <w:rPr>
                <w:sz w:val="20"/>
              </w:rPr>
              <w:t>, ktoré neprinášajú neprimerané náklady, aby sa národný cieľ</w:t>
            </w:r>
            <w:r>
              <w:rPr>
                <w:sz w:val="20"/>
              </w:rPr>
              <w:t xml:space="preserve"> </w:t>
            </w:r>
            <w:r w:rsidRPr="00B42708">
              <w:rPr>
                <w:sz w:val="20"/>
              </w:rPr>
              <w:t>zníženia expozície ustanovený v oddiele B prílohy XIV dosiahol k</w:t>
            </w:r>
            <w:r>
              <w:rPr>
                <w:sz w:val="20"/>
              </w:rPr>
              <w:t> </w:t>
            </w:r>
            <w:r w:rsidRPr="00B42708">
              <w:rPr>
                <w:sz w:val="20"/>
              </w:rPr>
              <w:t>roku</w:t>
            </w:r>
            <w:r>
              <w:rPr>
                <w:sz w:val="20"/>
              </w:rPr>
              <w:t xml:space="preserve"> </w:t>
            </w:r>
            <w:r w:rsidRPr="00B42708">
              <w:rPr>
                <w:sz w:val="20"/>
              </w:rPr>
              <w:t>tam uvedenému.</w:t>
            </w:r>
          </w:p>
          <w:p w:rsidR="00E20C4A" w:rsidP="00E20C4A">
            <w:pPr>
              <w:jc w:val="both"/>
              <w:rPr>
                <w:sz w:val="20"/>
              </w:rPr>
            </w:pPr>
          </w:p>
        </w:tc>
        <w:tc>
          <w:tcPr>
            <w:tcW w:w="747" w:type="dxa"/>
          </w:tcPr>
          <w:p w:rsidR="00E20C4A" w:rsidRPr="00D86B9D" w:rsidP="00E20C4A">
            <w:pPr>
              <w:ind w:right="-249"/>
              <w:rPr>
                <w:sz w:val="20"/>
              </w:rPr>
            </w:pPr>
            <w:r w:rsidR="00307B28">
              <w:rPr>
                <w:sz w:val="20"/>
              </w:rPr>
              <w:t>N</w:t>
            </w:r>
          </w:p>
        </w:tc>
        <w:tc>
          <w:tcPr>
            <w:tcW w:w="574" w:type="dxa"/>
          </w:tcPr>
          <w:p w:rsidR="00E20C4A" w:rsidRPr="00307B28" w:rsidP="00E20C4A">
            <w:pPr>
              <w:jc w:val="both"/>
              <w:rPr>
                <w:sz w:val="20"/>
              </w:rPr>
            </w:pPr>
            <w:r w:rsidRPr="00307B28" w:rsidR="00307B28">
              <w:rPr>
                <w:sz w:val="20"/>
              </w:rPr>
              <w:t>NZ</w:t>
            </w:r>
          </w:p>
        </w:tc>
        <w:tc>
          <w:tcPr>
            <w:tcW w:w="701" w:type="dxa"/>
          </w:tcPr>
          <w:p w:rsidR="00307B28" w:rsidRPr="00743DBC" w:rsidP="00307B28">
            <w:pPr>
              <w:pStyle w:val="Paragrafyzkona"/>
              <w:spacing w:before="0" w:line="240" w:lineRule="auto"/>
              <w:jc w:val="left"/>
              <w:rPr>
                <w:b w:val="0"/>
                <w:sz w:val="20"/>
                <w:szCs w:val="20"/>
                <w:lang w:eastAsia="en-US"/>
              </w:rPr>
            </w:pPr>
            <w:r>
              <w:rPr>
                <w:b w:val="0"/>
                <w:sz w:val="20"/>
                <w:szCs w:val="20"/>
                <w:lang w:eastAsia="en-US"/>
              </w:rPr>
              <w:t>§ 3</w:t>
            </w:r>
          </w:p>
          <w:p w:rsidR="00307B28" w:rsidP="00307B28">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12</w:t>
            </w:r>
          </w:p>
          <w:p w:rsidR="00307B28" w:rsidP="00307B28">
            <w:pPr>
              <w:pStyle w:val="Paragrafyzkona"/>
              <w:spacing w:before="0" w:line="240" w:lineRule="auto"/>
              <w:jc w:val="left"/>
              <w:rPr>
                <w:b w:val="0"/>
                <w:sz w:val="20"/>
                <w:szCs w:val="20"/>
                <w:lang w:eastAsia="en-US"/>
              </w:rPr>
            </w:pPr>
          </w:p>
          <w:p w:rsidR="00E20C4A" w:rsidRPr="008658BB" w:rsidP="00E20C4A">
            <w:pPr>
              <w:jc w:val="both"/>
              <w:rPr>
                <w:b/>
                <w:sz w:val="20"/>
              </w:rPr>
            </w:pPr>
          </w:p>
        </w:tc>
        <w:tc>
          <w:tcPr>
            <w:tcW w:w="7797" w:type="dxa"/>
          </w:tcPr>
          <w:p w:rsidR="00E20C4A" w:rsidP="00307B28">
            <w:pPr>
              <w:pStyle w:val="Normlny"/>
              <w:jc w:val="both"/>
            </w:pPr>
            <w:r w:rsidRPr="00307B28" w:rsidR="00307B28">
              <w:t>(12)</w:t>
            </w:r>
            <w:r w:rsidR="00307B28">
              <w:rPr>
                <w:b/>
              </w:rPr>
              <w:t xml:space="preserve"> </w:t>
            </w:r>
            <w:r w:rsidRPr="00307B28" w:rsidR="00307B28">
              <w:t>Národným cieľom zníženia expozície pre PM</w:t>
            </w:r>
            <w:r w:rsidRPr="005E79F5" w:rsidR="00307B28">
              <w:rPr>
                <w:vertAlign w:val="subscript"/>
              </w:rPr>
              <w:t xml:space="preserve">2,5 </w:t>
            </w:r>
            <w:r w:rsidRPr="00307B28" w:rsidR="00307B28">
              <w:t>je percentuálne zníženie priemernej expozície obyvateľstva Slovenskej republiky ustanovené na rok 2020 s cieľom znížiť škodlivé vplyvy na zdravie ľudí, ktoré sa má dosiahnuť v danom čase tam, kde je to možné a neprekročiť ho v ďalšom období.</w:t>
            </w:r>
          </w:p>
          <w:p w:rsidR="00C22807" w:rsidP="00307B28">
            <w:pPr>
              <w:pStyle w:val="Normlny"/>
              <w:jc w:val="both"/>
            </w:pPr>
          </w:p>
          <w:p w:rsidR="00C22807" w:rsidP="00307B28">
            <w:pPr>
              <w:pStyle w:val="Normlny"/>
              <w:jc w:val="both"/>
            </w:pPr>
          </w:p>
          <w:p w:rsidR="00C22807" w:rsidP="00307B28">
            <w:pPr>
              <w:pStyle w:val="Normlny"/>
              <w:jc w:val="both"/>
            </w:pPr>
          </w:p>
          <w:p w:rsidR="00C22807" w:rsidP="00307B28">
            <w:pPr>
              <w:pStyle w:val="Normlny"/>
              <w:jc w:val="both"/>
            </w:pPr>
          </w:p>
          <w:p w:rsidR="00C22807" w:rsidP="00307B28">
            <w:pPr>
              <w:pStyle w:val="Normlny"/>
              <w:jc w:val="both"/>
            </w:pPr>
          </w:p>
          <w:p w:rsidR="00C22807" w:rsidP="00307B28">
            <w:pPr>
              <w:pStyle w:val="Normlny"/>
              <w:jc w:val="both"/>
              <w:rPr>
                <w:b/>
              </w:rPr>
            </w:pPr>
          </w:p>
        </w:tc>
        <w:tc>
          <w:tcPr>
            <w:tcW w:w="708" w:type="dxa"/>
          </w:tcPr>
          <w:p w:rsidR="00E20C4A" w:rsidRPr="00307B28" w:rsidP="00E20C4A">
            <w:pPr>
              <w:jc w:val="both"/>
              <w:rPr>
                <w:sz w:val="20"/>
              </w:rPr>
            </w:pPr>
            <w:r w:rsidRPr="00307B28" w:rsidR="00307B28">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Č15</w:t>
            </w:r>
          </w:p>
          <w:p w:rsidR="00E20C4A" w:rsidP="00E20C4A">
            <w:pPr>
              <w:jc w:val="both"/>
              <w:rPr>
                <w:sz w:val="20"/>
              </w:rPr>
            </w:pPr>
            <w:r>
              <w:rPr>
                <w:sz w:val="20"/>
              </w:rPr>
              <w:t>O2</w:t>
            </w:r>
          </w:p>
        </w:tc>
        <w:tc>
          <w:tcPr>
            <w:tcW w:w="4074" w:type="dxa"/>
            <w:tcBorders>
              <w:bottom w:val="single" w:sz="4" w:space="0" w:color="auto"/>
            </w:tcBorders>
          </w:tcPr>
          <w:p w:rsidR="00E20C4A" w:rsidRPr="00B42708" w:rsidP="00E20C4A">
            <w:pPr>
              <w:jc w:val="both"/>
              <w:rPr>
                <w:sz w:val="20"/>
              </w:rPr>
            </w:pPr>
            <w:r w:rsidRPr="00B42708">
              <w:rPr>
                <w:sz w:val="20"/>
              </w:rPr>
              <w:t>2. Členské štáty zabezpečia, aby indikátor priemernej expozície na</w:t>
            </w:r>
            <w:r>
              <w:rPr>
                <w:sz w:val="20"/>
              </w:rPr>
              <w:t xml:space="preserve"> </w:t>
            </w:r>
            <w:r w:rsidRPr="00B42708">
              <w:rPr>
                <w:sz w:val="20"/>
              </w:rPr>
              <w:t>rok 2015 stan</w:t>
            </w:r>
            <w:r w:rsidRPr="00B42708">
              <w:rPr>
                <w:sz w:val="20"/>
              </w:rPr>
              <w:t>ovený v súlade s oddielom A prílohy XIV nepresiahol</w:t>
            </w:r>
          </w:p>
          <w:p w:rsidR="00E20C4A" w:rsidP="00E20C4A">
            <w:pPr>
              <w:jc w:val="both"/>
              <w:rPr>
                <w:sz w:val="20"/>
              </w:rPr>
            </w:pPr>
            <w:r w:rsidRPr="00B42708">
              <w:rPr>
                <w:sz w:val="20"/>
              </w:rPr>
              <w:t>záväzok zníženia koncentrácie expozície stanovený v oddiele C uvedenej</w:t>
            </w:r>
            <w:r>
              <w:rPr>
                <w:sz w:val="20"/>
              </w:rPr>
              <w:t xml:space="preserve"> </w:t>
            </w:r>
            <w:r w:rsidRPr="00B42708">
              <w:rPr>
                <w:sz w:val="20"/>
              </w:rPr>
              <w:t>prílohy</w:t>
            </w:r>
            <w:r>
              <w:rPr>
                <w:sz w:val="20"/>
              </w:rPr>
              <w:t xml:space="preserve">. </w:t>
            </w:r>
          </w:p>
          <w:p w:rsidR="00E20C4A" w:rsidP="00E20C4A">
            <w:pPr>
              <w:jc w:val="both"/>
              <w:rPr>
                <w:sz w:val="20"/>
              </w:rPr>
            </w:pPr>
          </w:p>
        </w:tc>
        <w:tc>
          <w:tcPr>
            <w:tcW w:w="747" w:type="dxa"/>
          </w:tcPr>
          <w:p w:rsidR="00E20C4A" w:rsidRPr="00D86B9D" w:rsidP="00E20C4A">
            <w:pPr>
              <w:ind w:right="-249"/>
              <w:rPr>
                <w:sz w:val="20"/>
              </w:rPr>
            </w:pPr>
            <w:r w:rsidR="00EB2301">
              <w:rPr>
                <w:sz w:val="20"/>
              </w:rPr>
              <w:t>N</w:t>
            </w:r>
          </w:p>
        </w:tc>
        <w:tc>
          <w:tcPr>
            <w:tcW w:w="574" w:type="dxa"/>
          </w:tcPr>
          <w:p w:rsidR="00E20C4A" w:rsidRPr="00EB2301" w:rsidP="00E20C4A">
            <w:pPr>
              <w:jc w:val="both"/>
              <w:rPr>
                <w:sz w:val="20"/>
              </w:rPr>
            </w:pPr>
            <w:r w:rsidRPr="00EB2301" w:rsidR="00EB2301">
              <w:rPr>
                <w:sz w:val="20"/>
              </w:rPr>
              <w:t>NZ</w:t>
            </w:r>
          </w:p>
        </w:tc>
        <w:tc>
          <w:tcPr>
            <w:tcW w:w="701" w:type="dxa"/>
          </w:tcPr>
          <w:p w:rsidR="00EB2301" w:rsidRPr="00743DBC" w:rsidP="00EB2301">
            <w:pPr>
              <w:pStyle w:val="Paragrafyzkona"/>
              <w:spacing w:before="0" w:line="240" w:lineRule="auto"/>
              <w:jc w:val="left"/>
              <w:rPr>
                <w:b w:val="0"/>
                <w:sz w:val="20"/>
                <w:szCs w:val="20"/>
                <w:lang w:eastAsia="en-US"/>
              </w:rPr>
            </w:pPr>
            <w:r>
              <w:rPr>
                <w:b w:val="0"/>
                <w:sz w:val="20"/>
                <w:szCs w:val="20"/>
                <w:lang w:eastAsia="en-US"/>
              </w:rPr>
              <w:t>§ 3</w:t>
            </w:r>
          </w:p>
          <w:p w:rsidR="00EB2301" w:rsidP="00EB2301">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10</w:t>
            </w:r>
          </w:p>
          <w:p w:rsidR="00E20C4A" w:rsidRPr="008658BB" w:rsidP="00E20C4A">
            <w:pPr>
              <w:jc w:val="both"/>
              <w:rPr>
                <w:b/>
                <w:sz w:val="20"/>
              </w:rPr>
            </w:pPr>
          </w:p>
        </w:tc>
        <w:tc>
          <w:tcPr>
            <w:tcW w:w="7797" w:type="dxa"/>
          </w:tcPr>
          <w:p w:rsidR="00E20C4A" w:rsidRPr="00EB2301" w:rsidP="00EB2301">
            <w:pPr>
              <w:pStyle w:val="ListParagraph"/>
              <w:spacing w:after="360" w:line="240" w:lineRule="auto"/>
              <w:ind w:left="0"/>
              <w:contextualSpacing w:val="0"/>
              <w:jc w:val="both"/>
              <w:rPr>
                <w:sz w:val="20"/>
                <w:szCs w:val="20"/>
                <w:lang w:eastAsia="en-US"/>
              </w:rPr>
            </w:pPr>
            <w:r w:rsidR="00EB2301">
              <w:rPr>
                <w:sz w:val="20"/>
                <w:szCs w:val="20"/>
                <w:lang w:eastAsia="en-US"/>
              </w:rPr>
              <w:t xml:space="preserve">(10) </w:t>
            </w:r>
            <w:r w:rsidRPr="00EB2301" w:rsidR="00EB2301">
              <w:rPr>
                <w:sz w:val="20"/>
                <w:szCs w:val="20"/>
                <w:lang w:eastAsia="en-US"/>
              </w:rPr>
              <w:t>Indikátorom priemernej expozície pre PM</w:t>
            </w:r>
            <w:r w:rsidRPr="005E79F5" w:rsidR="00EB2301">
              <w:rPr>
                <w:sz w:val="20"/>
                <w:szCs w:val="20"/>
                <w:vertAlign w:val="subscript"/>
                <w:lang w:eastAsia="en-US"/>
              </w:rPr>
              <w:t>2,5</w:t>
            </w:r>
            <w:r w:rsidRPr="00EB2301" w:rsidR="00EB2301">
              <w:rPr>
                <w:sz w:val="20"/>
                <w:szCs w:val="20"/>
                <w:lang w:eastAsia="en-US"/>
              </w:rPr>
              <w:t xml:space="preserve"> je priemerná úroveň znečistenia ovzdušia, ktorá odráža expozíciu obyvateľstva, určená na základe meraní na mestských pozaďových miestach na celom území Slovenskej republiky; mestským pozaďovým miestom je miesto v mestskej oblasti, kde je úroveň znečistenia ovzdušia reprezentatívna pre expozíciu bežného mestského obyvateľstva. Indikátor priemernej expozície pre PM</w:t>
            </w:r>
            <w:r w:rsidRPr="005E79F5" w:rsidR="00EB2301">
              <w:rPr>
                <w:sz w:val="20"/>
                <w:szCs w:val="20"/>
                <w:vertAlign w:val="subscript"/>
                <w:lang w:eastAsia="en-US"/>
              </w:rPr>
              <w:t xml:space="preserve">2,5 </w:t>
            </w:r>
            <w:r w:rsidRPr="00EB2301" w:rsidR="00EB2301">
              <w:rPr>
                <w:sz w:val="20"/>
                <w:szCs w:val="20"/>
                <w:lang w:eastAsia="en-US"/>
              </w:rPr>
              <w:t>nesmie presiahnuť ustanovený záväzok zníženia expozície na rok 2015.</w:t>
            </w:r>
          </w:p>
        </w:tc>
        <w:tc>
          <w:tcPr>
            <w:tcW w:w="708" w:type="dxa"/>
          </w:tcPr>
          <w:p w:rsidR="00E20C4A" w:rsidRPr="00EB2301" w:rsidP="00E20C4A">
            <w:pPr>
              <w:jc w:val="both"/>
              <w:rPr>
                <w:sz w:val="20"/>
              </w:rPr>
            </w:pPr>
            <w:r w:rsidRPr="00EB2301" w:rsidR="00EB2301">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Č15</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B42708">
              <w:rPr>
                <w:sz w:val="20"/>
              </w:rPr>
              <w:t>3. Indikátor priemernej expozície pre PM</w:t>
            </w:r>
            <w:r w:rsidRPr="009E5012">
              <w:rPr>
                <w:sz w:val="20"/>
                <w:vertAlign w:val="subscript"/>
              </w:rPr>
              <w:t xml:space="preserve">2,5 </w:t>
            </w:r>
            <w:r w:rsidRPr="00B42708">
              <w:rPr>
                <w:sz w:val="20"/>
              </w:rPr>
              <w:t>sa hodnotí v</w:t>
            </w:r>
            <w:r>
              <w:rPr>
                <w:sz w:val="20"/>
              </w:rPr>
              <w:t> </w:t>
            </w:r>
            <w:r w:rsidRPr="00B42708">
              <w:rPr>
                <w:sz w:val="20"/>
              </w:rPr>
              <w:t>súlade</w:t>
            </w:r>
            <w:r>
              <w:rPr>
                <w:sz w:val="20"/>
              </w:rPr>
              <w:t xml:space="preserve"> </w:t>
            </w:r>
            <w:r w:rsidRPr="00B42708">
              <w:rPr>
                <w:sz w:val="20"/>
              </w:rPr>
              <w:t>s oddielom A prílohy XIV.</w:t>
            </w:r>
          </w:p>
          <w:p w:rsidR="00E20C4A" w:rsidRPr="00B42708" w:rsidP="00E20C4A">
            <w:pPr>
              <w:jc w:val="both"/>
              <w:rPr>
                <w:sz w:val="20"/>
              </w:rPr>
            </w:pPr>
          </w:p>
        </w:tc>
        <w:tc>
          <w:tcPr>
            <w:tcW w:w="747" w:type="dxa"/>
          </w:tcPr>
          <w:p w:rsidR="00E20C4A" w:rsidRPr="00D86B9D" w:rsidP="00E20C4A">
            <w:pPr>
              <w:ind w:right="-249"/>
              <w:rPr>
                <w:sz w:val="20"/>
              </w:rPr>
            </w:pPr>
            <w:r w:rsidR="00B66398">
              <w:rPr>
                <w:sz w:val="20"/>
              </w:rPr>
              <w:t>N</w:t>
            </w:r>
          </w:p>
        </w:tc>
        <w:tc>
          <w:tcPr>
            <w:tcW w:w="574" w:type="dxa"/>
          </w:tcPr>
          <w:p w:rsidR="00E20C4A" w:rsidRPr="00B66398" w:rsidP="00E20C4A">
            <w:pPr>
              <w:jc w:val="both"/>
              <w:rPr>
                <w:sz w:val="20"/>
              </w:rPr>
            </w:pPr>
            <w:r w:rsidRPr="00B66398" w:rsidR="00B66398">
              <w:rPr>
                <w:sz w:val="20"/>
              </w:rPr>
              <w:t>NZ</w:t>
            </w:r>
          </w:p>
        </w:tc>
        <w:tc>
          <w:tcPr>
            <w:tcW w:w="701" w:type="dxa"/>
          </w:tcPr>
          <w:p w:rsidR="00B66398" w:rsidRPr="00743DBC" w:rsidP="00B66398">
            <w:pPr>
              <w:pStyle w:val="Paragrafyzkona"/>
              <w:spacing w:before="0" w:line="240" w:lineRule="auto"/>
              <w:jc w:val="left"/>
              <w:rPr>
                <w:b w:val="0"/>
                <w:sz w:val="20"/>
                <w:szCs w:val="20"/>
                <w:lang w:eastAsia="en-US"/>
              </w:rPr>
            </w:pPr>
            <w:r>
              <w:rPr>
                <w:b w:val="0"/>
                <w:sz w:val="20"/>
                <w:szCs w:val="20"/>
                <w:lang w:eastAsia="en-US"/>
              </w:rPr>
              <w:t>§ 62</w:t>
            </w:r>
          </w:p>
          <w:p w:rsidR="00B66398" w:rsidP="00B66398">
            <w:pPr>
              <w:pStyle w:val="Paragrafyzkona"/>
              <w:spacing w:before="0" w:line="240" w:lineRule="auto"/>
              <w:jc w:val="left"/>
              <w:rPr>
                <w:b w:val="0"/>
                <w:sz w:val="20"/>
                <w:szCs w:val="20"/>
                <w:lang w:eastAsia="en-US"/>
              </w:rPr>
            </w:pPr>
            <w:r>
              <w:rPr>
                <w:b w:val="0"/>
                <w:sz w:val="20"/>
                <w:szCs w:val="20"/>
                <w:lang w:eastAsia="en-US"/>
              </w:rPr>
              <w:t>Pa</w:t>
            </w:r>
          </w:p>
          <w:p w:rsidR="00E20C4A" w:rsidRPr="008658BB" w:rsidP="00E20C4A">
            <w:pPr>
              <w:jc w:val="both"/>
              <w:rPr>
                <w:b/>
                <w:sz w:val="20"/>
              </w:rPr>
            </w:pPr>
          </w:p>
        </w:tc>
        <w:tc>
          <w:tcPr>
            <w:tcW w:w="7797" w:type="dxa"/>
          </w:tcPr>
          <w:p w:rsidR="00B66398" w:rsidP="00B66398">
            <w:pPr>
              <w:jc w:val="both"/>
              <w:rPr>
                <w:sz w:val="20"/>
              </w:rPr>
            </w:pPr>
            <w:r w:rsidRPr="00B66398" w:rsidR="00A15E24">
              <w:rPr>
                <w:sz w:val="20"/>
              </w:rPr>
              <w:t xml:space="preserve">Všeobecne záväzný </w:t>
            </w:r>
            <w:r w:rsidRPr="00B66398" w:rsidR="00A15E24">
              <w:rPr>
                <w:sz w:val="20"/>
              </w:rPr>
              <w:t xml:space="preserve">právny predpis, ktorý vydá ministerstvo, </w:t>
            </w:r>
          </w:p>
          <w:p w:rsidR="00A15E24" w:rsidRPr="00B66398" w:rsidP="00B66398">
            <w:pPr>
              <w:jc w:val="both"/>
              <w:rPr>
                <w:sz w:val="20"/>
              </w:rPr>
            </w:pPr>
            <w:r w:rsidR="004D1FFB">
              <w:rPr>
                <w:sz w:val="20"/>
              </w:rPr>
              <w:t xml:space="preserve">a) </w:t>
            </w:r>
            <w:r w:rsidRPr="004D1FFB" w:rsidR="004D1FFB">
              <w:rPr>
                <w:sz w:val="20"/>
              </w:rPr>
              <w:t>prípustnú úroveň znečistenia ovzdušia vyjadrená ako limitné hodnoty, cieľové hodnoty, cieľové hodnoty a dlhodobé ciele pre ozón, indikátor priemernej expozície PM2,5, národný cieľ zníženia expozície PM2,5 a záväzok zníženia expozície PM2,5 a kritické úrovne pre vybrané znečisťujúce látky a termíny ich dosiahnutia, medze tolerancie a podrobnosti ich uplatňovania, početnosť prekročenia limitnej hodnoty,</w:t>
            </w:r>
          </w:p>
          <w:p w:rsidR="00E20C4A" w:rsidRPr="00B66398" w:rsidP="00E20C4A">
            <w:pPr>
              <w:pStyle w:val="Normlny"/>
              <w:jc w:val="center"/>
            </w:pPr>
          </w:p>
        </w:tc>
        <w:tc>
          <w:tcPr>
            <w:tcW w:w="708" w:type="dxa"/>
          </w:tcPr>
          <w:p w:rsidR="00E20C4A" w:rsidRPr="00B66398" w:rsidP="00E20C4A">
            <w:pPr>
              <w:jc w:val="both"/>
              <w:rPr>
                <w:sz w:val="20"/>
              </w:rPr>
            </w:pPr>
            <w:r w:rsidRPr="00B66398" w:rsidR="00B66398">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Č15</w:t>
            </w:r>
          </w:p>
          <w:p w:rsidR="00E20C4A" w:rsidP="00E20C4A">
            <w:pPr>
              <w:jc w:val="both"/>
              <w:rPr>
                <w:sz w:val="20"/>
              </w:rPr>
            </w:pPr>
            <w:r>
              <w:rPr>
                <w:sz w:val="20"/>
              </w:rPr>
              <w:t>O4</w:t>
            </w:r>
          </w:p>
        </w:tc>
        <w:tc>
          <w:tcPr>
            <w:tcW w:w="4074" w:type="dxa"/>
            <w:tcBorders>
              <w:bottom w:val="single" w:sz="4" w:space="0" w:color="auto"/>
            </w:tcBorders>
          </w:tcPr>
          <w:p w:rsidR="00E20C4A" w:rsidP="00E20C4A">
            <w:pPr>
              <w:jc w:val="both"/>
              <w:rPr>
                <w:sz w:val="20"/>
              </w:rPr>
            </w:pPr>
            <w:r w:rsidRPr="00B42708">
              <w:rPr>
                <w:sz w:val="20"/>
              </w:rPr>
              <w:t>4. Každý členský štát v súlade s prílohou III zabezpečí, aby rozmiestnenie a počet vzorkovacích miest, podľa ktorých je stanovený indikátor</w:t>
            </w:r>
            <w:r>
              <w:rPr>
                <w:sz w:val="20"/>
              </w:rPr>
              <w:t xml:space="preserve"> </w:t>
            </w:r>
            <w:r w:rsidRPr="00B42708">
              <w:rPr>
                <w:sz w:val="20"/>
              </w:rPr>
              <w:t>priemernej expozície pre PM</w:t>
            </w:r>
            <w:r w:rsidRPr="009E5012">
              <w:rPr>
                <w:sz w:val="20"/>
                <w:vertAlign w:val="subscript"/>
              </w:rPr>
              <w:t>2,5</w:t>
            </w:r>
            <w:r w:rsidRPr="00B42708">
              <w:rPr>
                <w:sz w:val="20"/>
              </w:rPr>
              <w:t>, primerane odrážal expozíciu bežného</w:t>
            </w:r>
            <w:r>
              <w:rPr>
                <w:sz w:val="20"/>
              </w:rPr>
              <w:t xml:space="preserve"> </w:t>
            </w:r>
            <w:r w:rsidRPr="00B42708">
              <w:rPr>
                <w:sz w:val="20"/>
              </w:rPr>
              <w:t>obyvateľstva. Počet vzorkovacích miest nesmie byť nižší ako počet</w:t>
            </w:r>
            <w:r>
              <w:rPr>
                <w:sz w:val="20"/>
              </w:rPr>
              <w:t xml:space="preserve"> </w:t>
            </w:r>
            <w:r w:rsidRPr="00B42708">
              <w:rPr>
                <w:sz w:val="20"/>
              </w:rPr>
              <w:t>určený podľa oddielu B prílohy V</w:t>
            </w:r>
            <w:r>
              <w:rPr>
                <w:sz w:val="20"/>
              </w:rPr>
              <w:t xml:space="preserve">. </w:t>
            </w:r>
          </w:p>
          <w:p w:rsidR="00E20C4A" w:rsidRPr="00B42708" w:rsidP="00E20C4A">
            <w:pPr>
              <w:jc w:val="both"/>
              <w:rPr>
                <w:sz w:val="20"/>
              </w:rPr>
            </w:pPr>
          </w:p>
        </w:tc>
        <w:tc>
          <w:tcPr>
            <w:tcW w:w="747" w:type="dxa"/>
          </w:tcPr>
          <w:p w:rsidR="00E20C4A" w:rsidRPr="00D86B9D" w:rsidP="00E20C4A">
            <w:pPr>
              <w:ind w:right="-249"/>
              <w:rPr>
                <w:sz w:val="20"/>
              </w:rPr>
            </w:pPr>
            <w:r w:rsidR="00F72E5E">
              <w:rPr>
                <w:sz w:val="20"/>
              </w:rPr>
              <w:t>N</w:t>
            </w:r>
          </w:p>
        </w:tc>
        <w:tc>
          <w:tcPr>
            <w:tcW w:w="574" w:type="dxa"/>
          </w:tcPr>
          <w:p w:rsidR="00E20C4A" w:rsidRPr="00F72E5E" w:rsidP="00E20C4A">
            <w:pPr>
              <w:jc w:val="both"/>
              <w:rPr>
                <w:sz w:val="20"/>
              </w:rPr>
            </w:pPr>
            <w:r w:rsidRPr="00F72E5E" w:rsidR="00F72E5E">
              <w:rPr>
                <w:sz w:val="20"/>
              </w:rPr>
              <w:t>N</w:t>
            </w:r>
            <w:r w:rsidR="004415BD">
              <w:rPr>
                <w:sz w:val="20"/>
              </w:rPr>
              <w:t>V</w:t>
            </w:r>
          </w:p>
        </w:tc>
        <w:tc>
          <w:tcPr>
            <w:tcW w:w="701" w:type="dxa"/>
          </w:tcPr>
          <w:p w:rsidR="00E20C4A" w:rsidP="00E20C4A">
            <w:pPr>
              <w:jc w:val="both"/>
              <w:rPr>
                <w:sz w:val="20"/>
              </w:rPr>
            </w:pPr>
            <w:r w:rsidRPr="004415BD" w:rsidR="004415BD">
              <w:rPr>
                <w:sz w:val="20"/>
              </w:rPr>
              <w:t>Príl. 8</w:t>
            </w:r>
          </w:p>
          <w:p w:rsidR="00A05D1B" w:rsidP="00E20C4A">
            <w:pPr>
              <w:jc w:val="both"/>
              <w:rPr>
                <w:sz w:val="20"/>
              </w:rPr>
            </w:pPr>
            <w:r>
              <w:rPr>
                <w:sz w:val="20"/>
              </w:rPr>
              <w:t>Časť I.</w:t>
            </w:r>
          </w:p>
          <w:p w:rsidR="00A05D1B" w:rsidRPr="004415BD" w:rsidP="00E20C4A">
            <w:pPr>
              <w:jc w:val="both"/>
              <w:rPr>
                <w:sz w:val="20"/>
              </w:rPr>
            </w:pPr>
            <w:r>
              <w:rPr>
                <w:sz w:val="20"/>
              </w:rPr>
              <w:t>Časť II.</w:t>
            </w:r>
          </w:p>
        </w:tc>
        <w:tc>
          <w:tcPr>
            <w:tcW w:w="7797" w:type="dxa"/>
          </w:tcPr>
          <w:p w:rsidR="00A05D1B" w:rsidRPr="00A05D1B" w:rsidP="00A05D1B">
            <w:pPr>
              <w:pStyle w:val="Heading1"/>
              <w:spacing w:before="240" w:after="360"/>
              <w:rPr>
                <w:b w:val="0"/>
                <w:sz w:val="20"/>
              </w:rPr>
            </w:pPr>
            <w:r w:rsidRPr="004415BD" w:rsidR="004415BD">
              <w:rPr>
                <w:b w:val="0"/>
                <w:sz w:val="20"/>
              </w:rPr>
              <w:t xml:space="preserve">POŽIADAVKY NA UMIESTNENIE VZORKOVACÍCH MIEST NA STÁLE MERANIE A NA MERANIA </w:t>
            </w:r>
            <w:r w:rsidRPr="00A05D1B" w:rsidR="004415BD">
              <w:rPr>
                <w:b w:val="0"/>
                <w:sz w:val="20"/>
              </w:rPr>
              <w:t>NA VIDIECKYCH POZAĎOVÝCH STANICIACH</w:t>
            </w:r>
          </w:p>
          <w:p w:rsidR="004415BD" w:rsidP="00A05D1B">
            <w:pPr>
              <w:rPr>
                <w:sz w:val="20"/>
              </w:rPr>
            </w:pPr>
            <w:r w:rsidRPr="00A05D1B" w:rsidR="00A05D1B">
              <w:rPr>
                <w:sz w:val="20"/>
              </w:rPr>
              <w:t xml:space="preserve">Časť I. </w:t>
            </w:r>
            <w:r w:rsidRPr="00A05D1B">
              <w:rPr>
                <w:sz w:val="20"/>
              </w:rPr>
              <w:t>Požiadavky na umiestňovanie vzorkovacích miest na stále meranie koncentrácií oxidu siričitého, oxidu dusičitého, oxidov dusíka, častíc PM</w:t>
            </w:r>
            <w:r w:rsidRPr="00E9581A">
              <w:rPr>
                <w:sz w:val="20"/>
                <w:vertAlign w:val="subscript"/>
              </w:rPr>
              <w:t>10</w:t>
            </w:r>
            <w:r w:rsidRPr="00A05D1B">
              <w:rPr>
                <w:sz w:val="20"/>
              </w:rPr>
              <w:t>, častíc PM</w:t>
            </w:r>
            <w:r w:rsidRPr="00E9581A">
              <w:rPr>
                <w:sz w:val="20"/>
                <w:vertAlign w:val="subscript"/>
              </w:rPr>
              <w:t>2,5</w:t>
            </w:r>
            <w:r w:rsidRPr="00A05D1B">
              <w:rPr>
                <w:sz w:val="20"/>
              </w:rPr>
              <w:t>, olova, benzénu, oxidu uhoľnatého, arzénu, kadmia, niklu a benzo(a)pyrénu vm ovzduší</w:t>
            </w:r>
          </w:p>
          <w:p w:rsidR="00A05D1B" w:rsidRPr="00A05D1B" w:rsidP="00A05D1B">
            <w:pPr>
              <w:rPr>
                <w:sz w:val="20"/>
              </w:rPr>
            </w:pPr>
          </w:p>
          <w:p w:rsidR="00A05D1B" w:rsidRPr="00A05D1B" w:rsidP="00A05D1B">
            <w:pPr>
              <w:pStyle w:val="Heading1"/>
              <w:rPr>
                <w:b w:val="0"/>
                <w:sz w:val="20"/>
              </w:rPr>
            </w:pPr>
            <w:r w:rsidRPr="00A05D1B">
              <w:rPr>
                <w:b w:val="0"/>
                <w:sz w:val="20"/>
              </w:rPr>
              <w:t xml:space="preserve">Časť II. Požiadavky na merania na vidieckych pozaďových miestach </w:t>
            </w:r>
          </w:p>
          <w:p w:rsidR="00A05D1B" w:rsidRPr="00A05D1B" w:rsidP="00A05D1B">
            <w:pPr>
              <w:rPr>
                <w:sz w:val="20"/>
              </w:rPr>
            </w:pPr>
          </w:p>
          <w:p w:rsidR="00E20C4A" w:rsidRPr="00A05D1B" w:rsidP="00E20C4A">
            <w:pPr>
              <w:pStyle w:val="Normlny"/>
              <w:jc w:val="center"/>
            </w:pPr>
          </w:p>
        </w:tc>
        <w:tc>
          <w:tcPr>
            <w:tcW w:w="708" w:type="dxa"/>
          </w:tcPr>
          <w:p w:rsidR="00E20C4A" w:rsidRPr="004415BD" w:rsidP="00E20C4A">
            <w:pPr>
              <w:jc w:val="both"/>
              <w:rPr>
                <w:sz w:val="20"/>
              </w:rPr>
            </w:pPr>
            <w:r w:rsidRPr="004415BD" w:rsidR="004415BD">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Č16</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D26928">
              <w:rPr>
                <w:sz w:val="20"/>
              </w:rPr>
              <w:t xml:space="preserve">1. Členské štáty prijmú všetky potrebné </w:t>
            </w:r>
            <w:r w:rsidRPr="00D26928">
              <w:rPr>
                <w:sz w:val="20"/>
              </w:rPr>
              <w:t>opatrenia, ktoré neprinášajú</w:t>
            </w:r>
            <w:r>
              <w:rPr>
                <w:sz w:val="20"/>
              </w:rPr>
              <w:t xml:space="preserve"> </w:t>
            </w:r>
            <w:r w:rsidRPr="00D26928">
              <w:rPr>
                <w:sz w:val="20"/>
              </w:rPr>
              <w:t>neprimerané náklady, s cieľom zabezpečiť, aby od dátumu uvedeného</w:t>
            </w:r>
            <w:r>
              <w:rPr>
                <w:sz w:val="20"/>
              </w:rPr>
              <w:t xml:space="preserve"> </w:t>
            </w:r>
            <w:r w:rsidRPr="00D26928">
              <w:rPr>
                <w:sz w:val="20"/>
              </w:rPr>
              <w:t>v oddiele D prílohy XIV neprekročili koncentrácie PM</w:t>
            </w:r>
            <w:r w:rsidRPr="009E5012">
              <w:rPr>
                <w:sz w:val="20"/>
                <w:vertAlign w:val="subscript"/>
              </w:rPr>
              <w:t xml:space="preserve">2,5 </w:t>
            </w:r>
            <w:r w:rsidRPr="00D26928">
              <w:rPr>
                <w:sz w:val="20"/>
              </w:rPr>
              <w:t>v</w:t>
            </w:r>
            <w:r>
              <w:rPr>
                <w:sz w:val="20"/>
              </w:rPr>
              <w:t> </w:t>
            </w:r>
            <w:r w:rsidRPr="00D26928">
              <w:rPr>
                <w:sz w:val="20"/>
              </w:rPr>
              <w:t>okolitom</w:t>
            </w:r>
            <w:r>
              <w:rPr>
                <w:sz w:val="20"/>
              </w:rPr>
              <w:t xml:space="preserve"> </w:t>
            </w:r>
            <w:r w:rsidRPr="00D26928">
              <w:rPr>
                <w:sz w:val="20"/>
              </w:rPr>
              <w:t>ovzduší cieľovú hodnotu stanovenú v uvedenom oddiele</w:t>
            </w:r>
            <w:r>
              <w:rPr>
                <w:sz w:val="20"/>
              </w:rPr>
              <w:t xml:space="preserve"> </w:t>
            </w:r>
            <w:r w:rsidRPr="00D26928">
              <w:rPr>
                <w:sz w:val="20"/>
              </w:rPr>
              <w:t>D prílohy XIV.</w:t>
            </w:r>
          </w:p>
          <w:p w:rsidR="00E20C4A" w:rsidRPr="00B42708" w:rsidP="00E20C4A">
            <w:pPr>
              <w:jc w:val="both"/>
              <w:rPr>
                <w:sz w:val="20"/>
              </w:rPr>
            </w:pPr>
          </w:p>
        </w:tc>
        <w:tc>
          <w:tcPr>
            <w:tcW w:w="747" w:type="dxa"/>
          </w:tcPr>
          <w:p w:rsidR="00E20C4A" w:rsidRPr="00D86B9D" w:rsidP="00E20C4A">
            <w:pPr>
              <w:ind w:right="-249"/>
              <w:rPr>
                <w:sz w:val="20"/>
              </w:rPr>
            </w:pPr>
            <w:r w:rsidR="00137F77">
              <w:rPr>
                <w:sz w:val="20"/>
              </w:rPr>
              <w:t>N</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RPr="00137F77" w:rsidP="00137F77">
            <w:pPr>
              <w:pStyle w:val="Normlny"/>
              <w:jc w:val="both"/>
            </w:pPr>
          </w:p>
        </w:tc>
        <w:tc>
          <w:tcPr>
            <w:tcW w:w="708" w:type="dxa"/>
          </w:tcPr>
          <w:p w:rsidR="00E20C4A" w:rsidRPr="00137F77" w:rsidP="00E20C4A">
            <w:pPr>
              <w:jc w:val="both"/>
              <w:rPr>
                <w:sz w:val="20"/>
              </w:rPr>
            </w:pPr>
            <w:r w:rsidRPr="00137F77" w:rsidR="00137F77">
              <w:rPr>
                <w:sz w:val="20"/>
              </w:rPr>
              <w:t>Ú</w:t>
            </w:r>
          </w:p>
        </w:tc>
        <w:tc>
          <w:tcPr>
            <w:tcW w:w="1130" w:type="dxa"/>
          </w:tcPr>
          <w:p w:rsidR="00E20C4A" w:rsidRPr="00394720" w:rsidP="00E20C4A">
            <w:pPr>
              <w:jc w:val="both"/>
              <w:rPr>
                <w:sz w:val="20"/>
              </w:rPr>
            </w:pPr>
            <w:r w:rsidRPr="00394720" w:rsidR="00394720">
              <w:rPr>
                <w:sz w:val="20"/>
              </w:rPr>
              <w:t>V súčasnosti sa uplatňuje limitná hodnota pre PM2,5:, cieľová hodnota pre PM 2,5 už nie je ustanovená</w:t>
            </w: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Č16</w:t>
            </w:r>
          </w:p>
          <w:p w:rsidR="00E20C4A" w:rsidP="00E20C4A">
            <w:pPr>
              <w:jc w:val="both"/>
              <w:rPr>
                <w:sz w:val="20"/>
              </w:rPr>
            </w:pPr>
            <w:r>
              <w:rPr>
                <w:sz w:val="20"/>
              </w:rPr>
              <w:t>O2</w:t>
            </w:r>
          </w:p>
        </w:tc>
        <w:tc>
          <w:tcPr>
            <w:tcW w:w="4074" w:type="dxa"/>
            <w:tcBorders>
              <w:bottom w:val="single" w:sz="4" w:space="0" w:color="auto"/>
            </w:tcBorders>
          </w:tcPr>
          <w:p w:rsidR="00E20C4A" w:rsidRPr="00D26928" w:rsidP="00E20C4A">
            <w:pPr>
              <w:jc w:val="both"/>
              <w:rPr>
                <w:sz w:val="20"/>
              </w:rPr>
            </w:pPr>
            <w:r w:rsidRPr="00D26928">
              <w:rPr>
                <w:sz w:val="20"/>
              </w:rPr>
              <w:t>2. Členské štáty zabezpečia, aby na území ich zón a aglomerácií od dátumu uvedeného v oddiele E prílohy XIV neprekročili koncentrácie PM</w:t>
            </w:r>
            <w:r w:rsidRPr="009E5012">
              <w:rPr>
                <w:sz w:val="20"/>
                <w:vertAlign w:val="subscript"/>
              </w:rPr>
              <w:t>2,5</w:t>
            </w:r>
            <w:r w:rsidRPr="00D26928">
              <w:rPr>
                <w:sz w:val="20"/>
              </w:rPr>
              <w:t xml:space="preserve"> v okolitom ovzduší limitnú hodnotu stanovenú v uvedenom oddiele E prílohy XIV. Dodržiavanie týchto požiadaviek sa vyhodnotí v súlade s prílohou III.</w:t>
            </w:r>
          </w:p>
          <w:p w:rsidR="00E20C4A" w:rsidRPr="00B42708" w:rsidP="00E20C4A">
            <w:pPr>
              <w:jc w:val="both"/>
              <w:rPr>
                <w:sz w:val="20"/>
              </w:rPr>
            </w:pPr>
          </w:p>
        </w:tc>
        <w:tc>
          <w:tcPr>
            <w:tcW w:w="747" w:type="dxa"/>
          </w:tcPr>
          <w:p w:rsidR="00E20C4A" w:rsidRPr="00D86B9D" w:rsidP="00E20C4A">
            <w:pPr>
              <w:ind w:right="-249"/>
              <w:rPr>
                <w:sz w:val="20"/>
              </w:rPr>
            </w:pPr>
            <w:r w:rsidR="00137F77">
              <w:rPr>
                <w:sz w:val="20"/>
              </w:rPr>
              <w:t>N</w:t>
            </w:r>
          </w:p>
        </w:tc>
        <w:tc>
          <w:tcPr>
            <w:tcW w:w="574" w:type="dxa"/>
          </w:tcPr>
          <w:p w:rsidR="00E20C4A" w:rsidRPr="00137F77" w:rsidP="00E20C4A">
            <w:pPr>
              <w:jc w:val="both"/>
              <w:rPr>
                <w:sz w:val="20"/>
              </w:rPr>
            </w:pPr>
            <w:r w:rsidRPr="00137F77" w:rsidR="00137F77">
              <w:rPr>
                <w:sz w:val="20"/>
              </w:rPr>
              <w:t>NZ</w:t>
            </w:r>
          </w:p>
        </w:tc>
        <w:tc>
          <w:tcPr>
            <w:tcW w:w="701" w:type="dxa"/>
          </w:tcPr>
          <w:p w:rsidR="00137F77" w:rsidRPr="00743DBC" w:rsidP="00137F77">
            <w:pPr>
              <w:pStyle w:val="Paragrafyzkona"/>
              <w:spacing w:before="0" w:line="240" w:lineRule="auto"/>
              <w:jc w:val="left"/>
              <w:rPr>
                <w:b w:val="0"/>
                <w:sz w:val="20"/>
                <w:szCs w:val="20"/>
                <w:lang w:eastAsia="en-US"/>
              </w:rPr>
            </w:pPr>
            <w:r>
              <w:rPr>
                <w:b w:val="0"/>
                <w:sz w:val="20"/>
                <w:szCs w:val="20"/>
                <w:lang w:eastAsia="en-US"/>
              </w:rPr>
              <w:t>§ 3</w:t>
            </w:r>
          </w:p>
          <w:p w:rsidR="00137F77" w:rsidP="00137F77">
            <w:pPr>
              <w:pStyle w:val="Paragrafyzkona"/>
              <w:spacing w:before="0" w:line="240" w:lineRule="auto"/>
              <w:jc w:val="left"/>
              <w:rPr>
                <w:b w:val="0"/>
                <w:sz w:val="20"/>
                <w:szCs w:val="20"/>
                <w:lang w:eastAsia="en-US"/>
              </w:rPr>
            </w:pPr>
            <w:r w:rsidRPr="00743DBC">
              <w:rPr>
                <w:b w:val="0"/>
                <w:sz w:val="20"/>
                <w:szCs w:val="20"/>
                <w:lang w:eastAsia="en-US"/>
              </w:rPr>
              <w:t>O</w:t>
            </w:r>
            <w:r>
              <w:rPr>
                <w:b w:val="0"/>
                <w:sz w:val="20"/>
                <w:szCs w:val="20"/>
                <w:lang w:eastAsia="en-US"/>
              </w:rPr>
              <w:t>5</w:t>
            </w:r>
          </w:p>
          <w:p w:rsidR="00E20C4A" w:rsidRPr="008658BB" w:rsidP="00E20C4A">
            <w:pPr>
              <w:jc w:val="both"/>
              <w:rPr>
                <w:b/>
                <w:sz w:val="20"/>
              </w:rPr>
            </w:pPr>
          </w:p>
        </w:tc>
        <w:tc>
          <w:tcPr>
            <w:tcW w:w="7797" w:type="dxa"/>
          </w:tcPr>
          <w:p w:rsidR="00137F77" w:rsidRPr="00137F77" w:rsidP="00137F77">
            <w:pPr>
              <w:pStyle w:val="ListParagraph"/>
              <w:spacing w:after="360" w:line="240" w:lineRule="auto"/>
              <w:ind w:left="0"/>
              <w:contextualSpacing w:val="0"/>
              <w:jc w:val="both"/>
              <w:rPr>
                <w:sz w:val="20"/>
                <w:szCs w:val="20"/>
                <w:lang w:eastAsia="en-US"/>
              </w:rPr>
            </w:pPr>
            <w:r>
              <w:rPr>
                <w:sz w:val="20"/>
                <w:szCs w:val="20"/>
                <w:lang w:eastAsia="en-US"/>
              </w:rPr>
              <w:t xml:space="preserve">(5) </w:t>
            </w:r>
            <w:r w:rsidRPr="00137F77">
              <w:rPr>
                <w:sz w:val="20"/>
                <w:szCs w:val="20"/>
                <w:lang w:eastAsia="en-US"/>
              </w:rPr>
              <w:t>Limitnou hodnotou je úroveň znečistenia ovzdušia určená na základe vedeckých poznatkov s cieľom zabrániť škodlivým účinkom na zdravie ľudí alebo životné prostredie ako celok, predchádzať im alebo ich znížiť, ktorá sa má dosiahnuť v danom čase a od toho času nesmie byť prekročená; limitné hodnoty a podmienky ich platnosti sú ustanovené pre oxid siričitý, oxid dusičitý, oxid uhoľnatý, olovo, benzén, PM</w:t>
            </w:r>
            <w:r w:rsidRPr="00E9581A">
              <w:rPr>
                <w:sz w:val="20"/>
                <w:szCs w:val="20"/>
                <w:vertAlign w:val="subscript"/>
                <w:lang w:eastAsia="en-US"/>
              </w:rPr>
              <w:t>10</w:t>
            </w:r>
            <w:r w:rsidRPr="00137F77">
              <w:rPr>
                <w:sz w:val="20"/>
                <w:szCs w:val="20"/>
                <w:lang w:eastAsia="en-US"/>
              </w:rPr>
              <w:t xml:space="preserve"> a PM</w:t>
            </w:r>
            <w:r w:rsidRPr="00E9581A">
              <w:rPr>
                <w:sz w:val="20"/>
                <w:szCs w:val="20"/>
                <w:vertAlign w:val="subscript"/>
                <w:lang w:eastAsia="en-US"/>
              </w:rPr>
              <w:t>2,5</w:t>
            </w:r>
            <w:r w:rsidRPr="00137F77">
              <w:rPr>
                <w:sz w:val="20"/>
                <w:szCs w:val="20"/>
                <w:lang w:eastAsia="en-US"/>
              </w:rPr>
              <w:t>.</w:t>
            </w:r>
          </w:p>
          <w:p w:rsidR="00E20C4A" w:rsidP="00E20C4A">
            <w:pPr>
              <w:pStyle w:val="Normlny"/>
              <w:jc w:val="center"/>
              <w:rPr>
                <w:b/>
              </w:rPr>
            </w:pPr>
          </w:p>
        </w:tc>
        <w:tc>
          <w:tcPr>
            <w:tcW w:w="708" w:type="dxa"/>
          </w:tcPr>
          <w:p w:rsidR="00E20C4A" w:rsidRPr="00137F77" w:rsidP="00E20C4A">
            <w:pPr>
              <w:jc w:val="both"/>
              <w:rPr>
                <w:sz w:val="20"/>
              </w:rPr>
            </w:pPr>
            <w:r w:rsidRPr="00137F77" w:rsidR="00137F77">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Č16</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D26928">
              <w:rPr>
                <w:sz w:val="20"/>
              </w:rPr>
              <w:t>3. Medza tolerancie ustanovená v oddiele E prílohy XIV sa uplatňuje</w:t>
            </w:r>
            <w:r>
              <w:rPr>
                <w:sz w:val="20"/>
              </w:rPr>
              <w:t xml:space="preserve"> </w:t>
            </w:r>
            <w:r w:rsidRPr="00D26928">
              <w:rPr>
                <w:sz w:val="20"/>
              </w:rPr>
              <w:t>v súlade s článkom 23 ods. 1.</w:t>
            </w:r>
          </w:p>
          <w:p w:rsidR="00E20C4A" w:rsidRPr="00B42708" w:rsidP="00E20C4A">
            <w:pPr>
              <w:jc w:val="both"/>
              <w:rPr>
                <w:sz w:val="20"/>
              </w:rPr>
            </w:pPr>
          </w:p>
        </w:tc>
        <w:tc>
          <w:tcPr>
            <w:tcW w:w="747" w:type="dxa"/>
          </w:tcPr>
          <w:p w:rsidR="00E20C4A" w:rsidRPr="00D86B9D" w:rsidP="00E20C4A">
            <w:pPr>
              <w:ind w:right="-249"/>
              <w:rPr>
                <w:sz w:val="20"/>
              </w:rPr>
            </w:pPr>
            <w:r w:rsidR="00D01ACB">
              <w:rPr>
                <w:sz w:val="20"/>
              </w:rPr>
              <w:t>N</w:t>
            </w:r>
          </w:p>
        </w:tc>
        <w:tc>
          <w:tcPr>
            <w:tcW w:w="574" w:type="dxa"/>
          </w:tcPr>
          <w:p w:rsidR="00E20C4A" w:rsidRPr="00D01ACB" w:rsidP="00E20C4A">
            <w:pPr>
              <w:jc w:val="both"/>
              <w:rPr>
                <w:sz w:val="20"/>
              </w:rPr>
            </w:pPr>
            <w:r w:rsidRPr="00D01ACB" w:rsidR="00D01ACB">
              <w:rPr>
                <w:sz w:val="20"/>
              </w:rPr>
              <w:t>NZ</w:t>
            </w:r>
          </w:p>
        </w:tc>
        <w:tc>
          <w:tcPr>
            <w:tcW w:w="701" w:type="dxa"/>
          </w:tcPr>
          <w:p w:rsidR="00D01ACB" w:rsidRPr="00743DBC" w:rsidP="00D01ACB">
            <w:pPr>
              <w:pStyle w:val="Paragrafyzkona"/>
              <w:spacing w:before="0" w:line="240" w:lineRule="auto"/>
              <w:jc w:val="left"/>
              <w:rPr>
                <w:b w:val="0"/>
                <w:sz w:val="20"/>
                <w:szCs w:val="20"/>
                <w:lang w:eastAsia="en-US"/>
              </w:rPr>
            </w:pPr>
            <w:r>
              <w:rPr>
                <w:b w:val="0"/>
                <w:sz w:val="20"/>
                <w:szCs w:val="20"/>
                <w:lang w:eastAsia="en-US"/>
              </w:rPr>
              <w:t>§ 3</w:t>
            </w:r>
          </w:p>
          <w:p w:rsidR="00E20C4A" w:rsidRPr="00D01ACB" w:rsidP="00D01ACB">
            <w:pPr>
              <w:pStyle w:val="Paragrafyzkona"/>
              <w:spacing w:before="0" w:line="240" w:lineRule="auto"/>
              <w:jc w:val="left"/>
              <w:rPr>
                <w:b w:val="0"/>
                <w:sz w:val="20"/>
                <w:szCs w:val="20"/>
                <w:lang w:eastAsia="en-US"/>
              </w:rPr>
            </w:pPr>
            <w:r w:rsidRPr="00743DBC" w:rsidR="00D01ACB">
              <w:rPr>
                <w:b w:val="0"/>
                <w:sz w:val="20"/>
                <w:szCs w:val="20"/>
                <w:lang w:eastAsia="en-US"/>
              </w:rPr>
              <w:t>O</w:t>
            </w:r>
            <w:r w:rsidR="00D01ACB">
              <w:rPr>
                <w:b w:val="0"/>
                <w:sz w:val="20"/>
                <w:szCs w:val="20"/>
                <w:lang w:eastAsia="en-US"/>
              </w:rPr>
              <w:t>6</w:t>
            </w:r>
          </w:p>
        </w:tc>
        <w:tc>
          <w:tcPr>
            <w:tcW w:w="7797" w:type="dxa"/>
          </w:tcPr>
          <w:p w:rsidR="00D01ACB" w:rsidRPr="00D01ACB" w:rsidP="00D01ACB">
            <w:pPr>
              <w:pStyle w:val="ListParagraph"/>
              <w:spacing w:after="360" w:line="240" w:lineRule="auto"/>
              <w:ind w:left="0"/>
              <w:contextualSpacing w:val="0"/>
              <w:jc w:val="both"/>
              <w:rPr>
                <w:sz w:val="20"/>
                <w:szCs w:val="20"/>
                <w:lang w:eastAsia="en-US"/>
              </w:rPr>
            </w:pPr>
            <w:r w:rsidR="00DF3E42">
              <w:rPr>
                <w:sz w:val="20"/>
                <w:szCs w:val="20"/>
                <w:lang w:eastAsia="en-US"/>
              </w:rPr>
              <w:t xml:space="preserve">(6) </w:t>
            </w:r>
            <w:r w:rsidRPr="00DF3E42" w:rsidR="00DF3E42">
              <w:rPr>
                <w:sz w:val="20"/>
                <w:szCs w:val="20"/>
                <w:lang w:eastAsia="en-US"/>
              </w:rPr>
              <w:t>Medzou tolerancie je percento limitnej hodnoty, o ktoré môže byť limitná hodnota prekročená v určenom čase a v súlade s vykonávacím predpisom podľa § 62 písm. a). V období, keď sa uplatňuje medza tolerancie, hodnota koncentrácie znečisťujúcej látky nesmie prekročiť limitnú hodnotu viac ako o medzu tolerancie.</w:t>
            </w:r>
          </w:p>
          <w:p w:rsidR="00E20C4A" w:rsidP="00E20C4A">
            <w:pPr>
              <w:pStyle w:val="Normlny"/>
              <w:jc w:val="center"/>
              <w:rPr>
                <w:b/>
              </w:rPr>
            </w:pPr>
          </w:p>
        </w:tc>
        <w:tc>
          <w:tcPr>
            <w:tcW w:w="708" w:type="dxa"/>
          </w:tcPr>
          <w:p w:rsidR="00E20C4A" w:rsidRPr="00D01ACB" w:rsidP="00E20C4A">
            <w:pPr>
              <w:jc w:val="both"/>
              <w:rPr>
                <w:sz w:val="20"/>
              </w:rPr>
            </w:pPr>
            <w:r w:rsidRPr="00D01ACB" w:rsidR="00D01ACB">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Č17</w:t>
            </w:r>
          </w:p>
          <w:p w:rsidR="00E20C4A" w:rsidP="00E20C4A">
            <w:pPr>
              <w:jc w:val="both"/>
              <w:rPr>
                <w:sz w:val="20"/>
              </w:rPr>
            </w:pPr>
            <w:r>
              <w:rPr>
                <w:sz w:val="20"/>
              </w:rPr>
              <w:t>O1</w:t>
            </w:r>
          </w:p>
          <w:p w:rsidR="00E20C4A" w:rsidP="00E20C4A">
            <w:pPr>
              <w:jc w:val="both"/>
              <w:rPr>
                <w:sz w:val="20"/>
              </w:rPr>
            </w:pPr>
          </w:p>
          <w:p w:rsidR="00E20C4A" w:rsidP="00E20C4A">
            <w:pPr>
              <w:jc w:val="both"/>
              <w:rPr>
                <w:sz w:val="20"/>
              </w:rPr>
            </w:pPr>
          </w:p>
          <w:p w:rsidR="00E20C4A" w:rsidP="00E20C4A">
            <w:pPr>
              <w:jc w:val="both"/>
              <w:rPr>
                <w:sz w:val="20"/>
              </w:rPr>
            </w:pPr>
          </w:p>
          <w:p w:rsidR="00E20C4A" w:rsidP="00E20C4A">
            <w:pPr>
              <w:jc w:val="both"/>
              <w:rPr>
                <w:sz w:val="20"/>
              </w:rPr>
            </w:pPr>
          </w:p>
          <w:p w:rsidR="00E20C4A" w:rsidP="00E20C4A">
            <w:pPr>
              <w:jc w:val="both"/>
              <w:rPr>
                <w:sz w:val="20"/>
              </w:rPr>
            </w:pPr>
          </w:p>
          <w:p w:rsidR="00E20C4A" w:rsidP="00E20C4A">
            <w:pPr>
              <w:jc w:val="both"/>
              <w:rPr>
                <w:sz w:val="20"/>
              </w:rPr>
            </w:pPr>
          </w:p>
          <w:p w:rsidR="00E20C4A" w:rsidP="00E20C4A">
            <w:pPr>
              <w:jc w:val="both"/>
              <w:rPr>
                <w:sz w:val="20"/>
              </w:rPr>
            </w:pPr>
          </w:p>
          <w:p w:rsidR="00E20C4A" w:rsidP="00E20C4A">
            <w:pPr>
              <w:jc w:val="both"/>
              <w:rPr>
                <w:sz w:val="20"/>
              </w:rPr>
            </w:pPr>
          </w:p>
        </w:tc>
        <w:tc>
          <w:tcPr>
            <w:tcW w:w="4074" w:type="dxa"/>
            <w:tcBorders>
              <w:bottom w:val="single" w:sz="4" w:space="0" w:color="auto"/>
            </w:tcBorders>
          </w:tcPr>
          <w:p w:rsidR="00E20C4A" w:rsidRPr="00F858C3" w:rsidP="00E20C4A">
            <w:pPr>
              <w:jc w:val="both"/>
              <w:rPr>
                <w:sz w:val="20"/>
              </w:rPr>
            </w:pPr>
            <w:r w:rsidRPr="00F858C3">
              <w:rPr>
                <w:sz w:val="20"/>
              </w:rPr>
              <w:t>Požiadav</w:t>
            </w:r>
            <w:r w:rsidRPr="00F858C3">
              <w:rPr>
                <w:sz w:val="20"/>
              </w:rPr>
              <w:t>ky v zónach a aglomeráciách, v ktorých koncentrácie</w:t>
            </w:r>
            <w:r>
              <w:rPr>
                <w:sz w:val="20"/>
              </w:rPr>
              <w:t xml:space="preserve"> </w:t>
            </w:r>
            <w:r w:rsidRPr="00F858C3">
              <w:rPr>
                <w:sz w:val="20"/>
              </w:rPr>
              <w:t>ozónu prekračujú cieľové hodnoty a dlhodobé ciele</w:t>
            </w:r>
          </w:p>
          <w:p w:rsidR="00E20C4A" w:rsidP="00E20C4A">
            <w:pPr>
              <w:jc w:val="both"/>
              <w:rPr>
                <w:sz w:val="20"/>
              </w:rPr>
            </w:pPr>
            <w:r w:rsidRPr="00F858C3">
              <w:rPr>
                <w:sz w:val="20"/>
              </w:rPr>
              <w:t>1. Členské štáty prijmú všetky potrebné opatrenia, ktoré neprinášajú</w:t>
            </w:r>
            <w:r>
              <w:rPr>
                <w:sz w:val="20"/>
              </w:rPr>
              <w:t xml:space="preserve"> </w:t>
            </w:r>
            <w:r w:rsidRPr="00F858C3">
              <w:rPr>
                <w:sz w:val="20"/>
              </w:rPr>
              <w:t>neprimerané náklady, aby zabezpečili, že sa dosiahnu cieľové hodnoty</w:t>
            </w:r>
            <w:r>
              <w:rPr>
                <w:sz w:val="20"/>
              </w:rPr>
              <w:t xml:space="preserve"> </w:t>
            </w:r>
            <w:r w:rsidRPr="00F858C3">
              <w:rPr>
                <w:sz w:val="20"/>
              </w:rPr>
              <w:t>a dlhodobé ciele</w:t>
            </w:r>
            <w:r w:rsidRPr="00F858C3">
              <w:rPr>
                <w:sz w:val="20"/>
              </w:rPr>
              <w:t>.</w:t>
            </w:r>
          </w:p>
          <w:p w:rsidR="00E20C4A" w:rsidRPr="00D26928" w:rsidP="00426F14">
            <w:pPr>
              <w:jc w:val="both"/>
              <w:rPr>
                <w:sz w:val="20"/>
              </w:rPr>
            </w:pPr>
          </w:p>
        </w:tc>
        <w:tc>
          <w:tcPr>
            <w:tcW w:w="747" w:type="dxa"/>
          </w:tcPr>
          <w:p w:rsidR="00E20C4A" w:rsidRPr="00D86B9D" w:rsidP="00E20C4A">
            <w:pPr>
              <w:ind w:right="-249"/>
              <w:rPr>
                <w:sz w:val="20"/>
              </w:rPr>
            </w:pPr>
            <w:r w:rsidR="00426F14">
              <w:rPr>
                <w:sz w:val="20"/>
              </w:rPr>
              <w:t>N</w:t>
            </w:r>
          </w:p>
        </w:tc>
        <w:tc>
          <w:tcPr>
            <w:tcW w:w="574" w:type="dxa"/>
          </w:tcPr>
          <w:p w:rsidR="00E20C4A" w:rsidRPr="00426F14" w:rsidP="00E20C4A">
            <w:pPr>
              <w:jc w:val="both"/>
              <w:rPr>
                <w:sz w:val="20"/>
              </w:rPr>
            </w:pPr>
            <w:r w:rsidRPr="00426F14" w:rsidR="00426F14">
              <w:rPr>
                <w:sz w:val="20"/>
              </w:rPr>
              <w:t>NZ</w:t>
            </w:r>
          </w:p>
        </w:tc>
        <w:tc>
          <w:tcPr>
            <w:tcW w:w="701" w:type="dxa"/>
          </w:tcPr>
          <w:p w:rsidR="00714675" w:rsidRPr="00743DBC" w:rsidP="00714675">
            <w:pPr>
              <w:pStyle w:val="Paragrafyzkona"/>
              <w:spacing w:before="0" w:line="240" w:lineRule="auto"/>
              <w:jc w:val="left"/>
              <w:rPr>
                <w:b w:val="0"/>
                <w:sz w:val="20"/>
                <w:szCs w:val="20"/>
                <w:lang w:eastAsia="en-US"/>
              </w:rPr>
            </w:pPr>
            <w:r>
              <w:rPr>
                <w:b w:val="0"/>
                <w:sz w:val="20"/>
                <w:szCs w:val="20"/>
                <w:lang w:eastAsia="en-US"/>
              </w:rPr>
              <w:t>§ 3</w:t>
            </w:r>
          </w:p>
          <w:p w:rsidR="00E20C4A" w:rsidRPr="00714675" w:rsidP="00714675">
            <w:pPr>
              <w:jc w:val="both"/>
              <w:rPr>
                <w:sz w:val="20"/>
              </w:rPr>
            </w:pPr>
            <w:r w:rsidR="00C64273">
              <w:rPr>
                <w:sz w:val="20"/>
              </w:rPr>
              <w:t>O16</w:t>
            </w:r>
          </w:p>
        </w:tc>
        <w:tc>
          <w:tcPr>
            <w:tcW w:w="7797" w:type="dxa"/>
          </w:tcPr>
          <w:p w:rsidR="00E20C4A" w:rsidP="00DC2107">
            <w:pPr>
              <w:pStyle w:val="ListParagraph"/>
              <w:spacing w:after="360" w:line="240" w:lineRule="auto"/>
              <w:ind w:left="0"/>
              <w:contextualSpacing w:val="0"/>
              <w:jc w:val="both"/>
              <w:rPr>
                <w:b/>
              </w:rPr>
            </w:pPr>
            <w:r w:rsidRPr="00C32691" w:rsidR="00C32691">
              <w:rPr>
                <w:sz w:val="20"/>
                <w:szCs w:val="20"/>
                <w:lang w:eastAsia="en-US"/>
              </w:rPr>
              <w:t>(</w:t>
            </w:r>
            <w:r w:rsidR="00C64273">
              <w:rPr>
                <w:sz w:val="20"/>
                <w:szCs w:val="20"/>
                <w:lang w:eastAsia="en-US"/>
              </w:rPr>
              <w:t>16</w:t>
            </w:r>
            <w:r w:rsidRPr="00C32691" w:rsidR="00C32691">
              <w:rPr>
                <w:sz w:val="20"/>
                <w:szCs w:val="20"/>
                <w:lang w:eastAsia="en-US"/>
              </w:rPr>
              <w:t>)</w:t>
            </w:r>
            <w:r w:rsidR="00C32691">
              <w:rPr>
                <w:b/>
              </w:rPr>
              <w:t xml:space="preserve"> </w:t>
            </w:r>
            <w:r w:rsidRPr="00DC2107" w:rsidR="00DC2107">
              <w:rPr>
                <w:sz w:val="20"/>
                <w:szCs w:val="20"/>
                <w:lang w:eastAsia="en-US"/>
              </w:rPr>
              <w:t>Okresný úrad v sídle kraja môže po prerokovaní s Úradom verejného zdravotníctva Slovenskej republiky (ďalej len „úrad verejného zdravotníctva“) alebo regionálnym úradom verejného zdravotníctva a Slovenským hydrometeorologickým ústavom (ďalej len „poverená organizácia) určiť aj miestne alebo regionálne prahové hodnoty na informovanie obyvateľstva alebo cieľové hodnoty kvality ovzdušia pre iné znečisťujúce látky ako znečisťujúce látky podľa § 4 ods. 2, ak sa tieto znečisťujúce látky v ovzduší vyskytujú v koncentráciách, ktoré môžu predstavovať zdravotné riziko pre obyvateľstvo a sú o tom dostupné informácie.</w:t>
            </w:r>
          </w:p>
        </w:tc>
        <w:tc>
          <w:tcPr>
            <w:tcW w:w="708" w:type="dxa"/>
          </w:tcPr>
          <w:p w:rsidR="00E20C4A" w:rsidRPr="00426F14" w:rsidP="00E20C4A">
            <w:pPr>
              <w:jc w:val="both"/>
              <w:rPr>
                <w:sz w:val="20"/>
              </w:rPr>
            </w:pPr>
            <w:r w:rsidRPr="00426F14" w:rsidR="00426F14">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426F14" w:rsidP="00426F14">
            <w:pPr>
              <w:jc w:val="both"/>
              <w:rPr>
                <w:sz w:val="20"/>
              </w:rPr>
            </w:pPr>
            <w:r>
              <w:rPr>
                <w:sz w:val="20"/>
              </w:rPr>
              <w:t>Č17</w:t>
            </w:r>
          </w:p>
          <w:p w:rsidR="00426F14" w:rsidP="00426F14">
            <w:pPr>
              <w:jc w:val="both"/>
              <w:rPr>
                <w:sz w:val="20"/>
              </w:rPr>
            </w:pPr>
            <w:r>
              <w:rPr>
                <w:sz w:val="20"/>
              </w:rPr>
              <w:t>O2</w:t>
            </w:r>
          </w:p>
        </w:tc>
        <w:tc>
          <w:tcPr>
            <w:tcW w:w="4074" w:type="dxa"/>
            <w:tcBorders>
              <w:bottom w:val="single" w:sz="4" w:space="0" w:color="auto"/>
            </w:tcBorders>
          </w:tcPr>
          <w:p w:rsidR="00426F14" w:rsidP="00426F14">
            <w:pPr>
              <w:jc w:val="both"/>
              <w:rPr>
                <w:sz w:val="20"/>
              </w:rPr>
            </w:pPr>
            <w:r w:rsidRPr="00F858C3">
              <w:rPr>
                <w:sz w:val="20"/>
              </w:rPr>
              <w:t>2. V zónach a aglomeráciách, v ktorých došlo k prekročeniu cieľovej</w:t>
            </w:r>
            <w:r>
              <w:rPr>
                <w:sz w:val="20"/>
              </w:rPr>
              <w:t xml:space="preserve"> </w:t>
            </w:r>
            <w:r w:rsidRPr="00F858C3">
              <w:rPr>
                <w:sz w:val="20"/>
              </w:rPr>
              <w:t>hodnoty, členské štáty zabezpečia, aby sa od dátumu uv</w:t>
            </w:r>
            <w:r w:rsidRPr="00F858C3">
              <w:rPr>
                <w:sz w:val="20"/>
              </w:rPr>
              <w:t>edeného</w:t>
            </w:r>
            <w:r>
              <w:rPr>
                <w:sz w:val="20"/>
              </w:rPr>
              <w:t xml:space="preserve"> </w:t>
            </w:r>
            <w:r w:rsidRPr="00F858C3">
              <w:rPr>
                <w:sz w:val="20"/>
              </w:rPr>
              <w:t>v oddiele B prílohy VII k tejto smernici vykonával program vypracovaný podľa článku 6 smernice 2001/81/ES a prípadne plán kvality</w:t>
            </w:r>
            <w:r>
              <w:rPr>
                <w:sz w:val="20"/>
              </w:rPr>
              <w:t xml:space="preserve"> </w:t>
            </w:r>
            <w:r w:rsidRPr="00F858C3">
              <w:rPr>
                <w:sz w:val="20"/>
              </w:rPr>
              <w:t xml:space="preserve">ovzdušia na dosiahnutie cieľových hodnôt, okrem prípadov nedosiahnuteľných opatreniami, ktoré neprinášajú neprimerané </w:t>
            </w:r>
            <w:r w:rsidRPr="00F858C3">
              <w:rPr>
                <w:sz w:val="20"/>
              </w:rPr>
              <w:t>náklady.</w:t>
            </w:r>
          </w:p>
          <w:p w:rsidR="00426F14" w:rsidRPr="00F858C3" w:rsidP="00E20C4A">
            <w:pPr>
              <w:jc w:val="both"/>
              <w:rPr>
                <w:sz w:val="20"/>
              </w:rPr>
            </w:pPr>
          </w:p>
        </w:tc>
        <w:tc>
          <w:tcPr>
            <w:tcW w:w="747" w:type="dxa"/>
          </w:tcPr>
          <w:p w:rsidR="00426F14" w:rsidRPr="00D86B9D" w:rsidP="00E20C4A">
            <w:pPr>
              <w:ind w:right="-249"/>
              <w:rPr>
                <w:sz w:val="20"/>
              </w:rPr>
            </w:pPr>
            <w:r>
              <w:rPr>
                <w:sz w:val="20"/>
              </w:rPr>
              <w:t>N</w:t>
            </w:r>
          </w:p>
        </w:tc>
        <w:tc>
          <w:tcPr>
            <w:tcW w:w="574" w:type="dxa"/>
          </w:tcPr>
          <w:p w:rsidR="00426F14" w:rsidRPr="00426F14" w:rsidP="00E20C4A">
            <w:pPr>
              <w:jc w:val="both"/>
              <w:rPr>
                <w:sz w:val="20"/>
              </w:rPr>
            </w:pPr>
            <w:r w:rsidRPr="00426F14">
              <w:rPr>
                <w:sz w:val="20"/>
              </w:rPr>
              <w:t>NZ</w:t>
            </w:r>
          </w:p>
        </w:tc>
        <w:tc>
          <w:tcPr>
            <w:tcW w:w="701" w:type="dxa"/>
          </w:tcPr>
          <w:p w:rsidR="00342486" w:rsidRPr="00743DBC" w:rsidP="00342486">
            <w:pPr>
              <w:pStyle w:val="Paragrafyzkona"/>
              <w:spacing w:before="0" w:line="240" w:lineRule="auto"/>
              <w:jc w:val="left"/>
              <w:rPr>
                <w:b w:val="0"/>
                <w:sz w:val="20"/>
                <w:szCs w:val="20"/>
                <w:lang w:eastAsia="en-US"/>
              </w:rPr>
            </w:pPr>
            <w:r>
              <w:rPr>
                <w:b w:val="0"/>
                <w:sz w:val="20"/>
                <w:szCs w:val="20"/>
                <w:lang w:eastAsia="en-US"/>
              </w:rPr>
              <w:t>§ 6</w:t>
            </w:r>
          </w:p>
          <w:p w:rsidR="00426F14" w:rsidRPr="008658BB" w:rsidP="00342486">
            <w:pPr>
              <w:jc w:val="both"/>
              <w:rPr>
                <w:b/>
                <w:sz w:val="20"/>
              </w:rPr>
            </w:pPr>
            <w:r w:rsidRPr="003923F6" w:rsidR="00342486">
              <w:rPr>
                <w:sz w:val="20"/>
              </w:rPr>
              <w:t>O</w:t>
            </w:r>
            <w:r w:rsidR="00430816">
              <w:rPr>
                <w:sz w:val="20"/>
              </w:rPr>
              <w:t>3</w:t>
            </w:r>
          </w:p>
        </w:tc>
        <w:tc>
          <w:tcPr>
            <w:tcW w:w="7797" w:type="dxa"/>
          </w:tcPr>
          <w:p w:rsidR="00430816" w:rsidRPr="005F743E" w:rsidP="00430816">
            <w:pPr>
              <w:tabs>
                <w:tab w:val="left" w:pos="1276"/>
              </w:tabs>
              <w:spacing w:after="360"/>
              <w:jc w:val="both"/>
            </w:pPr>
            <w:r>
              <w:rPr>
                <w:sz w:val="20"/>
              </w:rPr>
              <w:t>(3</w:t>
            </w:r>
            <w:r w:rsidR="00714675">
              <w:rPr>
                <w:sz w:val="20"/>
              </w:rPr>
              <w:t xml:space="preserve">) </w:t>
            </w:r>
            <w:r w:rsidRPr="00430816">
              <w:rPr>
                <w:sz w:val="20"/>
              </w:rPr>
              <w:t>V 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odseku 8 a 9.</w:t>
            </w:r>
            <w:r w:rsidRPr="005F743E">
              <w:t xml:space="preserve"> </w:t>
            </w:r>
          </w:p>
          <w:p w:rsidR="00512AD8" w:rsidRPr="005F743E" w:rsidP="00512AD8">
            <w:pPr>
              <w:tabs>
                <w:tab w:val="left" w:pos="1276"/>
              </w:tabs>
              <w:spacing w:after="360"/>
              <w:jc w:val="both"/>
            </w:pPr>
          </w:p>
          <w:p w:rsidR="00342486" w:rsidRPr="00714675" w:rsidP="00342486">
            <w:pPr>
              <w:tabs>
                <w:tab w:val="left" w:pos="1276"/>
              </w:tabs>
              <w:spacing w:after="360"/>
              <w:jc w:val="both"/>
              <w:rPr>
                <w:sz w:val="20"/>
              </w:rPr>
            </w:pPr>
          </w:p>
          <w:p w:rsidR="00426F14" w:rsidP="00E20C4A">
            <w:pPr>
              <w:pStyle w:val="Normlny"/>
              <w:jc w:val="center"/>
              <w:rPr>
                <w:b/>
              </w:rPr>
            </w:pPr>
          </w:p>
        </w:tc>
        <w:tc>
          <w:tcPr>
            <w:tcW w:w="708" w:type="dxa"/>
          </w:tcPr>
          <w:p w:rsidR="00426F14" w:rsidRPr="00426F14" w:rsidP="00E20C4A">
            <w:pPr>
              <w:jc w:val="both"/>
              <w:rPr>
                <w:sz w:val="20"/>
              </w:rPr>
            </w:pPr>
            <w:r w:rsidRPr="00426F14">
              <w:rPr>
                <w:sz w:val="20"/>
              </w:rPr>
              <w:t>Ú</w:t>
            </w:r>
          </w:p>
        </w:tc>
        <w:tc>
          <w:tcPr>
            <w:tcW w:w="1130" w:type="dxa"/>
          </w:tcPr>
          <w:p w:rsidR="00426F14"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Č17</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F858C3">
              <w:rPr>
                <w:sz w:val="20"/>
              </w:rPr>
              <w:t>3. V zónach a aglomeráciách, v ktorých sú úrovne ozónu v</w:t>
            </w:r>
            <w:r>
              <w:rPr>
                <w:sz w:val="20"/>
              </w:rPr>
              <w:t> </w:t>
            </w:r>
            <w:r w:rsidRPr="00F858C3">
              <w:rPr>
                <w:sz w:val="20"/>
              </w:rPr>
              <w:t>okolitom</w:t>
            </w:r>
            <w:r>
              <w:rPr>
                <w:sz w:val="20"/>
              </w:rPr>
              <w:t xml:space="preserve"> </w:t>
            </w:r>
            <w:r w:rsidRPr="00F858C3">
              <w:rPr>
                <w:sz w:val="20"/>
              </w:rPr>
              <w:t>ovzduší vyššie ako dlhodobé ciele, ale nižšie alebo rovnaké ako cieľové</w:t>
            </w:r>
            <w:r>
              <w:rPr>
                <w:sz w:val="20"/>
              </w:rPr>
              <w:t xml:space="preserve"> </w:t>
            </w:r>
            <w:r w:rsidRPr="00F858C3">
              <w:rPr>
                <w:sz w:val="20"/>
              </w:rPr>
              <w:t>hodnoty, členské štáty pripravia a vykonávajú nákladovo efektívne opatrenia na účely dosiahnutia dlhodobých cieľov. Uvedené opatrenia sú</w:t>
            </w:r>
            <w:r>
              <w:rPr>
                <w:sz w:val="20"/>
              </w:rPr>
              <w:t xml:space="preserve"> </w:t>
            </w:r>
            <w:r w:rsidRPr="00F858C3">
              <w:rPr>
                <w:sz w:val="20"/>
              </w:rPr>
              <w:t>prinajmenšom v súlade so všetkými plánmi kvality ovzdušia</w:t>
            </w:r>
            <w:r>
              <w:rPr>
                <w:sz w:val="20"/>
              </w:rPr>
              <w:t xml:space="preserve"> </w:t>
            </w:r>
          </w:p>
          <w:p w:rsidR="00E20C4A" w:rsidP="00E20C4A">
            <w:pPr>
              <w:jc w:val="both"/>
              <w:rPr>
                <w:sz w:val="20"/>
              </w:rPr>
            </w:pPr>
            <w:r w:rsidRPr="00F858C3">
              <w:rPr>
                <w:sz w:val="20"/>
              </w:rPr>
              <w:t>a programom uvedenými v odse</w:t>
            </w:r>
            <w:r w:rsidRPr="00F858C3">
              <w:rPr>
                <w:sz w:val="20"/>
              </w:rPr>
              <w:t>ku 2.</w:t>
            </w:r>
          </w:p>
          <w:p w:rsidR="00E20C4A" w:rsidRPr="00D26928" w:rsidP="00E20C4A">
            <w:pPr>
              <w:jc w:val="both"/>
              <w:rPr>
                <w:sz w:val="20"/>
              </w:rPr>
            </w:pPr>
          </w:p>
        </w:tc>
        <w:tc>
          <w:tcPr>
            <w:tcW w:w="747" w:type="dxa"/>
          </w:tcPr>
          <w:p w:rsidR="00E20C4A" w:rsidRPr="00D86B9D" w:rsidP="00E20C4A">
            <w:pPr>
              <w:ind w:right="-249"/>
              <w:rPr>
                <w:sz w:val="20"/>
              </w:rPr>
            </w:pPr>
            <w:r w:rsidR="00426F14">
              <w:rPr>
                <w:sz w:val="20"/>
              </w:rPr>
              <w:t>N</w:t>
            </w:r>
          </w:p>
        </w:tc>
        <w:tc>
          <w:tcPr>
            <w:tcW w:w="574" w:type="dxa"/>
          </w:tcPr>
          <w:p w:rsidR="00E20C4A" w:rsidRPr="00426F14" w:rsidP="00E20C4A">
            <w:pPr>
              <w:jc w:val="both"/>
              <w:rPr>
                <w:sz w:val="20"/>
              </w:rPr>
            </w:pPr>
            <w:r w:rsidRPr="00426F14" w:rsidR="00426F14">
              <w:rPr>
                <w:sz w:val="20"/>
              </w:rPr>
              <w:t>NZ</w:t>
            </w:r>
          </w:p>
        </w:tc>
        <w:tc>
          <w:tcPr>
            <w:tcW w:w="701" w:type="dxa"/>
          </w:tcPr>
          <w:p w:rsidR="003923F6" w:rsidRPr="00743DBC" w:rsidP="003923F6">
            <w:pPr>
              <w:pStyle w:val="Paragrafyzkona"/>
              <w:spacing w:before="0" w:line="240" w:lineRule="auto"/>
              <w:jc w:val="left"/>
              <w:rPr>
                <w:b w:val="0"/>
                <w:sz w:val="20"/>
                <w:szCs w:val="20"/>
                <w:lang w:eastAsia="en-US"/>
              </w:rPr>
            </w:pPr>
            <w:r>
              <w:rPr>
                <w:b w:val="0"/>
                <w:sz w:val="20"/>
                <w:szCs w:val="20"/>
                <w:lang w:eastAsia="en-US"/>
              </w:rPr>
              <w:t>§ 6</w:t>
            </w:r>
          </w:p>
          <w:p w:rsidR="00E20C4A" w:rsidRPr="003923F6" w:rsidP="003923F6">
            <w:pPr>
              <w:jc w:val="both"/>
              <w:rPr>
                <w:sz w:val="20"/>
              </w:rPr>
            </w:pPr>
            <w:r w:rsidRPr="003923F6" w:rsidR="003923F6">
              <w:rPr>
                <w:sz w:val="20"/>
              </w:rPr>
              <w:t>O1</w:t>
            </w:r>
          </w:p>
        </w:tc>
        <w:tc>
          <w:tcPr>
            <w:tcW w:w="7797" w:type="dxa"/>
          </w:tcPr>
          <w:p w:rsidR="003923F6" w:rsidP="003923F6">
            <w:pPr>
              <w:tabs>
                <w:tab w:val="left" w:pos="1276"/>
              </w:tabs>
              <w:spacing w:after="360"/>
              <w:jc w:val="both"/>
              <w:rPr>
                <w:sz w:val="20"/>
              </w:rPr>
            </w:pPr>
            <w:r>
              <w:rPr>
                <w:sz w:val="20"/>
              </w:rPr>
              <w:t xml:space="preserve">(1) </w:t>
            </w:r>
            <w:r w:rsidRPr="003923F6">
              <w:rPr>
                <w:sz w:val="20"/>
              </w:rPr>
              <w:t>V zóne a aglomerácii s dobrou kvalitou ovzdušia, okresný úrad v sídle kraja,  príslušný okresný úrad, vyšší územný celok a obec v rozsahu svojich právomocí zabezpečujú prostredníctvom primeraných opatrení udržiavanie čo najlepšej kvality ovzdušia v súlade s trvalo udržateľným rozvojom</w:t>
            </w:r>
            <w:r w:rsidRPr="00524FD9" w:rsidR="00524FD9">
              <w:rPr>
                <w:sz w:val="20"/>
                <w:vertAlign w:val="superscript"/>
              </w:rPr>
              <w:t>1</w:t>
            </w:r>
            <w:r w:rsidR="00AB117F">
              <w:rPr>
                <w:sz w:val="20"/>
                <w:vertAlign w:val="superscript"/>
              </w:rPr>
              <w:t>2</w:t>
            </w:r>
            <w:r w:rsidRPr="003923F6">
              <w:rPr>
                <w:sz w:val="20"/>
              </w:rPr>
              <w:t xml:space="preserve">) a vysokou úrovňou ochrany životného prostredia a zdravia ľudí. </w:t>
            </w:r>
          </w:p>
          <w:p w:rsidR="00524FD9" w:rsidRPr="003923F6" w:rsidP="003923F6">
            <w:pPr>
              <w:tabs>
                <w:tab w:val="left" w:pos="1276"/>
              </w:tabs>
              <w:spacing w:after="360"/>
              <w:jc w:val="both"/>
              <w:rPr>
                <w:sz w:val="20"/>
              </w:rPr>
            </w:pPr>
            <w:r w:rsidRPr="00524FD9">
              <w:rPr>
                <w:sz w:val="20"/>
                <w:vertAlign w:val="superscript"/>
              </w:rPr>
              <w:t>1</w:t>
            </w:r>
            <w:r w:rsidR="00AB117F">
              <w:rPr>
                <w:sz w:val="20"/>
                <w:vertAlign w:val="superscript"/>
              </w:rPr>
              <w:t>2</w:t>
            </w:r>
            <w:r>
              <w:rPr>
                <w:sz w:val="20"/>
              </w:rPr>
              <w:t xml:space="preserve">) </w:t>
            </w:r>
            <w:r w:rsidRPr="006062DE">
              <w:rPr>
                <w:sz w:val="18"/>
                <w:szCs w:val="18"/>
              </w:rPr>
              <w:t>§ 6 zákona č. 17/1992 Zb. o životnom prostredí.</w:t>
            </w:r>
          </w:p>
          <w:p w:rsidR="00E20C4A" w:rsidP="00E20C4A">
            <w:pPr>
              <w:pStyle w:val="Normlny"/>
              <w:jc w:val="center"/>
              <w:rPr>
                <w:b/>
              </w:rPr>
            </w:pPr>
          </w:p>
        </w:tc>
        <w:tc>
          <w:tcPr>
            <w:tcW w:w="708" w:type="dxa"/>
          </w:tcPr>
          <w:p w:rsidR="00E20C4A" w:rsidRPr="00426F14" w:rsidP="00E20C4A">
            <w:pPr>
              <w:jc w:val="both"/>
              <w:rPr>
                <w:sz w:val="20"/>
              </w:rPr>
            </w:pPr>
            <w:r w:rsidRPr="00426F14" w:rsidR="00426F14">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Č18</w:t>
            </w:r>
          </w:p>
          <w:p w:rsidR="00E20C4A" w:rsidP="00E20C4A">
            <w:pPr>
              <w:jc w:val="both"/>
              <w:rPr>
                <w:sz w:val="20"/>
              </w:rPr>
            </w:pPr>
          </w:p>
        </w:tc>
        <w:tc>
          <w:tcPr>
            <w:tcW w:w="4074" w:type="dxa"/>
            <w:tcBorders>
              <w:bottom w:val="single" w:sz="4" w:space="0" w:color="auto"/>
            </w:tcBorders>
          </w:tcPr>
          <w:p w:rsidR="00E20C4A" w:rsidRPr="00D63709" w:rsidP="00E20C4A">
            <w:pPr>
              <w:jc w:val="both"/>
              <w:rPr>
                <w:sz w:val="20"/>
                <w:u w:val="single"/>
              </w:rPr>
            </w:pPr>
            <w:r w:rsidRPr="00D63709">
              <w:rPr>
                <w:sz w:val="20"/>
                <w:u w:val="single"/>
              </w:rPr>
              <w:t xml:space="preserve">Požiadavky v zónach a aglomeráciách, v ktorých koncentrácie ozónu spĺňajú </w:t>
            </w:r>
            <w:r w:rsidRPr="00D63709">
              <w:rPr>
                <w:sz w:val="20"/>
                <w:u w:val="single"/>
              </w:rPr>
              <w:t>dlhodobé ciele</w:t>
            </w:r>
          </w:p>
          <w:p w:rsidR="00E20C4A" w:rsidRPr="006938A2" w:rsidP="00E20C4A">
            <w:pPr>
              <w:jc w:val="both"/>
              <w:rPr>
                <w:sz w:val="20"/>
              </w:rPr>
            </w:pPr>
            <w:r w:rsidRPr="006938A2">
              <w:rPr>
                <w:sz w:val="20"/>
              </w:rPr>
              <w:t>V zónach a aglomeráciách, v ktorých úrovne ozónu spĺňajú dlhodobé</w:t>
            </w:r>
            <w:r>
              <w:rPr>
                <w:sz w:val="20"/>
              </w:rPr>
              <w:t xml:space="preserve"> </w:t>
            </w:r>
            <w:r w:rsidRPr="006938A2">
              <w:rPr>
                <w:sz w:val="20"/>
              </w:rPr>
              <w:t>ciele, udržiavajú členské štáty, pokiaľ to faktory vrátane cezhraničného</w:t>
            </w:r>
          </w:p>
          <w:p w:rsidR="00E20C4A" w:rsidRPr="006938A2" w:rsidP="00E20C4A">
            <w:pPr>
              <w:jc w:val="both"/>
              <w:rPr>
                <w:sz w:val="20"/>
              </w:rPr>
            </w:pPr>
            <w:r w:rsidRPr="006938A2">
              <w:rPr>
                <w:sz w:val="20"/>
              </w:rPr>
              <w:t>charakteru znečistenia ozónom a meteorologické podmienky umožňujú,</w:t>
            </w:r>
            <w:r>
              <w:rPr>
                <w:sz w:val="20"/>
              </w:rPr>
              <w:t xml:space="preserve"> </w:t>
            </w:r>
            <w:r w:rsidRPr="006938A2">
              <w:rPr>
                <w:sz w:val="20"/>
              </w:rPr>
              <w:t>tieto úrovne ozónu pod hranicou dlhodobých cieľov a zachovávajú</w:t>
            </w:r>
          </w:p>
          <w:p w:rsidR="00E20C4A" w:rsidP="00E20C4A">
            <w:pPr>
              <w:jc w:val="both"/>
              <w:rPr>
                <w:sz w:val="20"/>
              </w:rPr>
            </w:pPr>
            <w:r w:rsidRPr="006938A2">
              <w:rPr>
                <w:sz w:val="20"/>
              </w:rPr>
              <w:t>prostredníctvom primeraných opatrení najlepšiu kvalitu okolitého</w:t>
            </w:r>
            <w:r>
              <w:rPr>
                <w:sz w:val="20"/>
              </w:rPr>
              <w:t xml:space="preserve"> </w:t>
            </w:r>
            <w:r w:rsidRPr="006938A2">
              <w:rPr>
                <w:sz w:val="20"/>
              </w:rPr>
              <w:t>ovzdušia zlučiteľnú s trvalo udržateľným rozvojom a vysokou úrovňou</w:t>
            </w:r>
            <w:r>
              <w:rPr>
                <w:sz w:val="20"/>
              </w:rPr>
              <w:t xml:space="preserve"> </w:t>
            </w:r>
            <w:r w:rsidRPr="006938A2">
              <w:rPr>
                <w:sz w:val="20"/>
              </w:rPr>
              <w:t>ochrany životného prostredia a zdravia ľudí.</w:t>
            </w:r>
          </w:p>
          <w:p w:rsidR="00E20C4A" w:rsidRPr="00D26928" w:rsidP="00E20C4A">
            <w:pPr>
              <w:jc w:val="both"/>
              <w:rPr>
                <w:sz w:val="20"/>
              </w:rPr>
            </w:pPr>
          </w:p>
        </w:tc>
        <w:tc>
          <w:tcPr>
            <w:tcW w:w="747" w:type="dxa"/>
          </w:tcPr>
          <w:p w:rsidR="00E20C4A" w:rsidRPr="008A42CA" w:rsidP="00E20C4A">
            <w:pPr>
              <w:ind w:right="-249"/>
              <w:rPr>
                <w:sz w:val="20"/>
              </w:rPr>
            </w:pPr>
            <w:r w:rsidRPr="008A42CA" w:rsidR="008A42CA">
              <w:rPr>
                <w:sz w:val="20"/>
              </w:rPr>
              <w:t>N</w:t>
            </w:r>
          </w:p>
        </w:tc>
        <w:tc>
          <w:tcPr>
            <w:tcW w:w="574" w:type="dxa"/>
          </w:tcPr>
          <w:p w:rsidR="00E20C4A" w:rsidRPr="008A42CA" w:rsidP="00E20C4A">
            <w:pPr>
              <w:jc w:val="both"/>
              <w:rPr>
                <w:sz w:val="20"/>
              </w:rPr>
            </w:pPr>
            <w:r w:rsidRPr="008A42CA" w:rsidR="008A42CA">
              <w:rPr>
                <w:sz w:val="20"/>
              </w:rPr>
              <w:t>NZ</w:t>
            </w:r>
          </w:p>
        </w:tc>
        <w:tc>
          <w:tcPr>
            <w:tcW w:w="701" w:type="dxa"/>
          </w:tcPr>
          <w:p w:rsidR="00C521B4" w:rsidRPr="00743DBC" w:rsidP="00C521B4">
            <w:pPr>
              <w:pStyle w:val="Paragrafyzkona"/>
              <w:spacing w:before="0" w:line="240" w:lineRule="auto"/>
              <w:jc w:val="left"/>
              <w:rPr>
                <w:b w:val="0"/>
                <w:sz w:val="20"/>
                <w:szCs w:val="20"/>
                <w:lang w:eastAsia="en-US"/>
              </w:rPr>
            </w:pPr>
            <w:r>
              <w:rPr>
                <w:b w:val="0"/>
                <w:sz w:val="20"/>
                <w:szCs w:val="20"/>
                <w:lang w:eastAsia="en-US"/>
              </w:rPr>
              <w:t>§ 6</w:t>
            </w:r>
          </w:p>
          <w:p w:rsidR="008A42CA" w:rsidRPr="008A42CA" w:rsidP="00C521B4">
            <w:pPr>
              <w:jc w:val="both"/>
              <w:rPr>
                <w:sz w:val="20"/>
              </w:rPr>
            </w:pPr>
            <w:r w:rsidRPr="003923F6" w:rsidR="00C521B4">
              <w:rPr>
                <w:sz w:val="20"/>
              </w:rPr>
              <w:t>O1</w:t>
            </w:r>
          </w:p>
        </w:tc>
        <w:tc>
          <w:tcPr>
            <w:tcW w:w="7797" w:type="dxa"/>
          </w:tcPr>
          <w:p w:rsidR="00C521B4" w:rsidP="00C521B4">
            <w:pPr>
              <w:tabs>
                <w:tab w:val="left" w:pos="1276"/>
              </w:tabs>
              <w:spacing w:after="360"/>
              <w:jc w:val="both"/>
              <w:rPr>
                <w:sz w:val="20"/>
              </w:rPr>
            </w:pPr>
            <w:r>
              <w:rPr>
                <w:sz w:val="20"/>
              </w:rPr>
              <w:t xml:space="preserve">(1) </w:t>
            </w:r>
            <w:r w:rsidRPr="00C521B4">
              <w:rPr>
                <w:sz w:val="20"/>
              </w:rPr>
              <w:t>V zóne a aglomerácii s dobrou kvalitou ovzdušia, okresný úrad v sídle kraja,  príslušný okresný úrad, vyšší územný celok a obec v rozsahu svojich právomocí zabezpečujú prostredníctvom primeraných opatrení udržiavanie čo najlepšej kvality ovzdušia v súlade s trvalo udržateľným rozvojom</w:t>
            </w:r>
            <w:r w:rsidRPr="00524FD9" w:rsidR="00524FD9">
              <w:rPr>
                <w:sz w:val="20"/>
                <w:vertAlign w:val="superscript"/>
              </w:rPr>
              <w:t>1</w:t>
            </w:r>
            <w:r w:rsidR="006F5874">
              <w:rPr>
                <w:sz w:val="20"/>
                <w:vertAlign w:val="superscript"/>
              </w:rPr>
              <w:t>2</w:t>
            </w:r>
            <w:r w:rsidRPr="00C521B4">
              <w:rPr>
                <w:sz w:val="20"/>
              </w:rPr>
              <w:t xml:space="preserve">) a vysokou úrovňou ochrany životného prostredia a zdravia ľudí. </w:t>
            </w:r>
          </w:p>
          <w:p w:rsidR="00524FD9" w:rsidRPr="00C521B4" w:rsidP="00C521B4">
            <w:pPr>
              <w:tabs>
                <w:tab w:val="left" w:pos="1276"/>
              </w:tabs>
              <w:spacing w:after="360"/>
              <w:jc w:val="both"/>
              <w:rPr>
                <w:sz w:val="20"/>
              </w:rPr>
            </w:pPr>
            <w:r w:rsidRPr="00524FD9">
              <w:rPr>
                <w:sz w:val="20"/>
                <w:vertAlign w:val="superscript"/>
              </w:rPr>
              <w:t>1</w:t>
            </w:r>
            <w:r w:rsidR="006F5874">
              <w:rPr>
                <w:sz w:val="20"/>
                <w:vertAlign w:val="superscript"/>
              </w:rPr>
              <w:t>2</w:t>
            </w:r>
            <w:r>
              <w:rPr>
                <w:sz w:val="20"/>
              </w:rPr>
              <w:t xml:space="preserve">) </w:t>
            </w:r>
            <w:r w:rsidRPr="006062DE">
              <w:rPr>
                <w:sz w:val="18"/>
                <w:szCs w:val="18"/>
              </w:rPr>
              <w:t>§ 6 zákona č. 17/1992 Zb. o životnom prostredí.</w:t>
            </w:r>
          </w:p>
          <w:p w:rsidR="00E20C4A" w:rsidP="00E20C4A">
            <w:pPr>
              <w:pStyle w:val="Normlny"/>
              <w:jc w:val="center"/>
              <w:rPr>
                <w:b/>
              </w:rPr>
            </w:pPr>
          </w:p>
        </w:tc>
        <w:tc>
          <w:tcPr>
            <w:tcW w:w="708" w:type="dxa"/>
          </w:tcPr>
          <w:p w:rsidR="00E20C4A" w:rsidRPr="008A42CA" w:rsidP="00E20C4A">
            <w:pPr>
              <w:jc w:val="both"/>
              <w:rPr>
                <w:sz w:val="20"/>
              </w:rPr>
            </w:pPr>
            <w:r w:rsidRPr="008A42CA" w:rsidR="008A42CA">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Č19</w:t>
            </w:r>
          </w:p>
        </w:tc>
        <w:tc>
          <w:tcPr>
            <w:tcW w:w="4074" w:type="dxa"/>
            <w:tcBorders>
              <w:bottom w:val="single" w:sz="4" w:space="0" w:color="auto"/>
            </w:tcBorders>
          </w:tcPr>
          <w:p w:rsidR="00E20C4A" w:rsidRPr="00D63709" w:rsidP="00E20C4A">
            <w:pPr>
              <w:jc w:val="both"/>
              <w:rPr>
                <w:sz w:val="20"/>
                <w:u w:val="single"/>
              </w:rPr>
            </w:pPr>
            <w:r w:rsidRPr="00D63709">
              <w:rPr>
                <w:sz w:val="20"/>
                <w:u w:val="single"/>
              </w:rPr>
              <w:t>Opatrenia požadované pri prekročení informačného alebo výstražného prahu</w:t>
            </w:r>
          </w:p>
          <w:p w:rsidR="00E20C4A" w:rsidRPr="00D63709" w:rsidP="00E20C4A">
            <w:pPr>
              <w:jc w:val="both"/>
              <w:rPr>
                <w:sz w:val="20"/>
              </w:rPr>
            </w:pPr>
            <w:r w:rsidRPr="00D63709">
              <w:rPr>
                <w:sz w:val="20"/>
              </w:rPr>
              <w:t>Na miestach, kde dôjde k prekročeniu informačného prahu určeného</w:t>
            </w:r>
            <w:r>
              <w:rPr>
                <w:sz w:val="20"/>
              </w:rPr>
              <w:t xml:space="preserve"> </w:t>
            </w:r>
            <w:r w:rsidRPr="00D63709">
              <w:rPr>
                <w:sz w:val="20"/>
              </w:rPr>
              <w:t>v prílohe XII alebo akýchkoľvek výstražných prahov stanovených</w:t>
            </w:r>
            <w:r>
              <w:rPr>
                <w:sz w:val="20"/>
              </w:rPr>
              <w:t xml:space="preserve"> </w:t>
            </w:r>
            <w:r w:rsidRPr="00D63709">
              <w:rPr>
                <w:sz w:val="20"/>
              </w:rPr>
              <w:t>v uvedenej prílohe, členské štáty podniknú potrebné kroky na informovanie verejnosti prostredníctvom rozhlasu, televízie, tlače alebo internetu.</w:t>
            </w:r>
            <w:r>
              <w:rPr>
                <w:sz w:val="20"/>
              </w:rPr>
              <w:t xml:space="preserve"> </w:t>
            </w:r>
            <w:r w:rsidRPr="00D63709">
              <w:rPr>
                <w:sz w:val="20"/>
              </w:rPr>
              <w:t>Členské štáty takisto zašlú Komisii predbežné informácie týkajúce sa</w:t>
            </w:r>
          </w:p>
          <w:p w:rsidR="00E20C4A" w:rsidP="00E20C4A">
            <w:pPr>
              <w:jc w:val="both"/>
              <w:rPr>
                <w:sz w:val="20"/>
              </w:rPr>
            </w:pPr>
            <w:r w:rsidRPr="00D63709">
              <w:rPr>
                <w:sz w:val="20"/>
              </w:rPr>
              <w:t>zaznamenaných úrovní a trvania období, počas ktorých bol výstražný</w:t>
            </w:r>
            <w:r>
              <w:rPr>
                <w:sz w:val="20"/>
              </w:rPr>
              <w:t xml:space="preserve"> </w:t>
            </w:r>
            <w:r w:rsidRPr="00D63709">
              <w:rPr>
                <w:sz w:val="20"/>
              </w:rPr>
              <w:t>alebo informačný prah prekročený</w:t>
            </w:r>
            <w:r>
              <w:rPr>
                <w:sz w:val="20"/>
              </w:rPr>
              <w:t>.</w:t>
            </w:r>
          </w:p>
          <w:p w:rsidR="00E20C4A" w:rsidRPr="00D26928" w:rsidP="00E20C4A">
            <w:pPr>
              <w:jc w:val="both"/>
              <w:rPr>
                <w:sz w:val="20"/>
              </w:rPr>
            </w:pPr>
          </w:p>
        </w:tc>
        <w:tc>
          <w:tcPr>
            <w:tcW w:w="747" w:type="dxa"/>
          </w:tcPr>
          <w:p w:rsidR="00E20C4A" w:rsidRPr="00D86B9D" w:rsidP="00E20C4A">
            <w:pPr>
              <w:ind w:right="-249"/>
              <w:rPr>
                <w:sz w:val="20"/>
              </w:rPr>
            </w:pPr>
            <w:r w:rsidR="00A25D01">
              <w:rPr>
                <w:sz w:val="20"/>
              </w:rPr>
              <w:t>N</w:t>
            </w:r>
          </w:p>
        </w:tc>
        <w:tc>
          <w:tcPr>
            <w:tcW w:w="574" w:type="dxa"/>
          </w:tcPr>
          <w:p w:rsidR="00E20C4A" w:rsidRPr="00A25D01" w:rsidP="00E20C4A">
            <w:pPr>
              <w:jc w:val="both"/>
              <w:rPr>
                <w:sz w:val="20"/>
              </w:rPr>
            </w:pPr>
            <w:r w:rsidRPr="00A25D01" w:rsidR="00A25D01">
              <w:rPr>
                <w:sz w:val="20"/>
              </w:rPr>
              <w:t>NZ</w:t>
            </w:r>
          </w:p>
        </w:tc>
        <w:tc>
          <w:tcPr>
            <w:tcW w:w="701" w:type="dxa"/>
          </w:tcPr>
          <w:p w:rsidR="00A25D01" w:rsidRPr="00743DBC" w:rsidP="00A25D01">
            <w:pPr>
              <w:pStyle w:val="Paragrafyzkona"/>
              <w:spacing w:before="0" w:line="240" w:lineRule="auto"/>
              <w:jc w:val="left"/>
              <w:rPr>
                <w:b w:val="0"/>
                <w:sz w:val="20"/>
                <w:szCs w:val="20"/>
                <w:lang w:eastAsia="en-US"/>
              </w:rPr>
            </w:pPr>
            <w:r w:rsidR="008B0A6B">
              <w:rPr>
                <w:b w:val="0"/>
                <w:sz w:val="20"/>
                <w:szCs w:val="20"/>
                <w:lang w:eastAsia="en-US"/>
              </w:rPr>
              <w:t>§ 12</w:t>
            </w:r>
          </w:p>
          <w:p w:rsidR="00A25D01" w:rsidRPr="008A42CA" w:rsidP="00A25D01">
            <w:pPr>
              <w:jc w:val="both"/>
              <w:rPr>
                <w:sz w:val="20"/>
              </w:rPr>
            </w:pPr>
            <w:r w:rsidRPr="008A42CA">
              <w:rPr>
                <w:sz w:val="20"/>
              </w:rPr>
              <w:t>O6</w:t>
            </w:r>
          </w:p>
          <w:p w:rsidR="00E20C4A" w:rsidP="00A25D01">
            <w:pPr>
              <w:jc w:val="both"/>
              <w:rPr>
                <w:sz w:val="20"/>
              </w:rPr>
            </w:pPr>
            <w:r w:rsidRPr="008A42CA" w:rsidR="00A25D01">
              <w:rPr>
                <w:sz w:val="20"/>
              </w:rPr>
              <w:t>Pb</w:t>
            </w: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8B0A6B" w:rsidP="00A25D01">
            <w:pPr>
              <w:jc w:val="both"/>
              <w:rPr>
                <w:sz w:val="20"/>
              </w:rPr>
            </w:pPr>
          </w:p>
          <w:p w:rsidR="008B0A6B" w:rsidP="00A25D01">
            <w:pPr>
              <w:jc w:val="both"/>
              <w:rPr>
                <w:sz w:val="20"/>
              </w:rPr>
            </w:pPr>
          </w:p>
          <w:p w:rsidR="003B2FE9" w:rsidP="00A25D01">
            <w:pPr>
              <w:jc w:val="both"/>
              <w:rPr>
                <w:sz w:val="20"/>
              </w:rPr>
            </w:pPr>
          </w:p>
          <w:p w:rsidR="003B2FE9" w:rsidP="00A25D01">
            <w:pPr>
              <w:jc w:val="both"/>
              <w:rPr>
                <w:sz w:val="20"/>
              </w:rPr>
            </w:pPr>
          </w:p>
          <w:p w:rsidR="00553133" w:rsidP="00A25D01">
            <w:pPr>
              <w:jc w:val="both"/>
              <w:rPr>
                <w:sz w:val="20"/>
              </w:rPr>
            </w:pPr>
          </w:p>
          <w:p w:rsidR="00F21CF9" w:rsidP="00A25D01">
            <w:pPr>
              <w:jc w:val="both"/>
              <w:rPr>
                <w:sz w:val="20"/>
              </w:rPr>
            </w:pPr>
            <w:r>
              <w:rPr>
                <w:sz w:val="20"/>
              </w:rPr>
              <w:t>O9</w:t>
            </w: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p>
          <w:p w:rsidR="00F21CF9" w:rsidP="00A25D01">
            <w:pPr>
              <w:jc w:val="both"/>
              <w:rPr>
                <w:sz w:val="20"/>
              </w:rPr>
            </w:pPr>
            <w:r>
              <w:rPr>
                <w:sz w:val="20"/>
              </w:rPr>
              <w:t>O10</w:t>
            </w:r>
          </w:p>
          <w:p w:rsidR="002A3185" w:rsidP="00A25D01">
            <w:pPr>
              <w:jc w:val="both"/>
              <w:rPr>
                <w:sz w:val="20"/>
              </w:rPr>
            </w:pPr>
            <w:r>
              <w:rPr>
                <w:sz w:val="20"/>
              </w:rPr>
              <w:t>Pa</w:t>
            </w:r>
          </w:p>
          <w:p w:rsidR="00553133" w:rsidP="00A25D01">
            <w:pPr>
              <w:jc w:val="both"/>
              <w:rPr>
                <w:sz w:val="20"/>
              </w:rPr>
            </w:pPr>
          </w:p>
          <w:p w:rsidR="00553133" w:rsidP="00A25D01">
            <w:pPr>
              <w:jc w:val="both"/>
              <w:rPr>
                <w:sz w:val="20"/>
              </w:rPr>
            </w:pPr>
          </w:p>
          <w:p w:rsidR="00553133" w:rsidP="00A25D01">
            <w:pPr>
              <w:jc w:val="both"/>
              <w:rPr>
                <w:sz w:val="20"/>
              </w:rPr>
            </w:pPr>
          </w:p>
          <w:p w:rsidR="00553133" w:rsidP="00A25D01">
            <w:pPr>
              <w:jc w:val="both"/>
              <w:rPr>
                <w:sz w:val="20"/>
              </w:rPr>
            </w:pPr>
          </w:p>
          <w:p w:rsidR="002A3185" w:rsidRPr="008658BB" w:rsidP="00A25D01">
            <w:pPr>
              <w:jc w:val="both"/>
              <w:rPr>
                <w:b/>
                <w:sz w:val="20"/>
              </w:rPr>
            </w:pPr>
            <w:r>
              <w:rPr>
                <w:sz w:val="20"/>
              </w:rPr>
              <w:t>Pb</w:t>
            </w:r>
          </w:p>
        </w:tc>
        <w:tc>
          <w:tcPr>
            <w:tcW w:w="7797" w:type="dxa"/>
          </w:tcPr>
          <w:p w:rsidR="00A25D01" w:rsidP="00A25D01">
            <w:pPr>
              <w:spacing w:after="360"/>
              <w:jc w:val="both"/>
              <w:rPr>
                <w:sz w:val="20"/>
              </w:rPr>
            </w:pPr>
            <w:r w:rsidRPr="008A42CA">
              <w:rPr>
                <w:sz w:val="20"/>
              </w:rPr>
              <w:t>Smogový varovný systém</w:t>
            </w:r>
          </w:p>
          <w:p w:rsidR="00A25D01" w:rsidP="00A25D01">
            <w:pPr>
              <w:spacing w:after="360"/>
              <w:jc w:val="both"/>
              <w:rPr>
                <w:sz w:val="20"/>
              </w:rPr>
            </w:pPr>
            <w:r>
              <w:rPr>
                <w:sz w:val="20"/>
              </w:rPr>
              <w:t xml:space="preserve">(6) </w:t>
            </w:r>
            <w:r w:rsidRPr="008A42CA">
              <w:rPr>
                <w:sz w:val="20"/>
              </w:rPr>
              <w:t>Ak nastane situácia podľa odseku 2 alebo odseku 4, alebo ak existuje dôvodné podozrenie, že v dôsledku mimoriadnej situácie, sa výrazne zhoršila kvalita ovzdušia v danej lokalite, poverená organizácia</w:t>
            </w:r>
          </w:p>
          <w:p w:rsidR="00A25D01" w:rsidRPr="008A42CA" w:rsidP="00A25D01">
            <w:pPr>
              <w:spacing w:after="60"/>
              <w:jc w:val="both"/>
              <w:rPr>
                <w:sz w:val="20"/>
              </w:rPr>
            </w:pPr>
            <w:r>
              <w:rPr>
                <w:sz w:val="20"/>
              </w:rPr>
              <w:t xml:space="preserve">b) </w:t>
            </w:r>
            <w:r w:rsidRPr="008A42CA">
              <w:rPr>
                <w:sz w:val="20"/>
              </w:rPr>
              <w:t>bezodkladne informuje o situácii podľa písmena a) prostredníctvom štátnej meteorologickej služby</w:t>
            </w:r>
            <w:r w:rsidRPr="008B0A6B">
              <w:rPr>
                <w:sz w:val="20"/>
                <w:vertAlign w:val="superscript"/>
              </w:rPr>
              <w:t>3</w:t>
            </w:r>
            <w:r w:rsidR="008B1727">
              <w:rPr>
                <w:sz w:val="20"/>
                <w:vertAlign w:val="superscript"/>
              </w:rPr>
              <w:t>3</w:t>
            </w:r>
            <w:r w:rsidRPr="008A42CA">
              <w:rPr>
                <w:sz w:val="20"/>
              </w:rPr>
              <w:t>)</w:t>
            </w:r>
          </w:p>
          <w:p w:rsidR="008B0A6B" w:rsidRPr="008B0A6B" w:rsidP="008B0A6B">
            <w:pPr>
              <w:spacing w:after="60"/>
              <w:jc w:val="both"/>
              <w:rPr>
                <w:sz w:val="20"/>
              </w:rPr>
            </w:pPr>
            <w:r w:rsidRPr="008B0A6B">
              <w:rPr>
                <w:sz w:val="20"/>
              </w:rPr>
              <w:t>1.</w:t>
              <w:tab/>
              <w:t>Ministerstvo vnútra Slovenskej republiky, ) ktoré prostredníctvom informačného systému civilnej ochrany vyrozumie okresné úrady v sídle kraja, okresné úrady, samosprávne kraje, obce, ktoré môžu byť dotknuté oznámením alebo výstrahou podľa písme</w:t>
            </w:r>
            <w:r w:rsidRPr="008B0A6B">
              <w:rPr>
                <w:sz w:val="20"/>
              </w:rPr>
              <w:t>na a), úrad verejného zdravotníctva, príslušné regionálne úrady verejného zdravotníctva,</w:t>
            </w:r>
          </w:p>
          <w:p w:rsidR="008B0A6B" w:rsidRPr="008B0A6B" w:rsidP="008B0A6B">
            <w:pPr>
              <w:spacing w:after="60"/>
              <w:jc w:val="both"/>
              <w:rPr>
                <w:sz w:val="20"/>
              </w:rPr>
            </w:pPr>
            <w:r w:rsidRPr="008B0A6B">
              <w:rPr>
                <w:sz w:val="20"/>
              </w:rPr>
              <w:t>2.</w:t>
              <w:tab/>
              <w:t>Ministerstvo zdravotníctva Slovenskej republiky,</w:t>
            </w:r>
          </w:p>
          <w:p w:rsidR="008B0A6B" w:rsidRPr="008B0A6B" w:rsidP="008B0A6B">
            <w:pPr>
              <w:spacing w:after="60"/>
              <w:jc w:val="both"/>
              <w:rPr>
                <w:sz w:val="20"/>
              </w:rPr>
            </w:pPr>
            <w:r w:rsidRPr="008B0A6B">
              <w:rPr>
                <w:sz w:val="20"/>
              </w:rPr>
              <w:t>3.</w:t>
              <w:tab/>
              <w:t>inšpekciu,</w:t>
            </w:r>
          </w:p>
          <w:p w:rsidR="008B0A6B" w:rsidRPr="008B0A6B" w:rsidP="008B0A6B">
            <w:pPr>
              <w:spacing w:after="60"/>
              <w:jc w:val="both"/>
              <w:rPr>
                <w:sz w:val="20"/>
              </w:rPr>
            </w:pPr>
            <w:r w:rsidRPr="008B0A6B">
              <w:rPr>
                <w:sz w:val="20"/>
              </w:rPr>
              <w:t>4.</w:t>
              <w:tab/>
              <w:t>verejnoprávne médiá,</w:t>
            </w:r>
          </w:p>
          <w:p w:rsidR="00A25D01" w:rsidP="008B0A6B">
            <w:pPr>
              <w:spacing w:after="60"/>
              <w:jc w:val="both"/>
              <w:rPr>
                <w:sz w:val="20"/>
              </w:rPr>
            </w:pPr>
            <w:r w:rsidRPr="008B0A6B" w:rsidR="008B0A6B">
              <w:rPr>
                <w:sz w:val="20"/>
              </w:rPr>
              <w:t>5.</w:t>
              <w:tab/>
              <w:t>verejnosť, prostredníctvom svojho webového sídla.</w:t>
            </w:r>
          </w:p>
          <w:p w:rsidR="003B2FE9" w:rsidP="008B0A6B">
            <w:pPr>
              <w:spacing w:after="60"/>
              <w:jc w:val="both"/>
              <w:rPr>
                <w:sz w:val="20"/>
              </w:rPr>
            </w:pPr>
          </w:p>
          <w:p w:rsidR="003B2FE9" w:rsidP="003B2FE9">
            <w:pPr>
              <w:pStyle w:val="FootnoteText"/>
              <w:rPr>
                <w:szCs w:val="24"/>
              </w:rPr>
            </w:pPr>
            <w:r w:rsidRPr="003B2FE9">
              <w:rPr>
                <w:vertAlign w:val="superscript"/>
              </w:rPr>
              <w:t>3</w:t>
            </w:r>
            <w:r w:rsidR="008B1727">
              <w:rPr>
                <w:vertAlign w:val="superscript"/>
              </w:rPr>
              <w:t>3</w:t>
            </w:r>
            <w:r>
              <w:t>)</w:t>
            </w:r>
            <w:r>
              <w:rPr>
                <w:szCs w:val="24"/>
              </w:rPr>
              <w:t xml:space="preserve"> </w:t>
            </w:r>
            <w:r w:rsidRPr="00B979EE">
              <w:rPr>
                <w:sz w:val="18"/>
                <w:szCs w:val="18"/>
              </w:rPr>
              <w:t>§ 5 ods. 1 zákona č. 201/2009 Z. z. o štátnej hydrologickej službe a štátnej meteorologickej službe.</w:t>
            </w:r>
          </w:p>
          <w:p w:rsidR="008B0A6B" w:rsidP="008B0A6B">
            <w:pPr>
              <w:spacing w:after="60"/>
              <w:jc w:val="both"/>
              <w:rPr>
                <w:sz w:val="20"/>
              </w:rPr>
            </w:pPr>
          </w:p>
          <w:p w:rsidR="00553133" w:rsidP="008B0A6B">
            <w:pPr>
              <w:spacing w:after="60"/>
              <w:jc w:val="both"/>
              <w:rPr>
                <w:sz w:val="20"/>
              </w:rPr>
            </w:pPr>
          </w:p>
          <w:p w:rsidR="00553133" w:rsidP="008B0A6B">
            <w:pPr>
              <w:spacing w:after="60"/>
              <w:jc w:val="both"/>
              <w:rPr>
                <w:sz w:val="20"/>
              </w:rPr>
            </w:pPr>
          </w:p>
          <w:p w:rsidR="00F21CF9" w:rsidP="00F21CF9">
            <w:pPr>
              <w:spacing w:after="360"/>
              <w:jc w:val="both"/>
              <w:rPr>
                <w:sz w:val="20"/>
              </w:rPr>
            </w:pPr>
            <w:r w:rsidRPr="008B0A6B" w:rsidR="008B0A6B">
              <w:rPr>
                <w:sz w:val="20"/>
              </w:rPr>
              <w:t>(9)</w:t>
              <w:tab/>
              <w:t>Dotknutá obec a samosprávny kraj sú povinné informovať verejnosť o vzniknutej smogovej situácii bezodkladne, najneskôr však do šiestich hodín od doručenia informácie o smogovej situácii zo systému civilnej ochrany podľa odseku 6 písm. b) prvého bodu. Obec a samosprávny kraj sú povinné zverejniť informáciu v nezmenenom znení, najmä na úradnej tabuli, v miestnom rozhlase a svojom webovom sídle.</w:t>
            </w:r>
          </w:p>
          <w:p w:rsidR="00F21CF9" w:rsidRPr="00F21CF9" w:rsidP="00F21CF9">
            <w:pPr>
              <w:spacing w:after="60"/>
              <w:jc w:val="both"/>
              <w:rPr>
                <w:sz w:val="20"/>
              </w:rPr>
            </w:pPr>
            <w:r w:rsidRPr="00F21CF9">
              <w:rPr>
                <w:sz w:val="20"/>
              </w:rPr>
              <w:t>(10) Prevádzkovateľ verejno</w:t>
            </w:r>
            <w:r w:rsidRPr="00F21CF9">
              <w:rPr>
                <w:sz w:val="20"/>
              </w:rPr>
              <w:t>právneho média je povinný</w:t>
            </w:r>
          </w:p>
          <w:p w:rsidR="00553133" w:rsidP="003B2FE9">
            <w:pPr>
              <w:spacing w:after="60"/>
              <w:jc w:val="both"/>
              <w:rPr>
                <w:sz w:val="20"/>
              </w:rPr>
            </w:pPr>
            <w:r w:rsidRPr="003B2FE9" w:rsidR="003B2FE9">
              <w:rPr>
                <w:sz w:val="20"/>
              </w:rPr>
              <w:t>a)</w:t>
            </w:r>
            <w:r w:rsidRPr="003B2FE9" w:rsidR="003B2FE9">
              <w:rPr>
                <w:b/>
              </w:rPr>
              <w:tab/>
            </w:r>
            <w:r w:rsidRPr="003B2FE9" w:rsidR="003B2FE9">
              <w:rPr>
                <w:sz w:val="20"/>
              </w:rPr>
              <w:t>uverejniť upozornenie, výstrahu alebo oznámenie podľa odseku 6 písm. a), vrátane informácií podľa odseku 8 do dvoch hodín od ich doručenia; uverejnenie upozornenia, výstrahy alebo oznámenia nezakladá žiaden nárok na odmenu za splnenie povinnosti a ani úhradu nákladov vynaložených na uverejnenie,</w:t>
            </w:r>
          </w:p>
          <w:p w:rsidR="003B2FE9" w:rsidP="003B2FE9">
            <w:pPr>
              <w:spacing w:after="60"/>
              <w:jc w:val="both"/>
              <w:rPr>
                <w:sz w:val="20"/>
              </w:rPr>
            </w:pPr>
            <w:r w:rsidRPr="00553133" w:rsidR="00553133">
              <w:rPr>
                <w:sz w:val="20"/>
              </w:rPr>
              <w:t>b)</w:t>
              <w:tab/>
              <w:t>ak aktuálna smogová situácia pretrváva, pravidelne denne najmenej jedenkrát do 7. hodiny a najmenej jedenkrát po 17. hodine upozorniť na pretrvávanie smogovej situácie, vrátane informácií podľa odseku 8.</w:t>
            </w:r>
          </w:p>
          <w:p w:rsidR="003B2FE9" w:rsidP="003B2FE9">
            <w:pPr>
              <w:spacing w:after="60"/>
              <w:jc w:val="both"/>
              <w:rPr>
                <w:b/>
              </w:rPr>
            </w:pPr>
          </w:p>
          <w:p w:rsidR="003B2FE9" w:rsidP="003B2FE9">
            <w:pPr>
              <w:spacing w:after="60"/>
              <w:jc w:val="both"/>
              <w:rPr>
                <w:b/>
              </w:rPr>
            </w:pPr>
          </w:p>
        </w:tc>
        <w:tc>
          <w:tcPr>
            <w:tcW w:w="708" w:type="dxa"/>
          </w:tcPr>
          <w:p w:rsidR="00E20C4A" w:rsidRPr="00A25D01" w:rsidP="00E20C4A">
            <w:pPr>
              <w:jc w:val="both"/>
              <w:rPr>
                <w:sz w:val="20"/>
              </w:rPr>
            </w:pPr>
            <w:r w:rsidRPr="00A25D01" w:rsidR="00A25D01">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Č20</w:t>
            </w:r>
          </w:p>
          <w:p w:rsidR="00E20C4A" w:rsidP="00E20C4A">
            <w:pPr>
              <w:jc w:val="both"/>
              <w:rPr>
                <w:sz w:val="20"/>
              </w:rPr>
            </w:pPr>
            <w:r>
              <w:rPr>
                <w:sz w:val="20"/>
              </w:rPr>
              <w:t>O1</w:t>
            </w:r>
          </w:p>
        </w:tc>
        <w:tc>
          <w:tcPr>
            <w:tcW w:w="4074" w:type="dxa"/>
            <w:tcBorders>
              <w:bottom w:val="single" w:sz="4" w:space="0" w:color="auto"/>
            </w:tcBorders>
          </w:tcPr>
          <w:p w:rsidR="00E20C4A" w:rsidRPr="00D63709" w:rsidP="00E20C4A">
            <w:pPr>
              <w:jc w:val="both"/>
              <w:rPr>
                <w:sz w:val="20"/>
              </w:rPr>
            </w:pPr>
            <w:r w:rsidRPr="00D63709">
              <w:rPr>
                <w:sz w:val="20"/>
              </w:rPr>
              <w:t>Príspevky z prírodných zdrojov</w:t>
            </w:r>
          </w:p>
          <w:p w:rsidR="00E20C4A" w:rsidP="00E20C4A">
            <w:pPr>
              <w:jc w:val="both"/>
              <w:rPr>
                <w:sz w:val="20"/>
              </w:rPr>
            </w:pPr>
            <w:r w:rsidRPr="00D63709">
              <w:rPr>
                <w:sz w:val="20"/>
              </w:rPr>
              <w:t>1. Členské štáty zašlú Komisii za daný rok zoznam zón a aglomerácií,</w:t>
            </w:r>
            <w:r>
              <w:rPr>
                <w:sz w:val="20"/>
              </w:rPr>
              <w:t xml:space="preserve"> </w:t>
            </w:r>
            <w:r w:rsidRPr="00D63709">
              <w:rPr>
                <w:sz w:val="20"/>
              </w:rPr>
              <w:t>v ktorých je možné prekračovanie limitných hodnôt pre danú znečisťujúcu látku pripísať prírodným zdrojom. Členské štáty poskytnú informácie o koncentráciách a zdrojoch a dôkaz, že prekročenia možno</w:t>
            </w:r>
            <w:r>
              <w:rPr>
                <w:sz w:val="20"/>
              </w:rPr>
              <w:t xml:space="preserve"> </w:t>
            </w:r>
            <w:r w:rsidRPr="00D63709">
              <w:rPr>
                <w:sz w:val="20"/>
              </w:rPr>
              <w:t>pripísať prírodným zdrojom.</w:t>
            </w:r>
          </w:p>
          <w:p w:rsidR="00E20C4A" w:rsidRPr="00D63709" w:rsidP="00E20C4A">
            <w:pPr>
              <w:jc w:val="both"/>
              <w:rPr>
                <w:sz w:val="20"/>
              </w:rPr>
            </w:pPr>
          </w:p>
        </w:tc>
        <w:tc>
          <w:tcPr>
            <w:tcW w:w="747" w:type="dxa"/>
          </w:tcPr>
          <w:p w:rsidR="00E20C4A" w:rsidRPr="00D86B9D" w:rsidP="00E20C4A">
            <w:pPr>
              <w:ind w:right="-249"/>
              <w:rPr>
                <w:sz w:val="20"/>
              </w:rPr>
            </w:pPr>
            <w:r w:rsidR="00DC6A24">
              <w:rPr>
                <w:sz w:val="20"/>
              </w:rPr>
              <w:t>N</w:t>
            </w:r>
          </w:p>
        </w:tc>
        <w:tc>
          <w:tcPr>
            <w:tcW w:w="574" w:type="dxa"/>
          </w:tcPr>
          <w:p w:rsidR="00E20C4A" w:rsidRPr="00DC6A24" w:rsidP="00E20C4A">
            <w:pPr>
              <w:jc w:val="both"/>
              <w:rPr>
                <w:sz w:val="20"/>
              </w:rPr>
            </w:pPr>
            <w:r w:rsidRPr="00DC6A24" w:rsidR="00DC6A24">
              <w:rPr>
                <w:sz w:val="20"/>
              </w:rPr>
              <w:t>NZ</w:t>
            </w:r>
          </w:p>
        </w:tc>
        <w:tc>
          <w:tcPr>
            <w:tcW w:w="701" w:type="dxa"/>
          </w:tcPr>
          <w:p w:rsidR="00DC6A24" w:rsidRPr="00743DBC" w:rsidP="00DC6A24">
            <w:pPr>
              <w:pStyle w:val="Paragrafyzkona"/>
              <w:spacing w:before="0" w:line="240" w:lineRule="auto"/>
              <w:jc w:val="left"/>
              <w:rPr>
                <w:b w:val="0"/>
                <w:sz w:val="20"/>
                <w:szCs w:val="20"/>
                <w:lang w:eastAsia="en-US"/>
              </w:rPr>
            </w:pPr>
            <w:r>
              <w:rPr>
                <w:b w:val="0"/>
                <w:sz w:val="20"/>
                <w:szCs w:val="20"/>
                <w:lang w:eastAsia="en-US"/>
              </w:rPr>
              <w:t>§ 6</w:t>
            </w:r>
          </w:p>
          <w:p w:rsidR="00DC6A24" w:rsidRPr="008A42CA" w:rsidP="00DC6A24">
            <w:pPr>
              <w:jc w:val="both"/>
              <w:rPr>
                <w:sz w:val="20"/>
              </w:rPr>
            </w:pPr>
            <w:r w:rsidRPr="008A42CA">
              <w:rPr>
                <w:sz w:val="20"/>
              </w:rPr>
              <w:t>O</w:t>
            </w:r>
            <w:r>
              <w:rPr>
                <w:sz w:val="20"/>
              </w:rPr>
              <w:t>8</w:t>
            </w:r>
          </w:p>
          <w:p w:rsidR="00E20C4A" w:rsidRPr="008658BB" w:rsidP="00E20C4A">
            <w:pPr>
              <w:jc w:val="both"/>
              <w:rPr>
                <w:b/>
                <w:sz w:val="20"/>
              </w:rPr>
            </w:pPr>
          </w:p>
        </w:tc>
        <w:tc>
          <w:tcPr>
            <w:tcW w:w="7797" w:type="dxa"/>
          </w:tcPr>
          <w:p w:rsidR="00DC6A24" w:rsidRPr="00DC6A24" w:rsidP="00DC6A24">
            <w:pPr>
              <w:tabs>
                <w:tab w:val="left" w:pos="1276"/>
              </w:tabs>
              <w:spacing w:after="360"/>
              <w:jc w:val="both"/>
              <w:rPr>
                <w:sz w:val="20"/>
              </w:rPr>
            </w:pPr>
            <w:r>
              <w:rPr>
                <w:sz w:val="20"/>
              </w:rPr>
              <w:t xml:space="preserve">(8) </w:t>
            </w:r>
            <w:r w:rsidRPr="00DC6A24">
              <w:rPr>
                <w:sz w:val="20"/>
              </w:rPr>
              <w:t>Ak sa preukáže, že prekročenie limitnej hodnoty je spôsobené príspevkom emisií z prírodných zdrojov, nepovažuje sa to za prekročenie limitnej hodnoty podľa tohto zákona. Príspevkom z prírodných zdrojov sú emisie znečisťujúcich látok z prírodných udalostí, ktorými sú sopečná erupcia, seizmická činnosť, geotermálna aktivita, prírodný požiar, silný vietor, morský aerosól, atmosférická odchýlka alebo prenos prírodných častíc zo suchých oblastí; za príspevok z prírodného zdroja sa nepovažujú emisie z ľudskej činnosti bez ohľadu na to, či boli vyvolané zámerne alebo sprostredkovane.</w:t>
            </w:r>
          </w:p>
          <w:p w:rsidR="00E20C4A" w:rsidP="00E20C4A">
            <w:pPr>
              <w:pStyle w:val="Normlny"/>
              <w:jc w:val="center"/>
              <w:rPr>
                <w:b/>
              </w:rPr>
            </w:pPr>
          </w:p>
        </w:tc>
        <w:tc>
          <w:tcPr>
            <w:tcW w:w="708" w:type="dxa"/>
          </w:tcPr>
          <w:p w:rsidR="00E20C4A" w:rsidRPr="00DC6A24" w:rsidP="00E20C4A">
            <w:pPr>
              <w:jc w:val="both"/>
              <w:rPr>
                <w:sz w:val="20"/>
              </w:rPr>
            </w:pPr>
            <w:r w:rsidRPr="00DC6A24" w:rsidR="00DC6A24">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Č20</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D63709">
              <w:rPr>
                <w:sz w:val="20"/>
              </w:rPr>
              <w:t>2. V tých prípadoch, kde bola Komisia informovaná o prekročeniach,</w:t>
            </w:r>
            <w:r>
              <w:rPr>
                <w:sz w:val="20"/>
              </w:rPr>
              <w:t xml:space="preserve"> </w:t>
            </w:r>
            <w:r w:rsidRPr="00D63709">
              <w:rPr>
                <w:sz w:val="20"/>
              </w:rPr>
              <w:t>ktoré možno pripísať prírodným zdrojom, v súlade s odsekom 1, sa</w:t>
            </w:r>
            <w:r>
              <w:rPr>
                <w:sz w:val="20"/>
              </w:rPr>
              <w:t xml:space="preserve"> </w:t>
            </w:r>
            <w:r w:rsidRPr="00D63709">
              <w:rPr>
                <w:sz w:val="20"/>
              </w:rPr>
              <w:t>takéto prekročenia nepovažujú za prekročenia na účely tejto smernice.</w:t>
            </w:r>
          </w:p>
          <w:p w:rsidR="00E20C4A" w:rsidRPr="00D63709" w:rsidP="00E20C4A">
            <w:pPr>
              <w:jc w:val="both"/>
              <w:rPr>
                <w:sz w:val="20"/>
              </w:rPr>
            </w:pPr>
          </w:p>
        </w:tc>
        <w:tc>
          <w:tcPr>
            <w:tcW w:w="747" w:type="dxa"/>
          </w:tcPr>
          <w:p w:rsidR="00E20C4A" w:rsidRPr="00D86B9D" w:rsidP="00E20C4A">
            <w:pPr>
              <w:ind w:right="-249"/>
              <w:rPr>
                <w:sz w:val="20"/>
              </w:rPr>
            </w:pPr>
            <w:r w:rsidR="00EE2942">
              <w:rPr>
                <w:sz w:val="20"/>
              </w:rPr>
              <w:t>N</w:t>
            </w:r>
          </w:p>
        </w:tc>
        <w:tc>
          <w:tcPr>
            <w:tcW w:w="574" w:type="dxa"/>
          </w:tcPr>
          <w:p w:rsidR="00E20C4A" w:rsidRPr="00EE2942" w:rsidP="00E20C4A">
            <w:pPr>
              <w:jc w:val="both"/>
              <w:rPr>
                <w:sz w:val="20"/>
              </w:rPr>
            </w:pPr>
            <w:r w:rsidRPr="00EE2942" w:rsidR="00EE2942">
              <w:rPr>
                <w:sz w:val="20"/>
              </w:rPr>
              <w:t>N</w:t>
            </w:r>
            <w:r w:rsidR="008E5BE6">
              <w:rPr>
                <w:sz w:val="20"/>
              </w:rPr>
              <w:t>Z</w:t>
            </w:r>
          </w:p>
        </w:tc>
        <w:tc>
          <w:tcPr>
            <w:tcW w:w="701" w:type="dxa"/>
          </w:tcPr>
          <w:p w:rsidR="00EE2942" w:rsidRPr="00743DBC" w:rsidP="00EE2942">
            <w:pPr>
              <w:pStyle w:val="Paragrafyzkona"/>
              <w:spacing w:before="0" w:line="240" w:lineRule="auto"/>
              <w:jc w:val="left"/>
              <w:rPr>
                <w:b w:val="0"/>
                <w:sz w:val="20"/>
                <w:szCs w:val="20"/>
                <w:lang w:eastAsia="en-US"/>
              </w:rPr>
            </w:pPr>
            <w:r>
              <w:rPr>
                <w:b w:val="0"/>
                <w:sz w:val="20"/>
                <w:szCs w:val="20"/>
                <w:lang w:eastAsia="en-US"/>
              </w:rPr>
              <w:t>§ 6</w:t>
            </w:r>
          </w:p>
          <w:p w:rsidR="00EE2942" w:rsidRPr="008A42CA" w:rsidP="00EE2942">
            <w:pPr>
              <w:jc w:val="both"/>
              <w:rPr>
                <w:sz w:val="20"/>
              </w:rPr>
            </w:pPr>
            <w:r w:rsidRPr="008A42CA">
              <w:rPr>
                <w:sz w:val="20"/>
              </w:rPr>
              <w:t>O</w:t>
            </w:r>
            <w:r>
              <w:rPr>
                <w:sz w:val="20"/>
              </w:rPr>
              <w:t>8</w:t>
            </w:r>
          </w:p>
          <w:p w:rsidR="00E20C4A" w:rsidRPr="008658BB" w:rsidP="00E20C4A">
            <w:pPr>
              <w:jc w:val="both"/>
              <w:rPr>
                <w:b/>
                <w:sz w:val="20"/>
              </w:rPr>
            </w:pPr>
          </w:p>
        </w:tc>
        <w:tc>
          <w:tcPr>
            <w:tcW w:w="7797" w:type="dxa"/>
          </w:tcPr>
          <w:p w:rsidR="00EE2942" w:rsidRPr="00EE2942" w:rsidP="00EE2942">
            <w:pPr>
              <w:tabs>
                <w:tab w:val="left" w:pos="1276"/>
              </w:tabs>
              <w:spacing w:after="360"/>
              <w:jc w:val="both"/>
              <w:rPr>
                <w:sz w:val="20"/>
              </w:rPr>
            </w:pPr>
            <w:r>
              <w:rPr>
                <w:sz w:val="20"/>
              </w:rPr>
              <w:t xml:space="preserve">(8) </w:t>
            </w:r>
            <w:r w:rsidRPr="00EE2942">
              <w:rPr>
                <w:sz w:val="20"/>
              </w:rPr>
              <w:t>Ak sa preukáže, že prekročenie limitnej hodnoty je spôsobené príspevkom emisií z prírodných zdrojov, nepovažuje sa to za prekročenie limitnej hodnoty podľa tohto zákona. Príspevkom z prírodných zdrojov sú emisie znečisťujúcich látok z prírodných udalostí, ktorými sú sopečná erupcia, seizmická činnosť, geotermálna aktivita, prírodný požiar, silný vietor, morský aerosól, atmosférická odchýlka alebo prenos prírodných častíc zo suchých oblastí; za príspevok z prírodného zdroja sa nepovažujú emisie z ľudskej činnosti bez ohľadu na to, či boli vyvolané zámerne alebo sprostredkovane.</w:t>
            </w:r>
          </w:p>
          <w:p w:rsidR="00E20C4A" w:rsidP="00E20C4A">
            <w:pPr>
              <w:pStyle w:val="Normlny"/>
              <w:jc w:val="center"/>
              <w:rPr>
                <w:b/>
              </w:rPr>
            </w:pPr>
          </w:p>
        </w:tc>
        <w:tc>
          <w:tcPr>
            <w:tcW w:w="708" w:type="dxa"/>
          </w:tcPr>
          <w:p w:rsidR="00E20C4A" w:rsidRPr="00EE2942" w:rsidP="00E20C4A">
            <w:pPr>
              <w:jc w:val="both"/>
              <w:rPr>
                <w:sz w:val="20"/>
              </w:rPr>
            </w:pPr>
            <w:r w:rsidRPr="00EE2942" w:rsidR="00EE2942">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Č20</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D63709">
              <w:rPr>
                <w:sz w:val="20"/>
              </w:rPr>
              <w:t>3.</w:t>
            </w:r>
            <w:r w:rsidRPr="00D63709">
              <w:rPr>
                <w:sz w:val="20"/>
              </w:rPr>
              <w:t xml:space="preserve"> Komisia do 11. júna 2010 uverejní usmernenia na preukázanie</w:t>
            </w:r>
            <w:r>
              <w:rPr>
                <w:sz w:val="20"/>
              </w:rPr>
              <w:t xml:space="preserve"> </w:t>
            </w:r>
            <w:r w:rsidRPr="00D63709">
              <w:rPr>
                <w:sz w:val="20"/>
              </w:rPr>
              <w:t>a odpočítanie prekročení, ktoré možno pripísať prírodným zdrojom.</w:t>
            </w:r>
          </w:p>
          <w:p w:rsidR="00E20C4A" w:rsidRPr="00D63709" w:rsidP="00E20C4A">
            <w:pPr>
              <w:jc w:val="both"/>
              <w:rPr>
                <w:sz w:val="20"/>
              </w:rPr>
            </w:pPr>
          </w:p>
        </w:tc>
        <w:tc>
          <w:tcPr>
            <w:tcW w:w="747" w:type="dxa"/>
          </w:tcPr>
          <w:p w:rsidR="00E20C4A" w:rsidRPr="00D86B9D" w:rsidP="00E20C4A">
            <w:pPr>
              <w:ind w:right="-249"/>
              <w:rPr>
                <w:sz w:val="20"/>
              </w:rPr>
            </w:pPr>
            <w:r w:rsidR="00DC6A24">
              <w:rPr>
                <w:sz w:val="20"/>
              </w:rPr>
              <w:t xml:space="preserve">n.a </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DC6A24"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Č21</w:t>
            </w:r>
          </w:p>
          <w:p w:rsidR="00E20C4A" w:rsidP="00E20C4A">
            <w:pPr>
              <w:jc w:val="both"/>
              <w:rPr>
                <w:sz w:val="20"/>
              </w:rPr>
            </w:pPr>
            <w:r>
              <w:rPr>
                <w:sz w:val="20"/>
              </w:rPr>
              <w:t>O1</w:t>
            </w:r>
            <w:r w:rsidR="008C1259">
              <w:rPr>
                <w:sz w:val="20"/>
              </w:rPr>
              <w:t>-O3</w:t>
            </w:r>
          </w:p>
        </w:tc>
        <w:tc>
          <w:tcPr>
            <w:tcW w:w="4074" w:type="dxa"/>
            <w:tcBorders>
              <w:bottom w:val="single" w:sz="4" w:space="0" w:color="auto"/>
            </w:tcBorders>
          </w:tcPr>
          <w:p w:rsidR="00E20C4A" w:rsidRPr="00E72F5F" w:rsidP="00E20C4A">
            <w:pPr>
              <w:jc w:val="both"/>
              <w:rPr>
                <w:sz w:val="20"/>
              </w:rPr>
            </w:pPr>
            <w:r w:rsidRPr="00E72F5F">
              <w:rPr>
                <w:sz w:val="20"/>
              </w:rPr>
              <w:t>Prekročenia, ktoré možno pripísať zimnému posypu alebo soleniu</w:t>
            </w:r>
          </w:p>
          <w:p w:rsidR="00E20C4A" w:rsidRPr="00E72F5F" w:rsidP="00E20C4A">
            <w:pPr>
              <w:jc w:val="both"/>
              <w:rPr>
                <w:sz w:val="20"/>
              </w:rPr>
            </w:pPr>
            <w:r w:rsidRPr="00E72F5F">
              <w:rPr>
                <w:sz w:val="20"/>
              </w:rPr>
              <w:t>ciest</w:t>
            </w:r>
          </w:p>
          <w:p w:rsidR="00E20C4A" w:rsidRPr="00E72F5F" w:rsidP="00E20C4A">
            <w:pPr>
              <w:jc w:val="both"/>
              <w:rPr>
                <w:sz w:val="20"/>
              </w:rPr>
            </w:pPr>
            <w:r w:rsidRPr="00E72F5F">
              <w:rPr>
                <w:sz w:val="20"/>
              </w:rPr>
              <w:t>1. Členské štáty môžu určiť zóny a</w:t>
            </w:r>
            <w:r w:rsidRPr="00E72F5F">
              <w:rPr>
                <w:sz w:val="20"/>
              </w:rPr>
              <w:t>lebo aglomerácie, v</w:t>
            </w:r>
            <w:r>
              <w:rPr>
                <w:sz w:val="20"/>
              </w:rPr>
              <w:t> </w:t>
            </w:r>
            <w:r w:rsidRPr="00E72F5F">
              <w:rPr>
                <w:sz w:val="20"/>
              </w:rPr>
              <w:t>ktorých</w:t>
            </w:r>
            <w:r>
              <w:rPr>
                <w:sz w:val="20"/>
              </w:rPr>
              <w:t xml:space="preserve"> </w:t>
            </w:r>
            <w:r w:rsidRPr="00E72F5F">
              <w:rPr>
                <w:sz w:val="20"/>
              </w:rPr>
              <w:t>dochádza k prekročeniu limitných hodnôt pre PM</w:t>
            </w:r>
            <w:r w:rsidRPr="009E5012">
              <w:rPr>
                <w:sz w:val="20"/>
                <w:vertAlign w:val="subscript"/>
              </w:rPr>
              <w:t xml:space="preserve">10 </w:t>
            </w:r>
            <w:r w:rsidRPr="00E72F5F">
              <w:rPr>
                <w:sz w:val="20"/>
              </w:rPr>
              <w:t>v okolitom ovzduší</w:t>
            </w:r>
          </w:p>
          <w:p w:rsidR="00E20C4A" w:rsidP="00E20C4A">
            <w:pPr>
              <w:jc w:val="both"/>
              <w:rPr>
                <w:sz w:val="20"/>
              </w:rPr>
            </w:pPr>
            <w:r w:rsidRPr="00E72F5F">
              <w:rPr>
                <w:sz w:val="20"/>
              </w:rPr>
              <w:t>z dôvodu opätovného rozptylu častíc po zimnom posype alebo solení</w:t>
            </w:r>
            <w:r>
              <w:rPr>
                <w:sz w:val="20"/>
              </w:rPr>
              <w:t xml:space="preserve"> </w:t>
            </w:r>
            <w:r w:rsidRPr="00E72F5F">
              <w:rPr>
                <w:sz w:val="20"/>
              </w:rPr>
              <w:t>ciest.</w:t>
            </w:r>
          </w:p>
          <w:p w:rsidR="008C1259" w:rsidRPr="00E72F5F" w:rsidP="008C1259">
            <w:pPr>
              <w:jc w:val="both"/>
              <w:rPr>
                <w:sz w:val="20"/>
              </w:rPr>
            </w:pPr>
            <w:r w:rsidRPr="00E72F5F">
              <w:rPr>
                <w:sz w:val="20"/>
              </w:rPr>
              <w:t>2. Členské štáty zašlú Komisii zoznamy všetkých takýchto zón alebo</w:t>
            </w:r>
            <w:r>
              <w:rPr>
                <w:sz w:val="20"/>
              </w:rPr>
              <w:t xml:space="preserve"> </w:t>
            </w:r>
            <w:r w:rsidRPr="00E72F5F">
              <w:rPr>
                <w:sz w:val="20"/>
              </w:rPr>
              <w:t xml:space="preserve">aglomerácií spolu s </w:t>
            </w:r>
            <w:r w:rsidRPr="00E72F5F">
              <w:rPr>
                <w:sz w:val="20"/>
              </w:rPr>
              <w:t>informáciami o koncentráciách a zdrojoch PM</w:t>
            </w:r>
            <w:r w:rsidRPr="009E5012">
              <w:rPr>
                <w:sz w:val="20"/>
                <w:vertAlign w:val="subscript"/>
              </w:rPr>
              <w:t>10</w:t>
            </w:r>
          </w:p>
          <w:p w:rsidR="008C1259" w:rsidP="008C1259">
            <w:pPr>
              <w:jc w:val="both"/>
              <w:rPr>
                <w:sz w:val="20"/>
              </w:rPr>
            </w:pPr>
            <w:r w:rsidRPr="00E72F5F">
              <w:rPr>
                <w:sz w:val="20"/>
              </w:rPr>
              <w:t>v nich.</w:t>
            </w:r>
          </w:p>
          <w:p w:rsidR="008C1259" w:rsidP="008C1259">
            <w:pPr>
              <w:jc w:val="both"/>
              <w:rPr>
                <w:sz w:val="20"/>
              </w:rPr>
            </w:pPr>
            <w:r w:rsidRPr="00E72F5F">
              <w:rPr>
                <w:sz w:val="20"/>
              </w:rPr>
              <w:t>3. Pri informovaní Komisie v súlade s článkom 27 členské štáty</w:t>
            </w:r>
            <w:r>
              <w:rPr>
                <w:sz w:val="20"/>
              </w:rPr>
              <w:t xml:space="preserve"> </w:t>
            </w:r>
            <w:r w:rsidRPr="00E72F5F">
              <w:rPr>
                <w:sz w:val="20"/>
              </w:rPr>
              <w:t>poskytnú potrebné dôkazy o tom, že všetky prekročenia vznikli</w:t>
            </w:r>
            <w:r>
              <w:rPr>
                <w:sz w:val="20"/>
              </w:rPr>
              <w:t xml:space="preserve"> </w:t>
            </w:r>
            <w:r w:rsidRPr="00E72F5F">
              <w:rPr>
                <w:sz w:val="20"/>
              </w:rPr>
              <w:t>v dôsledku opätovného rozptylu častíc a že na zníženie týchto koncentrácií sa</w:t>
            </w:r>
            <w:r w:rsidRPr="00E72F5F">
              <w:rPr>
                <w:sz w:val="20"/>
              </w:rPr>
              <w:t xml:space="preserve"> podnikli primerané opatrenia.</w:t>
            </w:r>
          </w:p>
          <w:p w:rsidR="008C1259" w:rsidP="008C1259">
            <w:pPr>
              <w:jc w:val="both"/>
              <w:rPr>
                <w:sz w:val="20"/>
              </w:rPr>
            </w:pPr>
          </w:p>
          <w:p w:rsidR="008C1259" w:rsidP="00E20C4A">
            <w:pPr>
              <w:jc w:val="both"/>
              <w:rPr>
                <w:sz w:val="20"/>
              </w:rPr>
            </w:pPr>
          </w:p>
          <w:p w:rsidR="00E20C4A" w:rsidRPr="00D63709" w:rsidP="00E20C4A">
            <w:pPr>
              <w:jc w:val="both"/>
              <w:rPr>
                <w:sz w:val="20"/>
              </w:rPr>
            </w:pPr>
          </w:p>
        </w:tc>
        <w:tc>
          <w:tcPr>
            <w:tcW w:w="747" w:type="dxa"/>
          </w:tcPr>
          <w:p w:rsidR="00E20C4A" w:rsidRPr="00D86B9D" w:rsidP="00E20C4A">
            <w:pPr>
              <w:ind w:right="-249"/>
              <w:rPr>
                <w:sz w:val="20"/>
              </w:rPr>
            </w:pPr>
            <w:r w:rsidR="00DC6A24">
              <w:rPr>
                <w:sz w:val="20"/>
              </w:rPr>
              <w:t>N</w:t>
            </w:r>
          </w:p>
        </w:tc>
        <w:tc>
          <w:tcPr>
            <w:tcW w:w="574" w:type="dxa"/>
          </w:tcPr>
          <w:p w:rsidR="00E20C4A" w:rsidRPr="00DC6A24" w:rsidP="00E20C4A">
            <w:pPr>
              <w:jc w:val="both"/>
              <w:rPr>
                <w:sz w:val="20"/>
              </w:rPr>
            </w:pPr>
            <w:r w:rsidRPr="00DC6A24" w:rsidR="00DC6A24">
              <w:rPr>
                <w:sz w:val="20"/>
              </w:rPr>
              <w:t>NZ</w:t>
            </w:r>
          </w:p>
        </w:tc>
        <w:tc>
          <w:tcPr>
            <w:tcW w:w="701" w:type="dxa"/>
          </w:tcPr>
          <w:p w:rsidR="00DC6A24" w:rsidRPr="00743DBC" w:rsidP="00DC6A24">
            <w:pPr>
              <w:pStyle w:val="Paragrafyzkona"/>
              <w:spacing w:before="0" w:line="240" w:lineRule="auto"/>
              <w:jc w:val="left"/>
              <w:rPr>
                <w:b w:val="0"/>
                <w:sz w:val="20"/>
                <w:szCs w:val="20"/>
                <w:lang w:eastAsia="en-US"/>
              </w:rPr>
            </w:pPr>
            <w:r>
              <w:rPr>
                <w:b w:val="0"/>
                <w:sz w:val="20"/>
                <w:szCs w:val="20"/>
                <w:lang w:eastAsia="en-US"/>
              </w:rPr>
              <w:t>§ 6</w:t>
            </w:r>
          </w:p>
          <w:p w:rsidR="00DC6A24" w:rsidRPr="008A42CA" w:rsidP="00DC6A24">
            <w:pPr>
              <w:jc w:val="both"/>
              <w:rPr>
                <w:sz w:val="20"/>
              </w:rPr>
            </w:pPr>
            <w:r w:rsidRPr="008A42CA">
              <w:rPr>
                <w:sz w:val="20"/>
              </w:rPr>
              <w:t>O</w:t>
            </w:r>
            <w:r>
              <w:rPr>
                <w:sz w:val="20"/>
              </w:rPr>
              <w:t>9</w:t>
            </w:r>
          </w:p>
          <w:p w:rsidR="00E20C4A" w:rsidP="00E20C4A">
            <w:pPr>
              <w:jc w:val="both"/>
              <w:rPr>
                <w:b/>
                <w:sz w:val="20"/>
              </w:rPr>
            </w:pPr>
          </w:p>
          <w:p w:rsidR="001A29E8" w:rsidP="00E20C4A">
            <w:pPr>
              <w:jc w:val="both"/>
              <w:rPr>
                <w:b/>
                <w:sz w:val="20"/>
              </w:rPr>
            </w:pPr>
          </w:p>
          <w:p w:rsidR="001A29E8" w:rsidP="00E20C4A">
            <w:pPr>
              <w:jc w:val="both"/>
              <w:rPr>
                <w:b/>
                <w:sz w:val="20"/>
              </w:rPr>
            </w:pPr>
          </w:p>
          <w:p w:rsidR="001A29E8" w:rsidP="001A29E8">
            <w:pPr>
              <w:pStyle w:val="Paragrafyzkona"/>
              <w:spacing w:before="0" w:line="240" w:lineRule="auto"/>
              <w:jc w:val="left"/>
              <w:rPr>
                <w:b w:val="0"/>
                <w:sz w:val="20"/>
                <w:szCs w:val="20"/>
                <w:lang w:eastAsia="en-US"/>
              </w:rPr>
            </w:pPr>
            <w:r>
              <w:rPr>
                <w:b w:val="0"/>
                <w:sz w:val="20"/>
                <w:szCs w:val="20"/>
                <w:lang w:eastAsia="en-US"/>
              </w:rPr>
              <w:t>§ 43</w:t>
            </w:r>
          </w:p>
          <w:p w:rsidR="001A29E8" w:rsidP="001A29E8">
            <w:pPr>
              <w:pStyle w:val="Paragrafyzkona"/>
              <w:spacing w:before="0" w:line="240" w:lineRule="auto"/>
              <w:jc w:val="left"/>
              <w:rPr>
                <w:b w:val="0"/>
                <w:sz w:val="20"/>
                <w:szCs w:val="20"/>
                <w:lang w:eastAsia="en-US"/>
              </w:rPr>
            </w:pPr>
            <w:r>
              <w:rPr>
                <w:b w:val="0"/>
                <w:sz w:val="20"/>
                <w:szCs w:val="20"/>
                <w:lang w:eastAsia="en-US"/>
              </w:rPr>
              <w:t>O1</w:t>
            </w:r>
          </w:p>
          <w:p w:rsidR="001A29E8" w:rsidP="001A29E8">
            <w:pPr>
              <w:pStyle w:val="Paragrafyzkona"/>
              <w:spacing w:before="0" w:line="240" w:lineRule="auto"/>
              <w:jc w:val="left"/>
              <w:rPr>
                <w:b w:val="0"/>
                <w:sz w:val="20"/>
                <w:szCs w:val="20"/>
                <w:lang w:eastAsia="en-US"/>
              </w:rPr>
            </w:pPr>
          </w:p>
          <w:p w:rsidR="001A29E8" w:rsidP="001A29E8">
            <w:pPr>
              <w:pStyle w:val="Paragrafyzkona"/>
              <w:spacing w:before="0" w:line="240" w:lineRule="auto"/>
              <w:jc w:val="left"/>
              <w:rPr>
                <w:b w:val="0"/>
                <w:sz w:val="20"/>
                <w:szCs w:val="20"/>
                <w:lang w:eastAsia="en-US"/>
              </w:rPr>
            </w:pPr>
          </w:p>
          <w:p w:rsidR="001A29E8" w:rsidP="001A29E8">
            <w:pPr>
              <w:pStyle w:val="Paragrafyzkona"/>
              <w:spacing w:before="0" w:line="240" w:lineRule="auto"/>
              <w:jc w:val="left"/>
              <w:rPr>
                <w:b w:val="0"/>
                <w:sz w:val="20"/>
                <w:szCs w:val="20"/>
                <w:lang w:eastAsia="en-US"/>
              </w:rPr>
            </w:pPr>
            <w:r>
              <w:rPr>
                <w:b w:val="0"/>
                <w:sz w:val="20"/>
                <w:szCs w:val="20"/>
                <w:lang w:eastAsia="en-US"/>
              </w:rPr>
              <w:t>Pl</w:t>
            </w:r>
          </w:p>
          <w:p w:rsidR="001A29E8" w:rsidRPr="00743DBC" w:rsidP="001A29E8">
            <w:pPr>
              <w:pStyle w:val="Paragrafyzkona"/>
              <w:spacing w:before="0" w:line="240" w:lineRule="auto"/>
              <w:jc w:val="left"/>
              <w:rPr>
                <w:b w:val="0"/>
                <w:sz w:val="20"/>
                <w:szCs w:val="20"/>
                <w:lang w:eastAsia="en-US"/>
              </w:rPr>
            </w:pPr>
          </w:p>
          <w:p w:rsidR="001A29E8" w:rsidP="00E20C4A">
            <w:pPr>
              <w:jc w:val="both"/>
              <w:rPr>
                <w:b/>
                <w:sz w:val="20"/>
              </w:rPr>
            </w:pPr>
          </w:p>
          <w:p w:rsidR="00703A57" w:rsidP="00E20C4A">
            <w:pPr>
              <w:jc w:val="both"/>
              <w:rPr>
                <w:b/>
                <w:sz w:val="20"/>
              </w:rPr>
            </w:pPr>
          </w:p>
          <w:p w:rsidR="009A735B" w:rsidP="00E20C4A">
            <w:pPr>
              <w:jc w:val="both"/>
              <w:rPr>
                <w:b/>
                <w:sz w:val="20"/>
              </w:rPr>
            </w:pPr>
          </w:p>
          <w:p w:rsidR="00703A57" w:rsidP="00703A57">
            <w:pPr>
              <w:pStyle w:val="Paragrafyzkona"/>
              <w:spacing w:before="0" w:line="240" w:lineRule="auto"/>
              <w:jc w:val="left"/>
              <w:rPr>
                <w:b w:val="0"/>
                <w:sz w:val="20"/>
                <w:szCs w:val="20"/>
                <w:lang w:eastAsia="en-US"/>
              </w:rPr>
            </w:pPr>
            <w:r>
              <w:rPr>
                <w:b w:val="0"/>
                <w:sz w:val="20"/>
                <w:szCs w:val="20"/>
                <w:lang w:eastAsia="en-US"/>
              </w:rPr>
              <w:t>§ 41</w:t>
            </w:r>
          </w:p>
          <w:p w:rsidR="00703A57" w:rsidP="00703A57">
            <w:pPr>
              <w:pStyle w:val="Paragrafyzkona"/>
              <w:spacing w:before="0" w:line="240" w:lineRule="auto"/>
              <w:jc w:val="left"/>
              <w:rPr>
                <w:b w:val="0"/>
                <w:sz w:val="20"/>
                <w:szCs w:val="20"/>
                <w:lang w:eastAsia="en-US"/>
              </w:rPr>
            </w:pPr>
          </w:p>
          <w:p w:rsidR="00703A57" w:rsidP="00703A57">
            <w:pPr>
              <w:pStyle w:val="Paragrafyzkona"/>
              <w:spacing w:before="0" w:line="240" w:lineRule="auto"/>
              <w:jc w:val="left"/>
              <w:rPr>
                <w:b w:val="0"/>
                <w:sz w:val="20"/>
                <w:szCs w:val="20"/>
                <w:lang w:eastAsia="en-US"/>
              </w:rPr>
            </w:pPr>
            <w:r>
              <w:rPr>
                <w:b w:val="0"/>
                <w:sz w:val="20"/>
                <w:szCs w:val="20"/>
                <w:lang w:eastAsia="en-US"/>
              </w:rPr>
              <w:t>Pd</w:t>
            </w:r>
          </w:p>
          <w:p w:rsidR="00703A57" w:rsidP="00E20C4A">
            <w:pPr>
              <w:jc w:val="both"/>
              <w:rPr>
                <w:b/>
                <w:sz w:val="20"/>
              </w:rPr>
            </w:pPr>
          </w:p>
          <w:p w:rsidR="00703A57" w:rsidRPr="008658BB" w:rsidP="00E20C4A">
            <w:pPr>
              <w:jc w:val="both"/>
              <w:rPr>
                <w:b/>
                <w:sz w:val="20"/>
              </w:rPr>
            </w:pPr>
          </w:p>
        </w:tc>
        <w:tc>
          <w:tcPr>
            <w:tcW w:w="7797" w:type="dxa"/>
          </w:tcPr>
          <w:p w:rsidR="00DC6A24" w:rsidRPr="00DC6A24" w:rsidP="00DC6A24">
            <w:pPr>
              <w:tabs>
                <w:tab w:val="left" w:pos="1276"/>
              </w:tabs>
              <w:spacing w:after="360"/>
              <w:jc w:val="both"/>
              <w:rPr>
                <w:sz w:val="20"/>
              </w:rPr>
            </w:pPr>
            <w:r>
              <w:rPr>
                <w:sz w:val="20"/>
              </w:rPr>
              <w:t xml:space="preserve">(9) </w:t>
            </w:r>
            <w:r w:rsidRPr="00DC6A24">
              <w:rPr>
                <w:sz w:val="20"/>
              </w:rPr>
              <w:t>Ak sa preukáže, že limitné hodnoty PM</w:t>
            </w:r>
            <w:r w:rsidRPr="008036E3">
              <w:rPr>
                <w:sz w:val="20"/>
                <w:vertAlign w:val="subscript"/>
              </w:rPr>
              <w:t>10</w:t>
            </w:r>
            <w:r w:rsidRPr="00DC6A24">
              <w:rPr>
                <w:sz w:val="20"/>
              </w:rPr>
              <w:t xml:space="preserve"> boli prekročené v dôsledku opätovného rozptylu častíc PM</w:t>
            </w:r>
            <w:r w:rsidRPr="008036E3">
              <w:rPr>
                <w:sz w:val="20"/>
                <w:vertAlign w:val="subscript"/>
              </w:rPr>
              <w:t>10</w:t>
            </w:r>
            <w:r w:rsidRPr="00DC6A24">
              <w:rPr>
                <w:sz w:val="20"/>
              </w:rPr>
              <w:t xml:space="preserve"> po zimnom posype alebo po solení ciest, program na zlepšenie kvality ovzdušia nie je potrebné vypracovať. Okresný úrad v sídle kraja príjme primerané opatrenia potrebné na zabezpečenie zníženia znečistenia ovzdušia zo zimného posypu a solenia ciest.</w:t>
            </w:r>
          </w:p>
          <w:p w:rsidR="00E20C4A" w:rsidP="001A29E8">
            <w:pPr>
              <w:pStyle w:val="Normlny"/>
            </w:pPr>
            <w:r w:rsidR="001A29E8">
              <w:t xml:space="preserve">(1) </w:t>
            </w:r>
            <w:r w:rsidRPr="001A29E8" w:rsidR="001A29E8">
              <w:t>Okresný úrad v sídle kraja na území kraja v rámci výkonu štátnej správy vo vec</w:t>
            </w:r>
            <w:r w:rsidRPr="001A29E8" w:rsidR="001A29E8">
              <w:t>iach riadenia kvality ovzdušia</w:t>
            </w:r>
          </w:p>
          <w:p w:rsidR="001A29E8" w:rsidP="001A29E8">
            <w:pPr>
              <w:pStyle w:val="Normlny"/>
            </w:pPr>
          </w:p>
          <w:p w:rsidR="001A29E8" w:rsidP="001A29E8">
            <w:pPr>
              <w:pStyle w:val="Normlny"/>
            </w:pPr>
            <w:r>
              <w:t xml:space="preserve">l) </w:t>
            </w:r>
            <w:r w:rsidRPr="005F743E">
              <w:t>zabezpečuje dôkazy v spolupráci s poverenou organizáciou, ak k prekročeniu limitných hodnôt pre PM</w:t>
            </w:r>
            <w:r w:rsidRPr="005F743E">
              <w:rPr>
                <w:vertAlign w:val="subscript"/>
              </w:rPr>
              <w:t>10</w:t>
            </w:r>
            <w:r w:rsidRPr="005F743E">
              <w:rPr>
                <w:sz w:val="40"/>
                <w:szCs w:val="40"/>
                <w:vertAlign w:val="subscript"/>
              </w:rPr>
              <w:t xml:space="preserve"> </w:t>
            </w:r>
            <w:r w:rsidRPr="005F743E">
              <w:t>dochádza z dôvodu opätovného rozptylu častíc po zimnom posype alebo solení ciest alebo ak k prekročeniu limitných hodnôt</w:t>
            </w:r>
            <w:r w:rsidRPr="005F743E">
              <w:t xml:space="preserve"> dochádza z prírodných zdrojov a informuje o tom ministerstvo</w:t>
            </w:r>
            <w:r>
              <w:t>.</w:t>
            </w:r>
          </w:p>
          <w:p w:rsidR="009A735B" w:rsidP="00703A57">
            <w:pPr>
              <w:pStyle w:val="Normlny"/>
            </w:pPr>
          </w:p>
          <w:p w:rsidR="00703A57" w:rsidRPr="00703A57" w:rsidP="00703A57">
            <w:pPr>
              <w:pStyle w:val="Normlny"/>
            </w:pPr>
            <w:r>
              <w:t>Ministrestvo</w:t>
            </w:r>
          </w:p>
          <w:p w:rsidR="00D67963" w:rsidP="00703A57">
            <w:pPr>
              <w:pStyle w:val="ListParagraph"/>
              <w:spacing w:line="240" w:lineRule="auto"/>
              <w:ind w:left="0"/>
              <w:contextualSpacing w:val="0"/>
              <w:jc w:val="both"/>
              <w:rPr>
                <w:sz w:val="20"/>
                <w:szCs w:val="20"/>
                <w:lang w:eastAsia="en-US"/>
              </w:rPr>
            </w:pPr>
          </w:p>
          <w:p w:rsidR="00703A57" w:rsidRPr="00703A57" w:rsidP="00703A57">
            <w:pPr>
              <w:pStyle w:val="ListParagraph"/>
              <w:spacing w:line="240" w:lineRule="auto"/>
              <w:ind w:left="0"/>
              <w:contextualSpacing w:val="0"/>
              <w:jc w:val="both"/>
              <w:rPr>
                <w:sz w:val="20"/>
                <w:szCs w:val="20"/>
                <w:lang w:eastAsia="en-US"/>
              </w:rPr>
            </w:pPr>
            <w:r w:rsidRPr="00703A57">
              <w:rPr>
                <w:sz w:val="20"/>
                <w:szCs w:val="20"/>
                <w:lang w:eastAsia="en-US"/>
              </w:rPr>
              <w:t>d) je vo vzťahu ku Komisii notifikačným orgánom, sprístupňuje a podáva Komisii ustanovené informácie a správy vo veciach ochrany ovzdušia a v ustanovených lehotách a rozsahu ustanovenom vykonávacím predpisom podľa § 62 písm. n),</w:t>
            </w:r>
          </w:p>
          <w:p w:rsidR="009A735B" w:rsidP="00703A57">
            <w:pPr>
              <w:pStyle w:val="Normlny"/>
              <w:rPr>
                <w:b/>
              </w:rPr>
            </w:pPr>
          </w:p>
          <w:p w:rsidR="008C1259" w:rsidP="00E20C4A">
            <w:pPr>
              <w:pStyle w:val="Normlny"/>
              <w:jc w:val="center"/>
              <w:rPr>
                <w:b/>
              </w:rPr>
            </w:pPr>
          </w:p>
        </w:tc>
        <w:tc>
          <w:tcPr>
            <w:tcW w:w="708" w:type="dxa"/>
          </w:tcPr>
          <w:p w:rsidR="00E20C4A" w:rsidRPr="00DC6A24" w:rsidP="00E20C4A">
            <w:pPr>
              <w:jc w:val="both"/>
              <w:rPr>
                <w:sz w:val="20"/>
              </w:rPr>
            </w:pPr>
            <w:r w:rsidRPr="00DC6A24" w:rsidR="00DC6A24">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Č21</w:t>
            </w:r>
          </w:p>
          <w:p w:rsidR="00E20C4A" w:rsidP="00E20C4A">
            <w:pPr>
              <w:jc w:val="both"/>
              <w:rPr>
                <w:sz w:val="20"/>
              </w:rPr>
            </w:pPr>
            <w:r>
              <w:rPr>
                <w:sz w:val="20"/>
              </w:rPr>
              <w:t>O4</w:t>
            </w:r>
          </w:p>
        </w:tc>
        <w:tc>
          <w:tcPr>
            <w:tcW w:w="4074" w:type="dxa"/>
            <w:tcBorders>
              <w:bottom w:val="single" w:sz="4" w:space="0" w:color="auto"/>
            </w:tcBorders>
          </w:tcPr>
          <w:p w:rsidR="00E20C4A" w:rsidRPr="00E72F5F" w:rsidP="00E20C4A">
            <w:pPr>
              <w:jc w:val="both"/>
              <w:rPr>
                <w:sz w:val="20"/>
              </w:rPr>
            </w:pPr>
            <w:r w:rsidRPr="00E72F5F">
              <w:rPr>
                <w:sz w:val="20"/>
              </w:rPr>
              <w:t>4. Bez toho, aby bol dotknutý článok 20, pokiaľ ide o zóny a aglomerácie uvedené v odseku 1 tohto článku, musia členské štáty vypracovať plány kvality ovzdušia ustanovené v článku 23 iba v prípade, že</w:t>
            </w:r>
            <w:r>
              <w:rPr>
                <w:sz w:val="20"/>
              </w:rPr>
              <w:t xml:space="preserve"> </w:t>
            </w:r>
            <w:r w:rsidRPr="00E72F5F">
              <w:rPr>
                <w:sz w:val="20"/>
              </w:rPr>
              <w:t>prekročenia možno pripísať iným zdrojom PM</w:t>
            </w:r>
            <w:r w:rsidRPr="009E5012">
              <w:rPr>
                <w:sz w:val="20"/>
                <w:vertAlign w:val="subscript"/>
              </w:rPr>
              <w:t>10</w:t>
            </w:r>
            <w:r w:rsidRPr="00E72F5F">
              <w:rPr>
                <w:sz w:val="20"/>
              </w:rPr>
              <w:t>, než je zimný posyp</w:t>
            </w:r>
          </w:p>
          <w:p w:rsidR="00E20C4A" w:rsidP="00E20C4A">
            <w:pPr>
              <w:jc w:val="both"/>
              <w:rPr>
                <w:sz w:val="20"/>
              </w:rPr>
            </w:pPr>
            <w:r w:rsidRPr="00E72F5F">
              <w:rPr>
                <w:sz w:val="20"/>
              </w:rPr>
              <w:t>alebo solenie ciest.</w:t>
            </w:r>
          </w:p>
          <w:p w:rsidR="00E20C4A" w:rsidRPr="00D63709" w:rsidP="00E20C4A">
            <w:pPr>
              <w:jc w:val="both"/>
              <w:rPr>
                <w:sz w:val="20"/>
              </w:rPr>
            </w:pPr>
          </w:p>
        </w:tc>
        <w:tc>
          <w:tcPr>
            <w:tcW w:w="747" w:type="dxa"/>
          </w:tcPr>
          <w:p w:rsidR="00E20C4A" w:rsidRPr="00D86B9D" w:rsidP="00E20C4A">
            <w:pPr>
              <w:ind w:right="-249"/>
              <w:rPr>
                <w:sz w:val="20"/>
              </w:rPr>
            </w:pPr>
            <w:r w:rsidR="008C1259">
              <w:rPr>
                <w:sz w:val="20"/>
              </w:rPr>
              <w:t>N</w:t>
            </w:r>
          </w:p>
        </w:tc>
        <w:tc>
          <w:tcPr>
            <w:tcW w:w="574" w:type="dxa"/>
          </w:tcPr>
          <w:p w:rsidR="00E20C4A" w:rsidRPr="008C1259" w:rsidP="00E20C4A">
            <w:pPr>
              <w:jc w:val="both"/>
              <w:rPr>
                <w:sz w:val="20"/>
              </w:rPr>
            </w:pPr>
            <w:r w:rsidRPr="008C1259" w:rsidR="008C1259">
              <w:rPr>
                <w:sz w:val="20"/>
              </w:rPr>
              <w:t>NZ</w:t>
            </w:r>
          </w:p>
        </w:tc>
        <w:tc>
          <w:tcPr>
            <w:tcW w:w="701" w:type="dxa"/>
          </w:tcPr>
          <w:p w:rsidR="00773E63" w:rsidRPr="00743DBC" w:rsidP="00773E63">
            <w:pPr>
              <w:pStyle w:val="Paragrafyzkona"/>
              <w:spacing w:before="0" w:line="240" w:lineRule="auto"/>
              <w:jc w:val="left"/>
              <w:rPr>
                <w:b w:val="0"/>
                <w:sz w:val="20"/>
                <w:szCs w:val="20"/>
                <w:lang w:eastAsia="en-US"/>
              </w:rPr>
            </w:pPr>
            <w:r>
              <w:rPr>
                <w:b w:val="0"/>
                <w:sz w:val="20"/>
                <w:szCs w:val="20"/>
                <w:lang w:eastAsia="en-US"/>
              </w:rPr>
              <w:t>§ 6</w:t>
            </w:r>
          </w:p>
          <w:p w:rsidR="00773E63" w:rsidP="00773E63">
            <w:pPr>
              <w:jc w:val="both"/>
              <w:rPr>
                <w:sz w:val="20"/>
              </w:rPr>
            </w:pPr>
            <w:r w:rsidRPr="008A42CA">
              <w:rPr>
                <w:sz w:val="20"/>
              </w:rPr>
              <w:t>O</w:t>
            </w:r>
            <w:r>
              <w:rPr>
                <w:sz w:val="20"/>
              </w:rPr>
              <w:t>9</w:t>
            </w:r>
          </w:p>
          <w:p w:rsidR="0008546A" w:rsidP="00773E63">
            <w:pPr>
              <w:jc w:val="both"/>
              <w:rPr>
                <w:sz w:val="20"/>
              </w:rPr>
            </w:pPr>
          </w:p>
          <w:p w:rsidR="0008546A" w:rsidP="00773E63">
            <w:pPr>
              <w:jc w:val="both"/>
              <w:rPr>
                <w:sz w:val="20"/>
              </w:rPr>
            </w:pPr>
          </w:p>
          <w:p w:rsidR="0008546A" w:rsidP="00773E63">
            <w:pPr>
              <w:jc w:val="both"/>
              <w:rPr>
                <w:sz w:val="20"/>
              </w:rPr>
            </w:pPr>
          </w:p>
          <w:p w:rsidR="001B0945" w:rsidP="001B0945">
            <w:pPr>
              <w:jc w:val="both"/>
              <w:rPr>
                <w:sz w:val="20"/>
              </w:rPr>
            </w:pPr>
          </w:p>
          <w:p w:rsidR="001B0945" w:rsidP="001B0945">
            <w:pPr>
              <w:pStyle w:val="Paragrafyzkona"/>
              <w:spacing w:before="0" w:line="240" w:lineRule="auto"/>
              <w:jc w:val="left"/>
              <w:rPr>
                <w:b w:val="0"/>
                <w:sz w:val="20"/>
                <w:szCs w:val="20"/>
                <w:lang w:eastAsia="en-US"/>
              </w:rPr>
            </w:pPr>
            <w:r>
              <w:rPr>
                <w:b w:val="0"/>
                <w:sz w:val="20"/>
                <w:szCs w:val="20"/>
                <w:lang w:eastAsia="en-US"/>
              </w:rPr>
              <w:t>§ 6</w:t>
            </w:r>
          </w:p>
          <w:p w:rsidR="001B0945" w:rsidP="001B0945">
            <w:pPr>
              <w:pStyle w:val="Paragrafyzkona"/>
              <w:spacing w:before="0" w:line="240" w:lineRule="auto"/>
              <w:jc w:val="left"/>
              <w:rPr>
                <w:b w:val="0"/>
                <w:sz w:val="20"/>
                <w:szCs w:val="20"/>
                <w:lang w:eastAsia="en-US"/>
              </w:rPr>
            </w:pPr>
            <w:r>
              <w:rPr>
                <w:b w:val="0"/>
                <w:sz w:val="20"/>
                <w:szCs w:val="20"/>
                <w:lang w:eastAsia="en-US"/>
              </w:rPr>
              <w:t>O3</w:t>
            </w:r>
          </w:p>
          <w:p w:rsidR="0008546A" w:rsidP="00773E63">
            <w:pPr>
              <w:jc w:val="both"/>
              <w:rPr>
                <w:sz w:val="20"/>
              </w:rPr>
            </w:pPr>
          </w:p>
          <w:p w:rsidR="001B0945" w:rsidP="00773E63">
            <w:pPr>
              <w:jc w:val="both"/>
              <w:rPr>
                <w:sz w:val="20"/>
              </w:rPr>
            </w:pPr>
          </w:p>
          <w:p w:rsidR="001B0945" w:rsidP="00773E63">
            <w:pPr>
              <w:jc w:val="both"/>
              <w:rPr>
                <w:sz w:val="20"/>
              </w:rPr>
            </w:pPr>
          </w:p>
          <w:p w:rsidR="001B0945" w:rsidP="00773E63">
            <w:pPr>
              <w:jc w:val="both"/>
              <w:rPr>
                <w:sz w:val="20"/>
              </w:rPr>
            </w:pPr>
          </w:p>
          <w:p w:rsidR="0008546A" w:rsidP="0008546A">
            <w:pPr>
              <w:pStyle w:val="Paragrafyzkona"/>
              <w:spacing w:before="0" w:line="240" w:lineRule="auto"/>
              <w:jc w:val="left"/>
              <w:rPr>
                <w:b w:val="0"/>
                <w:sz w:val="20"/>
                <w:szCs w:val="20"/>
                <w:lang w:eastAsia="en-US"/>
              </w:rPr>
            </w:pPr>
            <w:r>
              <w:rPr>
                <w:b w:val="0"/>
                <w:sz w:val="20"/>
                <w:szCs w:val="20"/>
                <w:lang w:eastAsia="en-US"/>
              </w:rPr>
              <w:t>§ 43</w:t>
            </w:r>
          </w:p>
          <w:p w:rsidR="0008546A" w:rsidP="0008546A">
            <w:pPr>
              <w:pStyle w:val="Paragrafyzkona"/>
              <w:spacing w:before="0" w:line="240" w:lineRule="auto"/>
              <w:jc w:val="left"/>
              <w:rPr>
                <w:b w:val="0"/>
                <w:sz w:val="20"/>
                <w:szCs w:val="20"/>
                <w:lang w:eastAsia="en-US"/>
              </w:rPr>
            </w:pPr>
            <w:r>
              <w:rPr>
                <w:b w:val="0"/>
                <w:sz w:val="20"/>
                <w:szCs w:val="20"/>
                <w:lang w:eastAsia="en-US"/>
              </w:rPr>
              <w:t>O1</w:t>
            </w:r>
          </w:p>
          <w:p w:rsidR="0008546A" w:rsidRPr="00743DBC" w:rsidP="0008546A">
            <w:pPr>
              <w:pStyle w:val="Paragrafyzkona"/>
              <w:spacing w:before="0" w:line="240" w:lineRule="auto"/>
              <w:jc w:val="left"/>
              <w:rPr>
                <w:b w:val="0"/>
                <w:sz w:val="20"/>
                <w:szCs w:val="20"/>
                <w:lang w:eastAsia="en-US"/>
              </w:rPr>
            </w:pPr>
            <w:r>
              <w:rPr>
                <w:b w:val="0"/>
                <w:sz w:val="20"/>
                <w:szCs w:val="20"/>
                <w:lang w:eastAsia="en-US"/>
              </w:rPr>
              <w:t>Pl</w:t>
            </w:r>
          </w:p>
          <w:p w:rsidR="0008546A" w:rsidRPr="008A42CA" w:rsidP="00773E63">
            <w:pPr>
              <w:jc w:val="both"/>
              <w:rPr>
                <w:sz w:val="20"/>
              </w:rPr>
            </w:pPr>
          </w:p>
          <w:p w:rsidR="00E20C4A" w:rsidRPr="008658BB" w:rsidP="00E20C4A">
            <w:pPr>
              <w:jc w:val="both"/>
              <w:rPr>
                <w:b/>
                <w:sz w:val="20"/>
              </w:rPr>
            </w:pPr>
          </w:p>
        </w:tc>
        <w:tc>
          <w:tcPr>
            <w:tcW w:w="7797" w:type="dxa"/>
          </w:tcPr>
          <w:p w:rsidR="00773E63" w:rsidP="00773E63">
            <w:pPr>
              <w:tabs>
                <w:tab w:val="left" w:pos="1276"/>
              </w:tabs>
              <w:spacing w:after="360"/>
              <w:jc w:val="both"/>
              <w:rPr>
                <w:sz w:val="20"/>
              </w:rPr>
            </w:pPr>
            <w:r>
              <w:rPr>
                <w:sz w:val="20"/>
              </w:rPr>
              <w:t xml:space="preserve">(9) </w:t>
            </w:r>
            <w:r w:rsidRPr="00DC6A24">
              <w:rPr>
                <w:sz w:val="20"/>
              </w:rPr>
              <w:t>Ak sa preukáže, že limitné hodnoty PM</w:t>
            </w:r>
            <w:r w:rsidRPr="002A3185">
              <w:rPr>
                <w:sz w:val="20"/>
                <w:vertAlign w:val="subscript"/>
              </w:rPr>
              <w:t>10</w:t>
            </w:r>
            <w:r w:rsidRPr="00DC6A24">
              <w:rPr>
                <w:sz w:val="20"/>
              </w:rPr>
              <w:t xml:space="preserve"> boli prekročené v dôsledku opätovného rozptylu častíc PM</w:t>
            </w:r>
            <w:r w:rsidRPr="002A3185">
              <w:rPr>
                <w:sz w:val="20"/>
                <w:vertAlign w:val="subscript"/>
              </w:rPr>
              <w:t>10</w:t>
            </w:r>
            <w:r w:rsidRPr="00DC6A24">
              <w:rPr>
                <w:sz w:val="20"/>
              </w:rPr>
              <w:t xml:space="preserve"> po zimnom posype alebo po solení ciest, program na zlepšenie kvality ovzdušia nie je potrebné vypracovať. Okresný úrad v sídle kraja príjme primerané opatrenia potrebné na zabezpečenie zníženia znečistenia ovzdušia zo zimného posypu a solenia ciest.</w:t>
            </w:r>
          </w:p>
          <w:p w:rsidR="001B0945" w:rsidP="00773E63">
            <w:pPr>
              <w:tabs>
                <w:tab w:val="left" w:pos="1276"/>
              </w:tabs>
              <w:spacing w:after="360"/>
              <w:jc w:val="both"/>
              <w:rPr>
                <w:sz w:val="20"/>
              </w:rPr>
            </w:pPr>
            <w:r>
              <w:rPr>
                <w:sz w:val="20"/>
              </w:rPr>
              <w:t xml:space="preserve">(3) </w:t>
            </w:r>
            <w:r w:rsidRPr="001B0945">
              <w:rPr>
                <w:sz w:val="20"/>
              </w:rPr>
              <w:t>V 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odseku 8 a 9.</w:t>
            </w:r>
          </w:p>
          <w:p w:rsidR="001B0945" w:rsidP="0008546A">
            <w:pPr>
              <w:pStyle w:val="Normlny"/>
            </w:pPr>
          </w:p>
          <w:p w:rsidR="0008546A" w:rsidP="0008546A">
            <w:pPr>
              <w:pStyle w:val="Normlny"/>
            </w:pPr>
            <w:r>
              <w:t xml:space="preserve">(1) </w:t>
            </w:r>
            <w:r w:rsidRPr="001A29E8">
              <w:t>Okresný úrad v sídle kraja na území kraja v rámci výkonu štátnej správy vo veciach riadenia kvality ovzdušia</w:t>
            </w:r>
          </w:p>
          <w:p w:rsidR="0008546A" w:rsidP="0008546A">
            <w:pPr>
              <w:pStyle w:val="Normlny"/>
            </w:pPr>
          </w:p>
          <w:p w:rsidR="0008546A" w:rsidRPr="001A29E8" w:rsidP="0008546A">
            <w:pPr>
              <w:pStyle w:val="Normlny"/>
            </w:pPr>
            <w:r>
              <w:t xml:space="preserve">l) </w:t>
            </w:r>
            <w:r w:rsidRPr="005F743E">
              <w:t>zabezpečuje dôkazy v spolupráci s poverenou organizáciou, ak k prekročeniu limitných hodnôt pre PM</w:t>
            </w:r>
            <w:r w:rsidRPr="005F743E">
              <w:rPr>
                <w:vertAlign w:val="subscript"/>
              </w:rPr>
              <w:t>10</w:t>
            </w:r>
            <w:r w:rsidRPr="005F743E">
              <w:rPr>
                <w:sz w:val="40"/>
                <w:szCs w:val="40"/>
                <w:vertAlign w:val="subscript"/>
              </w:rPr>
              <w:t xml:space="preserve"> </w:t>
            </w:r>
            <w:r w:rsidRPr="005F743E">
              <w:t>dochádza z dôvodu opätovného rozptylu častíc po zimnom posype alebo solení ciest alebo ak k prekročeniu limitných hodnôt dochádza z prírodných zdrojov a informuje o tom ministerstvo</w:t>
            </w:r>
            <w:r>
              <w:t>.</w:t>
            </w:r>
          </w:p>
          <w:p w:rsidR="00E20C4A" w:rsidP="001B0945">
            <w:pPr>
              <w:pStyle w:val="Normlny"/>
              <w:rPr>
                <w:b/>
              </w:rPr>
            </w:pPr>
          </w:p>
        </w:tc>
        <w:tc>
          <w:tcPr>
            <w:tcW w:w="708" w:type="dxa"/>
          </w:tcPr>
          <w:p w:rsidR="00E20C4A" w:rsidRPr="008C1259" w:rsidP="00E20C4A">
            <w:pPr>
              <w:jc w:val="both"/>
              <w:rPr>
                <w:sz w:val="20"/>
              </w:rPr>
            </w:pPr>
            <w:r w:rsidRPr="008C1259" w:rsidR="008C125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Č21</w:t>
            </w:r>
          </w:p>
          <w:p w:rsidR="00E20C4A" w:rsidP="00E20C4A">
            <w:pPr>
              <w:jc w:val="both"/>
              <w:rPr>
                <w:sz w:val="20"/>
              </w:rPr>
            </w:pPr>
            <w:r>
              <w:rPr>
                <w:sz w:val="20"/>
              </w:rPr>
              <w:t>O5</w:t>
            </w:r>
          </w:p>
        </w:tc>
        <w:tc>
          <w:tcPr>
            <w:tcW w:w="4074" w:type="dxa"/>
            <w:tcBorders>
              <w:bottom w:val="single" w:sz="4" w:space="0" w:color="auto"/>
            </w:tcBorders>
          </w:tcPr>
          <w:p w:rsidR="00E20C4A" w:rsidP="00E20C4A">
            <w:pPr>
              <w:jc w:val="both"/>
              <w:rPr>
                <w:sz w:val="20"/>
              </w:rPr>
            </w:pPr>
            <w:r w:rsidRPr="00E72F5F">
              <w:rPr>
                <w:sz w:val="20"/>
              </w:rPr>
              <w:t>5. Komisia do 11. júna 2010 uverejní usmernenia na určenie</w:t>
            </w:r>
            <w:r>
              <w:rPr>
                <w:sz w:val="20"/>
              </w:rPr>
              <w:t xml:space="preserve"> </w:t>
            </w:r>
            <w:r w:rsidRPr="00E72F5F">
              <w:rPr>
                <w:sz w:val="20"/>
              </w:rPr>
              <w:t>príspevkov z opätovného rozptylu častíc po zimnom posype alebo</w:t>
            </w:r>
            <w:r>
              <w:rPr>
                <w:sz w:val="20"/>
              </w:rPr>
              <w:t xml:space="preserve"> </w:t>
            </w:r>
            <w:r w:rsidRPr="00E72F5F">
              <w:rPr>
                <w:sz w:val="20"/>
              </w:rPr>
              <w:t>solení ciest.</w:t>
            </w:r>
          </w:p>
          <w:p w:rsidR="00E20C4A" w:rsidRPr="00E72F5F" w:rsidP="00E20C4A">
            <w:pPr>
              <w:jc w:val="both"/>
              <w:rPr>
                <w:sz w:val="20"/>
              </w:rPr>
            </w:pPr>
          </w:p>
        </w:tc>
        <w:tc>
          <w:tcPr>
            <w:tcW w:w="747" w:type="dxa"/>
          </w:tcPr>
          <w:p w:rsidR="00E20C4A" w:rsidRPr="00D86B9D" w:rsidP="00E20C4A">
            <w:pPr>
              <w:ind w:right="-249"/>
              <w:rPr>
                <w:sz w:val="20"/>
              </w:rPr>
            </w:pPr>
            <w:r w:rsidR="00ED414A">
              <w:rPr>
                <w:sz w:val="20"/>
              </w:rPr>
              <w:t>n.a</w:t>
            </w:r>
            <w:r w:rsidR="00A80E73">
              <w:rPr>
                <w:sz w:val="20"/>
              </w:rPr>
              <w:t>.</w:t>
            </w:r>
          </w:p>
        </w:tc>
        <w:tc>
          <w:tcPr>
            <w:tcW w:w="574" w:type="dxa"/>
          </w:tcPr>
          <w:p w:rsidR="00E20C4A" w:rsidP="00E20C4A">
            <w:pPr>
              <w:jc w:val="both"/>
              <w:rPr>
                <w:b/>
                <w:sz w:val="20"/>
              </w:rPr>
            </w:pPr>
          </w:p>
          <w:p w:rsidR="006F3EB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714675"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Č22</w:t>
            </w:r>
          </w:p>
          <w:p w:rsidR="00E20C4A" w:rsidP="00E20C4A">
            <w:pPr>
              <w:jc w:val="both"/>
              <w:rPr>
                <w:sz w:val="20"/>
              </w:rPr>
            </w:pPr>
            <w:r>
              <w:rPr>
                <w:sz w:val="20"/>
              </w:rPr>
              <w:t>O1</w:t>
            </w:r>
          </w:p>
        </w:tc>
        <w:tc>
          <w:tcPr>
            <w:tcW w:w="4074" w:type="dxa"/>
            <w:tcBorders>
              <w:bottom w:val="single" w:sz="4" w:space="0" w:color="auto"/>
            </w:tcBorders>
          </w:tcPr>
          <w:p w:rsidR="00E20C4A" w:rsidRPr="00E72F5F" w:rsidP="00E20C4A">
            <w:pPr>
              <w:jc w:val="both"/>
              <w:rPr>
                <w:sz w:val="20"/>
              </w:rPr>
            </w:pPr>
            <w:r w:rsidRPr="00E72F5F">
              <w:rPr>
                <w:sz w:val="20"/>
              </w:rPr>
              <w:t>Predĺženie lehôt na dosiahnutie hodnôt a výnimka z</w:t>
            </w:r>
            <w:r>
              <w:rPr>
                <w:sz w:val="20"/>
              </w:rPr>
              <w:t> </w:t>
            </w:r>
            <w:r w:rsidRPr="00E72F5F">
              <w:rPr>
                <w:sz w:val="20"/>
              </w:rPr>
              <w:t>povinnosti</w:t>
            </w:r>
            <w:r>
              <w:rPr>
                <w:sz w:val="20"/>
              </w:rPr>
              <w:t xml:space="preserve"> </w:t>
            </w:r>
            <w:r w:rsidRPr="00E72F5F">
              <w:rPr>
                <w:sz w:val="20"/>
              </w:rPr>
              <w:t>uplatňovať určité limitné hodnoty</w:t>
            </w:r>
          </w:p>
          <w:p w:rsidR="00E20C4A" w:rsidRPr="00E72F5F" w:rsidP="00E20C4A">
            <w:pPr>
              <w:jc w:val="both"/>
              <w:rPr>
                <w:sz w:val="20"/>
              </w:rPr>
            </w:pPr>
            <w:r w:rsidRPr="00E72F5F">
              <w:rPr>
                <w:sz w:val="20"/>
              </w:rPr>
              <w:t>1. Ak v danej zóne alebo aglomerácii nie je možné dosiahnuť súlad</w:t>
            </w:r>
            <w:r>
              <w:rPr>
                <w:sz w:val="20"/>
              </w:rPr>
              <w:t xml:space="preserve"> </w:t>
            </w:r>
            <w:r w:rsidRPr="00E72F5F">
              <w:rPr>
                <w:sz w:val="20"/>
              </w:rPr>
              <w:t>s limitnými hodnotami pre oxid dusičitý alebo benzén v lehotách určených v prílohe XI, členský štát môže tieto lehoty pre danú zónu alebo</w:t>
            </w:r>
            <w:r>
              <w:rPr>
                <w:sz w:val="20"/>
              </w:rPr>
              <w:t xml:space="preserve"> </w:t>
            </w:r>
            <w:r w:rsidRPr="00E72F5F">
              <w:rPr>
                <w:sz w:val="20"/>
              </w:rPr>
              <w:t xml:space="preserve">aglomeráciu predĺžiť maximálne o päť rokov za podmienky, že </w:t>
            </w:r>
            <w:r w:rsidRPr="00E72F5F">
              <w:rPr>
                <w:sz w:val="20"/>
              </w:rPr>
              <w:t>pre zónu</w:t>
            </w:r>
            <w:r>
              <w:rPr>
                <w:sz w:val="20"/>
              </w:rPr>
              <w:t xml:space="preserve"> </w:t>
            </w:r>
            <w:r w:rsidRPr="00E72F5F">
              <w:rPr>
                <w:sz w:val="20"/>
              </w:rPr>
              <w:t>alebo aglomeráciu, na ktorú by sa malo predĺženie vzťahovať, sa</w:t>
            </w:r>
            <w:r>
              <w:rPr>
                <w:sz w:val="20"/>
              </w:rPr>
              <w:t xml:space="preserve"> </w:t>
            </w:r>
            <w:r w:rsidRPr="00E72F5F">
              <w:rPr>
                <w:sz w:val="20"/>
              </w:rPr>
              <w:t>v súlade s článkom 23 vypracuje plán kvality ovzdušia; takýto plán</w:t>
            </w:r>
          </w:p>
          <w:p w:rsidR="00E20C4A" w:rsidP="00E20C4A">
            <w:pPr>
              <w:jc w:val="both"/>
              <w:rPr>
                <w:sz w:val="20"/>
              </w:rPr>
            </w:pPr>
            <w:r w:rsidRPr="00E72F5F">
              <w:rPr>
                <w:sz w:val="20"/>
              </w:rPr>
              <w:t>kvality ovzdušia sa doplní o informácie uvedené v oddiele B prílohy XV,</w:t>
            </w:r>
            <w:r>
              <w:rPr>
                <w:sz w:val="20"/>
              </w:rPr>
              <w:t xml:space="preserve"> </w:t>
            </w:r>
            <w:r w:rsidRPr="00E72F5F">
              <w:rPr>
                <w:sz w:val="20"/>
              </w:rPr>
              <w:t>ktoré sa týkajú príslušných znečisťujúcich látok, a preukáže, ako sa</w:t>
            </w:r>
            <w:r>
              <w:rPr>
                <w:sz w:val="20"/>
              </w:rPr>
              <w:t xml:space="preserve"> </w:t>
            </w:r>
            <w:r w:rsidRPr="00E72F5F">
              <w:rPr>
                <w:sz w:val="20"/>
              </w:rPr>
              <w:t>dosiahne súlad s limitnými hodnotami v rámci novej lehoty</w:t>
            </w:r>
            <w:r>
              <w:rPr>
                <w:sz w:val="20"/>
              </w:rPr>
              <w:t>.</w:t>
            </w:r>
          </w:p>
          <w:p w:rsidR="00E20C4A" w:rsidRPr="00E72F5F" w:rsidP="00E20C4A">
            <w:pPr>
              <w:jc w:val="both"/>
              <w:rPr>
                <w:sz w:val="20"/>
              </w:rPr>
            </w:pPr>
          </w:p>
        </w:tc>
        <w:tc>
          <w:tcPr>
            <w:tcW w:w="747" w:type="dxa"/>
          </w:tcPr>
          <w:p w:rsidR="00E20C4A" w:rsidRPr="00D86B9D" w:rsidP="00E20C4A">
            <w:pPr>
              <w:ind w:right="-249"/>
              <w:rPr>
                <w:sz w:val="20"/>
              </w:rPr>
            </w:pPr>
            <w:r w:rsidR="00A80E73">
              <w:rPr>
                <w:sz w:val="20"/>
              </w:rPr>
              <w:t>n.a.</w:t>
            </w:r>
          </w:p>
        </w:tc>
        <w:tc>
          <w:tcPr>
            <w:tcW w:w="574" w:type="dxa"/>
          </w:tcPr>
          <w:p w:rsidR="00E20C4A" w:rsidRPr="00ED414A" w:rsidP="00E20C4A">
            <w:pPr>
              <w:jc w:val="both"/>
              <w:rPr>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A80E73" w:rsidP="00E20C4A">
            <w:pPr>
              <w:jc w:val="both"/>
              <w:rPr>
                <w:sz w:val="20"/>
              </w:rPr>
            </w:pPr>
            <w:r w:rsidRPr="00A80E73" w:rsidR="00A80E73">
              <w:rPr>
                <w:sz w:val="20"/>
              </w:rPr>
              <w:t>n.a.</w:t>
            </w:r>
          </w:p>
        </w:tc>
        <w:tc>
          <w:tcPr>
            <w:tcW w:w="1130" w:type="dxa"/>
          </w:tcPr>
          <w:p w:rsidR="00E20C4A" w:rsidRPr="00714675" w:rsidP="00714675">
            <w:pPr>
              <w:rPr>
                <w:sz w:val="20"/>
              </w:rPr>
            </w:pPr>
            <w:r w:rsidRPr="00714675" w:rsidR="00A80E73">
              <w:rPr>
                <w:sz w:val="20"/>
              </w:rPr>
              <w:t>Ustanovenie o predĺžení lehôt v súčasnosti  už nie je aktuálne.</w:t>
            </w: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Č22</w:t>
            </w:r>
          </w:p>
          <w:p w:rsidR="00E20C4A" w:rsidP="00E20C4A">
            <w:pPr>
              <w:jc w:val="both"/>
              <w:rPr>
                <w:sz w:val="20"/>
              </w:rPr>
            </w:pPr>
            <w:r>
              <w:rPr>
                <w:sz w:val="20"/>
              </w:rPr>
              <w:t>O2</w:t>
            </w:r>
          </w:p>
        </w:tc>
        <w:tc>
          <w:tcPr>
            <w:tcW w:w="4074" w:type="dxa"/>
            <w:tcBorders>
              <w:bottom w:val="single" w:sz="4" w:space="0" w:color="auto"/>
            </w:tcBorders>
          </w:tcPr>
          <w:p w:rsidR="00E20C4A" w:rsidRPr="00E72F5F" w:rsidP="00E20C4A">
            <w:pPr>
              <w:jc w:val="both"/>
              <w:rPr>
                <w:sz w:val="20"/>
              </w:rPr>
            </w:pPr>
            <w:r w:rsidRPr="00E72F5F">
              <w:rPr>
                <w:sz w:val="20"/>
              </w:rPr>
              <w:t>2. Ak v danej zóne alebo aglomerácii nemožno z dôvodu rozptylových charakteristík špec</w:t>
            </w:r>
            <w:r w:rsidRPr="00E72F5F">
              <w:rPr>
                <w:sz w:val="20"/>
              </w:rPr>
              <w:t>ifických pre príslušné miesto, nepriaznivých</w:t>
            </w:r>
            <w:r>
              <w:rPr>
                <w:sz w:val="20"/>
              </w:rPr>
              <w:t xml:space="preserve"> </w:t>
            </w:r>
            <w:r w:rsidRPr="00E72F5F">
              <w:rPr>
                <w:sz w:val="20"/>
              </w:rPr>
              <w:t>klimatických podmienok alebo cezhraničných príspevkov dosiahnuť</w:t>
            </w:r>
            <w:r>
              <w:rPr>
                <w:sz w:val="20"/>
              </w:rPr>
              <w:t xml:space="preserve"> </w:t>
            </w:r>
            <w:r w:rsidRPr="00E72F5F">
              <w:rPr>
                <w:sz w:val="20"/>
              </w:rPr>
              <w:t>súlad s limitnými hodnotami pre PM</w:t>
            </w:r>
            <w:r w:rsidRPr="009E5012">
              <w:rPr>
                <w:sz w:val="20"/>
                <w:vertAlign w:val="subscript"/>
              </w:rPr>
              <w:t>10</w:t>
            </w:r>
            <w:r w:rsidRPr="00E72F5F">
              <w:rPr>
                <w:sz w:val="20"/>
              </w:rPr>
              <w:t xml:space="preserve"> určenými v prílohe XI, je</w:t>
            </w:r>
          </w:p>
          <w:p w:rsidR="00E20C4A" w:rsidRPr="00E72F5F" w:rsidP="00E20C4A">
            <w:pPr>
              <w:jc w:val="both"/>
              <w:rPr>
                <w:sz w:val="20"/>
              </w:rPr>
            </w:pPr>
            <w:r w:rsidRPr="00E72F5F">
              <w:rPr>
                <w:sz w:val="20"/>
              </w:rPr>
              <w:t>členský štát oslobodený od povinnosti uplatňovať uvedené limitné</w:t>
            </w:r>
            <w:r>
              <w:rPr>
                <w:sz w:val="20"/>
              </w:rPr>
              <w:t xml:space="preserve"> </w:t>
            </w:r>
            <w:r w:rsidRPr="00E72F5F">
              <w:rPr>
                <w:sz w:val="20"/>
              </w:rPr>
              <w:t>hodnoty do 11. júna 2011 za predpokladu, že sú splnené podmienky</w:t>
            </w:r>
          </w:p>
          <w:p w:rsidR="00E20C4A" w:rsidRPr="00E72F5F" w:rsidP="00E20C4A">
            <w:pPr>
              <w:jc w:val="both"/>
              <w:rPr>
                <w:sz w:val="20"/>
              </w:rPr>
            </w:pPr>
            <w:r w:rsidRPr="00E72F5F">
              <w:rPr>
                <w:sz w:val="20"/>
              </w:rPr>
              <w:t>ustanovené v odseku 1 a že členský štát preukáže, že na celonárodnej,</w:t>
            </w:r>
            <w:r>
              <w:rPr>
                <w:sz w:val="20"/>
              </w:rPr>
              <w:t xml:space="preserve"> </w:t>
            </w:r>
            <w:r w:rsidRPr="00E72F5F">
              <w:rPr>
                <w:sz w:val="20"/>
              </w:rPr>
              <w:t>regionálnej a miestnej úrovni boli prijaté všetky primerané opatrenia na</w:t>
            </w:r>
          </w:p>
          <w:p w:rsidR="00E20C4A" w:rsidP="00E20C4A">
            <w:pPr>
              <w:jc w:val="both"/>
              <w:rPr>
                <w:sz w:val="20"/>
              </w:rPr>
            </w:pPr>
            <w:r w:rsidRPr="00E72F5F">
              <w:rPr>
                <w:sz w:val="20"/>
              </w:rPr>
              <w:t>dodržanie lehôt.</w:t>
            </w:r>
          </w:p>
          <w:p w:rsidR="00E20C4A" w:rsidRPr="00E72F5F" w:rsidP="00E20C4A">
            <w:pPr>
              <w:jc w:val="both"/>
              <w:rPr>
                <w:sz w:val="20"/>
              </w:rPr>
            </w:pPr>
          </w:p>
        </w:tc>
        <w:tc>
          <w:tcPr>
            <w:tcW w:w="747" w:type="dxa"/>
          </w:tcPr>
          <w:p w:rsidR="00E20C4A" w:rsidRPr="00D86B9D" w:rsidP="00E20C4A">
            <w:pPr>
              <w:ind w:right="-249"/>
              <w:rPr>
                <w:sz w:val="20"/>
              </w:rPr>
            </w:pPr>
            <w:r w:rsidR="00A80E73">
              <w:rPr>
                <w:sz w:val="20"/>
              </w:rPr>
              <w:t>n.a.</w:t>
            </w:r>
          </w:p>
        </w:tc>
        <w:tc>
          <w:tcPr>
            <w:tcW w:w="574" w:type="dxa"/>
          </w:tcPr>
          <w:p w:rsidR="00E20C4A" w:rsidRPr="00ED414A" w:rsidP="00E20C4A">
            <w:pPr>
              <w:jc w:val="both"/>
              <w:rPr>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p w:rsidR="00960A37" w:rsidP="00E20C4A">
            <w:pPr>
              <w:pStyle w:val="Normlny"/>
              <w:jc w:val="center"/>
              <w:rPr>
                <w:b/>
              </w:rPr>
            </w:pPr>
          </w:p>
        </w:tc>
        <w:tc>
          <w:tcPr>
            <w:tcW w:w="708" w:type="dxa"/>
          </w:tcPr>
          <w:p w:rsidR="00E20C4A" w:rsidRPr="00A80E73" w:rsidP="00E20C4A">
            <w:pPr>
              <w:jc w:val="both"/>
              <w:rPr>
                <w:sz w:val="20"/>
              </w:rPr>
            </w:pPr>
            <w:r w:rsidRPr="00A80E73" w:rsidR="00A80E73">
              <w:rPr>
                <w:sz w:val="20"/>
              </w:rPr>
              <w:t>n.a.</w:t>
            </w:r>
          </w:p>
        </w:tc>
        <w:tc>
          <w:tcPr>
            <w:tcW w:w="1130" w:type="dxa"/>
          </w:tcPr>
          <w:p w:rsidR="00E20C4A" w:rsidRPr="00714675" w:rsidP="00714675">
            <w:pPr>
              <w:rPr>
                <w:sz w:val="20"/>
              </w:rPr>
            </w:pPr>
            <w:r w:rsidRPr="00714675" w:rsidR="00ED414A">
              <w:rPr>
                <w:sz w:val="20"/>
              </w:rPr>
              <w:t>Ustanovenie o predĺžení lehôt v súčasnosti  už nie je aktuálne.</w:t>
            </w: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Č22</w:t>
            </w:r>
          </w:p>
          <w:p w:rsidR="00E20C4A" w:rsidP="00E20C4A">
            <w:pPr>
              <w:jc w:val="both"/>
              <w:rPr>
                <w:sz w:val="20"/>
              </w:rPr>
            </w:pPr>
            <w:r>
              <w:rPr>
                <w:sz w:val="20"/>
              </w:rPr>
              <w:t>O3</w:t>
            </w:r>
          </w:p>
        </w:tc>
        <w:tc>
          <w:tcPr>
            <w:tcW w:w="4074" w:type="dxa"/>
            <w:tcBorders>
              <w:bottom w:val="single" w:sz="4" w:space="0" w:color="auto"/>
            </w:tcBorders>
          </w:tcPr>
          <w:p w:rsidR="00E20C4A" w:rsidRPr="00E72F5F" w:rsidP="00E20C4A">
            <w:pPr>
              <w:jc w:val="both"/>
              <w:rPr>
                <w:sz w:val="20"/>
              </w:rPr>
            </w:pPr>
            <w:r w:rsidRPr="00E72F5F">
              <w:rPr>
                <w:sz w:val="20"/>
              </w:rPr>
              <w:t>3. Ak členský štát uplatňuje odseky 1 alebo 2, zabezpečí, aby sa</w:t>
            </w:r>
            <w:r>
              <w:rPr>
                <w:sz w:val="20"/>
              </w:rPr>
              <w:t xml:space="preserve"> </w:t>
            </w:r>
            <w:r w:rsidRPr="00E72F5F">
              <w:rPr>
                <w:sz w:val="20"/>
              </w:rPr>
              <w:t>limitná hodnota pre každú znečisťujúcu látku neprekročila o viac ako</w:t>
            </w:r>
          </w:p>
          <w:p w:rsidR="00E20C4A" w:rsidP="00E20C4A">
            <w:pPr>
              <w:jc w:val="both"/>
              <w:rPr>
                <w:sz w:val="20"/>
              </w:rPr>
            </w:pPr>
            <w:r w:rsidRPr="00E72F5F">
              <w:rPr>
                <w:sz w:val="20"/>
              </w:rPr>
              <w:t>o maximálnu medzu tolerancie stanovenú v prílohe XI pre každú</w:t>
            </w:r>
            <w:r>
              <w:rPr>
                <w:sz w:val="20"/>
              </w:rPr>
              <w:t xml:space="preserve"> </w:t>
            </w:r>
            <w:r w:rsidRPr="00E72F5F">
              <w:rPr>
                <w:sz w:val="20"/>
              </w:rPr>
              <w:t>dotknutú znečisťujúcu látku.</w:t>
            </w:r>
          </w:p>
          <w:p w:rsidR="00E20C4A" w:rsidRPr="00E72F5F" w:rsidP="00E20C4A">
            <w:pPr>
              <w:jc w:val="both"/>
              <w:rPr>
                <w:sz w:val="20"/>
              </w:rPr>
            </w:pPr>
          </w:p>
        </w:tc>
        <w:tc>
          <w:tcPr>
            <w:tcW w:w="747" w:type="dxa"/>
          </w:tcPr>
          <w:p w:rsidR="00E20C4A" w:rsidRPr="00D86B9D" w:rsidP="00E20C4A">
            <w:pPr>
              <w:ind w:right="-249"/>
              <w:rPr>
                <w:sz w:val="20"/>
              </w:rPr>
            </w:pPr>
            <w:r w:rsidR="00A80E73">
              <w:rPr>
                <w:sz w:val="20"/>
              </w:rPr>
              <w:t>n.a.</w:t>
            </w:r>
          </w:p>
        </w:tc>
        <w:tc>
          <w:tcPr>
            <w:tcW w:w="574" w:type="dxa"/>
          </w:tcPr>
          <w:p w:rsidR="00E20C4A" w:rsidRPr="00ED414A" w:rsidP="00E20C4A">
            <w:pPr>
              <w:jc w:val="both"/>
              <w:rPr>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A80E73" w:rsidP="00E20C4A">
            <w:pPr>
              <w:jc w:val="both"/>
              <w:rPr>
                <w:sz w:val="20"/>
              </w:rPr>
            </w:pPr>
            <w:r w:rsidRPr="00A80E73" w:rsidR="00A80E73">
              <w:rPr>
                <w:sz w:val="20"/>
              </w:rPr>
              <w:t>n.a.</w:t>
            </w:r>
          </w:p>
        </w:tc>
        <w:tc>
          <w:tcPr>
            <w:tcW w:w="1130" w:type="dxa"/>
          </w:tcPr>
          <w:p w:rsidR="00E20C4A" w:rsidRPr="00714675" w:rsidP="00714675">
            <w:pPr>
              <w:rPr>
                <w:sz w:val="20"/>
              </w:rPr>
            </w:pPr>
            <w:r w:rsidRPr="00714675" w:rsidR="00ED414A">
              <w:rPr>
                <w:sz w:val="20"/>
              </w:rPr>
              <w:t>Ustanovenie o predĺžení lehôt v súčasnosti  už nie je aktuálne.</w:t>
            </w: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Č22</w:t>
            </w:r>
          </w:p>
          <w:p w:rsidR="00E20C4A" w:rsidP="00E20C4A">
            <w:pPr>
              <w:jc w:val="both"/>
              <w:rPr>
                <w:sz w:val="20"/>
              </w:rPr>
            </w:pPr>
            <w:r>
              <w:rPr>
                <w:sz w:val="20"/>
              </w:rPr>
              <w:t>O4</w:t>
            </w:r>
          </w:p>
        </w:tc>
        <w:tc>
          <w:tcPr>
            <w:tcW w:w="4074" w:type="dxa"/>
            <w:tcBorders>
              <w:bottom w:val="single" w:sz="4" w:space="0" w:color="auto"/>
            </w:tcBorders>
          </w:tcPr>
          <w:p w:rsidR="00E20C4A" w:rsidP="00E20C4A">
            <w:pPr>
              <w:jc w:val="both"/>
              <w:rPr>
                <w:sz w:val="20"/>
              </w:rPr>
            </w:pPr>
            <w:r w:rsidRPr="00CA0E4B">
              <w:rPr>
                <w:sz w:val="20"/>
              </w:rPr>
              <w:t>4. Členské štáty oznámia Komisii prípady, v ktorých sa podľa ich názoru môžu uplatňovať odseky 1 alebo 2, a oznámia plán kvality ovzdušia uvedený v odseku 1 vrátane všetkých príslušných informácií, ktoré potrebuje Komisia na zhodnotenie toho, či sú alebo nie sú splnené príslušné podmienky. Komisia pri hodnotení zohľadní odhadované účinky opatrení, ktoré prijali členské štáty, na kvalitu okolitého ovzdušia v členských štátoch v súčasnosti a v budúcnosti, ako aj odhadované účinky súčasných opatrení Spoločenstva na kvalitu okolitého ovzdušia a plánované opatrenia Spoločenstva, ktoré Komisia navrhne.</w:t>
            </w:r>
          </w:p>
          <w:p w:rsidR="00E20C4A" w:rsidP="00E20C4A">
            <w:pPr>
              <w:jc w:val="both"/>
              <w:rPr>
                <w:sz w:val="20"/>
              </w:rPr>
            </w:pPr>
            <w:r w:rsidRPr="00CA0E4B">
              <w:rPr>
                <w:sz w:val="20"/>
              </w:rPr>
              <w:t>Ak Komisia nevznesie žiadne námietky do deviatich mesiacov od doručenia uvedeného oznámenia, príslušné podmienky na uplatňovanie</w:t>
            </w:r>
            <w:r>
              <w:rPr>
                <w:sz w:val="20"/>
              </w:rPr>
              <w:t xml:space="preserve"> </w:t>
            </w:r>
            <w:r w:rsidRPr="00CA0E4B">
              <w:rPr>
                <w:sz w:val="20"/>
              </w:rPr>
              <w:t>odsekov 1 alebo 2 sa považujú za splnené.</w:t>
            </w:r>
            <w:r>
              <w:rPr>
                <w:sz w:val="20"/>
              </w:rPr>
              <w:t xml:space="preserve"> </w:t>
            </w:r>
            <w:r w:rsidRPr="00CA0E4B">
              <w:rPr>
                <w:sz w:val="20"/>
              </w:rPr>
              <w:t>Ak sú vznesené námietky, Komisia môže od členských štátov vyžadovať úpravu alebo poskytnutie nových plánov kvality ovzdušia.</w:t>
            </w:r>
          </w:p>
          <w:p w:rsidR="00E20C4A" w:rsidRPr="00E72F5F" w:rsidP="00E20C4A">
            <w:pPr>
              <w:jc w:val="both"/>
              <w:rPr>
                <w:sz w:val="20"/>
              </w:rPr>
            </w:pPr>
          </w:p>
        </w:tc>
        <w:tc>
          <w:tcPr>
            <w:tcW w:w="747" w:type="dxa"/>
          </w:tcPr>
          <w:p w:rsidR="00E20C4A" w:rsidRPr="00D86B9D" w:rsidP="00E20C4A">
            <w:pPr>
              <w:ind w:right="-249"/>
              <w:rPr>
                <w:sz w:val="20"/>
              </w:rPr>
            </w:pPr>
            <w:r w:rsidR="00A80E73">
              <w:rPr>
                <w:sz w:val="20"/>
              </w:rPr>
              <w:t>n.a.</w:t>
            </w:r>
          </w:p>
        </w:tc>
        <w:tc>
          <w:tcPr>
            <w:tcW w:w="574" w:type="dxa"/>
          </w:tcPr>
          <w:p w:rsidR="00E20C4A" w:rsidRPr="00ED414A" w:rsidP="00E20C4A">
            <w:pPr>
              <w:jc w:val="both"/>
              <w:rPr>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A80E73" w:rsidP="00E20C4A">
            <w:pPr>
              <w:jc w:val="both"/>
              <w:rPr>
                <w:sz w:val="20"/>
              </w:rPr>
            </w:pPr>
            <w:r w:rsidRPr="00A80E73" w:rsidR="00A80E73">
              <w:rPr>
                <w:sz w:val="20"/>
              </w:rPr>
              <w:t>n.a.</w:t>
            </w:r>
          </w:p>
        </w:tc>
        <w:tc>
          <w:tcPr>
            <w:tcW w:w="1130" w:type="dxa"/>
          </w:tcPr>
          <w:p w:rsidR="00E20C4A" w:rsidRPr="00714675" w:rsidP="00714675">
            <w:pPr>
              <w:rPr>
                <w:sz w:val="20"/>
              </w:rPr>
            </w:pPr>
            <w:r w:rsidRPr="00714675" w:rsidR="00ED414A">
              <w:rPr>
                <w:sz w:val="20"/>
              </w:rPr>
              <w:t>Ustanovenie o predĺžení lehôt v súčasnosti  už nie je aktuálne.</w:t>
            </w: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Č23</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7C4CE1">
              <w:rPr>
                <w:sz w:val="20"/>
              </w:rPr>
              <w:t xml:space="preserve">Plány kvality ovzdušia </w:t>
            </w:r>
          </w:p>
          <w:p w:rsidR="00E20C4A" w:rsidP="00E20C4A">
            <w:pPr>
              <w:jc w:val="both"/>
              <w:rPr>
                <w:sz w:val="20"/>
              </w:rPr>
            </w:pPr>
            <w:r w:rsidRPr="007C4CE1">
              <w:rPr>
                <w:sz w:val="20"/>
              </w:rPr>
              <w:t>1. Ak v daných zónach alebo aglomeráciách prekročia úrovne znečisťujúcich látok v okolitom ovzduší akúkoľvek limitnú hodnotu alebo cieľovú hodnotu vrátane akejkoľvek príslušnej medze tolerancie, zabezpečia členské štáty vypracovanie plánov kvality ovzdušia pre tieto zóny a aglomerácie s cieľom dosiahnuť príslušnú limitnú hodnotu alebo cieľovú hodnotu určenú v prílohách XI a XIV. V prípade prekročenia týchto limitných hodnôt, pre ktoré už lehota na ich dosiahnutie uplynula, stanovia plány kvality ovzdušia vhodné opatrenia na to, aby sa obdobie, keď sú hodnoty prekročené, čo najviac skrátilo. Plány kvality ovzdušia môžu dodatočne zahrnúť osobitné opatrenia zamerané na ochranu citlivých skupín obyvateľstva vrátane detí. Uvedené plány kvality ovzdušia obsahujú minimálne informácie uvedené v oddiele A prílohy XV a môžu zahrnúť opatrenia podľa článku 24. Tieto plány sa bezodkladne oznámia Komisii, najneskôr však dva roky po skončení roku, v ktorom sa zistilo prvé prekročenie. Ak sa plány kvality ovzdušia musia pripraviť alebo vykonávať pre niekoľko znečisťujúcich látok, členské štáty podľa potreby pripravia a vykonávajú integrované plány kvality ovzdušia týkajúce sa všetkých dotknutých znečisťujúcich látok.</w:t>
            </w:r>
          </w:p>
          <w:p w:rsidR="00E20C4A" w:rsidRPr="00E72F5F" w:rsidP="00E20C4A">
            <w:pPr>
              <w:jc w:val="both"/>
              <w:rPr>
                <w:sz w:val="20"/>
              </w:rPr>
            </w:pPr>
          </w:p>
        </w:tc>
        <w:tc>
          <w:tcPr>
            <w:tcW w:w="747" w:type="dxa"/>
          </w:tcPr>
          <w:p w:rsidR="00E20C4A" w:rsidRPr="00D86B9D" w:rsidP="00E20C4A">
            <w:pPr>
              <w:ind w:right="-249"/>
              <w:rPr>
                <w:sz w:val="20"/>
              </w:rPr>
            </w:pPr>
            <w:r w:rsidR="00DD3055">
              <w:rPr>
                <w:sz w:val="20"/>
              </w:rPr>
              <w:t>N</w:t>
            </w:r>
          </w:p>
        </w:tc>
        <w:tc>
          <w:tcPr>
            <w:tcW w:w="574" w:type="dxa"/>
          </w:tcPr>
          <w:p w:rsidR="00E20C4A" w:rsidRPr="00DD3055" w:rsidP="00E20C4A">
            <w:pPr>
              <w:jc w:val="both"/>
              <w:rPr>
                <w:sz w:val="20"/>
              </w:rPr>
            </w:pPr>
            <w:r w:rsidRPr="00DD3055" w:rsidR="00DD3055">
              <w:rPr>
                <w:sz w:val="20"/>
              </w:rPr>
              <w:t>NZ</w:t>
            </w:r>
          </w:p>
        </w:tc>
        <w:tc>
          <w:tcPr>
            <w:tcW w:w="701" w:type="dxa"/>
          </w:tcPr>
          <w:p w:rsidR="00DD3055" w:rsidP="00DD3055">
            <w:pPr>
              <w:pStyle w:val="Paragrafyzkona"/>
              <w:spacing w:before="0" w:line="240" w:lineRule="auto"/>
              <w:jc w:val="left"/>
              <w:rPr>
                <w:b w:val="0"/>
                <w:sz w:val="20"/>
                <w:szCs w:val="20"/>
                <w:lang w:eastAsia="en-US"/>
              </w:rPr>
            </w:pPr>
            <w:r>
              <w:rPr>
                <w:b w:val="0"/>
                <w:sz w:val="20"/>
                <w:szCs w:val="20"/>
                <w:lang w:eastAsia="en-US"/>
              </w:rPr>
              <w:t>§ 9</w:t>
            </w:r>
          </w:p>
          <w:p w:rsidR="002A3185" w:rsidP="00DD3055">
            <w:pPr>
              <w:pStyle w:val="Paragrafyzkona"/>
              <w:spacing w:before="0" w:line="240" w:lineRule="auto"/>
              <w:jc w:val="left"/>
              <w:rPr>
                <w:b w:val="0"/>
                <w:sz w:val="20"/>
                <w:szCs w:val="20"/>
                <w:lang w:eastAsia="en-US"/>
              </w:rPr>
            </w:pPr>
          </w:p>
          <w:p w:rsidR="007B726F" w:rsidRPr="00743DBC" w:rsidP="00DD3055">
            <w:pPr>
              <w:pStyle w:val="Paragrafyzkona"/>
              <w:spacing w:before="0" w:line="240" w:lineRule="auto"/>
              <w:jc w:val="left"/>
              <w:rPr>
                <w:b w:val="0"/>
                <w:sz w:val="20"/>
                <w:szCs w:val="20"/>
                <w:lang w:eastAsia="en-US"/>
              </w:rPr>
            </w:pPr>
          </w:p>
          <w:p w:rsidR="00DD3055" w:rsidP="00DD3055">
            <w:pPr>
              <w:jc w:val="both"/>
              <w:rPr>
                <w:sz w:val="20"/>
              </w:rPr>
            </w:pPr>
            <w:r w:rsidRPr="008A42CA">
              <w:rPr>
                <w:sz w:val="20"/>
              </w:rPr>
              <w:t>O</w:t>
            </w:r>
            <w:r>
              <w:rPr>
                <w:sz w:val="20"/>
              </w:rPr>
              <w:t>1</w:t>
            </w:r>
          </w:p>
          <w:p w:rsidR="00BF042D" w:rsidP="00DD3055">
            <w:pPr>
              <w:jc w:val="both"/>
              <w:rPr>
                <w:sz w:val="20"/>
              </w:rPr>
            </w:pPr>
          </w:p>
          <w:p w:rsidR="00BF042D" w:rsidP="00DD3055">
            <w:pPr>
              <w:jc w:val="both"/>
              <w:rPr>
                <w:sz w:val="20"/>
              </w:rPr>
            </w:pPr>
          </w:p>
          <w:p w:rsidR="00BF042D" w:rsidP="00DD3055">
            <w:pPr>
              <w:jc w:val="both"/>
              <w:rPr>
                <w:sz w:val="20"/>
              </w:rPr>
            </w:pPr>
          </w:p>
          <w:p w:rsidR="00BF042D" w:rsidP="00DD3055">
            <w:pPr>
              <w:jc w:val="both"/>
              <w:rPr>
                <w:sz w:val="20"/>
              </w:rPr>
            </w:pPr>
          </w:p>
          <w:p w:rsidR="00BF042D" w:rsidP="00DD3055">
            <w:pPr>
              <w:jc w:val="both"/>
              <w:rPr>
                <w:sz w:val="20"/>
              </w:rPr>
            </w:pPr>
          </w:p>
          <w:p w:rsidR="007B726F" w:rsidP="00DD3055">
            <w:pPr>
              <w:jc w:val="both"/>
              <w:rPr>
                <w:sz w:val="20"/>
              </w:rPr>
            </w:pPr>
          </w:p>
          <w:p w:rsidR="00BF042D" w:rsidP="00DD3055">
            <w:pPr>
              <w:jc w:val="both"/>
              <w:rPr>
                <w:sz w:val="20"/>
              </w:rPr>
            </w:pPr>
          </w:p>
          <w:p w:rsidR="00BF042D" w:rsidRPr="00743DBC" w:rsidP="00BF042D">
            <w:pPr>
              <w:pStyle w:val="Paragrafyzkona"/>
              <w:spacing w:before="0" w:line="240" w:lineRule="auto"/>
              <w:jc w:val="left"/>
              <w:rPr>
                <w:b w:val="0"/>
                <w:sz w:val="20"/>
                <w:szCs w:val="20"/>
                <w:lang w:eastAsia="en-US"/>
              </w:rPr>
            </w:pPr>
            <w:r>
              <w:rPr>
                <w:b w:val="0"/>
                <w:sz w:val="20"/>
                <w:szCs w:val="20"/>
                <w:lang w:eastAsia="en-US"/>
              </w:rPr>
              <w:t>§ 6</w:t>
            </w:r>
          </w:p>
          <w:p w:rsidR="00BF042D" w:rsidP="00BF042D">
            <w:pPr>
              <w:jc w:val="both"/>
              <w:rPr>
                <w:sz w:val="20"/>
              </w:rPr>
            </w:pPr>
            <w:r w:rsidRPr="008A42CA">
              <w:rPr>
                <w:sz w:val="20"/>
              </w:rPr>
              <w:t>O</w:t>
            </w:r>
            <w:r>
              <w:rPr>
                <w:sz w:val="20"/>
              </w:rPr>
              <w:t>3</w:t>
            </w:r>
          </w:p>
          <w:p w:rsidR="00BF042D" w:rsidP="00BF042D">
            <w:pPr>
              <w:jc w:val="both"/>
              <w:rPr>
                <w:sz w:val="20"/>
              </w:rPr>
            </w:pPr>
          </w:p>
          <w:p w:rsidR="00960A37" w:rsidP="00BF042D">
            <w:pPr>
              <w:jc w:val="both"/>
              <w:rPr>
                <w:sz w:val="20"/>
              </w:rPr>
            </w:pPr>
          </w:p>
          <w:p w:rsidR="002A3185" w:rsidP="00BF042D">
            <w:pPr>
              <w:jc w:val="both"/>
              <w:rPr>
                <w:sz w:val="20"/>
              </w:rPr>
            </w:pPr>
          </w:p>
          <w:p w:rsidR="00BF042D" w:rsidRPr="00743DBC" w:rsidP="00BF042D">
            <w:pPr>
              <w:pStyle w:val="Paragrafyzkona"/>
              <w:spacing w:before="0" w:line="240" w:lineRule="auto"/>
              <w:jc w:val="left"/>
              <w:rPr>
                <w:b w:val="0"/>
                <w:sz w:val="20"/>
                <w:szCs w:val="20"/>
                <w:lang w:eastAsia="en-US"/>
              </w:rPr>
            </w:pPr>
            <w:r>
              <w:rPr>
                <w:b w:val="0"/>
                <w:sz w:val="20"/>
                <w:szCs w:val="20"/>
                <w:lang w:eastAsia="en-US"/>
              </w:rPr>
              <w:t>§ 9</w:t>
            </w:r>
          </w:p>
          <w:p w:rsidR="00BF042D" w:rsidP="00BF042D">
            <w:pPr>
              <w:jc w:val="both"/>
              <w:rPr>
                <w:sz w:val="20"/>
              </w:rPr>
            </w:pPr>
            <w:r w:rsidRPr="008A42CA">
              <w:rPr>
                <w:sz w:val="20"/>
              </w:rPr>
              <w:t>O</w:t>
            </w:r>
            <w:r>
              <w:rPr>
                <w:sz w:val="20"/>
              </w:rPr>
              <w:t>3</w:t>
            </w:r>
          </w:p>
          <w:p w:rsidR="00BF042D" w:rsidP="00DD3055">
            <w:pPr>
              <w:jc w:val="both"/>
              <w:rPr>
                <w:sz w:val="20"/>
              </w:rPr>
            </w:pPr>
          </w:p>
          <w:p w:rsidR="00BF042D" w:rsidP="00DD3055">
            <w:pPr>
              <w:jc w:val="both"/>
              <w:rPr>
                <w:sz w:val="20"/>
              </w:rPr>
            </w:pPr>
          </w:p>
          <w:p w:rsidR="007B726F" w:rsidP="00DD3055">
            <w:pPr>
              <w:jc w:val="both"/>
              <w:rPr>
                <w:sz w:val="20"/>
              </w:rPr>
            </w:pPr>
          </w:p>
          <w:p w:rsidR="007B726F" w:rsidRPr="008A42CA" w:rsidP="00DD3055">
            <w:pPr>
              <w:jc w:val="both"/>
              <w:rPr>
                <w:sz w:val="20"/>
              </w:rPr>
            </w:pPr>
          </w:p>
          <w:p w:rsidR="00E20C4A" w:rsidP="00E20C4A">
            <w:pPr>
              <w:jc w:val="both"/>
              <w:rPr>
                <w:sz w:val="20"/>
              </w:rPr>
            </w:pPr>
            <w:r w:rsidRPr="00BF042D" w:rsidR="00BF042D">
              <w:rPr>
                <w:sz w:val="20"/>
              </w:rPr>
              <w:t>O4</w:t>
            </w:r>
          </w:p>
          <w:p w:rsidR="002A3185" w:rsidP="00E20C4A">
            <w:pPr>
              <w:jc w:val="both"/>
              <w:rPr>
                <w:sz w:val="20"/>
              </w:rPr>
            </w:pPr>
            <w:r>
              <w:rPr>
                <w:sz w:val="20"/>
              </w:rPr>
              <w:t>Pa</w:t>
            </w:r>
          </w:p>
          <w:p w:rsidR="00F74249" w:rsidP="00E20C4A">
            <w:pPr>
              <w:jc w:val="both"/>
              <w:rPr>
                <w:sz w:val="20"/>
              </w:rPr>
            </w:pPr>
          </w:p>
          <w:p w:rsidR="00F74249" w:rsidP="00E20C4A">
            <w:pPr>
              <w:jc w:val="both"/>
              <w:rPr>
                <w:sz w:val="20"/>
              </w:rPr>
            </w:pPr>
          </w:p>
          <w:p w:rsidR="002A3185" w:rsidP="00E20C4A">
            <w:pPr>
              <w:jc w:val="both"/>
              <w:rPr>
                <w:sz w:val="20"/>
              </w:rPr>
            </w:pPr>
            <w:r>
              <w:rPr>
                <w:sz w:val="20"/>
              </w:rPr>
              <w:t>Pb</w:t>
            </w:r>
          </w:p>
          <w:p w:rsidR="00BD7144" w:rsidP="00E20C4A">
            <w:pPr>
              <w:jc w:val="both"/>
              <w:rPr>
                <w:sz w:val="20"/>
              </w:rPr>
            </w:pPr>
          </w:p>
          <w:p w:rsidR="00F74249" w:rsidP="00E20C4A">
            <w:pPr>
              <w:jc w:val="both"/>
              <w:rPr>
                <w:sz w:val="20"/>
              </w:rPr>
            </w:pPr>
          </w:p>
          <w:p w:rsidR="002A3185" w:rsidP="00E20C4A">
            <w:pPr>
              <w:jc w:val="both"/>
              <w:rPr>
                <w:sz w:val="20"/>
              </w:rPr>
            </w:pPr>
            <w:r>
              <w:rPr>
                <w:sz w:val="20"/>
              </w:rPr>
              <w:t>Pc</w:t>
            </w:r>
          </w:p>
          <w:p w:rsidR="00F74249" w:rsidP="00E20C4A">
            <w:pPr>
              <w:jc w:val="both"/>
              <w:rPr>
                <w:sz w:val="20"/>
              </w:rPr>
            </w:pPr>
          </w:p>
          <w:p w:rsidR="002A3185" w:rsidRPr="00BF042D" w:rsidP="00E20C4A">
            <w:pPr>
              <w:jc w:val="both"/>
              <w:rPr>
                <w:sz w:val="20"/>
              </w:rPr>
            </w:pPr>
            <w:r>
              <w:rPr>
                <w:sz w:val="20"/>
              </w:rPr>
              <w:t>Pd</w:t>
            </w:r>
          </w:p>
        </w:tc>
        <w:tc>
          <w:tcPr>
            <w:tcW w:w="7797" w:type="dxa"/>
          </w:tcPr>
          <w:p w:rsidR="002A3185" w:rsidP="00DD3055">
            <w:pPr>
              <w:spacing w:after="360"/>
              <w:jc w:val="both"/>
              <w:rPr>
                <w:sz w:val="20"/>
              </w:rPr>
            </w:pPr>
            <w:r w:rsidRPr="00960A37" w:rsidR="00DD3055">
              <w:rPr>
                <w:sz w:val="20"/>
              </w:rPr>
              <w:t xml:space="preserve">Program na zlepšenie kvality ovzdušia </w:t>
            </w:r>
          </w:p>
          <w:p w:rsidR="00DD3055" w:rsidRPr="00960A37" w:rsidP="00DD3055">
            <w:pPr>
              <w:spacing w:after="360"/>
              <w:jc w:val="both"/>
              <w:rPr>
                <w:sz w:val="20"/>
              </w:rPr>
            </w:pPr>
            <w:r w:rsidRPr="00960A37">
              <w:rPr>
                <w:sz w:val="20"/>
              </w:rPr>
              <w:t xml:space="preserve">(1) Program na zlepšenie kvality ovzdušia sa vypracuje pre zónu a aglomeráciu, v ktorej koncentrácia znečisťujúcej látky prekračuje limitnú hodnotu alebo cieľovú hodnotu a určuje opatrenia na dosiahnutie dobrej kvality ovzdušia v čo najkratšom čase vymedzenom časovým harmonogramom implementácie prijatých opatrení. Takýto program sa vypracuje, aj keď je prekročená limitná hodnota alebo cieľová hodnota zvýšená o medzu tolerancie v čase jej uplatňovania. </w:t>
            </w:r>
          </w:p>
          <w:p w:rsidR="00BF042D" w:rsidRPr="00960A37" w:rsidP="00BF042D">
            <w:pPr>
              <w:tabs>
                <w:tab w:val="left" w:pos="1276"/>
              </w:tabs>
              <w:spacing w:after="360"/>
              <w:jc w:val="both"/>
              <w:rPr>
                <w:sz w:val="20"/>
              </w:rPr>
            </w:pPr>
            <w:r w:rsidRPr="00960A37">
              <w:rPr>
                <w:sz w:val="20"/>
              </w:rPr>
              <w:t xml:space="preserve">(3) V 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odseku 8 a 9. </w:t>
            </w:r>
          </w:p>
          <w:p w:rsidR="00BF042D" w:rsidRPr="00960A37" w:rsidP="00BF042D">
            <w:pPr>
              <w:pStyle w:val="ListParagraph"/>
              <w:spacing w:after="360" w:line="240" w:lineRule="auto"/>
              <w:ind w:left="0"/>
              <w:contextualSpacing w:val="0"/>
              <w:jc w:val="both"/>
              <w:rPr>
                <w:sz w:val="20"/>
                <w:szCs w:val="20"/>
                <w:lang w:eastAsia="en-US"/>
              </w:rPr>
            </w:pPr>
            <w:r w:rsidRPr="00960A37">
              <w:rPr>
                <w:sz w:val="20"/>
                <w:szCs w:val="20"/>
                <w:lang w:eastAsia="en-US"/>
              </w:rPr>
              <w:t xml:space="preserve">(3) Pri prekročení limitnej hodnoty, ktorej lehota na dosiahnutie už uplynula, v programe na zlepšenie kvality ovzdušia sa určia opatrenia zamerané na to, aby sa obdobie, v ktorom sú uvedené hodnoty prekračované, čo najviac skrátilo. Osobitne možno určiť opatrenia zamerané na ochranu citlivých skupín obyvateľstva vrátane detí a zahŕňať aj krátkodobé opatrenia. </w:t>
            </w:r>
          </w:p>
          <w:p w:rsidR="00BF042D" w:rsidRPr="00960A37" w:rsidP="00BF042D">
            <w:pPr>
              <w:pStyle w:val="ListParagraph"/>
              <w:spacing w:line="240" w:lineRule="auto"/>
              <w:ind w:left="0"/>
              <w:contextualSpacing w:val="0"/>
              <w:jc w:val="both"/>
              <w:rPr>
                <w:sz w:val="20"/>
                <w:szCs w:val="20"/>
                <w:lang w:eastAsia="en-US"/>
              </w:rPr>
            </w:pPr>
            <w:r w:rsidRPr="00960A37">
              <w:rPr>
                <w:sz w:val="20"/>
                <w:szCs w:val="20"/>
                <w:lang w:eastAsia="en-US"/>
              </w:rPr>
              <w:t>(4) Opatrenia v programe na zlepšenie kvality ovzdušia musia byť</w:t>
            </w:r>
          </w:p>
          <w:p w:rsidR="00BF042D" w:rsidRPr="00960A37" w:rsidP="00557828">
            <w:pPr>
              <w:pStyle w:val="ListParagraph"/>
              <w:numPr>
                <w:ilvl w:val="0"/>
                <w:numId w:val="12"/>
              </w:numPr>
              <w:spacing w:line="240" w:lineRule="auto"/>
              <w:ind w:left="284" w:hanging="284"/>
              <w:contextualSpacing w:val="0"/>
              <w:jc w:val="both"/>
              <w:rPr>
                <w:sz w:val="20"/>
                <w:szCs w:val="20"/>
                <w:lang w:eastAsia="en-US"/>
              </w:rPr>
            </w:pPr>
            <w:r w:rsidRPr="00960A37">
              <w:rPr>
                <w:sz w:val="20"/>
                <w:szCs w:val="20"/>
                <w:lang w:eastAsia="en-US"/>
              </w:rPr>
              <w:t>merateľné, kontrolovateľné a časovo viazané a určené spolu s merateľnými indikátormi plnenia, s uvedením subjektov zodpovedných za ich plnenie a </w:t>
            </w:r>
            <w:r w:rsidRPr="00960A37">
              <w:rPr>
                <w:sz w:val="20"/>
                <w:szCs w:val="20"/>
                <w:lang w:eastAsia="en-US"/>
              </w:rPr>
              <w:t>s termínmi ich realizácie,</w:t>
            </w:r>
          </w:p>
          <w:p w:rsidR="00BF042D" w:rsidRPr="00960A37" w:rsidP="00557828">
            <w:pPr>
              <w:pStyle w:val="ListParagraph"/>
              <w:numPr>
                <w:ilvl w:val="0"/>
                <w:numId w:val="12"/>
              </w:numPr>
              <w:spacing w:line="240" w:lineRule="auto"/>
              <w:ind w:left="284" w:hanging="284"/>
              <w:contextualSpacing w:val="0"/>
              <w:jc w:val="both"/>
              <w:rPr>
                <w:sz w:val="20"/>
                <w:szCs w:val="20"/>
                <w:lang w:eastAsia="en-US"/>
              </w:rPr>
            </w:pPr>
            <w:r w:rsidRPr="00960A37">
              <w:rPr>
                <w:sz w:val="20"/>
                <w:szCs w:val="20"/>
                <w:lang w:eastAsia="en-US"/>
              </w:rPr>
              <w:t xml:space="preserve">nákladovo efektívne, najmä ak sa týkajú oblastí, v ktorých sú úrovne ozónu vyššie ako dlhodobé ciele, </w:t>
            </w:r>
          </w:p>
          <w:p w:rsidR="00BF042D" w:rsidRPr="00960A37" w:rsidP="00557828">
            <w:pPr>
              <w:pStyle w:val="ListParagraph"/>
              <w:numPr>
                <w:ilvl w:val="0"/>
                <w:numId w:val="12"/>
              </w:numPr>
              <w:spacing w:line="240" w:lineRule="auto"/>
              <w:ind w:left="284" w:hanging="284"/>
              <w:contextualSpacing w:val="0"/>
              <w:jc w:val="both"/>
              <w:rPr>
                <w:sz w:val="20"/>
                <w:szCs w:val="20"/>
                <w:lang w:eastAsia="en-US"/>
              </w:rPr>
            </w:pPr>
            <w:r w:rsidRPr="00960A37">
              <w:rPr>
                <w:sz w:val="20"/>
                <w:szCs w:val="20"/>
                <w:lang w:eastAsia="en-US"/>
              </w:rPr>
              <w:t>v súlade najmä s opatreniami podľa § 8 ods. 1 až 3,</w:t>
            </w:r>
          </w:p>
          <w:p w:rsidR="00BF042D" w:rsidRPr="00960A37" w:rsidP="00557828">
            <w:pPr>
              <w:pStyle w:val="ListParagraph"/>
              <w:numPr>
                <w:ilvl w:val="0"/>
                <w:numId w:val="12"/>
              </w:numPr>
              <w:spacing w:after="360" w:line="240" w:lineRule="auto"/>
              <w:ind w:left="284" w:hanging="284"/>
              <w:contextualSpacing w:val="0"/>
              <w:jc w:val="both"/>
              <w:rPr>
                <w:sz w:val="20"/>
                <w:szCs w:val="20"/>
                <w:lang w:eastAsia="en-US"/>
              </w:rPr>
            </w:pPr>
            <w:r w:rsidRPr="00960A37">
              <w:rPr>
                <w:sz w:val="20"/>
                <w:szCs w:val="20"/>
                <w:lang w:eastAsia="en-US"/>
              </w:rPr>
              <w:t>v súlade s Národným programom znižovania emisií podľa § 18 na dosiahnutie príslušných environmentálnych cieľov.</w:t>
            </w:r>
          </w:p>
          <w:p w:rsidR="00BF042D" w:rsidRPr="00960A37" w:rsidP="00BF042D">
            <w:pPr>
              <w:tabs>
                <w:tab w:val="left" w:pos="1276"/>
              </w:tabs>
              <w:spacing w:after="360"/>
              <w:jc w:val="both"/>
              <w:rPr>
                <w:sz w:val="20"/>
              </w:rPr>
            </w:pPr>
          </w:p>
          <w:p w:rsidR="00E20C4A" w:rsidRPr="00960A37" w:rsidP="00E20C4A">
            <w:pPr>
              <w:pStyle w:val="Normlny"/>
              <w:jc w:val="center"/>
            </w:pPr>
          </w:p>
        </w:tc>
        <w:tc>
          <w:tcPr>
            <w:tcW w:w="708" w:type="dxa"/>
          </w:tcPr>
          <w:p w:rsidR="00E20C4A" w:rsidRPr="00DD3055" w:rsidP="00E20C4A">
            <w:pPr>
              <w:jc w:val="both"/>
              <w:rPr>
                <w:sz w:val="20"/>
              </w:rPr>
            </w:pPr>
            <w:r w:rsidRPr="00DD3055" w:rsidR="00DD3055">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Č23</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7C4CE1">
              <w:rPr>
                <w:sz w:val="20"/>
              </w:rPr>
              <w:t>2. Členské štáty v najväčšom možnom rozsahu zabezpečia súlad s ostatnými plánmi vyžadovanými podľa smerníc 2001/80/ES, 2001/81/ES alebo 2002/49/ES, aby dosiahli príslušné environmentálne ciele.</w:t>
            </w:r>
          </w:p>
          <w:p w:rsidR="00E20C4A" w:rsidRPr="007C4CE1" w:rsidP="00E20C4A">
            <w:pPr>
              <w:jc w:val="both"/>
              <w:rPr>
                <w:sz w:val="20"/>
              </w:rPr>
            </w:pPr>
          </w:p>
        </w:tc>
        <w:tc>
          <w:tcPr>
            <w:tcW w:w="747" w:type="dxa"/>
          </w:tcPr>
          <w:p w:rsidR="00E20C4A" w:rsidRPr="00D86B9D" w:rsidP="00E20C4A">
            <w:pPr>
              <w:ind w:right="-249"/>
              <w:rPr>
                <w:sz w:val="20"/>
              </w:rPr>
            </w:pPr>
            <w:r w:rsidR="00BF042D">
              <w:rPr>
                <w:sz w:val="20"/>
              </w:rPr>
              <w:t>N</w:t>
            </w:r>
          </w:p>
        </w:tc>
        <w:tc>
          <w:tcPr>
            <w:tcW w:w="574" w:type="dxa"/>
          </w:tcPr>
          <w:p w:rsidR="00E20C4A" w:rsidRPr="00BF042D" w:rsidP="00E20C4A">
            <w:pPr>
              <w:jc w:val="both"/>
              <w:rPr>
                <w:sz w:val="20"/>
              </w:rPr>
            </w:pPr>
            <w:r w:rsidRPr="00BF042D" w:rsidR="00BF042D">
              <w:rPr>
                <w:sz w:val="20"/>
              </w:rPr>
              <w:t>NZ</w:t>
            </w:r>
          </w:p>
        </w:tc>
        <w:tc>
          <w:tcPr>
            <w:tcW w:w="701" w:type="dxa"/>
          </w:tcPr>
          <w:p w:rsidR="00BF042D" w:rsidRPr="00743DBC" w:rsidP="00BF042D">
            <w:pPr>
              <w:pStyle w:val="Paragrafyzkona"/>
              <w:spacing w:before="0" w:line="240" w:lineRule="auto"/>
              <w:jc w:val="left"/>
              <w:rPr>
                <w:b w:val="0"/>
                <w:sz w:val="20"/>
                <w:szCs w:val="20"/>
                <w:lang w:eastAsia="en-US"/>
              </w:rPr>
            </w:pPr>
            <w:r>
              <w:rPr>
                <w:b w:val="0"/>
                <w:sz w:val="20"/>
                <w:szCs w:val="20"/>
                <w:lang w:eastAsia="en-US"/>
              </w:rPr>
              <w:t>§ 9</w:t>
            </w:r>
          </w:p>
          <w:p w:rsidR="00BF042D" w:rsidP="00BF042D">
            <w:pPr>
              <w:jc w:val="both"/>
              <w:rPr>
                <w:sz w:val="20"/>
              </w:rPr>
            </w:pPr>
            <w:r w:rsidRPr="008A42CA">
              <w:rPr>
                <w:sz w:val="20"/>
              </w:rPr>
              <w:t>O</w:t>
            </w:r>
            <w:r>
              <w:rPr>
                <w:sz w:val="20"/>
              </w:rPr>
              <w:t>4</w:t>
            </w:r>
          </w:p>
          <w:p w:rsidR="0003017D" w:rsidP="00BF042D">
            <w:pPr>
              <w:jc w:val="both"/>
              <w:rPr>
                <w:sz w:val="20"/>
              </w:rPr>
            </w:pPr>
            <w:r>
              <w:rPr>
                <w:sz w:val="20"/>
              </w:rPr>
              <w:t>Pa</w:t>
            </w:r>
          </w:p>
          <w:p w:rsidR="0003017D" w:rsidP="00BF042D">
            <w:pPr>
              <w:jc w:val="both"/>
              <w:rPr>
                <w:sz w:val="20"/>
              </w:rPr>
            </w:pPr>
            <w:r>
              <w:rPr>
                <w:sz w:val="20"/>
              </w:rPr>
              <w:t>Pb</w:t>
            </w:r>
          </w:p>
          <w:p w:rsidR="0003017D" w:rsidP="00BF042D">
            <w:pPr>
              <w:jc w:val="both"/>
              <w:rPr>
                <w:sz w:val="20"/>
              </w:rPr>
            </w:pPr>
            <w:r>
              <w:rPr>
                <w:sz w:val="20"/>
              </w:rPr>
              <w:t>Pc</w:t>
            </w:r>
          </w:p>
          <w:p w:rsidR="0003017D" w:rsidP="00BF042D">
            <w:pPr>
              <w:jc w:val="both"/>
              <w:rPr>
                <w:sz w:val="20"/>
              </w:rPr>
            </w:pPr>
            <w:r>
              <w:rPr>
                <w:sz w:val="20"/>
              </w:rPr>
              <w:t>Pd</w:t>
            </w:r>
          </w:p>
          <w:p w:rsidR="00E20C4A" w:rsidRPr="008658BB" w:rsidP="00E20C4A">
            <w:pPr>
              <w:jc w:val="both"/>
              <w:rPr>
                <w:b/>
                <w:sz w:val="20"/>
              </w:rPr>
            </w:pPr>
          </w:p>
        </w:tc>
        <w:tc>
          <w:tcPr>
            <w:tcW w:w="7797" w:type="dxa"/>
          </w:tcPr>
          <w:p w:rsidR="00CE02BE" w:rsidRPr="00CE02BE" w:rsidP="00CE02BE">
            <w:pPr>
              <w:pStyle w:val="ListParagraph"/>
              <w:spacing w:line="240" w:lineRule="auto"/>
              <w:ind w:left="0"/>
              <w:contextualSpacing w:val="0"/>
              <w:jc w:val="both"/>
              <w:rPr>
                <w:sz w:val="20"/>
                <w:szCs w:val="20"/>
                <w:lang w:eastAsia="en-US"/>
              </w:rPr>
            </w:pPr>
            <w:r w:rsidRPr="00960A37" w:rsidR="00BF042D">
              <w:rPr>
                <w:sz w:val="20"/>
                <w:szCs w:val="20"/>
                <w:lang w:eastAsia="en-US"/>
              </w:rPr>
              <w:t xml:space="preserve">(4) </w:t>
            </w:r>
            <w:r w:rsidRPr="00CE02BE">
              <w:rPr>
                <w:sz w:val="20"/>
                <w:szCs w:val="20"/>
                <w:lang w:eastAsia="en-US"/>
              </w:rPr>
              <w:t>Opatrenia v programe na zlepšenie kvality ovzdušia musia byť</w:t>
            </w:r>
          </w:p>
          <w:p w:rsidR="00CE02BE" w:rsidRPr="00CE02BE" w:rsidP="00CE02BE">
            <w:pPr>
              <w:pStyle w:val="ListParagraph"/>
              <w:spacing w:line="240" w:lineRule="auto"/>
              <w:ind w:left="0"/>
              <w:contextualSpacing w:val="0"/>
              <w:jc w:val="both"/>
              <w:rPr>
                <w:sz w:val="20"/>
                <w:szCs w:val="20"/>
                <w:lang w:eastAsia="en-US"/>
              </w:rPr>
            </w:pPr>
            <w:r>
              <w:rPr>
                <w:sz w:val="20"/>
                <w:szCs w:val="20"/>
                <w:lang w:eastAsia="en-US"/>
              </w:rPr>
              <w:t xml:space="preserve">a) </w:t>
            </w:r>
            <w:r w:rsidRPr="00CE02BE">
              <w:rPr>
                <w:sz w:val="20"/>
                <w:szCs w:val="20"/>
                <w:lang w:eastAsia="en-US"/>
              </w:rPr>
              <w:t>merateľné, kontrolovateľné a časovo viazané a určené spolu s merateľnými indikátormi plnenia, s uvedením subjektov zodpovedných za ich plnenie a s termínmi ich realizácie,</w:t>
            </w:r>
          </w:p>
          <w:p w:rsidR="00CE02BE" w:rsidRPr="00CE02BE" w:rsidP="00CE02BE">
            <w:pPr>
              <w:pStyle w:val="ListParagraph"/>
              <w:spacing w:line="240" w:lineRule="auto"/>
              <w:ind w:left="0"/>
              <w:contextualSpacing w:val="0"/>
              <w:jc w:val="both"/>
              <w:rPr>
                <w:sz w:val="20"/>
                <w:szCs w:val="20"/>
                <w:lang w:eastAsia="en-US"/>
              </w:rPr>
            </w:pPr>
            <w:r>
              <w:rPr>
                <w:sz w:val="20"/>
                <w:szCs w:val="20"/>
                <w:lang w:eastAsia="en-US"/>
              </w:rPr>
              <w:t>b</w:t>
            </w:r>
            <w:r>
              <w:rPr>
                <w:sz w:val="20"/>
                <w:szCs w:val="20"/>
                <w:lang w:eastAsia="en-US"/>
              </w:rPr>
              <w:t xml:space="preserve">) </w:t>
            </w:r>
            <w:r w:rsidRPr="00CE02BE">
              <w:rPr>
                <w:sz w:val="20"/>
                <w:szCs w:val="20"/>
                <w:lang w:eastAsia="en-US"/>
              </w:rPr>
              <w:t>nákladovo efektívne, najmä ak sa týkajú oblastí, v ktorých sú úrovne ozónu vyššie ako dlhodobé ciele,  pričom opatrenia  majú byť zamerané na prekurzory ozónu  t. j. látky, ktoré prispievajú k tvorbe prízemného ozónu ako sú oxidy dusíka a prchavé organic</w:t>
            </w:r>
            <w:r w:rsidRPr="00CE02BE">
              <w:rPr>
                <w:sz w:val="20"/>
                <w:szCs w:val="20"/>
                <w:lang w:eastAsia="en-US"/>
              </w:rPr>
              <w:t>ké látky,</w:t>
            </w:r>
          </w:p>
          <w:p w:rsidR="00CE02BE" w:rsidRPr="00CE02BE" w:rsidP="00CE02BE">
            <w:pPr>
              <w:pStyle w:val="ListParagraph"/>
              <w:spacing w:line="240" w:lineRule="auto"/>
              <w:ind w:left="0"/>
              <w:contextualSpacing w:val="0"/>
              <w:jc w:val="both"/>
              <w:rPr>
                <w:sz w:val="20"/>
                <w:szCs w:val="20"/>
                <w:lang w:eastAsia="en-US"/>
              </w:rPr>
            </w:pPr>
            <w:r>
              <w:rPr>
                <w:sz w:val="20"/>
                <w:szCs w:val="20"/>
                <w:lang w:eastAsia="en-US"/>
              </w:rPr>
              <w:t xml:space="preserve">c) </w:t>
            </w:r>
            <w:r w:rsidRPr="00CE02BE">
              <w:rPr>
                <w:sz w:val="20"/>
                <w:szCs w:val="20"/>
                <w:lang w:eastAsia="en-US"/>
              </w:rPr>
              <w:t>v súlade najmä s opatreniami podľa § 8 ods. 1 až 5,</w:t>
            </w:r>
          </w:p>
          <w:p w:rsidR="00CE02BE" w:rsidRPr="00CE02BE" w:rsidP="00CE02BE">
            <w:pPr>
              <w:pStyle w:val="ListParagraph"/>
              <w:spacing w:after="360" w:line="240" w:lineRule="auto"/>
              <w:ind w:left="0"/>
              <w:contextualSpacing w:val="0"/>
              <w:jc w:val="both"/>
              <w:rPr>
                <w:sz w:val="20"/>
                <w:szCs w:val="20"/>
                <w:lang w:eastAsia="en-US"/>
              </w:rPr>
            </w:pPr>
            <w:r>
              <w:rPr>
                <w:sz w:val="20"/>
                <w:szCs w:val="20"/>
                <w:lang w:eastAsia="en-US"/>
              </w:rPr>
              <w:t xml:space="preserve">d) </w:t>
            </w:r>
            <w:r w:rsidRPr="00CE02BE">
              <w:rPr>
                <w:sz w:val="20"/>
                <w:szCs w:val="20"/>
                <w:lang w:eastAsia="en-US"/>
              </w:rPr>
              <w:t>v súlade s Národným programom znižovania emisií podľa § 18 na dosiahnutie príslušných environmentálnych cieľov.</w:t>
            </w:r>
          </w:p>
          <w:p w:rsidR="00E20C4A" w:rsidRPr="00960A37" w:rsidP="00CE02BE">
            <w:pPr>
              <w:pStyle w:val="ListParagraph"/>
              <w:spacing w:line="240" w:lineRule="auto"/>
              <w:ind w:left="0"/>
              <w:contextualSpacing w:val="0"/>
              <w:jc w:val="both"/>
            </w:pPr>
          </w:p>
        </w:tc>
        <w:tc>
          <w:tcPr>
            <w:tcW w:w="708" w:type="dxa"/>
          </w:tcPr>
          <w:p w:rsidR="00E20C4A" w:rsidRPr="00BF042D" w:rsidP="00E20C4A">
            <w:pPr>
              <w:jc w:val="both"/>
              <w:rPr>
                <w:sz w:val="20"/>
              </w:rPr>
            </w:pPr>
            <w:r w:rsidRPr="00BF042D" w:rsidR="00BF042D">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Č24</w:t>
            </w:r>
          </w:p>
          <w:p w:rsidR="00E20C4A" w:rsidP="00E20C4A">
            <w:pPr>
              <w:jc w:val="both"/>
              <w:rPr>
                <w:sz w:val="20"/>
              </w:rPr>
            </w:pPr>
            <w:r>
              <w:rPr>
                <w:sz w:val="20"/>
              </w:rPr>
              <w:t>O1</w:t>
            </w:r>
            <w:r w:rsidR="00CA44E9">
              <w:rPr>
                <w:sz w:val="20"/>
              </w:rPr>
              <w:t>-O3</w:t>
            </w:r>
          </w:p>
        </w:tc>
        <w:tc>
          <w:tcPr>
            <w:tcW w:w="4074" w:type="dxa"/>
            <w:tcBorders>
              <w:bottom w:val="single" w:sz="4" w:space="0" w:color="auto"/>
            </w:tcBorders>
          </w:tcPr>
          <w:p w:rsidR="00E20C4A" w:rsidP="00E20C4A">
            <w:pPr>
              <w:jc w:val="both"/>
              <w:rPr>
                <w:sz w:val="20"/>
              </w:rPr>
            </w:pPr>
            <w:r w:rsidRPr="007C4CE1">
              <w:rPr>
                <w:sz w:val="20"/>
              </w:rPr>
              <w:t>Krátkodobé akčné plány 1. Ak v danej zóne alebo aglomerácii existuje riziko, že úrovne znečisťujúcich látok prekročia jeden alebo viac výstražných prahov určených v prílohe XII, členské štáty vypracujú akčné plány určujúce opatrenia, ktoré sa majú prijať v krátkom čase na zníženie rizika vzniku takéhoto prekročenia či na obmedzenie jeho trvania. Ak sa takéto riziko vzťahuje na jednu alebo viacero limitných hodnôt alebo cieľových hodnôt určených v prílohách VII, XI a XIV, členské štáty môžu prípadne vypracovať takéto krátkodobé akčné plány. Ak však existuje riziko prekročenia výstražného prahu pre ozón určeného v oddiele B prílohy XII, členské štáty vypracujú takéto krátkodobé akčné plány iba v prípade, ak podľa ich názoru existuje po zohľadnení vnútroštátnych zemepisných, meteorologických a hospodárskych podmienok významný potenciál na zníženie rizika vzniku, trvania alebo závažnosti takéhoto prekročenia. Pri vypracúvaní takéhoto krátkodobého akčného plánu členské štáty zohľadnia rozhodnutie 2004/279/ES.</w:t>
            </w:r>
          </w:p>
          <w:p w:rsidR="00CA44E9" w:rsidP="00CA44E9">
            <w:pPr>
              <w:jc w:val="both"/>
              <w:rPr>
                <w:sz w:val="20"/>
              </w:rPr>
            </w:pPr>
            <w:r w:rsidRPr="007C4CE1">
              <w:rPr>
                <w:sz w:val="20"/>
              </w:rPr>
              <w:t>2. Krátkodobé akčné plány uvedené v odseku 1 môžu v závislosti od jednotlivých prípadov ustanovovať účinné opatrenia na kontrolu a v prípade potreby na pozastavenie činností, ktoré prispievajú k riziku prekročenia príslušných limitných hodnôt alebo cieľových hodnôt alebo výstražného prahu. Tieto akčné plány môžu zahŕňať opatrenia vo vzťahu k premávke motorových vozidiel, stavebným prácam, lodiam a prístavom a využívaniu priemyselných závodov alebo výrobkov a vykurovania v domácnostiach. V rámci týchto plánov možno zvážiť aj osobitné akcie na ochranu citlivých skupín obyvateľstva vrátane detí.</w:t>
            </w:r>
          </w:p>
          <w:p w:rsidR="00CA44E9" w:rsidP="00CA44E9">
            <w:pPr>
              <w:jc w:val="both"/>
              <w:rPr>
                <w:sz w:val="20"/>
              </w:rPr>
            </w:pPr>
            <w:r w:rsidRPr="007C4CE1">
              <w:rPr>
                <w:sz w:val="20"/>
              </w:rPr>
              <w:t>3. Keď členské štáty vypracujú krátkodobý akčný plán, sprístupnia verejnosti a príslušným organizáciám, ako sú environmentálne organizácie, spotrebiteľské organizácie, organizácie zastupujúce záujmy citlivých skupín obyvateľstva, iné príslušné orgány zdravotnej starostlivosti a príslušné priemyselné združenia, výsledky svojich zistení o uskutočniteľnosti a obsahu konkrétnych krátkodobých akčných plánov, ako aj informácie o vykonávaní týchto plánov.</w:t>
            </w:r>
          </w:p>
          <w:p w:rsidR="00E20C4A" w:rsidRPr="007C4CE1" w:rsidP="00E20C4A">
            <w:pPr>
              <w:jc w:val="both"/>
              <w:rPr>
                <w:sz w:val="20"/>
              </w:rPr>
            </w:pPr>
          </w:p>
        </w:tc>
        <w:tc>
          <w:tcPr>
            <w:tcW w:w="747" w:type="dxa"/>
          </w:tcPr>
          <w:p w:rsidR="00E20C4A" w:rsidRPr="00D86B9D" w:rsidP="00E20C4A">
            <w:pPr>
              <w:ind w:right="-249"/>
              <w:rPr>
                <w:sz w:val="20"/>
              </w:rPr>
            </w:pPr>
            <w:r w:rsidR="00B0188F">
              <w:rPr>
                <w:sz w:val="20"/>
              </w:rPr>
              <w:t>N</w:t>
            </w:r>
          </w:p>
        </w:tc>
        <w:tc>
          <w:tcPr>
            <w:tcW w:w="574" w:type="dxa"/>
          </w:tcPr>
          <w:p w:rsidR="00E20C4A" w:rsidRPr="00B0188F" w:rsidP="00E20C4A">
            <w:pPr>
              <w:jc w:val="both"/>
              <w:rPr>
                <w:sz w:val="20"/>
              </w:rPr>
            </w:pPr>
            <w:r w:rsidRPr="00B0188F" w:rsidR="00B0188F">
              <w:rPr>
                <w:sz w:val="20"/>
              </w:rPr>
              <w:t>NZ</w:t>
            </w:r>
          </w:p>
        </w:tc>
        <w:tc>
          <w:tcPr>
            <w:tcW w:w="701" w:type="dxa"/>
          </w:tcPr>
          <w:p w:rsidR="00B0188F" w:rsidRPr="002A5AC7" w:rsidP="00B0188F">
            <w:pPr>
              <w:pStyle w:val="Paragrafyzkona"/>
              <w:spacing w:before="0" w:line="240" w:lineRule="auto"/>
              <w:jc w:val="left"/>
              <w:rPr>
                <w:b w:val="0"/>
                <w:sz w:val="20"/>
                <w:szCs w:val="20"/>
                <w:lang w:eastAsia="en-US"/>
              </w:rPr>
            </w:pPr>
            <w:r w:rsidRPr="002A5AC7" w:rsidR="005E333B">
              <w:rPr>
                <w:b w:val="0"/>
                <w:sz w:val="20"/>
                <w:szCs w:val="20"/>
                <w:lang w:eastAsia="en-US"/>
              </w:rPr>
              <w:t>§ 13</w:t>
            </w:r>
          </w:p>
          <w:p w:rsidR="00B0188F" w:rsidRPr="002A5AC7" w:rsidP="00B0188F">
            <w:pPr>
              <w:jc w:val="both"/>
              <w:rPr>
                <w:sz w:val="20"/>
              </w:rPr>
            </w:pPr>
            <w:r w:rsidRPr="002A5AC7">
              <w:rPr>
                <w:sz w:val="20"/>
              </w:rPr>
              <w:t>O1</w:t>
            </w:r>
          </w:p>
          <w:p w:rsidR="00B0188F" w:rsidRPr="002A5AC7" w:rsidP="00B0188F">
            <w:pPr>
              <w:jc w:val="both"/>
              <w:rPr>
                <w:sz w:val="20"/>
              </w:rPr>
            </w:pPr>
          </w:p>
          <w:p w:rsidR="00B0188F" w:rsidRPr="002A5AC7" w:rsidP="00B0188F">
            <w:pPr>
              <w:jc w:val="both"/>
              <w:rPr>
                <w:sz w:val="20"/>
              </w:rPr>
            </w:pPr>
          </w:p>
          <w:p w:rsidR="00B0188F" w:rsidRPr="002A5AC7" w:rsidP="00B0188F">
            <w:pPr>
              <w:jc w:val="both"/>
              <w:rPr>
                <w:sz w:val="20"/>
              </w:rPr>
            </w:pPr>
          </w:p>
          <w:p w:rsidR="00B0188F" w:rsidRPr="002A5AC7" w:rsidP="00B0188F">
            <w:pPr>
              <w:jc w:val="both"/>
              <w:rPr>
                <w:sz w:val="20"/>
              </w:rPr>
            </w:pPr>
          </w:p>
          <w:p w:rsidR="008E41C6" w:rsidRPr="002A5AC7" w:rsidP="00B0188F">
            <w:pPr>
              <w:jc w:val="both"/>
              <w:rPr>
                <w:sz w:val="20"/>
              </w:rPr>
            </w:pPr>
          </w:p>
          <w:p w:rsidR="00B0188F" w:rsidRPr="002A5AC7" w:rsidP="00B0188F">
            <w:pPr>
              <w:jc w:val="both"/>
              <w:rPr>
                <w:sz w:val="20"/>
              </w:rPr>
            </w:pPr>
            <w:r w:rsidRPr="002A5AC7">
              <w:rPr>
                <w:sz w:val="20"/>
              </w:rPr>
              <w:t>O2</w:t>
            </w:r>
          </w:p>
          <w:p w:rsidR="00714675" w:rsidRPr="002A5AC7" w:rsidP="00B0188F">
            <w:pPr>
              <w:jc w:val="both"/>
              <w:rPr>
                <w:sz w:val="20"/>
              </w:rPr>
            </w:pPr>
          </w:p>
          <w:p w:rsidR="00714675" w:rsidRPr="002A5AC7" w:rsidP="00B0188F">
            <w:pPr>
              <w:jc w:val="both"/>
              <w:rPr>
                <w:sz w:val="20"/>
              </w:rPr>
            </w:pPr>
          </w:p>
          <w:p w:rsidR="00730F07" w:rsidRPr="002A5AC7" w:rsidP="00B0188F">
            <w:pPr>
              <w:jc w:val="both"/>
              <w:rPr>
                <w:sz w:val="20"/>
              </w:rPr>
            </w:pPr>
          </w:p>
          <w:p w:rsidR="00730F07" w:rsidRPr="002A5AC7" w:rsidP="00B0188F">
            <w:pPr>
              <w:jc w:val="both"/>
              <w:rPr>
                <w:sz w:val="20"/>
              </w:rPr>
            </w:pPr>
          </w:p>
          <w:p w:rsidR="00B0188F" w:rsidRPr="002A5AC7" w:rsidP="00E20C4A">
            <w:pPr>
              <w:jc w:val="both"/>
              <w:rPr>
                <w:b/>
                <w:sz w:val="20"/>
              </w:rPr>
            </w:pPr>
          </w:p>
          <w:p w:rsidR="00B0188F" w:rsidRPr="002A5AC7" w:rsidP="00E20C4A">
            <w:pPr>
              <w:jc w:val="both"/>
              <w:rPr>
                <w:sz w:val="20"/>
              </w:rPr>
            </w:pPr>
            <w:r w:rsidRPr="002A5AC7" w:rsidR="008E41C6">
              <w:rPr>
                <w:sz w:val="20"/>
              </w:rPr>
              <w:t>O3</w:t>
            </w:r>
          </w:p>
          <w:p w:rsidR="00251CC6" w:rsidRPr="002A5AC7" w:rsidP="00E20C4A">
            <w:pPr>
              <w:jc w:val="both"/>
              <w:rPr>
                <w:sz w:val="20"/>
              </w:rPr>
            </w:pPr>
          </w:p>
          <w:p w:rsidR="00251CC6" w:rsidRPr="002A5AC7" w:rsidP="00E20C4A">
            <w:pPr>
              <w:jc w:val="both"/>
              <w:rPr>
                <w:sz w:val="20"/>
              </w:rPr>
            </w:pPr>
          </w:p>
          <w:p w:rsidR="00251C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r w:rsidRPr="002A5AC7">
              <w:rPr>
                <w:sz w:val="20"/>
              </w:rPr>
              <w:t>O4</w:t>
            </w: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r w:rsidRPr="002A5AC7">
              <w:rPr>
                <w:sz w:val="20"/>
              </w:rPr>
              <w:t>O5</w:t>
            </w: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r w:rsidRPr="002A5AC7">
              <w:rPr>
                <w:sz w:val="20"/>
              </w:rPr>
              <w:t>O6</w:t>
            </w: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r w:rsidRPr="002A5AC7">
              <w:rPr>
                <w:sz w:val="20"/>
              </w:rPr>
              <w:t>O7</w:t>
            </w: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r w:rsidRPr="002A5AC7">
              <w:rPr>
                <w:sz w:val="20"/>
              </w:rPr>
              <w:t>O8</w:t>
            </w: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8E41C6" w:rsidRPr="002A5AC7" w:rsidP="00E20C4A">
            <w:pPr>
              <w:jc w:val="both"/>
              <w:rPr>
                <w:sz w:val="20"/>
              </w:rPr>
            </w:pPr>
          </w:p>
          <w:p w:rsidR="00251CC6" w:rsidRPr="002A5AC7" w:rsidP="00E20C4A">
            <w:pPr>
              <w:jc w:val="both"/>
              <w:rPr>
                <w:sz w:val="20"/>
              </w:rPr>
            </w:pPr>
          </w:p>
          <w:p w:rsidR="008E41C6" w:rsidRPr="002A5AC7" w:rsidP="00251CC6">
            <w:pPr>
              <w:pStyle w:val="Paragrafyzkona"/>
              <w:spacing w:before="0" w:line="240" w:lineRule="auto"/>
              <w:jc w:val="left"/>
              <w:rPr>
                <w:b w:val="0"/>
                <w:sz w:val="20"/>
                <w:szCs w:val="20"/>
                <w:lang w:eastAsia="en-US"/>
              </w:rPr>
            </w:pPr>
            <w:r w:rsidRPr="002A5AC7" w:rsidR="00251CC6">
              <w:rPr>
                <w:b w:val="0"/>
                <w:sz w:val="20"/>
                <w:szCs w:val="20"/>
                <w:lang w:eastAsia="en-US"/>
              </w:rPr>
              <w:t>§ 6</w:t>
            </w:r>
          </w:p>
          <w:p w:rsidR="00251CC6" w:rsidRPr="002A5AC7" w:rsidP="00251CC6">
            <w:pPr>
              <w:pStyle w:val="Paragrafyzkona"/>
              <w:spacing w:before="0" w:line="240" w:lineRule="auto"/>
              <w:jc w:val="left"/>
              <w:rPr>
                <w:b w:val="0"/>
                <w:sz w:val="20"/>
                <w:szCs w:val="20"/>
                <w:lang w:eastAsia="en-US"/>
              </w:rPr>
            </w:pPr>
            <w:r w:rsidRPr="002A5AC7">
              <w:rPr>
                <w:b w:val="0"/>
                <w:sz w:val="20"/>
                <w:szCs w:val="20"/>
                <w:lang w:eastAsia="en-US"/>
              </w:rPr>
              <w:t>O5</w:t>
            </w:r>
          </w:p>
          <w:p w:rsidR="008E41C6" w:rsidRPr="002A5AC7" w:rsidP="00251CC6">
            <w:pPr>
              <w:pStyle w:val="Paragrafyzkona"/>
              <w:spacing w:before="0" w:line="240" w:lineRule="auto"/>
              <w:jc w:val="left"/>
              <w:rPr>
                <w:b w:val="0"/>
                <w:sz w:val="20"/>
                <w:szCs w:val="20"/>
                <w:lang w:eastAsia="en-US"/>
              </w:rPr>
            </w:pPr>
          </w:p>
          <w:p w:rsidR="008E41C6" w:rsidRPr="002A5AC7" w:rsidP="00251CC6">
            <w:pPr>
              <w:pStyle w:val="Paragrafyzkona"/>
              <w:spacing w:before="0" w:line="240" w:lineRule="auto"/>
              <w:jc w:val="left"/>
              <w:rPr>
                <w:b w:val="0"/>
                <w:sz w:val="20"/>
                <w:szCs w:val="20"/>
                <w:lang w:eastAsia="en-US"/>
              </w:rPr>
            </w:pPr>
          </w:p>
          <w:p w:rsidR="008E41C6" w:rsidP="00251CC6">
            <w:pPr>
              <w:pStyle w:val="Paragrafyzkona"/>
              <w:spacing w:before="0" w:line="240" w:lineRule="auto"/>
              <w:jc w:val="left"/>
              <w:rPr>
                <w:b w:val="0"/>
                <w:sz w:val="20"/>
                <w:szCs w:val="20"/>
                <w:lang w:eastAsia="en-US"/>
              </w:rPr>
            </w:pPr>
          </w:p>
          <w:p w:rsidR="002A5AC7" w:rsidP="00251CC6">
            <w:pPr>
              <w:pStyle w:val="Paragrafyzkona"/>
              <w:spacing w:before="0" w:line="240" w:lineRule="auto"/>
              <w:jc w:val="left"/>
              <w:rPr>
                <w:b w:val="0"/>
                <w:sz w:val="20"/>
                <w:szCs w:val="20"/>
                <w:lang w:eastAsia="en-US"/>
              </w:rPr>
            </w:pPr>
          </w:p>
          <w:p w:rsidR="002A5AC7" w:rsidP="00251CC6">
            <w:pPr>
              <w:pStyle w:val="Paragrafyzkona"/>
              <w:spacing w:before="0" w:line="240" w:lineRule="auto"/>
              <w:jc w:val="left"/>
              <w:rPr>
                <w:b w:val="0"/>
                <w:sz w:val="20"/>
                <w:szCs w:val="20"/>
                <w:lang w:eastAsia="en-US"/>
              </w:rPr>
            </w:pPr>
          </w:p>
          <w:p w:rsidR="002A5AC7" w:rsidRPr="002A5AC7" w:rsidP="00251CC6">
            <w:pPr>
              <w:pStyle w:val="Paragrafyzkona"/>
              <w:spacing w:before="0" w:line="240" w:lineRule="auto"/>
              <w:jc w:val="left"/>
              <w:rPr>
                <w:b w:val="0"/>
                <w:sz w:val="20"/>
                <w:szCs w:val="20"/>
                <w:lang w:eastAsia="en-US"/>
              </w:rPr>
            </w:pPr>
          </w:p>
          <w:p w:rsidR="008E41C6" w:rsidRPr="002A5AC7" w:rsidP="00251CC6">
            <w:pPr>
              <w:pStyle w:val="Paragrafyzkona"/>
              <w:spacing w:before="0" w:line="240" w:lineRule="auto"/>
              <w:jc w:val="left"/>
              <w:rPr>
                <w:b w:val="0"/>
                <w:sz w:val="20"/>
                <w:szCs w:val="20"/>
                <w:lang w:eastAsia="en-US"/>
              </w:rPr>
            </w:pPr>
            <w:r w:rsidRPr="002A5AC7">
              <w:rPr>
                <w:b w:val="0"/>
                <w:sz w:val="20"/>
                <w:szCs w:val="20"/>
                <w:lang w:eastAsia="en-US"/>
              </w:rPr>
              <w:t>O6</w:t>
            </w:r>
          </w:p>
          <w:p w:rsidR="00251CC6" w:rsidRPr="002A5AC7" w:rsidP="00251CC6">
            <w:pPr>
              <w:pStyle w:val="Paragrafyzkona"/>
              <w:spacing w:before="0" w:line="240" w:lineRule="auto"/>
              <w:jc w:val="left"/>
              <w:rPr>
                <w:b w:val="0"/>
                <w:sz w:val="20"/>
                <w:szCs w:val="20"/>
                <w:lang w:eastAsia="en-US"/>
              </w:rPr>
            </w:pPr>
          </w:p>
          <w:p w:rsidR="00251CC6" w:rsidRPr="002A5AC7" w:rsidP="00251CC6">
            <w:pPr>
              <w:pStyle w:val="Paragrafyzkona"/>
              <w:spacing w:before="0" w:line="240" w:lineRule="auto"/>
              <w:jc w:val="left"/>
              <w:rPr>
                <w:b w:val="0"/>
                <w:sz w:val="20"/>
                <w:szCs w:val="20"/>
                <w:lang w:eastAsia="en-US"/>
              </w:rPr>
            </w:pPr>
          </w:p>
          <w:p w:rsidR="00023F4B" w:rsidRPr="002A5AC7" w:rsidP="00251CC6">
            <w:pPr>
              <w:pStyle w:val="Paragrafyzkona"/>
              <w:spacing w:before="0" w:line="240" w:lineRule="auto"/>
              <w:jc w:val="left"/>
              <w:rPr>
                <w:b w:val="0"/>
                <w:sz w:val="20"/>
                <w:szCs w:val="20"/>
                <w:lang w:eastAsia="en-US"/>
              </w:rPr>
            </w:pPr>
          </w:p>
          <w:p w:rsidR="00023F4B" w:rsidRPr="002A5AC7" w:rsidP="00251CC6">
            <w:pPr>
              <w:pStyle w:val="Paragrafyzkona"/>
              <w:spacing w:before="0" w:line="240" w:lineRule="auto"/>
              <w:jc w:val="left"/>
              <w:rPr>
                <w:b w:val="0"/>
                <w:sz w:val="20"/>
                <w:szCs w:val="20"/>
                <w:lang w:eastAsia="en-US"/>
              </w:rPr>
            </w:pPr>
          </w:p>
          <w:p w:rsidR="00251CC6" w:rsidRPr="002A5AC7" w:rsidP="00E20C4A">
            <w:pPr>
              <w:jc w:val="both"/>
              <w:rPr>
                <w:sz w:val="20"/>
              </w:rPr>
            </w:pPr>
          </w:p>
        </w:tc>
        <w:tc>
          <w:tcPr>
            <w:tcW w:w="7797" w:type="dxa"/>
          </w:tcPr>
          <w:p w:rsidR="008E41C6" w:rsidRPr="002A5AC7" w:rsidP="008E41C6">
            <w:pPr>
              <w:pStyle w:val="ListParagraph"/>
              <w:spacing w:after="360"/>
              <w:ind w:left="0"/>
              <w:jc w:val="both"/>
              <w:rPr>
                <w:sz w:val="20"/>
                <w:szCs w:val="20"/>
                <w:lang w:eastAsia="en-US"/>
              </w:rPr>
            </w:pPr>
            <w:r w:rsidR="002A5AC7">
              <w:rPr>
                <w:sz w:val="20"/>
                <w:szCs w:val="20"/>
                <w:lang w:eastAsia="en-US"/>
              </w:rPr>
              <w:t xml:space="preserve">(1) </w:t>
            </w:r>
            <w:r w:rsidRPr="002A5AC7">
              <w:rPr>
                <w:sz w:val="20"/>
                <w:szCs w:val="20"/>
                <w:lang w:eastAsia="en-US"/>
              </w:rPr>
              <w:t xml:space="preserve">Smogový regulačný plán sa vypracuje v zóne alebo aglomerácii, v ktorej existuje riziko, že koncentrácia znečisťujúcej látky prekročí informačný prah alebo výstražný prah. Smogový regulačný plán možno vypracovať aj pre riziko prekročenia limitnej hodnoty a limitnej hodnoty, vrátane príslušnej medze tolerancie v dobe jej platnosti, alebo cieľovej hodnoty na obmedzenie tohto rizika. </w:t>
            </w:r>
          </w:p>
          <w:p w:rsidR="008E41C6" w:rsidRPr="002A5AC7" w:rsidP="008E41C6">
            <w:pPr>
              <w:pStyle w:val="ListParagraph"/>
              <w:spacing w:after="360"/>
              <w:ind w:left="0"/>
              <w:jc w:val="both"/>
              <w:rPr>
                <w:sz w:val="20"/>
                <w:szCs w:val="20"/>
                <w:lang w:eastAsia="en-US"/>
              </w:rPr>
            </w:pPr>
            <w:r w:rsidR="002A5AC7">
              <w:rPr>
                <w:sz w:val="20"/>
                <w:szCs w:val="20"/>
                <w:lang w:eastAsia="en-US"/>
              </w:rPr>
              <w:t xml:space="preserve">(2) </w:t>
            </w:r>
            <w:r w:rsidRPr="002A5AC7">
              <w:rPr>
                <w:sz w:val="20"/>
                <w:szCs w:val="20"/>
                <w:lang w:eastAsia="en-US"/>
              </w:rPr>
              <w:t>Ak existuje riziko  prekročenia výstražného prahu pre ozón, smogový regulačný plán sa vypracuje len, ak existuje významný potenciál na zníženie tohto rizika po zohľadnení geografických, meteorologických a hospodárskych pomerov v danom území. Pri vypracovaní sa postupuje podľa osobitného predpisu.</w:t>
            </w:r>
            <w:r w:rsidR="0036778C">
              <w:rPr>
                <w:sz w:val="20"/>
                <w:szCs w:val="20"/>
                <w:vertAlign w:val="superscript"/>
                <w:lang w:eastAsia="en-US"/>
              </w:rPr>
              <w:t>35</w:t>
            </w:r>
            <w:r w:rsidRPr="002A5AC7">
              <w:rPr>
                <w:sz w:val="20"/>
                <w:szCs w:val="20"/>
                <w:vertAlign w:val="superscript"/>
                <w:lang w:eastAsia="en-US"/>
              </w:rPr>
              <w:t>)</w:t>
            </w:r>
          </w:p>
          <w:p w:rsidR="008E41C6" w:rsidRPr="002A5AC7" w:rsidP="008E41C6">
            <w:pPr>
              <w:pStyle w:val="ListParagraph"/>
              <w:spacing w:after="360"/>
              <w:ind w:left="0"/>
              <w:jc w:val="both"/>
              <w:rPr>
                <w:sz w:val="20"/>
                <w:szCs w:val="20"/>
                <w:lang w:eastAsia="en-US"/>
              </w:rPr>
            </w:pPr>
            <w:r w:rsidR="002A5AC7">
              <w:rPr>
                <w:sz w:val="20"/>
                <w:szCs w:val="20"/>
                <w:lang w:eastAsia="en-US"/>
              </w:rPr>
              <w:t xml:space="preserve">(3) </w:t>
            </w:r>
            <w:r w:rsidRPr="002A5AC7">
              <w:rPr>
                <w:sz w:val="20"/>
                <w:szCs w:val="20"/>
                <w:lang w:eastAsia="en-US"/>
              </w:rPr>
              <w:t xml:space="preserve">V smogovom regulačnom pláne možno v závislosti od konkrétneho prípadu a podielu zdrojov na znečistení ovzdušia v danom území, ustanoviť opatrenia </w:t>
              <w:br/>
              <w:t>a)</w:t>
              <w:tab/>
              <w:t>na regulovanie, obmedzenie a zastavenie činností a prevádzky stacionárnych zdrojov,</w:t>
              <w:br/>
              <w:t>b)</w:t>
              <w:tab/>
              <w:t>na regulovanie, obmedzenie a zastavenie stavebných a búracích prác,</w:t>
              <w:br/>
              <w:t>c)</w:t>
              <w:tab/>
              <w:t xml:space="preserve">na regulovanie, obmedzenie alebo na zastavenie cestnej dopravy v nevyhnutných prípadoch, </w:t>
              <w:br/>
              <w:t>d)</w:t>
              <w:tab/>
              <w:t>na regulovanie činností emitujúcich tuhé znečisťujúce látky,</w:t>
              <w:br/>
              <w:t>e)</w:t>
              <w:tab/>
              <w:t xml:space="preserve">osobitne zamerané na ochranu citlivých skupín obyvateľstva, vrátane detí, </w:t>
              <w:br/>
              <w:t>f)</w:t>
              <w:tab/>
              <w:t xml:space="preserve">osobitne zamerané na zníženie prekurzorov ozónu, ak existuje významný potenciál na zníženie rizika prekročenia výstražného prahu pre ozón, obmedzenie jeho trvania alebo veľkosti jeho prekročenia; ak taký potenciál neexistuje, uplatňuje sa len smogový varovný systém pre ozón, </w:t>
              <w:br/>
              <w:t>g)</w:t>
              <w:tab/>
              <w:t>osobitne určené pre závažnú smogovú situáciu.</w:t>
            </w:r>
          </w:p>
          <w:p w:rsidR="008E41C6" w:rsidRPr="002A5AC7" w:rsidP="008E41C6">
            <w:pPr>
              <w:pStyle w:val="ListParagraph"/>
              <w:spacing w:after="360"/>
              <w:ind w:left="0"/>
              <w:jc w:val="both"/>
              <w:rPr>
                <w:sz w:val="20"/>
                <w:szCs w:val="20"/>
                <w:lang w:eastAsia="en-US"/>
              </w:rPr>
            </w:pPr>
            <w:r w:rsidR="002A5AC7">
              <w:rPr>
                <w:sz w:val="20"/>
                <w:szCs w:val="20"/>
                <w:lang w:eastAsia="en-US"/>
              </w:rPr>
              <w:t xml:space="preserve">(4) </w:t>
            </w:r>
            <w:r w:rsidRPr="002A5AC7">
              <w:rPr>
                <w:sz w:val="20"/>
                <w:szCs w:val="20"/>
                <w:lang w:eastAsia="en-US"/>
              </w:rPr>
              <w:t>Okresný úrad v sídle kraja vypracuje smogový regulačný plán v spolupráci so subjektmi podľa § 9 ods. 5 a návrh opatrení s informáciami o ich vykonávaní sprístupní regionálnemu úradu verejného zdravotníctva, verejnosti a združeniam zastupujúcim citlivé skupiny obyvateľstva.</w:t>
            </w:r>
          </w:p>
          <w:p w:rsidR="008E41C6" w:rsidRPr="002A5AC7" w:rsidP="008E41C6">
            <w:pPr>
              <w:pStyle w:val="ListParagraph"/>
              <w:spacing w:after="360"/>
              <w:ind w:left="0"/>
              <w:jc w:val="both"/>
              <w:rPr>
                <w:sz w:val="20"/>
                <w:szCs w:val="20"/>
                <w:lang w:eastAsia="en-US"/>
              </w:rPr>
            </w:pPr>
            <w:r w:rsidR="002A5AC7">
              <w:rPr>
                <w:sz w:val="20"/>
                <w:szCs w:val="20"/>
                <w:lang w:eastAsia="en-US"/>
              </w:rPr>
              <w:t xml:space="preserve">(5) </w:t>
            </w:r>
            <w:r w:rsidRPr="002A5AC7">
              <w:rPr>
                <w:sz w:val="20"/>
                <w:szCs w:val="20"/>
                <w:lang w:eastAsia="en-US"/>
              </w:rPr>
              <w:t>Okresný úrad v sídle kraja vydá smogový regulačný plán vyhláškou okresného úradu a priebežne zverejňuje informácie o jeho uplatňovaní na svojom webovom sídle a na webovom portáli o životnom prostredí.</w:t>
            </w:r>
          </w:p>
          <w:p w:rsidR="008E41C6" w:rsidRPr="002A5AC7" w:rsidP="008E41C6">
            <w:pPr>
              <w:pStyle w:val="ListParagraph"/>
              <w:spacing w:after="360"/>
              <w:ind w:left="0"/>
              <w:jc w:val="both"/>
              <w:rPr>
                <w:sz w:val="20"/>
                <w:szCs w:val="20"/>
                <w:lang w:eastAsia="en-US"/>
              </w:rPr>
            </w:pPr>
            <w:r w:rsidR="002A5AC7">
              <w:rPr>
                <w:sz w:val="20"/>
                <w:szCs w:val="20"/>
                <w:lang w:eastAsia="en-US"/>
              </w:rPr>
              <w:t xml:space="preserve">(6) </w:t>
            </w:r>
            <w:r w:rsidRPr="002A5AC7">
              <w:rPr>
                <w:sz w:val="20"/>
                <w:szCs w:val="20"/>
                <w:lang w:eastAsia="en-US"/>
              </w:rPr>
              <w:t>Okresný úrad v sídle kraja preskúma smogový regulačný plán každé tri roky; ak je potrebné prijať ďalšie opatrenia na zníženie rizika prekročenia informačného prahu alebo výstražného prahu v danej oblasti, smogový regulačný plán aktualizuje.</w:t>
            </w:r>
          </w:p>
          <w:p w:rsidR="008E41C6" w:rsidRPr="002A5AC7" w:rsidP="008E41C6">
            <w:pPr>
              <w:pStyle w:val="ListParagraph"/>
              <w:spacing w:after="360"/>
              <w:ind w:left="0"/>
              <w:jc w:val="both"/>
              <w:rPr>
                <w:sz w:val="20"/>
                <w:szCs w:val="20"/>
                <w:lang w:eastAsia="en-US"/>
              </w:rPr>
            </w:pPr>
            <w:r w:rsidR="002A5AC7">
              <w:rPr>
                <w:sz w:val="20"/>
                <w:szCs w:val="20"/>
                <w:lang w:eastAsia="en-US"/>
              </w:rPr>
              <w:t xml:space="preserve">(7) </w:t>
            </w:r>
            <w:r w:rsidRPr="002A5AC7">
              <w:rPr>
                <w:sz w:val="20"/>
                <w:szCs w:val="20"/>
                <w:lang w:eastAsia="en-US"/>
              </w:rPr>
              <w:t xml:space="preserve">Regulácia podľa smogového regulačného plánu sa začne uplatňovať najneskôr nasledujúci deň po vydaní upozornenia na vznik smogovej situácie alebo vydaní výstrahy o závažnej smogovej situácii podľa § 12 ods. 6 v danom území, ak nie je v smogovom regulačnom pláne uvedené inak. Regulácia končí oznámením o pominutí smogovej situácie. </w:t>
            </w:r>
          </w:p>
          <w:p w:rsidR="008E41C6" w:rsidRPr="002A5AC7" w:rsidP="008E41C6">
            <w:pPr>
              <w:pStyle w:val="ListParagraph"/>
              <w:spacing w:after="360" w:line="240" w:lineRule="auto"/>
              <w:ind w:left="0"/>
              <w:contextualSpacing w:val="0"/>
              <w:jc w:val="both"/>
              <w:rPr>
                <w:sz w:val="20"/>
                <w:szCs w:val="20"/>
                <w:lang w:eastAsia="en-US"/>
              </w:rPr>
            </w:pPr>
            <w:r w:rsidR="002A5AC7">
              <w:rPr>
                <w:sz w:val="20"/>
                <w:szCs w:val="20"/>
                <w:lang w:eastAsia="en-US"/>
              </w:rPr>
              <w:t xml:space="preserve">(8) </w:t>
            </w:r>
            <w:r w:rsidRPr="002A5AC7">
              <w:rPr>
                <w:sz w:val="20"/>
                <w:szCs w:val="20"/>
                <w:lang w:eastAsia="en-US"/>
              </w:rPr>
              <w:t>Ak ide o opatrenia v smogovom regulačnom pláne zamerané na obmedzenie rizika prekročenia limitnej hodnoty a cieľovej hodnoty, okresný úrad v sídle kraja vyhlási stav „regulácie“ a upovedomí o tom subjekty zodpovedné za plnenie uložených opatrení. Regulácia sa začne uplatňovať najneskôr nasledujúci deň po vyhlásení stavu regulácie, ak nie je v smogovom regulačnom pláne uvedené inak. Regulácia končí oznámením o pominutí rizika.</w:t>
            </w:r>
          </w:p>
          <w:p w:rsidR="008E41C6" w:rsidP="00B0188F">
            <w:pPr>
              <w:pStyle w:val="ListParagraph"/>
              <w:spacing w:after="360" w:line="240" w:lineRule="auto"/>
              <w:ind w:left="0"/>
              <w:contextualSpacing w:val="0"/>
              <w:jc w:val="both"/>
              <w:rPr>
                <w:sz w:val="20"/>
                <w:szCs w:val="20"/>
                <w:lang w:eastAsia="en-US"/>
              </w:rPr>
            </w:pPr>
            <w:r w:rsidR="002A5AC7">
              <w:rPr>
                <w:sz w:val="20"/>
                <w:szCs w:val="20"/>
                <w:lang w:eastAsia="en-US"/>
              </w:rPr>
              <w:t xml:space="preserve">(5) </w:t>
            </w:r>
            <w:r w:rsidRPr="002A5AC7">
              <w:rPr>
                <w:sz w:val="20"/>
                <w:szCs w:val="20"/>
                <w:lang w:eastAsia="en-US"/>
              </w:rPr>
              <w:t>V zóne a aglomerácii, v ktorej existuje riziko, že úroveň znečistenia ovzdušia prekročí informačný prah a výstražný prah, okresný úrad v sídle kraja vypracuje smogový regulačný plán podľa § 13 s cieľom odvrátenia alebo obmedzenia tohto rizika.</w:t>
            </w:r>
          </w:p>
          <w:p w:rsidR="002A5AC7" w:rsidRPr="002A5AC7" w:rsidP="00B0188F">
            <w:pPr>
              <w:pStyle w:val="ListParagraph"/>
              <w:spacing w:after="360" w:line="240" w:lineRule="auto"/>
              <w:ind w:left="0"/>
              <w:contextualSpacing w:val="0"/>
              <w:jc w:val="both"/>
              <w:rPr>
                <w:sz w:val="20"/>
                <w:szCs w:val="20"/>
                <w:lang w:eastAsia="en-US"/>
              </w:rPr>
            </w:pPr>
          </w:p>
          <w:p w:rsidR="00B0188F" w:rsidP="00B0188F">
            <w:pPr>
              <w:pStyle w:val="ListParagraph"/>
              <w:spacing w:after="360" w:line="240" w:lineRule="auto"/>
              <w:ind w:left="0"/>
              <w:contextualSpacing w:val="0"/>
              <w:jc w:val="both"/>
              <w:rPr>
                <w:sz w:val="20"/>
                <w:szCs w:val="20"/>
                <w:lang w:eastAsia="en-US"/>
              </w:rPr>
            </w:pPr>
            <w:r w:rsidR="002A5AC7">
              <w:rPr>
                <w:sz w:val="20"/>
                <w:szCs w:val="20"/>
                <w:lang w:eastAsia="en-US"/>
              </w:rPr>
              <w:t xml:space="preserve">(6) </w:t>
            </w:r>
            <w:r w:rsidRPr="002A5AC7" w:rsidR="008E41C6">
              <w:rPr>
                <w:sz w:val="20"/>
                <w:szCs w:val="20"/>
                <w:lang w:eastAsia="en-US"/>
              </w:rPr>
              <w:t>Okresný úrad v sídle kraja každoročne do 15. apríla vykoná verejný odpočet plnenia opatrení prijatých v programe na zlepšenie kvality ovzdušia, regionálnom programe a miestnom programe podľa § 10 ods. 2 písm. a) a smogovom regulačnom pláne; na jeho základe vypracuje finálny odpočet plnenia opatrení za uplynulý rok za danú zónu a aglomeráciu a zverejní ho do 31. mája na svojom webovom sídle a na webovom portáli o životnom prostredí.</w:t>
            </w:r>
          </w:p>
          <w:p w:rsidR="002A5AC7" w:rsidRPr="00E51677" w:rsidP="002A5AC7">
            <w:pPr>
              <w:pStyle w:val="ListParagraph"/>
              <w:spacing w:after="360" w:line="240" w:lineRule="auto"/>
              <w:ind w:left="0"/>
              <w:contextualSpacing w:val="0"/>
              <w:jc w:val="both"/>
              <w:rPr>
                <w:sz w:val="20"/>
                <w:szCs w:val="20"/>
                <w:lang w:eastAsia="en-US"/>
              </w:rPr>
            </w:pPr>
            <w:r w:rsidR="0036778C">
              <w:rPr>
                <w:sz w:val="20"/>
                <w:szCs w:val="20"/>
                <w:vertAlign w:val="superscript"/>
                <w:lang w:eastAsia="en-US"/>
              </w:rPr>
              <w:t>35</w:t>
            </w:r>
            <w:r w:rsidRPr="002A5AC7">
              <w:rPr>
                <w:sz w:val="20"/>
                <w:szCs w:val="20"/>
                <w:vertAlign w:val="superscript"/>
                <w:lang w:eastAsia="en-US"/>
              </w:rPr>
              <w:t xml:space="preserve"> )</w:t>
            </w:r>
            <w:r w:rsidRPr="00730F07">
              <w:rPr>
                <w:sz w:val="18"/>
                <w:szCs w:val="18"/>
                <w:lang w:eastAsia="en-US"/>
              </w:rPr>
              <w:t xml:space="preserve"> Rozhodnutie Komisie č. 279/2004 z 19. marca 2004 o pokynoch pre uplatňovanie smernice 2002/3/ES Európskeho parlamentu a Rady, ktorá sa  týka ozónu  v ovzduší. (Ú.v. EÚ L 87/50, 25. 3. 2004)</w:t>
            </w:r>
          </w:p>
          <w:p w:rsidR="002A5AC7" w:rsidRPr="002A5AC7" w:rsidP="00B0188F">
            <w:pPr>
              <w:pStyle w:val="ListParagraph"/>
              <w:spacing w:after="360" w:line="240" w:lineRule="auto"/>
              <w:ind w:left="0"/>
              <w:contextualSpacing w:val="0"/>
              <w:jc w:val="both"/>
              <w:rPr>
                <w:sz w:val="20"/>
                <w:szCs w:val="20"/>
                <w:lang w:eastAsia="en-US"/>
              </w:rPr>
            </w:pPr>
          </w:p>
          <w:p w:rsidR="00E20C4A" w:rsidRPr="002A5AC7" w:rsidP="00E20C4A">
            <w:pPr>
              <w:pStyle w:val="Normlny"/>
              <w:jc w:val="center"/>
              <w:rPr>
                <w:b/>
              </w:rPr>
            </w:pPr>
          </w:p>
        </w:tc>
        <w:tc>
          <w:tcPr>
            <w:tcW w:w="708" w:type="dxa"/>
          </w:tcPr>
          <w:p w:rsidR="00E20C4A" w:rsidRPr="00B0188F" w:rsidP="00E20C4A">
            <w:pPr>
              <w:jc w:val="both"/>
              <w:rPr>
                <w:sz w:val="20"/>
              </w:rPr>
            </w:pPr>
            <w:r w:rsidRPr="00B0188F" w:rsidR="00B0188F">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Č24</w:t>
            </w:r>
          </w:p>
          <w:p w:rsidR="00E20C4A" w:rsidP="00E20C4A">
            <w:pPr>
              <w:jc w:val="both"/>
              <w:rPr>
                <w:sz w:val="20"/>
              </w:rPr>
            </w:pPr>
            <w:r>
              <w:rPr>
                <w:sz w:val="20"/>
              </w:rPr>
              <w:t>O4</w:t>
            </w:r>
          </w:p>
        </w:tc>
        <w:tc>
          <w:tcPr>
            <w:tcW w:w="4074" w:type="dxa"/>
            <w:tcBorders>
              <w:bottom w:val="single" w:sz="4" w:space="0" w:color="auto"/>
            </w:tcBorders>
          </w:tcPr>
          <w:p w:rsidR="00E20C4A" w:rsidP="00E20C4A">
            <w:pPr>
              <w:jc w:val="both"/>
              <w:rPr>
                <w:sz w:val="20"/>
              </w:rPr>
            </w:pPr>
            <w:r w:rsidRPr="008047DA">
              <w:rPr>
                <w:sz w:val="20"/>
              </w:rPr>
              <w:t>4. Komisia prvýkrát pred 11. júnom 2010 a ďalej v pravidelných intervaloch uverejňuje príklady osvedčených postupov na vypracovanie krátkodobých akčných plánov spolu s príkladmi osvedčených postupov na ochranu citlivých skupín obyvateľstva vrátane detí.</w:t>
            </w:r>
          </w:p>
          <w:p w:rsidR="00E20C4A" w:rsidRPr="007C4CE1" w:rsidP="00E20C4A">
            <w:pPr>
              <w:jc w:val="both"/>
              <w:rPr>
                <w:sz w:val="20"/>
              </w:rPr>
            </w:pPr>
          </w:p>
        </w:tc>
        <w:tc>
          <w:tcPr>
            <w:tcW w:w="747" w:type="dxa"/>
          </w:tcPr>
          <w:p w:rsidR="00E20C4A" w:rsidRPr="00D86B9D" w:rsidP="00E20C4A">
            <w:pPr>
              <w:ind w:right="-249"/>
              <w:rPr>
                <w:sz w:val="20"/>
              </w:rPr>
            </w:pPr>
            <w:r w:rsidR="00F53800">
              <w:rPr>
                <w:sz w:val="20"/>
              </w:rPr>
              <w:t xml:space="preserve">n.a </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F53800"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Č25</w:t>
            </w:r>
          </w:p>
          <w:p w:rsidR="00E20C4A" w:rsidP="00E20C4A">
            <w:pPr>
              <w:jc w:val="both"/>
              <w:rPr>
                <w:sz w:val="20"/>
              </w:rPr>
            </w:pPr>
            <w:r>
              <w:rPr>
                <w:sz w:val="20"/>
              </w:rPr>
              <w:t>O1</w:t>
            </w:r>
            <w:r w:rsidR="002C6C64">
              <w:rPr>
                <w:sz w:val="20"/>
              </w:rPr>
              <w:t>-O5</w:t>
            </w:r>
          </w:p>
        </w:tc>
        <w:tc>
          <w:tcPr>
            <w:tcW w:w="4074" w:type="dxa"/>
            <w:tcBorders>
              <w:bottom w:val="single" w:sz="4" w:space="0" w:color="auto"/>
            </w:tcBorders>
          </w:tcPr>
          <w:p w:rsidR="00E20C4A" w:rsidP="00E20C4A">
            <w:pPr>
              <w:jc w:val="both"/>
              <w:rPr>
                <w:sz w:val="20"/>
              </w:rPr>
            </w:pPr>
            <w:r w:rsidRPr="00526418">
              <w:rPr>
                <w:sz w:val="20"/>
              </w:rPr>
              <w:t>Cezhraničné znečistenie ovzdušia 1. Na miestach, kde z dôvodu významného cezhraničného prenosu látok znečisťujúcich ovzdušie alebo ich prekurzorov došlo k prekročeniu výstražného prahu, limitnej hodnoty alebo cieľovej hodnoty vrátane príslušnej medze tolerancie alebo dlhodobého cieľa, dotknuté členské štáty spolupracujú a podľa potreby vypracujú spoločné činnosti, ako</w:t>
            </w:r>
            <w:r>
              <w:rPr>
                <w:sz w:val="20"/>
              </w:rPr>
              <w:t xml:space="preserve"> </w:t>
            </w:r>
            <w:r>
              <w:t xml:space="preserve">napr. </w:t>
            </w:r>
            <w:r w:rsidRPr="00526418">
              <w:rPr>
                <w:sz w:val="20"/>
              </w:rPr>
              <w:t>príprava spoločných alebo koordinovaných plánov kvality ovzdušia podľa článku 23 s cieľom odstrániť tieto prekročenia uplatnením vhodných, ale primeraných opatrení.</w:t>
            </w:r>
          </w:p>
          <w:p w:rsidR="002C6C64" w:rsidP="002C6C64">
            <w:pPr>
              <w:jc w:val="both"/>
              <w:rPr>
                <w:sz w:val="20"/>
              </w:rPr>
            </w:pPr>
            <w:r w:rsidRPr="00526418">
              <w:rPr>
                <w:sz w:val="20"/>
              </w:rPr>
              <w:t>2. V prípade každej spolupráce uvedenej v odseku 1 sa Komisia prizve, aby sa tejto spolupráce zúčastnila a pomáhala pri nej. Vo vhodných prípadoch Komisia zváži, pri zohľadnení správ vypracovaných podľa článku 9 smernice 2001/81/ES, či by sa na úrovni Spoločenstva nemali prijať ďalšie opatrenia na zníženie emisií prekurzorov spôsobujúcich cezhraničné znečistenie.</w:t>
            </w:r>
          </w:p>
          <w:p w:rsidR="002C6C64" w:rsidP="002C6C64">
            <w:pPr>
              <w:jc w:val="both"/>
              <w:rPr>
                <w:sz w:val="20"/>
              </w:rPr>
            </w:pPr>
            <w:r w:rsidRPr="00526418">
              <w:rPr>
                <w:sz w:val="20"/>
              </w:rPr>
              <w:t>3. Členské štáty, ak je to podľa článku 24 vhodné, pripravia a vykonávajú spoločné krátkodobé akčné plány vzťahujúce sa na susediace zóny v iných členských štátoch. Členské štáty zabezpečia, aby susediace zóny v iných členských štátoch, ktoré vypracovali krátkodobé akčné plány, dostali všetky potrebné informácie.</w:t>
            </w:r>
          </w:p>
          <w:p w:rsidR="002C6C64" w:rsidP="002C6C64">
            <w:pPr>
              <w:jc w:val="both"/>
              <w:rPr>
                <w:sz w:val="20"/>
              </w:rPr>
            </w:pPr>
            <w:r w:rsidRPr="00526418">
              <w:rPr>
                <w:sz w:val="20"/>
              </w:rPr>
              <w:t>4. Ak došlo k prekročeniu informačného prahu alebo výstražného prahu v zónach alebo aglomeráciách v blízkosti štátnych hraníc, informácie sa čo najskôr poskytujú príslušným orgánom dotknutých susedných členských štátov. Tieto informácie sa takisto sprístupňujú verejnosti.</w:t>
            </w:r>
          </w:p>
          <w:p w:rsidR="002C6C64" w:rsidP="002C6C64">
            <w:pPr>
              <w:jc w:val="both"/>
              <w:rPr>
                <w:sz w:val="20"/>
              </w:rPr>
            </w:pPr>
            <w:r w:rsidRPr="00526418">
              <w:rPr>
                <w:sz w:val="20"/>
              </w:rPr>
              <w:t>5. Pri vypracúvaní plánov ustanovených v odsekoch 1 a 3 a pri informovaní verejnosti, ako uvádza odsek 4, sa členské štáty podľa potreby usilujú o spoluprácu s tretími krajinami, najmä kandidátskymi krajinami.</w:t>
            </w:r>
          </w:p>
          <w:p w:rsidR="002C6C64" w:rsidP="002C6C64">
            <w:pPr>
              <w:jc w:val="both"/>
              <w:rPr>
                <w:sz w:val="20"/>
              </w:rPr>
            </w:pPr>
          </w:p>
          <w:p w:rsidR="002C6C64" w:rsidP="002C6C64">
            <w:pPr>
              <w:jc w:val="both"/>
              <w:rPr>
                <w:sz w:val="20"/>
              </w:rPr>
            </w:pPr>
          </w:p>
          <w:p w:rsidR="002C6C64" w:rsidP="00E20C4A">
            <w:pPr>
              <w:jc w:val="both"/>
              <w:rPr>
                <w:sz w:val="20"/>
              </w:rPr>
            </w:pPr>
          </w:p>
          <w:p w:rsidR="00E20C4A" w:rsidRPr="008047DA" w:rsidP="00E20C4A">
            <w:pPr>
              <w:jc w:val="both"/>
              <w:rPr>
                <w:sz w:val="20"/>
              </w:rPr>
            </w:pPr>
          </w:p>
        </w:tc>
        <w:tc>
          <w:tcPr>
            <w:tcW w:w="747" w:type="dxa"/>
          </w:tcPr>
          <w:p w:rsidR="00E20C4A" w:rsidRPr="00D86B9D" w:rsidP="00E20C4A">
            <w:pPr>
              <w:ind w:right="-249"/>
              <w:rPr>
                <w:sz w:val="20"/>
              </w:rPr>
            </w:pPr>
            <w:r w:rsidR="004E64FD">
              <w:rPr>
                <w:sz w:val="20"/>
              </w:rPr>
              <w:t>N</w:t>
            </w:r>
          </w:p>
        </w:tc>
        <w:tc>
          <w:tcPr>
            <w:tcW w:w="574" w:type="dxa"/>
          </w:tcPr>
          <w:p w:rsidR="00E20C4A" w:rsidRPr="00944465" w:rsidP="00E20C4A">
            <w:pPr>
              <w:jc w:val="both"/>
              <w:rPr>
                <w:sz w:val="20"/>
              </w:rPr>
            </w:pPr>
            <w:r w:rsidRPr="00944465" w:rsidR="004E64FD">
              <w:rPr>
                <w:sz w:val="20"/>
              </w:rPr>
              <w:t>NZ</w:t>
            </w:r>
          </w:p>
        </w:tc>
        <w:tc>
          <w:tcPr>
            <w:tcW w:w="701" w:type="dxa"/>
          </w:tcPr>
          <w:p w:rsidR="004E64FD" w:rsidRPr="004E64FD" w:rsidP="004E64FD">
            <w:pPr>
              <w:pStyle w:val="Paragrafyzkona"/>
              <w:keepLines w:val="0"/>
              <w:spacing w:before="0" w:after="120" w:line="240" w:lineRule="auto"/>
              <w:jc w:val="left"/>
              <w:rPr>
                <w:b w:val="0"/>
                <w:sz w:val="20"/>
                <w:szCs w:val="20"/>
                <w:lang w:eastAsia="en-US"/>
              </w:rPr>
            </w:pPr>
            <w:bookmarkStart w:id="1" w:name="_Toc51424580"/>
            <w:bookmarkStart w:id="2" w:name="_Toc51424451"/>
            <w:bookmarkStart w:id="3" w:name="_Toc52471363"/>
            <w:r w:rsidRPr="004E64FD">
              <w:rPr>
                <w:b w:val="0"/>
                <w:sz w:val="20"/>
                <w:szCs w:val="20"/>
                <w:lang w:eastAsia="en-US"/>
              </w:rPr>
              <w:t>§ 6</w:t>
            </w:r>
            <w:bookmarkEnd w:id="1"/>
            <w:bookmarkEnd w:id="2"/>
            <w:bookmarkEnd w:id="3"/>
          </w:p>
          <w:p w:rsidR="004E64FD" w:rsidP="004E64FD">
            <w:pPr>
              <w:rPr>
                <w:sz w:val="20"/>
              </w:rPr>
            </w:pPr>
            <w:r w:rsidRPr="004E64FD">
              <w:rPr>
                <w:sz w:val="20"/>
              </w:rPr>
              <w:t>O7</w:t>
            </w:r>
          </w:p>
          <w:p w:rsidR="004E64FD" w:rsidP="004E64FD">
            <w:pPr>
              <w:rPr>
                <w:sz w:val="20"/>
              </w:rPr>
            </w:pPr>
            <w:r>
              <w:rPr>
                <w:sz w:val="20"/>
              </w:rPr>
              <w:t>Pa</w:t>
            </w:r>
          </w:p>
          <w:p w:rsidR="004E64FD" w:rsidP="004E64FD">
            <w:pPr>
              <w:rPr>
                <w:sz w:val="20"/>
              </w:rPr>
            </w:pPr>
          </w:p>
          <w:p w:rsidR="004E64FD" w:rsidP="004E64FD">
            <w:pPr>
              <w:rPr>
                <w:sz w:val="20"/>
              </w:rPr>
            </w:pPr>
          </w:p>
          <w:p w:rsidR="004E64FD" w:rsidP="004E64FD">
            <w:pPr>
              <w:rPr>
                <w:sz w:val="20"/>
              </w:rPr>
            </w:pPr>
          </w:p>
          <w:p w:rsidR="004E64FD" w:rsidP="004E64FD">
            <w:pPr>
              <w:rPr>
                <w:sz w:val="20"/>
              </w:rPr>
            </w:pPr>
          </w:p>
          <w:p w:rsidR="004E64FD" w:rsidP="004E64FD">
            <w:pPr>
              <w:rPr>
                <w:sz w:val="20"/>
              </w:rPr>
            </w:pPr>
          </w:p>
          <w:p w:rsidR="00BD7144" w:rsidP="004E64FD">
            <w:pPr>
              <w:rPr>
                <w:sz w:val="20"/>
              </w:rPr>
            </w:pPr>
          </w:p>
          <w:p w:rsidR="004E64FD" w:rsidP="004E64FD">
            <w:pPr>
              <w:rPr>
                <w:sz w:val="20"/>
              </w:rPr>
            </w:pPr>
            <w:r>
              <w:rPr>
                <w:sz w:val="20"/>
              </w:rPr>
              <w:t>Pb</w:t>
            </w:r>
          </w:p>
          <w:p w:rsidR="004E64FD" w:rsidP="004E64FD">
            <w:pPr>
              <w:rPr>
                <w:sz w:val="20"/>
              </w:rPr>
            </w:pPr>
          </w:p>
          <w:p w:rsidR="004E64FD" w:rsidP="004E64FD">
            <w:pPr>
              <w:rPr>
                <w:sz w:val="20"/>
              </w:rPr>
            </w:pPr>
          </w:p>
          <w:p w:rsidR="004E64FD" w:rsidP="004E64FD">
            <w:pPr>
              <w:rPr>
                <w:sz w:val="20"/>
              </w:rPr>
            </w:pPr>
          </w:p>
          <w:p w:rsidR="004E64FD" w:rsidP="004E64FD">
            <w:pPr>
              <w:rPr>
                <w:sz w:val="20"/>
              </w:rPr>
            </w:pPr>
          </w:p>
          <w:p w:rsidR="00BD7144" w:rsidP="004E64FD">
            <w:pPr>
              <w:rPr>
                <w:sz w:val="20"/>
              </w:rPr>
            </w:pPr>
          </w:p>
          <w:p w:rsidR="004E64FD" w:rsidP="004E64FD">
            <w:pPr>
              <w:rPr>
                <w:sz w:val="20"/>
              </w:rPr>
            </w:pPr>
          </w:p>
          <w:p w:rsidR="004E64FD" w:rsidP="004E64FD">
            <w:pPr>
              <w:rPr>
                <w:sz w:val="20"/>
              </w:rPr>
            </w:pPr>
            <w:r>
              <w:rPr>
                <w:sz w:val="20"/>
              </w:rPr>
              <w:t>Pc</w:t>
            </w:r>
          </w:p>
          <w:p w:rsidR="004E64FD" w:rsidP="004E64FD">
            <w:pPr>
              <w:rPr>
                <w:sz w:val="20"/>
              </w:rPr>
            </w:pPr>
          </w:p>
          <w:p w:rsidR="004E64FD" w:rsidP="004E64FD">
            <w:pPr>
              <w:rPr>
                <w:sz w:val="20"/>
              </w:rPr>
            </w:pPr>
          </w:p>
          <w:p w:rsidR="004E64FD" w:rsidP="004E64FD">
            <w:pPr>
              <w:rPr>
                <w:sz w:val="20"/>
              </w:rPr>
            </w:pPr>
          </w:p>
          <w:p w:rsidR="002C6C64" w:rsidP="004E64FD">
            <w:pPr>
              <w:rPr>
                <w:sz w:val="20"/>
              </w:rPr>
            </w:pPr>
            <w:r w:rsidR="004E64FD">
              <w:rPr>
                <w:sz w:val="20"/>
              </w:rPr>
              <w:t>Pd</w:t>
            </w:r>
          </w:p>
          <w:p w:rsidR="00960A37" w:rsidP="004E64FD">
            <w:pPr>
              <w:rPr>
                <w:sz w:val="20"/>
              </w:rPr>
            </w:pPr>
          </w:p>
          <w:p w:rsidR="00960A37" w:rsidP="004E64FD">
            <w:pPr>
              <w:rPr>
                <w:sz w:val="20"/>
              </w:rPr>
            </w:pPr>
          </w:p>
          <w:p w:rsidR="00D457D2" w:rsidP="004E64FD">
            <w:pPr>
              <w:rPr>
                <w:sz w:val="20"/>
              </w:rPr>
            </w:pPr>
          </w:p>
          <w:p w:rsidR="00BD7144" w:rsidP="004E64FD">
            <w:pPr>
              <w:rPr>
                <w:sz w:val="20"/>
              </w:rPr>
            </w:pPr>
          </w:p>
          <w:p w:rsidR="002C6C64" w:rsidRPr="00E0661C" w:rsidP="00E0661C">
            <w:pPr>
              <w:pStyle w:val="Paragrafyzkona"/>
              <w:keepLines w:val="0"/>
              <w:spacing w:before="0" w:after="120" w:line="240" w:lineRule="auto"/>
              <w:jc w:val="left"/>
              <w:rPr>
                <w:b w:val="0"/>
                <w:sz w:val="20"/>
                <w:szCs w:val="20"/>
                <w:lang w:eastAsia="en-US"/>
              </w:rPr>
            </w:pPr>
            <w:r w:rsidR="009434A0">
              <w:rPr>
                <w:b w:val="0"/>
                <w:sz w:val="20"/>
                <w:szCs w:val="20"/>
                <w:lang w:eastAsia="en-US"/>
              </w:rPr>
              <w:t>§ 41</w:t>
            </w:r>
          </w:p>
          <w:p w:rsidR="002C6C64" w:rsidP="002C6C64">
            <w:pPr>
              <w:rPr>
                <w:sz w:val="20"/>
              </w:rPr>
            </w:pPr>
            <w:r>
              <w:rPr>
                <w:sz w:val="20"/>
              </w:rPr>
              <w:t>Ph</w:t>
            </w:r>
          </w:p>
          <w:p w:rsidR="002C6C64" w:rsidP="002C6C64">
            <w:pPr>
              <w:rPr>
                <w:sz w:val="20"/>
              </w:rPr>
            </w:pPr>
          </w:p>
          <w:p w:rsidR="002C6C64" w:rsidP="002C6C64">
            <w:pPr>
              <w:rPr>
                <w:sz w:val="20"/>
              </w:rPr>
            </w:pPr>
          </w:p>
          <w:p w:rsidR="00C746DE" w:rsidP="002C6C64">
            <w:pPr>
              <w:rPr>
                <w:sz w:val="20"/>
              </w:rPr>
            </w:pPr>
          </w:p>
          <w:p w:rsidR="00C746DE" w:rsidP="002C6C64">
            <w:pPr>
              <w:rPr>
                <w:sz w:val="20"/>
              </w:rPr>
            </w:pPr>
          </w:p>
          <w:p w:rsidR="002C6C64" w:rsidP="002C6C64">
            <w:pPr>
              <w:rPr>
                <w:sz w:val="20"/>
              </w:rPr>
            </w:pPr>
          </w:p>
          <w:p w:rsidR="002C6C64" w:rsidP="002C6C64">
            <w:pPr>
              <w:rPr>
                <w:sz w:val="20"/>
              </w:rPr>
            </w:pPr>
          </w:p>
          <w:p w:rsidR="002C6C64" w:rsidRPr="008658BB" w:rsidP="004E64FD">
            <w:pPr>
              <w:rPr>
                <w:b/>
                <w:sz w:val="20"/>
              </w:rPr>
            </w:pPr>
          </w:p>
        </w:tc>
        <w:tc>
          <w:tcPr>
            <w:tcW w:w="7797" w:type="dxa"/>
          </w:tcPr>
          <w:p w:rsidR="004E64FD" w:rsidRPr="004E64FD" w:rsidP="004E64FD">
            <w:pPr>
              <w:tabs>
                <w:tab w:val="left" w:pos="1276"/>
              </w:tabs>
              <w:spacing w:after="120"/>
              <w:jc w:val="both"/>
              <w:rPr>
                <w:sz w:val="20"/>
              </w:rPr>
            </w:pPr>
            <w:r>
              <w:rPr>
                <w:sz w:val="20"/>
              </w:rPr>
              <w:t xml:space="preserve">(7) </w:t>
            </w:r>
            <w:r w:rsidRPr="004E64FD">
              <w:rPr>
                <w:sz w:val="20"/>
              </w:rPr>
              <w:t xml:space="preserve">V oblastiach, v ktorých z dôvodu cezhraničného prenosu znečisťujúcich látok a ich prekurzorov </w:t>
            </w:r>
          </w:p>
          <w:p w:rsidR="00D457D2" w:rsidRPr="00D457D2" w:rsidP="00D457D2">
            <w:pPr>
              <w:pStyle w:val="ListParagraph"/>
              <w:ind w:left="0"/>
              <w:jc w:val="both"/>
              <w:rPr>
                <w:sz w:val="20"/>
                <w:szCs w:val="20"/>
                <w:lang w:eastAsia="en-US"/>
              </w:rPr>
            </w:pPr>
            <w:r w:rsidRPr="00D457D2">
              <w:rPr>
                <w:sz w:val="20"/>
                <w:szCs w:val="20"/>
                <w:lang w:eastAsia="en-US"/>
              </w:rPr>
              <w:t>a)</w:t>
              <w:tab/>
              <w:t>dochádza k prekročeniu prípustnej úrovne znečistenia ovzdušia, ministerstvo spolupracuje so zodpovednými orgánmi susedného štátu na odstránení prekročení limitnej hodnoty alebo cieľovej hodnoty, a to vykonaním spoločných aktivít alebo vypracovaním spoločných a koordinovaných programov na zlepšenie kvality ovzdušia; ak ide o členský štát Európskej únie, ministerstvo prizve na rokovanie aj Európsku komisiu (ďalej len „Komisia“),</w:t>
            </w:r>
          </w:p>
          <w:p w:rsidR="00D457D2" w:rsidRPr="00D457D2" w:rsidP="00D457D2">
            <w:pPr>
              <w:pStyle w:val="ListParagraph"/>
              <w:ind w:left="0"/>
              <w:jc w:val="both"/>
              <w:rPr>
                <w:sz w:val="20"/>
                <w:szCs w:val="20"/>
                <w:lang w:eastAsia="en-US"/>
              </w:rPr>
            </w:pPr>
            <w:r w:rsidRPr="00D457D2">
              <w:rPr>
                <w:sz w:val="20"/>
                <w:szCs w:val="20"/>
                <w:lang w:eastAsia="en-US"/>
              </w:rPr>
              <w:t>b)</w:t>
              <w:tab/>
              <w:t>dochádza k riziku podľa § 13 a je to žiaduce, príslušný okresný úrad v sídle kraja v spolupráci s príslušným orgánom dotknutého susedného štátu vypracujú a vykonávajú spoločný alebo koordinovaný smogový regulačný plán, ktorý sa bude vzťahovať na susedné zóny v členských štátoch Európskej únie alebo štátov Európskeho hospodárskeho priestoru; členské štáty zabezpečia a poskytnú dostatok informácií na vypracovanie a koordinované vykonávanie smogového regulačného plánu v dotknutých susedných zónach,</w:t>
            </w:r>
          </w:p>
          <w:p w:rsidR="00D457D2" w:rsidRPr="00D457D2" w:rsidP="00D457D2">
            <w:pPr>
              <w:pStyle w:val="ListParagraph"/>
              <w:ind w:left="0"/>
              <w:jc w:val="both"/>
              <w:rPr>
                <w:sz w:val="20"/>
                <w:szCs w:val="20"/>
                <w:lang w:eastAsia="en-US"/>
              </w:rPr>
            </w:pPr>
            <w:r w:rsidRPr="00D457D2">
              <w:rPr>
                <w:sz w:val="20"/>
                <w:szCs w:val="20"/>
                <w:lang w:eastAsia="en-US"/>
              </w:rPr>
              <w:t>c)</w:t>
              <w:tab/>
              <w:t>bol prekročený informačný prah alebo výstražný prah v zóne alebo aglomerácii v blízkosti hraníc, poverená organizácia informuje o tom čo najskôr príslušné orgány dotknutého susedného štátu,</w:t>
            </w:r>
          </w:p>
          <w:p w:rsidR="00D457D2" w:rsidP="00D457D2">
            <w:pPr>
              <w:pStyle w:val="ListParagraph"/>
              <w:spacing w:line="240" w:lineRule="auto"/>
              <w:ind w:left="0"/>
              <w:contextualSpacing w:val="0"/>
              <w:jc w:val="both"/>
              <w:rPr>
                <w:sz w:val="20"/>
                <w:szCs w:val="20"/>
                <w:lang w:eastAsia="en-US"/>
              </w:rPr>
            </w:pPr>
            <w:r w:rsidRPr="00D457D2">
              <w:rPr>
                <w:sz w:val="20"/>
                <w:szCs w:val="20"/>
                <w:lang w:eastAsia="en-US"/>
              </w:rPr>
              <w:t>d)</w:t>
              <w:tab/>
              <w:t>dochádza k situáciám podľa písmen a) až c) ministerstvo sa usiluje o spoluprácu s tretími krajinami, najmä kandi</w:t>
            </w:r>
            <w:r w:rsidRPr="00D457D2">
              <w:rPr>
                <w:sz w:val="20"/>
                <w:szCs w:val="20"/>
                <w:lang w:eastAsia="en-US"/>
              </w:rPr>
              <w:t xml:space="preserve">dátskymi krajinami na vstup do Európskej únie a krajinami Európskeho hospodárskeho priestoru. </w:t>
            </w:r>
          </w:p>
          <w:p w:rsidR="00D457D2" w:rsidP="00D457D2">
            <w:pPr>
              <w:pStyle w:val="ListParagraph"/>
              <w:spacing w:line="240" w:lineRule="auto"/>
              <w:ind w:left="0"/>
              <w:contextualSpacing w:val="0"/>
              <w:jc w:val="both"/>
              <w:rPr>
                <w:sz w:val="20"/>
                <w:szCs w:val="20"/>
                <w:lang w:eastAsia="en-US"/>
              </w:rPr>
            </w:pPr>
          </w:p>
          <w:p w:rsidR="002C6C64" w:rsidP="00D457D2">
            <w:pPr>
              <w:pStyle w:val="ListParagraph"/>
              <w:spacing w:line="240" w:lineRule="auto"/>
              <w:ind w:left="0"/>
              <w:contextualSpacing w:val="0"/>
              <w:jc w:val="both"/>
              <w:rPr>
                <w:sz w:val="20"/>
                <w:szCs w:val="20"/>
                <w:lang w:eastAsia="en-US"/>
              </w:rPr>
            </w:pPr>
            <w:r w:rsidR="00D457D2">
              <w:rPr>
                <w:sz w:val="20"/>
                <w:szCs w:val="20"/>
                <w:lang w:eastAsia="en-US"/>
              </w:rPr>
              <w:t xml:space="preserve"> </w:t>
            </w:r>
            <w:r>
              <w:rPr>
                <w:sz w:val="20"/>
                <w:szCs w:val="20"/>
                <w:lang w:eastAsia="en-US"/>
              </w:rPr>
              <w:t>Ministerstvo</w:t>
            </w:r>
          </w:p>
          <w:p w:rsidR="00C746DE" w:rsidP="002C6C64">
            <w:pPr>
              <w:pStyle w:val="ListParagraph"/>
              <w:spacing w:line="240" w:lineRule="auto"/>
              <w:ind w:left="0"/>
              <w:contextualSpacing w:val="0"/>
              <w:jc w:val="both"/>
              <w:rPr>
                <w:sz w:val="20"/>
                <w:szCs w:val="20"/>
                <w:lang w:eastAsia="en-US"/>
              </w:rPr>
            </w:pPr>
            <w:r w:rsidR="002C6C64">
              <w:rPr>
                <w:sz w:val="20"/>
                <w:szCs w:val="20"/>
                <w:lang w:eastAsia="en-US"/>
              </w:rPr>
              <w:t xml:space="preserve">h) </w:t>
            </w:r>
            <w:r w:rsidRPr="002C6C64" w:rsidR="002C6C64">
              <w:rPr>
                <w:sz w:val="20"/>
                <w:szCs w:val="20"/>
                <w:lang w:eastAsia="en-US"/>
              </w:rPr>
              <w:t xml:space="preserve">vo veciach hodnotenia a riadenia kvality ovzdušia zabezpečuje prostredníctvom poverenej organizácie </w:t>
            </w:r>
          </w:p>
          <w:p w:rsidR="002C6C64" w:rsidRPr="00C746DE" w:rsidP="002C6C64">
            <w:pPr>
              <w:pStyle w:val="ListParagraph"/>
              <w:spacing w:line="240" w:lineRule="auto"/>
              <w:ind w:left="0"/>
              <w:contextualSpacing w:val="0"/>
              <w:jc w:val="both"/>
            </w:pPr>
            <w:r w:rsidR="00C746DE">
              <w:rPr>
                <w:sz w:val="20"/>
                <w:szCs w:val="20"/>
                <w:lang w:eastAsia="en-US"/>
              </w:rPr>
              <w:t xml:space="preserve">Bod 10.  </w:t>
            </w:r>
            <w:r w:rsidRPr="00C746DE" w:rsidR="00C746DE">
              <w:rPr>
                <w:sz w:val="20"/>
                <w:szCs w:val="20"/>
                <w:lang w:eastAsia="en-US"/>
              </w:rPr>
              <w:t>spoluprácu s príslušnými organizáciami členských štátov Európskej únie, Európskeho hospodárskeho priestoru a s Komisiou v oblasti hodnotenia a riadenia kvality ovzdušia a koordináciu programov na zlepšenie kvality ovzdušia na území Slovenskej republiky, ktoré organizuje Komisia,</w:t>
            </w:r>
          </w:p>
          <w:p w:rsidR="002C6C64" w:rsidP="002C6C64">
            <w:pPr>
              <w:pStyle w:val="ListParagraph"/>
              <w:spacing w:line="240" w:lineRule="auto"/>
              <w:ind w:left="0"/>
              <w:contextualSpacing w:val="0"/>
              <w:jc w:val="both"/>
              <w:rPr>
                <w:sz w:val="20"/>
                <w:szCs w:val="20"/>
                <w:lang w:eastAsia="en-US"/>
              </w:rPr>
            </w:pPr>
            <w:r w:rsidR="00C746DE">
              <w:rPr>
                <w:sz w:val="20"/>
                <w:szCs w:val="20"/>
                <w:lang w:eastAsia="en-US"/>
              </w:rPr>
              <w:t xml:space="preserve">Bod 11. </w:t>
            </w:r>
            <w:r w:rsidRPr="002C6C64">
              <w:rPr>
                <w:sz w:val="20"/>
                <w:szCs w:val="20"/>
                <w:lang w:eastAsia="en-US"/>
              </w:rPr>
              <w:t>výmenu aktuálnych informácií o kvalite ovzdušia s dotknutými susednými štátmi Európskej únie a prekročenia informačných prahov a výstražných prahov a tieto informácie zverejňuje</w:t>
            </w:r>
            <w:r w:rsidR="00C746DE">
              <w:rPr>
                <w:sz w:val="20"/>
                <w:szCs w:val="20"/>
                <w:lang w:eastAsia="en-US"/>
              </w:rPr>
              <w:t>.</w:t>
            </w:r>
          </w:p>
          <w:p w:rsidR="002C6C64" w:rsidRPr="002C6C64" w:rsidP="002C6C64">
            <w:pPr>
              <w:pStyle w:val="ListParagraph"/>
              <w:spacing w:line="240" w:lineRule="auto"/>
              <w:ind w:left="0"/>
              <w:contextualSpacing w:val="0"/>
              <w:jc w:val="both"/>
              <w:rPr>
                <w:sz w:val="20"/>
                <w:szCs w:val="20"/>
                <w:lang w:eastAsia="en-US"/>
              </w:rPr>
            </w:pPr>
          </w:p>
          <w:p w:rsidR="002C6C64" w:rsidRPr="004E64FD" w:rsidP="002C6C64">
            <w:pPr>
              <w:pStyle w:val="ListParagraph"/>
              <w:spacing w:after="360" w:line="240" w:lineRule="auto"/>
              <w:ind w:left="0"/>
              <w:contextualSpacing w:val="0"/>
              <w:jc w:val="both"/>
              <w:rPr>
                <w:sz w:val="20"/>
                <w:szCs w:val="20"/>
                <w:lang w:eastAsia="en-US"/>
              </w:rPr>
            </w:pPr>
          </w:p>
          <w:p w:rsidR="00E20C4A" w:rsidP="00E20C4A">
            <w:pPr>
              <w:pStyle w:val="Normlny"/>
              <w:jc w:val="center"/>
              <w:rPr>
                <w:b/>
              </w:rPr>
            </w:pPr>
          </w:p>
        </w:tc>
        <w:tc>
          <w:tcPr>
            <w:tcW w:w="708" w:type="dxa"/>
          </w:tcPr>
          <w:p w:rsidR="00E20C4A" w:rsidRPr="004E64FD" w:rsidP="00E20C4A">
            <w:pPr>
              <w:jc w:val="both"/>
              <w:rPr>
                <w:sz w:val="20"/>
              </w:rPr>
            </w:pPr>
            <w:r w:rsidRPr="004E64FD" w:rsidR="004E64FD">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Č26</w:t>
            </w:r>
          </w:p>
          <w:p w:rsidR="00E20C4A" w:rsidP="00E20C4A">
            <w:pPr>
              <w:jc w:val="both"/>
              <w:rPr>
                <w:sz w:val="20"/>
              </w:rPr>
            </w:pPr>
            <w:r>
              <w:rPr>
                <w:sz w:val="20"/>
              </w:rPr>
              <w:t>O1</w:t>
            </w:r>
            <w:r w:rsidR="00541AC4">
              <w:rPr>
                <w:sz w:val="20"/>
              </w:rPr>
              <w:t>-O2</w:t>
            </w:r>
          </w:p>
        </w:tc>
        <w:tc>
          <w:tcPr>
            <w:tcW w:w="4074" w:type="dxa"/>
            <w:tcBorders>
              <w:bottom w:val="single" w:sz="4" w:space="0" w:color="auto"/>
            </w:tcBorders>
          </w:tcPr>
          <w:p w:rsidR="00E20C4A" w:rsidP="00E20C4A">
            <w:pPr>
              <w:jc w:val="both"/>
              <w:rPr>
                <w:sz w:val="20"/>
              </w:rPr>
            </w:pPr>
            <w:r w:rsidRPr="00D16B3E">
              <w:rPr>
                <w:sz w:val="20"/>
              </w:rPr>
              <w:t xml:space="preserve">Informovanie verejnosti </w:t>
            </w:r>
          </w:p>
          <w:p w:rsidR="00E20C4A" w:rsidP="00E20C4A">
            <w:pPr>
              <w:jc w:val="both"/>
              <w:rPr>
                <w:sz w:val="20"/>
              </w:rPr>
            </w:pPr>
            <w:r w:rsidRPr="00D16B3E">
              <w:rPr>
                <w:sz w:val="20"/>
              </w:rPr>
              <w:t xml:space="preserve">1. Členské štáty zabezpečia primerané a včasné informovanie verejnosti a príslušných organizácií, ako sú environmentálne organizácie, spotrebiteľské organizácie, organizácie zastupujúce záujmy citlivých skupín obyvateľstva, iné príslušné orgány zdravotnej starostlivosti a príslušné priemyselné združenia, o: </w:t>
            </w:r>
          </w:p>
          <w:p w:rsidR="00E20C4A" w:rsidP="00E20C4A">
            <w:pPr>
              <w:jc w:val="both"/>
              <w:rPr>
                <w:sz w:val="20"/>
              </w:rPr>
            </w:pPr>
            <w:r w:rsidRPr="00D16B3E">
              <w:rPr>
                <w:sz w:val="20"/>
              </w:rPr>
              <w:t xml:space="preserve">a) kvalite okolitého ovzdušia v súlade s prílohou XVI; </w:t>
            </w:r>
          </w:p>
          <w:p w:rsidR="00E20C4A" w:rsidP="00E20C4A">
            <w:pPr>
              <w:jc w:val="both"/>
              <w:rPr>
                <w:sz w:val="20"/>
              </w:rPr>
            </w:pPr>
            <w:r w:rsidRPr="00D16B3E">
              <w:rPr>
                <w:sz w:val="20"/>
              </w:rPr>
              <w:t xml:space="preserve">b) každom rozhodnutí o predĺžení lehôt podľa článku 22 ods. 1; </w:t>
            </w:r>
          </w:p>
          <w:p w:rsidR="00E20C4A" w:rsidP="00E20C4A">
            <w:pPr>
              <w:jc w:val="both"/>
              <w:rPr>
                <w:sz w:val="20"/>
              </w:rPr>
            </w:pPr>
            <w:r w:rsidRPr="00D16B3E">
              <w:rPr>
                <w:sz w:val="20"/>
              </w:rPr>
              <w:t xml:space="preserve">c) akýchkoľvek výnimkách podľa článku 22 ods. 2; </w:t>
            </w:r>
          </w:p>
          <w:p w:rsidR="00E20C4A" w:rsidP="00E20C4A">
            <w:pPr>
              <w:jc w:val="both"/>
              <w:rPr>
                <w:sz w:val="20"/>
              </w:rPr>
            </w:pPr>
            <w:r w:rsidRPr="00D16B3E">
              <w:rPr>
                <w:sz w:val="20"/>
              </w:rPr>
              <w:t>d) plánoch kvality ovzdušia ustanovených v článku 22 ods. 1 a článku 23 a o programoch uvedených v článku 17 ods. 2. Informácie sa sprístupnia bezplatne prostredníctvom akéhokoľvek ľahko prístupného média vrátane internetu alebo akéhokoľvek iného vhodného telekomunikačného prostriedku, pričom sa zohľadnia ustanovenia smern</w:t>
            </w:r>
            <w:r w:rsidRPr="00D16B3E">
              <w:rPr>
                <w:sz w:val="20"/>
              </w:rPr>
              <w:t>ice 2007/2/ES.</w:t>
            </w:r>
          </w:p>
          <w:p w:rsidR="00541AC4" w:rsidP="00E20C4A">
            <w:pPr>
              <w:jc w:val="both"/>
              <w:rPr>
                <w:sz w:val="20"/>
              </w:rPr>
            </w:pPr>
            <w:r w:rsidRPr="00D16B3E">
              <w:rPr>
                <w:sz w:val="20"/>
              </w:rPr>
              <w:t>2. Členské štáty sprístupnia verejnosti výročné správy týkajúce sa všetkých znečisťujúcich látok, na ktoré sa vzťahuje táto smernica. Uvedené správy poskytujú stručný prehľad o úrovniach prekračujúcich limitné hodnoty, cieľové hodnoty, dlhodobé ciele, informačné prahy a výstražné prahy za príslušné priemerované obdobia. K týmto informáciám sa pripojí stručné hodnotenie účinkov týchto prekročení. Správy môžu vo vhodných prípadoch obsahovať aj ďalšie informácie a hodnotenia ochrany lesov, ako aj informácie o ďalších znečisťujúcich látkach, pre ktoré sú v tejto smernici uvedené ustanovenia o monitorovaní, ako sú okrem iného napr. vybrané neregulované prekurzory ozónu uvedené v oddiele B prílohy X.</w:t>
            </w:r>
          </w:p>
          <w:p w:rsidR="00E20C4A" w:rsidRPr="00526418" w:rsidP="00E20C4A">
            <w:pPr>
              <w:jc w:val="both"/>
              <w:rPr>
                <w:sz w:val="20"/>
              </w:rPr>
            </w:pPr>
          </w:p>
        </w:tc>
        <w:tc>
          <w:tcPr>
            <w:tcW w:w="747" w:type="dxa"/>
          </w:tcPr>
          <w:p w:rsidR="00E20C4A" w:rsidRPr="00D86B9D" w:rsidP="00E20C4A">
            <w:pPr>
              <w:ind w:right="-249"/>
              <w:rPr>
                <w:sz w:val="20"/>
              </w:rPr>
            </w:pPr>
            <w:r w:rsidR="009C4F27">
              <w:rPr>
                <w:sz w:val="20"/>
              </w:rPr>
              <w:t>N</w:t>
            </w:r>
          </w:p>
        </w:tc>
        <w:tc>
          <w:tcPr>
            <w:tcW w:w="574" w:type="dxa"/>
          </w:tcPr>
          <w:p w:rsidR="00E20C4A" w:rsidRPr="009C4F27" w:rsidP="00E20C4A">
            <w:pPr>
              <w:jc w:val="both"/>
              <w:rPr>
                <w:sz w:val="20"/>
              </w:rPr>
            </w:pPr>
            <w:r w:rsidRPr="009C4F27" w:rsidR="009C4F27">
              <w:rPr>
                <w:sz w:val="20"/>
              </w:rPr>
              <w:t>NZ</w:t>
            </w:r>
          </w:p>
        </w:tc>
        <w:tc>
          <w:tcPr>
            <w:tcW w:w="701" w:type="dxa"/>
          </w:tcPr>
          <w:p w:rsidR="009C4F27" w:rsidRPr="004E64FD" w:rsidP="009C4F27">
            <w:pPr>
              <w:pStyle w:val="Paragrafyzkona"/>
              <w:keepLines w:val="0"/>
              <w:spacing w:before="0" w:after="120" w:line="240" w:lineRule="auto"/>
              <w:jc w:val="left"/>
              <w:rPr>
                <w:b w:val="0"/>
                <w:sz w:val="20"/>
                <w:szCs w:val="20"/>
                <w:lang w:eastAsia="en-US"/>
              </w:rPr>
            </w:pPr>
            <w:r w:rsidR="00E13DA8">
              <w:rPr>
                <w:b w:val="0"/>
                <w:sz w:val="20"/>
                <w:szCs w:val="20"/>
                <w:lang w:eastAsia="en-US"/>
              </w:rPr>
              <w:t>§ 14</w:t>
            </w:r>
          </w:p>
          <w:p w:rsidR="009C4F27" w:rsidP="009C4F27">
            <w:pPr>
              <w:rPr>
                <w:sz w:val="20"/>
              </w:rPr>
            </w:pPr>
            <w:r>
              <w:rPr>
                <w:sz w:val="20"/>
              </w:rPr>
              <w:t>O1</w:t>
            </w:r>
          </w:p>
          <w:p w:rsidR="00B979EE" w:rsidP="009C4F27">
            <w:pPr>
              <w:rPr>
                <w:sz w:val="20"/>
              </w:rPr>
            </w:pPr>
          </w:p>
          <w:p w:rsidR="00E13DA8" w:rsidP="009C4F27">
            <w:pPr>
              <w:rPr>
                <w:sz w:val="20"/>
              </w:rPr>
            </w:pPr>
            <w:r>
              <w:rPr>
                <w:sz w:val="20"/>
              </w:rPr>
              <w:t>Pa</w:t>
            </w:r>
          </w:p>
          <w:p w:rsidR="00B979EE" w:rsidP="009C4F27">
            <w:pPr>
              <w:rPr>
                <w:sz w:val="20"/>
              </w:rPr>
            </w:pPr>
          </w:p>
          <w:p w:rsidR="00B979EE" w:rsidP="009C4F27">
            <w:pPr>
              <w:rPr>
                <w:sz w:val="20"/>
              </w:rPr>
            </w:pPr>
          </w:p>
          <w:p w:rsidR="00BD7144" w:rsidP="009C4F27">
            <w:pPr>
              <w:rPr>
                <w:sz w:val="20"/>
              </w:rPr>
            </w:pPr>
          </w:p>
          <w:p w:rsidR="00E13DA8" w:rsidP="009C4F27">
            <w:pPr>
              <w:rPr>
                <w:sz w:val="20"/>
              </w:rPr>
            </w:pPr>
            <w:r>
              <w:rPr>
                <w:sz w:val="20"/>
              </w:rPr>
              <w:t>Pb</w:t>
            </w:r>
          </w:p>
          <w:p w:rsidR="00B979EE" w:rsidP="009C4F27">
            <w:pPr>
              <w:rPr>
                <w:sz w:val="20"/>
              </w:rPr>
            </w:pPr>
          </w:p>
          <w:p w:rsidR="00E13DA8" w:rsidP="009C4F27">
            <w:pPr>
              <w:rPr>
                <w:sz w:val="20"/>
              </w:rPr>
            </w:pPr>
            <w:r>
              <w:rPr>
                <w:sz w:val="20"/>
              </w:rPr>
              <w:t>Pc</w:t>
            </w:r>
          </w:p>
          <w:p w:rsidR="00B979EE" w:rsidP="009C4F27">
            <w:pPr>
              <w:rPr>
                <w:sz w:val="20"/>
              </w:rPr>
            </w:pPr>
          </w:p>
          <w:p w:rsidR="00E13DA8" w:rsidP="009C4F27">
            <w:pPr>
              <w:rPr>
                <w:sz w:val="20"/>
              </w:rPr>
            </w:pPr>
            <w:r>
              <w:rPr>
                <w:sz w:val="20"/>
              </w:rPr>
              <w:t>Pd</w:t>
            </w:r>
          </w:p>
          <w:p w:rsidR="00B979EE" w:rsidP="009C4F27">
            <w:pPr>
              <w:rPr>
                <w:sz w:val="20"/>
              </w:rPr>
            </w:pPr>
          </w:p>
          <w:p w:rsidR="00B979EE" w:rsidP="009C4F27">
            <w:pPr>
              <w:rPr>
                <w:sz w:val="20"/>
              </w:rPr>
            </w:pPr>
          </w:p>
          <w:p w:rsidR="00B979EE" w:rsidP="009C4F27">
            <w:pPr>
              <w:rPr>
                <w:sz w:val="20"/>
              </w:rPr>
            </w:pPr>
          </w:p>
          <w:p w:rsidR="00E13DA8" w:rsidP="009C4F27">
            <w:pPr>
              <w:rPr>
                <w:sz w:val="20"/>
              </w:rPr>
            </w:pPr>
            <w:r>
              <w:rPr>
                <w:sz w:val="20"/>
              </w:rPr>
              <w:t>Pe</w:t>
            </w:r>
          </w:p>
          <w:p w:rsidR="00B979EE" w:rsidP="009C4F27">
            <w:pPr>
              <w:rPr>
                <w:sz w:val="20"/>
              </w:rPr>
            </w:pPr>
          </w:p>
          <w:p w:rsidR="00B979EE" w:rsidP="009C4F27">
            <w:pPr>
              <w:rPr>
                <w:sz w:val="20"/>
              </w:rPr>
            </w:pPr>
          </w:p>
          <w:p w:rsidR="00E13DA8" w:rsidP="009C4F27">
            <w:pPr>
              <w:rPr>
                <w:sz w:val="20"/>
              </w:rPr>
            </w:pPr>
            <w:r>
              <w:rPr>
                <w:sz w:val="20"/>
              </w:rPr>
              <w:t>Pf</w:t>
            </w:r>
          </w:p>
          <w:p w:rsidR="009C4F27" w:rsidP="009C4F27">
            <w:pPr>
              <w:rPr>
                <w:sz w:val="20"/>
              </w:rPr>
            </w:pPr>
          </w:p>
          <w:p w:rsidR="00E13DA8" w:rsidP="009C4F27">
            <w:pPr>
              <w:rPr>
                <w:sz w:val="20"/>
              </w:rPr>
            </w:pPr>
          </w:p>
          <w:p w:rsidR="009C4F27" w:rsidP="009C4F27">
            <w:pPr>
              <w:rPr>
                <w:sz w:val="20"/>
              </w:rPr>
            </w:pPr>
            <w:r>
              <w:rPr>
                <w:sz w:val="20"/>
              </w:rPr>
              <w:t>O2</w:t>
            </w:r>
          </w:p>
          <w:p w:rsidR="00E13DA8" w:rsidP="009C4F27">
            <w:pPr>
              <w:rPr>
                <w:sz w:val="20"/>
              </w:rPr>
            </w:pPr>
            <w:r>
              <w:rPr>
                <w:sz w:val="20"/>
              </w:rPr>
              <w:t>P</w:t>
            </w:r>
            <w:r>
              <w:rPr>
                <w:sz w:val="20"/>
              </w:rPr>
              <w:t>a</w:t>
            </w:r>
          </w:p>
          <w:p w:rsidR="00E13DA8" w:rsidP="009C4F27">
            <w:pPr>
              <w:rPr>
                <w:sz w:val="20"/>
              </w:rPr>
            </w:pPr>
            <w:r>
              <w:rPr>
                <w:sz w:val="20"/>
              </w:rPr>
              <w:t>Pb</w:t>
            </w:r>
          </w:p>
          <w:p w:rsidR="00E13DA8" w:rsidP="009C4F27">
            <w:pPr>
              <w:rPr>
                <w:sz w:val="20"/>
              </w:rPr>
            </w:pPr>
            <w:r>
              <w:rPr>
                <w:sz w:val="20"/>
              </w:rPr>
              <w:t>Pc</w:t>
            </w:r>
          </w:p>
          <w:p w:rsidR="002C7D5F" w:rsidP="009C4F27">
            <w:pPr>
              <w:rPr>
                <w:sz w:val="20"/>
              </w:rPr>
            </w:pPr>
          </w:p>
          <w:p w:rsidR="002C7D5F" w:rsidP="009C4F27">
            <w:pPr>
              <w:rPr>
                <w:sz w:val="20"/>
              </w:rPr>
            </w:pPr>
          </w:p>
          <w:p w:rsidR="002C7D5F" w:rsidP="009C4F27">
            <w:pPr>
              <w:rPr>
                <w:sz w:val="20"/>
              </w:rPr>
            </w:pPr>
          </w:p>
          <w:p w:rsidR="002C7D5F" w:rsidP="009C4F27">
            <w:pPr>
              <w:rPr>
                <w:sz w:val="20"/>
              </w:rPr>
            </w:pPr>
          </w:p>
          <w:p w:rsidR="00E0661C" w:rsidP="002C7D5F">
            <w:pPr>
              <w:pStyle w:val="Paragrafyzkona"/>
              <w:keepLines w:val="0"/>
              <w:spacing w:before="0" w:after="120" w:line="240" w:lineRule="auto"/>
              <w:jc w:val="left"/>
              <w:rPr>
                <w:b w:val="0"/>
                <w:sz w:val="20"/>
                <w:szCs w:val="20"/>
                <w:lang w:eastAsia="en-US"/>
              </w:rPr>
            </w:pPr>
          </w:p>
          <w:p w:rsidR="00E0661C" w:rsidP="002C7D5F">
            <w:pPr>
              <w:rPr>
                <w:sz w:val="20"/>
              </w:rPr>
            </w:pPr>
          </w:p>
          <w:p w:rsidR="002C7D5F" w:rsidP="002C7D5F">
            <w:pPr>
              <w:rPr>
                <w:sz w:val="20"/>
              </w:rPr>
            </w:pPr>
            <w:r>
              <w:rPr>
                <w:sz w:val="20"/>
              </w:rPr>
              <w:t>O6</w:t>
            </w:r>
          </w:p>
          <w:p w:rsidR="008A67B7" w:rsidP="002C7D5F">
            <w:pPr>
              <w:rPr>
                <w:sz w:val="20"/>
              </w:rPr>
            </w:pPr>
            <w:r>
              <w:rPr>
                <w:sz w:val="20"/>
              </w:rPr>
              <w:t>Pa</w:t>
            </w:r>
          </w:p>
          <w:p w:rsidR="008A67B7" w:rsidP="002C7D5F">
            <w:pPr>
              <w:rPr>
                <w:sz w:val="20"/>
              </w:rPr>
            </w:pPr>
            <w:r>
              <w:rPr>
                <w:sz w:val="20"/>
              </w:rPr>
              <w:t>Pb</w:t>
            </w:r>
          </w:p>
          <w:p w:rsidR="008A67B7" w:rsidP="002C7D5F">
            <w:pPr>
              <w:rPr>
                <w:sz w:val="20"/>
              </w:rPr>
            </w:pPr>
            <w:r>
              <w:rPr>
                <w:sz w:val="20"/>
              </w:rPr>
              <w:t>Pc</w:t>
            </w:r>
          </w:p>
          <w:p w:rsidR="008A67B7" w:rsidP="002C7D5F">
            <w:pPr>
              <w:rPr>
                <w:sz w:val="20"/>
              </w:rPr>
            </w:pPr>
            <w:r>
              <w:rPr>
                <w:sz w:val="20"/>
              </w:rPr>
              <w:t>Pd</w:t>
            </w:r>
          </w:p>
          <w:p w:rsidR="008A67B7" w:rsidP="002C7D5F">
            <w:pPr>
              <w:rPr>
                <w:sz w:val="20"/>
              </w:rPr>
            </w:pPr>
            <w:r>
              <w:rPr>
                <w:sz w:val="20"/>
              </w:rPr>
              <w:t>Pe</w:t>
            </w:r>
          </w:p>
          <w:p w:rsidR="008A67B7" w:rsidP="002C7D5F">
            <w:pPr>
              <w:rPr>
                <w:sz w:val="20"/>
              </w:rPr>
            </w:pPr>
            <w:r>
              <w:rPr>
                <w:sz w:val="20"/>
              </w:rPr>
              <w:t>Pf</w:t>
            </w:r>
          </w:p>
          <w:p w:rsidR="009A3DA0" w:rsidP="002C7D5F">
            <w:pPr>
              <w:rPr>
                <w:sz w:val="20"/>
              </w:rPr>
            </w:pPr>
          </w:p>
          <w:p w:rsidR="009A3DA0" w:rsidP="002C7D5F">
            <w:pPr>
              <w:rPr>
                <w:sz w:val="20"/>
              </w:rPr>
            </w:pPr>
          </w:p>
          <w:p w:rsidR="008A67B7" w:rsidP="002C7D5F">
            <w:pPr>
              <w:rPr>
                <w:sz w:val="20"/>
              </w:rPr>
            </w:pPr>
          </w:p>
          <w:p w:rsidR="00E0661C" w:rsidP="002C7D5F">
            <w:pPr>
              <w:rPr>
                <w:sz w:val="20"/>
              </w:rPr>
            </w:pPr>
          </w:p>
          <w:p w:rsidR="009A3DA0" w:rsidP="002C7D5F">
            <w:pPr>
              <w:rPr>
                <w:sz w:val="20"/>
              </w:rPr>
            </w:pPr>
            <w:r>
              <w:rPr>
                <w:sz w:val="20"/>
              </w:rPr>
              <w:t>O8</w:t>
            </w:r>
          </w:p>
          <w:p w:rsidR="002C7D5F" w:rsidP="009C4F27">
            <w:pPr>
              <w:rPr>
                <w:sz w:val="20"/>
              </w:rPr>
            </w:pPr>
          </w:p>
          <w:p w:rsidR="009A3DA0" w:rsidP="009C4F27">
            <w:pPr>
              <w:rPr>
                <w:sz w:val="20"/>
              </w:rPr>
            </w:pPr>
          </w:p>
          <w:p w:rsidR="009A3DA0" w:rsidP="009C4F27">
            <w:pPr>
              <w:rPr>
                <w:sz w:val="20"/>
              </w:rPr>
            </w:pPr>
            <w:r>
              <w:rPr>
                <w:sz w:val="20"/>
              </w:rPr>
              <w:t>O9</w:t>
            </w:r>
          </w:p>
          <w:p w:rsidR="00E20C4A" w:rsidRPr="008658BB" w:rsidP="00E20C4A">
            <w:pPr>
              <w:jc w:val="both"/>
              <w:rPr>
                <w:b/>
                <w:sz w:val="20"/>
              </w:rPr>
            </w:pPr>
          </w:p>
        </w:tc>
        <w:tc>
          <w:tcPr>
            <w:tcW w:w="7797" w:type="dxa"/>
          </w:tcPr>
          <w:p w:rsidR="009C4F27" w:rsidRPr="009C4F27" w:rsidP="009C4F27">
            <w:pPr>
              <w:pStyle w:val="Normlny"/>
              <w:jc w:val="both"/>
            </w:pPr>
            <w:r w:rsidRPr="009C4F27">
              <w:t>Informovanie verejnosti o kvalite ovzdušia</w:t>
            </w:r>
          </w:p>
          <w:p w:rsidR="009C4F27" w:rsidP="009C4F27">
            <w:pPr>
              <w:pStyle w:val="Normlny"/>
              <w:jc w:val="both"/>
            </w:pPr>
            <w:r>
              <w:t xml:space="preserve">(1) </w:t>
            </w:r>
            <w:r w:rsidRPr="009C4F27">
              <w:t>Poverená organizácia zverejňuje na svojom webovom sídle</w:t>
            </w:r>
          </w:p>
          <w:p w:rsidR="00E13DA8" w:rsidRPr="009C4F27" w:rsidP="009C4F27">
            <w:pPr>
              <w:pStyle w:val="Normlny"/>
              <w:jc w:val="both"/>
            </w:pPr>
          </w:p>
          <w:p w:rsidR="009C4F27" w:rsidP="009C4F27">
            <w:pPr>
              <w:pStyle w:val="Normlny"/>
              <w:jc w:val="both"/>
            </w:pPr>
            <w:r>
              <w:t xml:space="preserve">a) </w:t>
            </w:r>
            <w:r w:rsidRPr="009C4F27">
              <w:t>aktuálne informácie o úrovni znečistenia ovzdušia vyjadrené ako koncentrácia znečisťujúcej látky, z národnej monitorovacej siete kvality ovzdušia a priemyselných monitorovacích staníc prevádzkovateľov vrátane údajov o rozptylových podmienkach,</w:t>
            </w:r>
          </w:p>
          <w:p w:rsidR="00A04C5F" w:rsidP="009C4F27">
            <w:pPr>
              <w:pStyle w:val="Normlny"/>
              <w:jc w:val="both"/>
            </w:pPr>
          </w:p>
          <w:p w:rsidR="00A04C5F" w:rsidRPr="00A04C5F" w:rsidP="00A04C5F">
            <w:pPr>
              <w:spacing w:after="120"/>
              <w:jc w:val="both"/>
              <w:rPr>
                <w:sz w:val="20"/>
              </w:rPr>
            </w:pPr>
            <w:r>
              <w:rPr>
                <w:sz w:val="20"/>
              </w:rPr>
              <w:t xml:space="preserve">b) </w:t>
            </w:r>
            <w:r w:rsidRPr="00A04C5F">
              <w:rPr>
                <w:sz w:val="20"/>
              </w:rPr>
              <w:t xml:space="preserve">informácie o prekročení informačného prahu alebo výstražného prahu znečisťujúcej látky,   </w:t>
            </w:r>
          </w:p>
          <w:p w:rsidR="009C4F27" w:rsidRPr="009C4F27" w:rsidP="009C4F27">
            <w:pPr>
              <w:pStyle w:val="Normlny"/>
              <w:jc w:val="both"/>
            </w:pPr>
          </w:p>
          <w:p w:rsidR="009C4F27" w:rsidP="009C4F27">
            <w:pPr>
              <w:pStyle w:val="Normlny"/>
              <w:jc w:val="both"/>
            </w:pPr>
            <w:r>
              <w:t xml:space="preserve">c) </w:t>
            </w:r>
            <w:r w:rsidRPr="009C4F27">
              <w:t>predpoveď znečistenia ovzdušia, ak sú tieto informácie dostupné,</w:t>
            </w:r>
          </w:p>
          <w:p w:rsidR="00E13DA8" w:rsidRPr="009C4F27" w:rsidP="009C4F27">
            <w:pPr>
              <w:pStyle w:val="Normlny"/>
              <w:jc w:val="both"/>
            </w:pPr>
          </w:p>
          <w:p w:rsidR="00E20C4A" w:rsidP="009C4F27">
            <w:pPr>
              <w:pStyle w:val="Normlny"/>
              <w:jc w:val="both"/>
            </w:pPr>
            <w:r w:rsidR="009C4F27">
              <w:t xml:space="preserve">d) </w:t>
            </w:r>
            <w:r w:rsidRPr="009C4F27" w:rsidR="009C4F27">
              <w:t>informácie o rýchlosti depozície arzénu, kadmia, ortuti, niklu a vybraných polycyklických aromatických uhľovodíkov, najmenej raz za tri mesiace, a ak sú tieto informácie dostupné, raz za mesiac,</w:t>
            </w:r>
          </w:p>
          <w:p w:rsidR="00E13DA8" w:rsidP="009C4F27">
            <w:pPr>
              <w:pStyle w:val="Normlny"/>
              <w:jc w:val="both"/>
            </w:pPr>
          </w:p>
          <w:p w:rsidR="00E13DA8" w:rsidP="00E13DA8">
            <w:pPr>
              <w:pStyle w:val="Normlny"/>
              <w:jc w:val="both"/>
            </w:pPr>
            <w:r>
              <w:t>e)</w:t>
              <w:tab/>
              <w:t>vyhodnotenie nameraných koncentrácií znečisťujúcich látok v porovnaní s ich limitnými hodnotami a cieľovými hodnotami,</w:t>
            </w:r>
          </w:p>
          <w:p w:rsidR="00E13DA8" w:rsidP="00E13DA8">
            <w:pPr>
              <w:pStyle w:val="Normlny"/>
              <w:jc w:val="both"/>
            </w:pPr>
          </w:p>
          <w:p w:rsidR="00E13DA8" w:rsidP="00E13DA8">
            <w:pPr>
              <w:pStyle w:val="Normlny"/>
              <w:jc w:val="both"/>
            </w:pPr>
            <w:r>
              <w:t>f)</w:t>
              <w:tab/>
              <w:t>informáciu o počte prekročení limitnej hodnoty a cieľovej hodnoty za uplynulé obdobie v rámci kalendárneho roku.</w:t>
            </w:r>
          </w:p>
          <w:p w:rsidR="009C4F27" w:rsidP="009C4F27">
            <w:pPr>
              <w:pStyle w:val="Normlny"/>
              <w:jc w:val="both"/>
            </w:pPr>
          </w:p>
          <w:p w:rsidR="009C4F27" w:rsidRPr="009C4F27" w:rsidP="009C4F27">
            <w:pPr>
              <w:pStyle w:val="Normlny"/>
              <w:jc w:val="both"/>
            </w:pPr>
            <w:r w:rsidRPr="009C4F27">
              <w:t>(2)</w:t>
              <w:tab/>
              <w:t>Informácie o úrovni znečistenia ovzdušia podľa odseku 1 písm. a) sa aktualizujú, ak ide o</w:t>
            </w:r>
          </w:p>
          <w:p w:rsidR="00E13DA8" w:rsidRPr="009C4F27" w:rsidP="009C4F27">
            <w:pPr>
              <w:pStyle w:val="Normlny"/>
              <w:jc w:val="both"/>
            </w:pPr>
            <w:r w:rsidRPr="009C4F27" w:rsidR="009C4F27">
              <w:t>a)</w:t>
              <w:tab/>
              <w:t>denné priemerné hodnoty koncentrácie oxidu siričitého, oxidov dusíka, PM</w:t>
            </w:r>
            <w:r w:rsidRPr="00E13DA8" w:rsidR="009C4F27">
              <w:rPr>
                <w:vertAlign w:val="subscript"/>
              </w:rPr>
              <w:t>10</w:t>
            </w:r>
            <w:r w:rsidRPr="009C4F27" w:rsidR="009C4F27">
              <w:t>, ozónu a oxidu uhoľnatého, najmenej raz za deň,</w:t>
            </w:r>
          </w:p>
          <w:p w:rsidR="00E13DA8" w:rsidRPr="009C4F27" w:rsidP="009C4F27">
            <w:pPr>
              <w:pStyle w:val="Normlny"/>
              <w:jc w:val="both"/>
            </w:pPr>
            <w:r w:rsidRPr="009C4F27" w:rsidR="009C4F27">
              <w:t>b)</w:t>
              <w:tab/>
              <w:t>hodinové hodnoty koncentrácie oxidu siričitého, oxidu dusičitého, oxidu uhoľnatého, PM</w:t>
            </w:r>
            <w:r w:rsidRPr="00E13DA8" w:rsidR="009C4F27">
              <w:rPr>
                <w:vertAlign w:val="subscript"/>
              </w:rPr>
              <w:t>2,5</w:t>
            </w:r>
            <w:r w:rsidRPr="009C4F27" w:rsidR="009C4F27">
              <w:t>, PM</w:t>
            </w:r>
            <w:r w:rsidRPr="00E13DA8" w:rsidR="009C4F27">
              <w:rPr>
                <w:vertAlign w:val="subscript"/>
              </w:rPr>
              <w:t>10</w:t>
            </w:r>
            <w:r w:rsidRPr="009C4F27" w:rsidR="009C4F27">
              <w:t xml:space="preserve">, benzénu, ortuti a ozónu v hodinových intervaloch, </w:t>
            </w:r>
          </w:p>
          <w:p w:rsidR="009C4F27" w:rsidP="009C4F27">
            <w:pPr>
              <w:pStyle w:val="Normlny"/>
              <w:jc w:val="both"/>
            </w:pPr>
            <w:r w:rsidRPr="009C4F27">
              <w:t>c)</w:t>
              <w:tab/>
              <w:t>olovo a benzén, ktorých koncentrácie sú uvádzané ako priemerná mesačná hodnota za posledných 12 mesiacov, najmenej raz za tri mesiace, a ak je to možné, raz za</w:t>
            </w:r>
            <w:r w:rsidRPr="009C4F27">
              <w:t xml:space="preserve"> mesiac.</w:t>
            </w:r>
          </w:p>
          <w:p w:rsidR="002C7D5F" w:rsidP="009C4F27">
            <w:pPr>
              <w:pStyle w:val="Normlny"/>
              <w:jc w:val="both"/>
            </w:pPr>
          </w:p>
          <w:p w:rsidR="00E0661C" w:rsidP="009C4F27">
            <w:pPr>
              <w:pStyle w:val="Normlny"/>
              <w:jc w:val="both"/>
            </w:pPr>
          </w:p>
          <w:p w:rsidR="002C7D5F" w:rsidP="002C7D5F">
            <w:pPr>
              <w:pStyle w:val="Normlny"/>
              <w:jc w:val="both"/>
            </w:pPr>
            <w:r>
              <w:t xml:space="preserve">(6) </w:t>
            </w:r>
            <w:r w:rsidRPr="002C7D5F">
              <w:t xml:space="preserve">Okresný úrad v sídle kraja zverejňuje na svojom webovom sídle </w:t>
            </w:r>
          </w:p>
          <w:p w:rsidR="00E0661C" w:rsidRPr="002C7D5F" w:rsidP="002C7D5F">
            <w:pPr>
              <w:pStyle w:val="Normlny"/>
              <w:jc w:val="both"/>
            </w:pPr>
          </w:p>
          <w:p w:rsidR="002C7D5F" w:rsidRPr="002C7D5F" w:rsidP="002C7D5F">
            <w:pPr>
              <w:pStyle w:val="Normlny"/>
              <w:jc w:val="both"/>
            </w:pPr>
            <w:r>
              <w:t xml:space="preserve">a) </w:t>
            </w:r>
            <w:r w:rsidRPr="002C7D5F">
              <w:t>aktuálne informácie o prekročení limitných hodnôt znečisťujúcich látok, upozornenia, výstrahy a oznámenia o smogových situáciách,</w:t>
            </w:r>
          </w:p>
          <w:p w:rsidR="002C7D5F" w:rsidRPr="002C7D5F" w:rsidP="002C7D5F">
            <w:pPr>
              <w:pStyle w:val="Normlny"/>
              <w:jc w:val="both"/>
            </w:pPr>
            <w:r>
              <w:t xml:space="preserve">b) </w:t>
            </w:r>
            <w:r w:rsidRPr="002C7D5F">
              <w:t xml:space="preserve">každoročne informácie o kvalite ovzdušia a o podiele zdrojov na znečistení ovzdušia za územie daného kraja do 30. júna, </w:t>
            </w:r>
          </w:p>
          <w:p w:rsidR="002C7D5F" w:rsidRPr="002C7D5F" w:rsidP="002C7D5F">
            <w:pPr>
              <w:pStyle w:val="Normlny"/>
              <w:jc w:val="both"/>
            </w:pPr>
            <w:r>
              <w:t xml:space="preserve">c) </w:t>
            </w:r>
            <w:r w:rsidRPr="002C7D5F">
              <w:t>program na zlepšenie kvality ovzdušia,</w:t>
            </w:r>
          </w:p>
          <w:p w:rsidR="008A67B7" w:rsidP="008A67B7">
            <w:pPr>
              <w:pStyle w:val="Normlny"/>
              <w:jc w:val="both"/>
            </w:pPr>
            <w:r>
              <w:t>d) miestne programy na zlepšenie kvality ovzdušia obcí, v svojom územnom obvode,</w:t>
            </w:r>
          </w:p>
          <w:p w:rsidR="008A67B7" w:rsidP="008A67B7">
            <w:pPr>
              <w:pStyle w:val="Normlny"/>
              <w:jc w:val="both"/>
            </w:pPr>
            <w:r>
              <w:t>e) smogový regulačný plán,</w:t>
            </w:r>
          </w:p>
          <w:p w:rsidR="008A67B7" w:rsidRPr="00A60944" w:rsidP="008A67B7">
            <w:pPr>
              <w:pStyle w:val="Normlny"/>
              <w:jc w:val="both"/>
            </w:pPr>
            <w:r>
              <w:t>f) každoročne odpočet plne</w:t>
            </w:r>
            <w:r>
              <w:t>nia opatrení z programu na zlepšenie kvality ovzdušia do 30. apríla.</w:t>
            </w:r>
          </w:p>
          <w:p w:rsidR="008A67B7" w:rsidP="002C7D5F">
            <w:pPr>
              <w:pStyle w:val="Normlny"/>
              <w:jc w:val="both"/>
            </w:pPr>
          </w:p>
          <w:p w:rsidR="009A3DA0" w:rsidP="002C7D5F">
            <w:pPr>
              <w:pStyle w:val="Normlny"/>
              <w:jc w:val="both"/>
            </w:pPr>
            <w:r w:rsidRPr="008A67B7" w:rsidR="008A67B7">
              <w:t>(8)</w:t>
              <w:tab/>
              <w:t>Informovanie verejnosti počas smogovej situácie sa vykonáva podľa § 12 ods. 6 písm. b) a § 12 ods. 9 a 10.</w:t>
            </w:r>
          </w:p>
          <w:p w:rsidR="009A3DA0" w:rsidP="002C7D5F">
            <w:pPr>
              <w:pStyle w:val="Normlny"/>
              <w:jc w:val="both"/>
            </w:pPr>
          </w:p>
          <w:p w:rsidR="008A67B7" w:rsidP="008A67B7">
            <w:pPr>
              <w:pStyle w:val="Normlny"/>
              <w:jc w:val="both"/>
            </w:pPr>
            <w:r>
              <w:t>(9)</w:t>
              <w:tab/>
              <w:t>Informácie o kvalite ovzdušia, vplyvoch znečistenia ovzdušia na verejné zdravie a ekosystémy a opatreniach na zlepšenie kvality ovzdušia, ktoré sa sprístupňujú verejnosti, musia</w:t>
            </w:r>
          </w:p>
          <w:p w:rsidR="008A67B7" w:rsidP="008A67B7">
            <w:pPr>
              <w:pStyle w:val="Normlny"/>
              <w:jc w:val="both"/>
            </w:pPr>
            <w:r>
              <w:t>a) obsahovať podrobnosti ustanovené vykonávacím predpisom podľa § 62 písm. c),</w:t>
            </w:r>
          </w:p>
          <w:p w:rsidR="008A67B7" w:rsidP="008A67B7">
            <w:pPr>
              <w:pStyle w:val="Normlny"/>
              <w:jc w:val="both"/>
            </w:pPr>
            <w:r>
              <w:t>b) byť jasné, zrozumiteľné a verejne prístupné,</w:t>
            </w:r>
          </w:p>
          <w:p w:rsidR="009A3DA0" w:rsidP="008A67B7">
            <w:pPr>
              <w:pStyle w:val="Normlny"/>
              <w:jc w:val="both"/>
            </w:pPr>
            <w:r w:rsidR="008A67B7">
              <w:t xml:space="preserve">c) byť sprístupnené bezplatne prostredníctvom akéhokoľvek prístupného média, vrátane internetu alebo iného telekomunikačného prostriedku, pričom sa zohľadnia ustanovenia osobitného predpisu. </w:t>
            </w:r>
            <w:r w:rsidRPr="008A67B7" w:rsidR="008A67B7">
              <w:rPr>
                <w:vertAlign w:val="superscript"/>
              </w:rPr>
              <w:t>3</w:t>
            </w:r>
            <w:r w:rsidR="00F66FED">
              <w:rPr>
                <w:vertAlign w:val="superscript"/>
              </w:rPr>
              <w:t>6</w:t>
            </w:r>
            <w:r w:rsidR="008A67B7">
              <w:t>)</w:t>
            </w:r>
          </w:p>
          <w:p w:rsidR="008A67B7" w:rsidP="008A67B7">
            <w:pPr>
              <w:pStyle w:val="Normlny"/>
              <w:jc w:val="both"/>
            </w:pPr>
          </w:p>
          <w:p w:rsidR="008A67B7" w:rsidP="008A67B7">
            <w:pPr>
              <w:pStyle w:val="EndnoteText"/>
              <w:spacing w:line="240" w:lineRule="auto"/>
              <w:ind w:left="0" w:firstLine="0"/>
              <w:jc w:val="both"/>
              <w:rPr>
                <w:szCs w:val="24"/>
                <w:lang w:val="sk"/>
              </w:rPr>
            </w:pPr>
            <w:r w:rsidRPr="008A67B7">
              <w:rPr>
                <w:vertAlign w:val="superscript"/>
              </w:rPr>
              <w:t>3</w:t>
            </w:r>
            <w:r w:rsidR="00F66FED">
              <w:rPr>
                <w:vertAlign w:val="superscript"/>
              </w:rPr>
              <w:t>6</w:t>
            </w:r>
            <w:r>
              <w:t>)</w:t>
            </w:r>
            <w:r>
              <w:rPr>
                <w:szCs w:val="24"/>
              </w:rPr>
              <w:t xml:space="preserve"> </w:t>
            </w:r>
            <w:r w:rsidRPr="00EB6D72">
              <w:rPr>
                <w:sz w:val="18"/>
                <w:szCs w:val="18"/>
              </w:rPr>
              <w:t>Zákon č. 3/2010 Z. z. o národnej infraštruktúre pre priestorové informácie v znení zákona č.</w:t>
            </w:r>
            <w:r w:rsidRPr="00EB6D72">
              <w:rPr>
                <w:sz w:val="18"/>
                <w:szCs w:val="18"/>
                <w:lang w:val="sk"/>
              </w:rPr>
              <w:t> </w:t>
            </w:r>
            <w:r w:rsidRPr="00EB6D72">
              <w:rPr>
                <w:sz w:val="18"/>
                <w:szCs w:val="18"/>
              </w:rPr>
              <w:t>362/2015 Z. z.</w:t>
            </w:r>
          </w:p>
          <w:p w:rsidR="008A67B7" w:rsidRPr="009A3DA0" w:rsidP="008A67B7">
            <w:pPr>
              <w:pStyle w:val="Normlny"/>
              <w:jc w:val="both"/>
            </w:pPr>
          </w:p>
        </w:tc>
        <w:tc>
          <w:tcPr>
            <w:tcW w:w="708" w:type="dxa"/>
          </w:tcPr>
          <w:p w:rsidR="00E20C4A" w:rsidRPr="009C4F27" w:rsidP="00E20C4A">
            <w:pPr>
              <w:jc w:val="both"/>
              <w:rPr>
                <w:sz w:val="20"/>
              </w:rPr>
            </w:pPr>
            <w:r w:rsidRPr="009C4F27" w:rsidR="009C4F27">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Č26</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D16B3E">
              <w:rPr>
                <w:sz w:val="20"/>
              </w:rPr>
              <w:t>3. Členské štáty informujú verejnosť o príslušných orgánoch alebo</w:t>
            </w:r>
            <w:r w:rsidR="009E5012">
              <w:rPr>
                <w:sz w:val="20"/>
              </w:rPr>
              <w:t xml:space="preserve"> </w:t>
            </w:r>
            <w:r w:rsidRPr="00D16B3E">
              <w:rPr>
                <w:sz w:val="20"/>
              </w:rPr>
              <w:t>subjektoch určených na plnenie úloh uvedených v článku 3.</w:t>
            </w:r>
          </w:p>
          <w:p w:rsidR="00E20C4A" w:rsidRPr="00D16B3E" w:rsidP="00E20C4A">
            <w:pPr>
              <w:jc w:val="both"/>
              <w:rPr>
                <w:sz w:val="20"/>
              </w:rPr>
            </w:pPr>
          </w:p>
        </w:tc>
        <w:tc>
          <w:tcPr>
            <w:tcW w:w="747" w:type="dxa"/>
          </w:tcPr>
          <w:p w:rsidR="00E20C4A" w:rsidRPr="00D86B9D" w:rsidP="00E20C4A">
            <w:pPr>
              <w:ind w:right="-249"/>
              <w:rPr>
                <w:sz w:val="20"/>
              </w:rPr>
            </w:pPr>
            <w:r w:rsidR="000B4FE9">
              <w:rPr>
                <w:sz w:val="20"/>
              </w:rPr>
              <w:t>N</w:t>
            </w:r>
          </w:p>
        </w:tc>
        <w:tc>
          <w:tcPr>
            <w:tcW w:w="574" w:type="dxa"/>
          </w:tcPr>
          <w:p w:rsidR="00E20C4A" w:rsidRPr="000B4FE9" w:rsidP="00E20C4A">
            <w:pPr>
              <w:jc w:val="both"/>
              <w:rPr>
                <w:sz w:val="20"/>
              </w:rPr>
            </w:pPr>
            <w:r w:rsidRPr="000B4FE9" w:rsidR="000B4FE9">
              <w:rPr>
                <w:sz w:val="20"/>
              </w:rPr>
              <w:t>NZ</w:t>
            </w:r>
          </w:p>
        </w:tc>
        <w:tc>
          <w:tcPr>
            <w:tcW w:w="701" w:type="dxa"/>
          </w:tcPr>
          <w:p w:rsidR="000B4FE9" w:rsidRPr="00C1539F" w:rsidP="00C1539F">
            <w:pPr>
              <w:pStyle w:val="Paragrafyzkona"/>
              <w:keepLines w:val="0"/>
              <w:spacing w:before="0" w:after="120" w:line="240" w:lineRule="auto"/>
              <w:jc w:val="left"/>
              <w:rPr>
                <w:b w:val="0"/>
                <w:sz w:val="20"/>
                <w:szCs w:val="20"/>
                <w:lang w:eastAsia="en-US"/>
              </w:rPr>
            </w:pPr>
            <w:r w:rsidR="009434A0">
              <w:rPr>
                <w:b w:val="0"/>
                <w:sz w:val="20"/>
                <w:szCs w:val="20"/>
                <w:lang w:eastAsia="en-US"/>
              </w:rPr>
              <w:t>§ 41</w:t>
            </w:r>
          </w:p>
          <w:p w:rsidR="000B4FE9" w:rsidP="000B4FE9">
            <w:pPr>
              <w:rPr>
                <w:sz w:val="20"/>
              </w:rPr>
            </w:pPr>
            <w:r>
              <w:rPr>
                <w:sz w:val="20"/>
              </w:rPr>
              <w:t>Pj</w:t>
            </w:r>
          </w:p>
          <w:p w:rsidR="00E20C4A" w:rsidRPr="008658BB" w:rsidP="00E20C4A">
            <w:pPr>
              <w:jc w:val="both"/>
              <w:rPr>
                <w:b/>
                <w:sz w:val="20"/>
              </w:rPr>
            </w:pPr>
          </w:p>
        </w:tc>
        <w:tc>
          <w:tcPr>
            <w:tcW w:w="7797" w:type="dxa"/>
          </w:tcPr>
          <w:p w:rsidR="000B4FE9" w:rsidRPr="00B830BD" w:rsidP="00A60944">
            <w:pPr>
              <w:pStyle w:val="Normlny"/>
              <w:jc w:val="both"/>
            </w:pPr>
            <w:r w:rsidRPr="00B830BD">
              <w:t>Ministerstvo</w:t>
            </w:r>
          </w:p>
          <w:p w:rsidR="000B4FE9" w:rsidRPr="00B830BD" w:rsidP="00A60944">
            <w:pPr>
              <w:pStyle w:val="Normlny"/>
              <w:jc w:val="both"/>
            </w:pPr>
            <w:r>
              <w:t xml:space="preserve">j) </w:t>
            </w:r>
            <w:r w:rsidRPr="00B830BD">
              <w:t>zverejňuje informácie o orgánoch zodpovedných za hodnoteni</w:t>
            </w:r>
            <w:r w:rsidRPr="00B830BD">
              <w:t>e kvality ovzdušia a riadenie kvality ovzdušia, programoch na zlepšenia kvality ovzdušia a o nízkoemisných zónach,</w:t>
            </w:r>
          </w:p>
          <w:p w:rsidR="00E20C4A" w:rsidRPr="00A60944" w:rsidP="00A60944">
            <w:pPr>
              <w:pStyle w:val="Normlny"/>
              <w:jc w:val="both"/>
            </w:pPr>
          </w:p>
        </w:tc>
        <w:tc>
          <w:tcPr>
            <w:tcW w:w="708" w:type="dxa"/>
          </w:tcPr>
          <w:p w:rsidR="00E20C4A" w:rsidRPr="000B4FE9" w:rsidP="00E20C4A">
            <w:pPr>
              <w:jc w:val="both"/>
              <w:rPr>
                <w:sz w:val="20"/>
              </w:rPr>
            </w:pPr>
            <w:r w:rsidRPr="000B4FE9" w:rsidR="000B4FE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Č27</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B12E7C">
              <w:rPr>
                <w:sz w:val="20"/>
              </w:rPr>
              <w:t>Odovzdávanie informácií a podávanie správ 1. Členské štáty zabezpečia, aby sa informácie o kvalite okolitého ovzdušia sprístupňovali Komisii v požadovaných lehotách, ako sú určené vykonávacími opatreniami uvedenými v článku 28 ods. 2.</w:t>
            </w:r>
          </w:p>
          <w:p w:rsidR="00E20C4A" w:rsidRPr="00D16B3E" w:rsidP="00E20C4A">
            <w:pPr>
              <w:jc w:val="both"/>
              <w:rPr>
                <w:sz w:val="20"/>
              </w:rPr>
            </w:pPr>
          </w:p>
        </w:tc>
        <w:tc>
          <w:tcPr>
            <w:tcW w:w="747" w:type="dxa"/>
          </w:tcPr>
          <w:p w:rsidR="00E20C4A" w:rsidRPr="00D86B9D" w:rsidP="00E20C4A">
            <w:pPr>
              <w:ind w:right="-249"/>
              <w:rPr>
                <w:sz w:val="20"/>
              </w:rPr>
            </w:pPr>
            <w:r w:rsidR="000B4FE9">
              <w:rPr>
                <w:sz w:val="20"/>
              </w:rPr>
              <w:t>N</w:t>
            </w:r>
          </w:p>
        </w:tc>
        <w:tc>
          <w:tcPr>
            <w:tcW w:w="574" w:type="dxa"/>
          </w:tcPr>
          <w:p w:rsidR="00E20C4A" w:rsidRPr="000B4FE9" w:rsidP="00E20C4A">
            <w:pPr>
              <w:jc w:val="both"/>
              <w:rPr>
                <w:sz w:val="20"/>
              </w:rPr>
            </w:pPr>
            <w:r w:rsidRPr="000B4FE9" w:rsidR="000B4FE9">
              <w:rPr>
                <w:sz w:val="20"/>
              </w:rPr>
              <w:t>NZ</w:t>
            </w:r>
          </w:p>
        </w:tc>
        <w:tc>
          <w:tcPr>
            <w:tcW w:w="701" w:type="dxa"/>
          </w:tcPr>
          <w:p w:rsidR="00C1539F" w:rsidP="00A60944">
            <w:pPr>
              <w:pStyle w:val="Paragrafyzkona"/>
              <w:keepLines w:val="0"/>
              <w:spacing w:before="0" w:after="120" w:line="240" w:lineRule="auto"/>
              <w:jc w:val="left"/>
              <w:rPr>
                <w:b w:val="0"/>
                <w:sz w:val="20"/>
                <w:szCs w:val="20"/>
                <w:lang w:eastAsia="en-US"/>
              </w:rPr>
            </w:pPr>
            <w:r w:rsidR="009434A0">
              <w:rPr>
                <w:b w:val="0"/>
                <w:sz w:val="20"/>
                <w:szCs w:val="20"/>
                <w:lang w:eastAsia="en-US"/>
              </w:rPr>
              <w:t>§ 41</w:t>
            </w:r>
          </w:p>
          <w:p w:rsidR="00A60944" w:rsidRPr="00A60944" w:rsidP="00A60944">
            <w:pPr>
              <w:pStyle w:val="Paragrafyzkona"/>
              <w:keepLines w:val="0"/>
              <w:spacing w:before="0" w:after="120" w:line="240" w:lineRule="auto"/>
              <w:jc w:val="left"/>
              <w:rPr>
                <w:b w:val="0"/>
                <w:sz w:val="20"/>
                <w:szCs w:val="20"/>
                <w:lang w:eastAsia="en-US"/>
              </w:rPr>
            </w:pPr>
            <w:r w:rsidRPr="00A60944">
              <w:rPr>
                <w:b w:val="0"/>
                <w:sz w:val="20"/>
              </w:rPr>
              <w:t>Pd</w:t>
            </w:r>
          </w:p>
          <w:p w:rsidR="00E20C4A" w:rsidRPr="008658BB" w:rsidP="00E20C4A">
            <w:pPr>
              <w:jc w:val="both"/>
              <w:rPr>
                <w:b/>
                <w:sz w:val="20"/>
              </w:rPr>
            </w:pPr>
          </w:p>
        </w:tc>
        <w:tc>
          <w:tcPr>
            <w:tcW w:w="7797" w:type="dxa"/>
          </w:tcPr>
          <w:p w:rsidR="00C1539F" w:rsidP="00A60944">
            <w:pPr>
              <w:pStyle w:val="ListParagraph"/>
              <w:spacing w:line="240" w:lineRule="auto"/>
              <w:ind w:left="0"/>
              <w:contextualSpacing w:val="0"/>
              <w:jc w:val="both"/>
              <w:rPr>
                <w:sz w:val="20"/>
                <w:szCs w:val="20"/>
                <w:lang w:eastAsia="en-US"/>
              </w:rPr>
            </w:pPr>
            <w:r w:rsidR="00A60944">
              <w:rPr>
                <w:sz w:val="20"/>
                <w:szCs w:val="20"/>
                <w:lang w:eastAsia="en-US"/>
              </w:rPr>
              <w:t xml:space="preserve">Ministerstvo </w:t>
            </w:r>
          </w:p>
          <w:p w:rsidR="00A60944" w:rsidRPr="00A60944" w:rsidP="00A60944">
            <w:pPr>
              <w:pStyle w:val="ListParagraph"/>
              <w:spacing w:line="240" w:lineRule="auto"/>
              <w:ind w:left="0"/>
              <w:contextualSpacing w:val="0"/>
              <w:jc w:val="both"/>
              <w:rPr>
                <w:sz w:val="20"/>
                <w:szCs w:val="20"/>
                <w:lang w:eastAsia="en-US"/>
              </w:rPr>
            </w:pPr>
            <w:r w:rsidR="00C1539F">
              <w:rPr>
                <w:sz w:val="20"/>
                <w:szCs w:val="20"/>
                <w:lang w:eastAsia="en-US"/>
              </w:rPr>
              <w:t xml:space="preserve">d) </w:t>
            </w:r>
            <w:r w:rsidRPr="00A60944">
              <w:rPr>
                <w:sz w:val="20"/>
                <w:szCs w:val="20"/>
                <w:lang w:eastAsia="en-US"/>
              </w:rPr>
              <w:t>je vo vzťahu ku Komisii notifikačným orgánom, sprístupňuje a podáva Komisii ustanovené informácie a správy vo veciach ochrany ovzdušia a v ustanovených lehotách a rozsahu ustanovenom vykonávacím predpisom podľa § 62 písm. n),</w:t>
            </w:r>
          </w:p>
          <w:p w:rsidR="00E20C4A" w:rsidP="00E20C4A">
            <w:pPr>
              <w:pStyle w:val="Normlny"/>
              <w:jc w:val="center"/>
              <w:rPr>
                <w:b/>
              </w:rPr>
            </w:pPr>
          </w:p>
        </w:tc>
        <w:tc>
          <w:tcPr>
            <w:tcW w:w="708" w:type="dxa"/>
          </w:tcPr>
          <w:p w:rsidR="00E20C4A" w:rsidRPr="000B4FE9" w:rsidP="00E20C4A">
            <w:pPr>
              <w:jc w:val="both"/>
              <w:rPr>
                <w:sz w:val="20"/>
              </w:rPr>
            </w:pPr>
            <w:r w:rsidRPr="000B4FE9" w:rsidR="000B4FE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Č27</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B12E7C">
              <w:rPr>
                <w:sz w:val="20"/>
              </w:rPr>
              <w:t xml:space="preserve">2. V každom prípade sa na špecifické účely hodnotenia dodržiavania limitných hodnôt a kritických úrovní, ako aj dosiahnutia cieľových hodnôt, takéto informácie poskytnú Komisii najneskôr deväť mesiacov po skončení každého roka, pričom obsahujú: </w:t>
            </w:r>
          </w:p>
          <w:p w:rsidR="00E20C4A" w:rsidP="00E20C4A">
            <w:pPr>
              <w:jc w:val="both"/>
              <w:rPr>
                <w:sz w:val="20"/>
              </w:rPr>
            </w:pPr>
            <w:r w:rsidRPr="00B12E7C">
              <w:rPr>
                <w:sz w:val="20"/>
              </w:rPr>
              <w:t xml:space="preserve">a) zmeny v zozname a zmeny vymedzenia zón a aglomerácií ustanovených podľa článku 4, ktoré sa uskutočnili v príslušnom roku; </w:t>
            </w:r>
          </w:p>
          <w:p w:rsidR="00E20C4A" w:rsidP="00E20C4A">
            <w:pPr>
              <w:jc w:val="both"/>
              <w:rPr>
                <w:sz w:val="20"/>
              </w:rPr>
            </w:pPr>
            <w:r w:rsidRPr="00B12E7C">
              <w:rPr>
                <w:sz w:val="20"/>
              </w:rPr>
              <w:t>b) zoznam zón a aglomerácií, v ktorých sú v príslušných prípadoch úrovne jednej alebo viacerých znečisťujúcich látok vyššie ako limitné hodnoty a príslušná medza tolerancie alebo vyššie ako cieľové hodnoty alebo kritické úrovne; a pre tieto zóny a aglomerácie: i) vyhodnotené úrovne a v prípade potreby i dátumy a obdobia, kedy sa takéto úrovne zistili; ii) prípadne hodnotenie príspevkov z prírodných zdrojov a z opätovného rozptylu častíc po zimnom posype alebo solení ciest k vyhodnoteným úrovniam, ako sa poskytuje Komisii podľa článkov 20 a 21.</w:t>
            </w:r>
          </w:p>
          <w:p w:rsidR="00E20C4A" w:rsidRPr="00D16B3E" w:rsidP="00E20C4A">
            <w:pPr>
              <w:jc w:val="both"/>
              <w:rPr>
                <w:sz w:val="20"/>
              </w:rPr>
            </w:pPr>
          </w:p>
        </w:tc>
        <w:tc>
          <w:tcPr>
            <w:tcW w:w="747" w:type="dxa"/>
          </w:tcPr>
          <w:p w:rsidR="00E20C4A" w:rsidRPr="00D86B9D" w:rsidP="00E20C4A">
            <w:pPr>
              <w:ind w:right="-249"/>
              <w:rPr>
                <w:sz w:val="20"/>
              </w:rPr>
            </w:pPr>
            <w:r w:rsidR="00D15A09">
              <w:rPr>
                <w:sz w:val="20"/>
              </w:rPr>
              <w:t>N</w:t>
            </w:r>
          </w:p>
        </w:tc>
        <w:tc>
          <w:tcPr>
            <w:tcW w:w="574" w:type="dxa"/>
          </w:tcPr>
          <w:p w:rsidR="00E20C4A" w:rsidRPr="00D15A09" w:rsidP="00E20C4A">
            <w:pPr>
              <w:jc w:val="both"/>
              <w:rPr>
                <w:sz w:val="20"/>
              </w:rPr>
            </w:pPr>
            <w:r w:rsidRPr="00D15A09" w:rsidR="00D15A09">
              <w:rPr>
                <w:sz w:val="20"/>
              </w:rPr>
              <w:t>NZ</w:t>
            </w:r>
          </w:p>
        </w:tc>
        <w:tc>
          <w:tcPr>
            <w:tcW w:w="701" w:type="dxa"/>
          </w:tcPr>
          <w:p w:rsidR="00D15A09" w:rsidP="00D15A09">
            <w:pPr>
              <w:pStyle w:val="Paragrafyzkona"/>
              <w:keepLines w:val="0"/>
              <w:spacing w:before="0" w:after="120" w:line="240" w:lineRule="auto"/>
              <w:jc w:val="left"/>
              <w:rPr>
                <w:b w:val="0"/>
                <w:sz w:val="20"/>
                <w:szCs w:val="20"/>
                <w:lang w:eastAsia="en-US"/>
              </w:rPr>
            </w:pPr>
            <w:r w:rsidR="009434A0">
              <w:rPr>
                <w:b w:val="0"/>
                <w:sz w:val="20"/>
                <w:szCs w:val="20"/>
                <w:lang w:eastAsia="en-US"/>
              </w:rPr>
              <w:t>§ 41</w:t>
            </w:r>
          </w:p>
          <w:p w:rsidR="00D15A09" w:rsidRPr="00A60944" w:rsidP="00D15A09">
            <w:pPr>
              <w:pStyle w:val="Paragrafyzkona"/>
              <w:keepLines w:val="0"/>
              <w:spacing w:before="0" w:after="120" w:line="240" w:lineRule="auto"/>
              <w:jc w:val="left"/>
              <w:rPr>
                <w:b w:val="0"/>
                <w:sz w:val="20"/>
                <w:szCs w:val="20"/>
                <w:lang w:eastAsia="en-US"/>
              </w:rPr>
            </w:pPr>
            <w:r w:rsidRPr="00A60944">
              <w:rPr>
                <w:b w:val="0"/>
                <w:sz w:val="20"/>
              </w:rPr>
              <w:t>Pd</w:t>
            </w:r>
          </w:p>
          <w:p w:rsidR="00E20C4A" w:rsidRPr="00D15A09" w:rsidP="00E20C4A">
            <w:pPr>
              <w:jc w:val="both"/>
              <w:rPr>
                <w:sz w:val="20"/>
              </w:rPr>
            </w:pPr>
          </w:p>
        </w:tc>
        <w:tc>
          <w:tcPr>
            <w:tcW w:w="7797" w:type="dxa"/>
          </w:tcPr>
          <w:p w:rsidR="00C1539F" w:rsidP="00D15A09">
            <w:pPr>
              <w:pStyle w:val="ListParagraph"/>
              <w:spacing w:line="240" w:lineRule="auto"/>
              <w:ind w:left="0"/>
              <w:contextualSpacing w:val="0"/>
              <w:jc w:val="both"/>
              <w:rPr>
                <w:sz w:val="20"/>
                <w:szCs w:val="20"/>
                <w:lang w:eastAsia="en-US"/>
              </w:rPr>
            </w:pPr>
            <w:r w:rsidR="00D15A09">
              <w:rPr>
                <w:sz w:val="20"/>
                <w:szCs w:val="20"/>
                <w:lang w:eastAsia="en-US"/>
              </w:rPr>
              <w:t xml:space="preserve"> Ministerstvo </w:t>
            </w:r>
          </w:p>
          <w:p w:rsidR="00D15A09" w:rsidP="00D15A09">
            <w:pPr>
              <w:pStyle w:val="ListParagraph"/>
              <w:spacing w:line="240" w:lineRule="auto"/>
              <w:ind w:left="0"/>
              <w:contextualSpacing w:val="0"/>
              <w:jc w:val="both"/>
              <w:rPr>
                <w:sz w:val="20"/>
                <w:szCs w:val="20"/>
                <w:lang w:eastAsia="en-US"/>
              </w:rPr>
            </w:pPr>
            <w:r w:rsidR="00C1539F">
              <w:rPr>
                <w:sz w:val="20"/>
                <w:szCs w:val="20"/>
                <w:lang w:eastAsia="en-US"/>
              </w:rPr>
              <w:t xml:space="preserve">d) </w:t>
            </w:r>
            <w:r w:rsidRPr="00A60944">
              <w:rPr>
                <w:sz w:val="20"/>
                <w:szCs w:val="20"/>
                <w:lang w:eastAsia="en-US"/>
              </w:rPr>
              <w:t>je vo vzťahu ku Komisii notifikačným orgánom, sprístupňuje a podáva Komisii ustanovené informácie a správy vo veciach ochrany ovzdušia a v ustanovených lehotách a rozsahu ustanovenom vykonávacím predpisom podľa § 62 písm. n),</w:t>
            </w:r>
          </w:p>
          <w:p w:rsidR="00D15A09" w:rsidRPr="00A60944" w:rsidP="00D15A09">
            <w:pPr>
              <w:pStyle w:val="ListParagraph"/>
              <w:spacing w:line="240" w:lineRule="auto"/>
              <w:ind w:left="0"/>
              <w:contextualSpacing w:val="0"/>
              <w:jc w:val="both"/>
              <w:rPr>
                <w:sz w:val="20"/>
                <w:szCs w:val="20"/>
                <w:lang w:eastAsia="en-US"/>
              </w:rPr>
            </w:pPr>
          </w:p>
          <w:p w:rsidR="00E20C4A" w:rsidRPr="00D15A09" w:rsidP="00E20C4A">
            <w:pPr>
              <w:pStyle w:val="Normlny"/>
              <w:jc w:val="center"/>
            </w:pPr>
          </w:p>
        </w:tc>
        <w:tc>
          <w:tcPr>
            <w:tcW w:w="708" w:type="dxa"/>
          </w:tcPr>
          <w:p w:rsidR="00E20C4A" w:rsidRPr="00D15A09" w:rsidP="00E20C4A">
            <w:pPr>
              <w:jc w:val="both"/>
              <w:rPr>
                <w:sz w:val="20"/>
              </w:rPr>
            </w:pPr>
            <w:r w:rsidRPr="00D15A09" w:rsidR="00D15A09">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Č27</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D71839">
              <w:rPr>
                <w:sz w:val="20"/>
              </w:rPr>
              <w:t>3. Odseky 1 a 2 sa vzťahujú na informácie zozbierané od začiatku druhého kalendárneho roku po nadobudnutí účinnosti vykonávacích opatrení uvedených v článku 28 ods. 2.</w:t>
            </w:r>
          </w:p>
          <w:p w:rsidR="00E20C4A" w:rsidRPr="00D16B3E" w:rsidP="00E20C4A">
            <w:pPr>
              <w:jc w:val="both"/>
              <w:rPr>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Č28</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D71839">
              <w:rPr>
                <w:sz w:val="20"/>
              </w:rPr>
              <w:t xml:space="preserve">1. Opatrenia zamerané na zmenu nepodstatných prvkov tejto smernice, a to príloh I až VI, príloh VIII až X a prílohy XV, sa prijmú v súlade s regulačným postupom s kontrolou uvedeným v článku 29 ods. 3. Zmeny však nesmú priamo alebo nepriamo meniť čokoľvek z nasledujúceho: </w:t>
            </w:r>
          </w:p>
          <w:p w:rsidR="00E20C4A" w:rsidP="00E20C4A">
            <w:pPr>
              <w:jc w:val="both"/>
              <w:rPr>
                <w:sz w:val="20"/>
              </w:rPr>
            </w:pPr>
            <w:r w:rsidRPr="00D71839">
              <w:rPr>
                <w:sz w:val="20"/>
              </w:rPr>
              <w:t xml:space="preserve">a) limitné hodnoty, ciele zníženia expozície, kritické úrovne, cieľové hodnoty, informačné alebo výstražné prahy či dlhodobé ciele určené v prílohe VII a v prílohách XI až XIV; </w:t>
            </w:r>
          </w:p>
          <w:p w:rsidR="00E20C4A" w:rsidP="00E20C4A">
            <w:pPr>
              <w:jc w:val="both"/>
              <w:rPr>
                <w:sz w:val="20"/>
              </w:rPr>
            </w:pPr>
            <w:r w:rsidRPr="00D71839">
              <w:rPr>
                <w:sz w:val="20"/>
              </w:rPr>
              <w:t>b) termíny na dosiahnutie súladu s ktorýmkoľvek z parametrov uvedených v písmene a).</w:t>
            </w:r>
          </w:p>
          <w:p w:rsidR="00E20C4A" w:rsidRPr="00D16B3E" w:rsidP="00E20C4A">
            <w:pPr>
              <w:jc w:val="both"/>
              <w:rPr>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Č28</w:t>
            </w:r>
          </w:p>
          <w:p w:rsidR="00E20C4A" w:rsidP="00E20C4A">
            <w:pPr>
              <w:jc w:val="both"/>
              <w:rPr>
                <w:sz w:val="20"/>
              </w:rPr>
            </w:pPr>
            <w:r>
              <w:rPr>
                <w:sz w:val="20"/>
              </w:rPr>
              <w:t>O2</w:t>
            </w:r>
          </w:p>
        </w:tc>
        <w:tc>
          <w:tcPr>
            <w:tcW w:w="4074" w:type="dxa"/>
            <w:tcBorders>
              <w:bottom w:val="single" w:sz="4" w:space="0" w:color="auto"/>
            </w:tcBorders>
          </w:tcPr>
          <w:p w:rsidR="00E20C4A" w:rsidRPr="00633006" w:rsidP="00E20C4A">
            <w:pPr>
              <w:jc w:val="both"/>
              <w:rPr>
                <w:sz w:val="20"/>
              </w:rPr>
            </w:pPr>
            <w:r w:rsidRPr="00633006">
              <w:rPr>
                <w:sz w:val="20"/>
              </w:rPr>
              <w:t>2. Komisia v súlade s regulačným postupom uvedeným v článku 29 ods. 2 určí dodatočné informácie, ktoré majú členské štáty sprístupniť podľa článku 27, ako aj lehoty, v ktorých sa majú tieto informácie poskytnúť. Komisia takisto určí spôsoby zefektívnenia spôsobu oznamovania údajov, ako aj vzájomnej výmeny informácií a údajov zo sietí a samostatných staníc merajúcich znečistenie okolitého ovzdušia v rámci členských štátov v súlade s regulačným postupom uvedeným v článku 29 ods. 2.</w:t>
            </w:r>
          </w:p>
          <w:p w:rsidR="00E20C4A" w:rsidRPr="00633006" w:rsidP="00E20C4A">
            <w:pPr>
              <w:jc w:val="both"/>
              <w:rPr>
                <w:b/>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Č28</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8730FF">
              <w:rPr>
                <w:sz w:val="20"/>
              </w:rPr>
              <w:t>3. Komisia vypracuje usmernenia k dohodám o zriaďovaní spoločných meracích staníc uvedených v článku 6 ods. 5.</w:t>
            </w:r>
          </w:p>
          <w:p w:rsidR="00E20C4A" w:rsidRPr="00633006" w:rsidP="00E20C4A">
            <w:pPr>
              <w:jc w:val="both"/>
              <w:rPr>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Č28</w:t>
            </w:r>
          </w:p>
          <w:p w:rsidR="00E20C4A" w:rsidP="00E20C4A">
            <w:pPr>
              <w:jc w:val="both"/>
              <w:rPr>
                <w:sz w:val="20"/>
              </w:rPr>
            </w:pPr>
            <w:r>
              <w:rPr>
                <w:sz w:val="20"/>
              </w:rPr>
              <w:t>O4</w:t>
            </w:r>
          </w:p>
        </w:tc>
        <w:tc>
          <w:tcPr>
            <w:tcW w:w="4074" w:type="dxa"/>
            <w:tcBorders>
              <w:bottom w:val="single" w:sz="4" w:space="0" w:color="auto"/>
            </w:tcBorders>
          </w:tcPr>
          <w:p w:rsidR="00E20C4A" w:rsidRPr="008730FF" w:rsidP="00E20C4A">
            <w:pPr>
              <w:jc w:val="both"/>
              <w:rPr>
                <w:sz w:val="20"/>
              </w:rPr>
            </w:pPr>
            <w:r w:rsidRPr="008730FF">
              <w:rPr>
                <w:sz w:val="20"/>
              </w:rPr>
              <w:t>4. Komisia uverejní pokyn o preukazovaní rovnocennosti uvedenej v oddiele B prílohy VI.</w:t>
            </w:r>
          </w:p>
          <w:p w:rsidR="00E20C4A" w:rsidRPr="00633006" w:rsidP="00E20C4A">
            <w:pPr>
              <w:jc w:val="both"/>
              <w:rPr>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Č29</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84127C">
              <w:rPr>
                <w:sz w:val="20"/>
              </w:rPr>
              <w:t>Výb</w:t>
            </w:r>
            <w:r w:rsidRPr="0084127C">
              <w:rPr>
                <w:sz w:val="20"/>
              </w:rPr>
              <w:t xml:space="preserve">or </w:t>
            </w:r>
          </w:p>
          <w:p w:rsidR="00E20C4A" w:rsidP="00E20C4A">
            <w:pPr>
              <w:jc w:val="both"/>
              <w:rPr>
                <w:sz w:val="20"/>
              </w:rPr>
            </w:pPr>
            <w:r w:rsidRPr="0084127C">
              <w:rPr>
                <w:sz w:val="20"/>
              </w:rPr>
              <w:t>1. Komisii pomáha Výbor pre kvalitu okolitého ovzdušia.</w:t>
            </w:r>
          </w:p>
          <w:p w:rsidR="00E20C4A" w:rsidRPr="00633006" w:rsidP="00E20C4A">
            <w:pPr>
              <w:jc w:val="both"/>
              <w:rPr>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531A2C">
        <w:tblPrEx>
          <w:tblW w:w="31671" w:type="dxa"/>
          <w:tblInd w:w="-72" w:type="dxa"/>
          <w:tblLayout w:type="fixed"/>
          <w:tblCellMar>
            <w:left w:w="70" w:type="dxa"/>
            <w:right w:w="70" w:type="dxa"/>
          </w:tblCellMar>
          <w:tblLook w:val="0000"/>
        </w:tblPrEx>
        <w:trPr>
          <w:gridAfter w:val="2"/>
          <w:wAfter w:w="15090" w:type="dxa"/>
          <w:trHeight w:val="1200"/>
        </w:trPr>
        <w:tc>
          <w:tcPr>
            <w:tcW w:w="850" w:type="dxa"/>
          </w:tcPr>
          <w:p w:rsidR="00E20C4A" w:rsidP="00E20C4A">
            <w:pPr>
              <w:jc w:val="both"/>
              <w:rPr>
                <w:sz w:val="20"/>
              </w:rPr>
            </w:pPr>
            <w:r>
              <w:rPr>
                <w:sz w:val="20"/>
              </w:rPr>
              <w:t>Č29</w:t>
            </w:r>
          </w:p>
          <w:p w:rsidR="00E20C4A" w:rsidP="00E20C4A">
            <w:pPr>
              <w:jc w:val="both"/>
              <w:rPr>
                <w:sz w:val="20"/>
              </w:rPr>
            </w:pPr>
            <w:r>
              <w:rPr>
                <w:sz w:val="20"/>
              </w:rPr>
              <w:t>O2</w:t>
            </w:r>
          </w:p>
          <w:p w:rsidR="00E20C4A" w:rsidP="00E20C4A">
            <w:pPr>
              <w:jc w:val="both"/>
              <w:rPr>
                <w:sz w:val="20"/>
              </w:rPr>
            </w:pPr>
          </w:p>
          <w:p w:rsidR="00E20C4A" w:rsidP="00E20C4A">
            <w:pPr>
              <w:jc w:val="both"/>
              <w:rPr>
                <w:sz w:val="20"/>
              </w:rPr>
            </w:pPr>
          </w:p>
          <w:p w:rsidR="00E20C4A" w:rsidP="00E20C4A">
            <w:pPr>
              <w:jc w:val="both"/>
              <w:rPr>
                <w:sz w:val="20"/>
              </w:rPr>
            </w:pPr>
          </w:p>
          <w:p w:rsidR="00E20C4A" w:rsidP="00E20C4A">
            <w:pPr>
              <w:jc w:val="both"/>
              <w:rPr>
                <w:sz w:val="20"/>
              </w:rPr>
            </w:pPr>
          </w:p>
        </w:tc>
        <w:tc>
          <w:tcPr>
            <w:tcW w:w="4074" w:type="dxa"/>
            <w:tcBorders>
              <w:bottom w:val="single" w:sz="4" w:space="0" w:color="auto"/>
            </w:tcBorders>
          </w:tcPr>
          <w:p w:rsidR="00E20C4A" w:rsidP="00E20C4A">
            <w:pPr>
              <w:jc w:val="both"/>
              <w:rPr>
                <w:sz w:val="20"/>
              </w:rPr>
            </w:pPr>
            <w:r w:rsidRPr="0084127C">
              <w:rPr>
                <w:sz w:val="20"/>
              </w:rPr>
              <w:t>2. Ak sa odkazuje na tento odsek, uplatňujú sa články 5 a 7 rozhodnutia 1999/468/ES, so zreteľom na jeho článok 8. Lehota stanovená v článku 5 ods. 6 rozhodnutia 1999/468</w:t>
            </w:r>
            <w:r w:rsidRPr="0084127C">
              <w:rPr>
                <w:sz w:val="20"/>
              </w:rPr>
              <w:t>/ES je tri mesiace.</w:t>
            </w:r>
          </w:p>
          <w:p w:rsidR="00E20C4A" w:rsidRPr="00633006" w:rsidP="00E20C4A">
            <w:pPr>
              <w:jc w:val="both"/>
              <w:rPr>
                <w:sz w:val="20"/>
              </w:rPr>
            </w:pPr>
          </w:p>
        </w:tc>
        <w:tc>
          <w:tcPr>
            <w:tcW w:w="747" w:type="dxa"/>
          </w:tcPr>
          <w:p w:rsidR="00E20C4A" w:rsidRPr="00D86B9D" w:rsidP="00E20C4A">
            <w:pPr>
              <w:ind w:right="-249"/>
              <w:rPr>
                <w:sz w:val="20"/>
              </w:rPr>
            </w:pPr>
            <w:r w:rsidR="008947F5">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1085"/>
        </w:trPr>
        <w:tc>
          <w:tcPr>
            <w:tcW w:w="850" w:type="dxa"/>
          </w:tcPr>
          <w:p w:rsidR="00531A2C" w:rsidP="00531A2C">
            <w:pPr>
              <w:jc w:val="both"/>
              <w:rPr>
                <w:sz w:val="20"/>
              </w:rPr>
            </w:pPr>
            <w:r>
              <w:rPr>
                <w:sz w:val="20"/>
              </w:rPr>
              <w:t>Č29</w:t>
            </w:r>
          </w:p>
          <w:p w:rsidR="00531A2C" w:rsidP="00531A2C">
            <w:pPr>
              <w:jc w:val="both"/>
              <w:rPr>
                <w:sz w:val="20"/>
              </w:rPr>
            </w:pPr>
            <w:r>
              <w:rPr>
                <w:sz w:val="20"/>
              </w:rPr>
              <w:t>O3</w:t>
            </w:r>
          </w:p>
        </w:tc>
        <w:tc>
          <w:tcPr>
            <w:tcW w:w="4074" w:type="dxa"/>
            <w:tcBorders>
              <w:bottom w:val="single" w:sz="4" w:space="0" w:color="auto"/>
            </w:tcBorders>
          </w:tcPr>
          <w:p w:rsidR="00531A2C" w:rsidP="00531A2C">
            <w:pPr>
              <w:jc w:val="both"/>
              <w:rPr>
                <w:sz w:val="20"/>
              </w:rPr>
            </w:pPr>
            <w:r w:rsidRPr="0084127C">
              <w:rPr>
                <w:sz w:val="20"/>
              </w:rPr>
              <w:t>3. Ak sa odkazuje na tento odsek, uplatňuje sa článok 5a ods. 1 až 4 a článok 7 rozhodnutia 1999/468/ES, so zreteľom na jeho článok 8.</w:t>
            </w:r>
          </w:p>
          <w:p w:rsidR="00531A2C" w:rsidRPr="0084127C" w:rsidP="00E20C4A">
            <w:pPr>
              <w:jc w:val="both"/>
              <w:rPr>
                <w:sz w:val="20"/>
              </w:rPr>
            </w:pPr>
          </w:p>
        </w:tc>
        <w:tc>
          <w:tcPr>
            <w:tcW w:w="747" w:type="dxa"/>
          </w:tcPr>
          <w:p w:rsidR="00531A2C" w:rsidP="00E20C4A">
            <w:pPr>
              <w:ind w:right="-249"/>
              <w:rPr>
                <w:sz w:val="20"/>
              </w:rPr>
            </w:pPr>
            <w:r w:rsidR="00F84872">
              <w:rPr>
                <w:sz w:val="20"/>
              </w:rPr>
              <w:t>n.a</w:t>
            </w:r>
          </w:p>
        </w:tc>
        <w:tc>
          <w:tcPr>
            <w:tcW w:w="574" w:type="dxa"/>
          </w:tcPr>
          <w:p w:rsidR="00531A2C" w:rsidRPr="008658BB" w:rsidP="00E20C4A">
            <w:pPr>
              <w:jc w:val="both"/>
              <w:rPr>
                <w:b/>
                <w:sz w:val="20"/>
              </w:rPr>
            </w:pPr>
          </w:p>
        </w:tc>
        <w:tc>
          <w:tcPr>
            <w:tcW w:w="701" w:type="dxa"/>
          </w:tcPr>
          <w:p w:rsidR="00531A2C" w:rsidRPr="008658BB" w:rsidP="00E20C4A">
            <w:pPr>
              <w:jc w:val="both"/>
              <w:rPr>
                <w:b/>
                <w:sz w:val="20"/>
              </w:rPr>
            </w:pPr>
          </w:p>
        </w:tc>
        <w:tc>
          <w:tcPr>
            <w:tcW w:w="7797" w:type="dxa"/>
          </w:tcPr>
          <w:p w:rsidR="00531A2C" w:rsidP="00E20C4A">
            <w:pPr>
              <w:pStyle w:val="Normlny"/>
              <w:jc w:val="center"/>
              <w:rPr>
                <w:b/>
              </w:rPr>
            </w:pPr>
          </w:p>
        </w:tc>
        <w:tc>
          <w:tcPr>
            <w:tcW w:w="708" w:type="dxa"/>
          </w:tcPr>
          <w:p w:rsidR="00531A2C" w:rsidRPr="00090E9B" w:rsidP="00E20C4A">
            <w:pPr>
              <w:jc w:val="both"/>
              <w:rPr>
                <w:sz w:val="20"/>
              </w:rPr>
            </w:pPr>
            <w:r w:rsidR="00F84872">
              <w:rPr>
                <w:sz w:val="20"/>
              </w:rPr>
              <w:t>n.a.</w:t>
            </w:r>
          </w:p>
        </w:tc>
        <w:tc>
          <w:tcPr>
            <w:tcW w:w="1130" w:type="dxa"/>
          </w:tcPr>
          <w:p w:rsidR="00531A2C"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Č30</w:t>
            </w:r>
          </w:p>
        </w:tc>
        <w:tc>
          <w:tcPr>
            <w:tcW w:w="4074" w:type="dxa"/>
            <w:tcBorders>
              <w:bottom w:val="single" w:sz="4" w:space="0" w:color="auto"/>
            </w:tcBorders>
          </w:tcPr>
          <w:p w:rsidR="00E20C4A" w:rsidP="00E20C4A">
            <w:pPr>
              <w:jc w:val="both"/>
              <w:rPr>
                <w:sz w:val="20"/>
              </w:rPr>
            </w:pPr>
            <w:r w:rsidRPr="0084127C">
              <w:rPr>
                <w:sz w:val="20"/>
              </w:rPr>
              <w:t>Sankcie Členské štáty stanovia pravidlá pre sankcie uplatniteľné za porušenie vnútroštátnych ustanovení prijatých podľa tejto smernice a prijmú všetky potrebné opatrenia na zabezpečenie ich vykonávania. Stanovené sankcie musia byť účinné, primerané a odradzujúce.</w:t>
            </w:r>
          </w:p>
          <w:p w:rsidR="00E20C4A" w:rsidRPr="00633006" w:rsidP="00E20C4A">
            <w:pPr>
              <w:jc w:val="both"/>
              <w:rPr>
                <w:sz w:val="20"/>
              </w:rPr>
            </w:pPr>
          </w:p>
        </w:tc>
        <w:tc>
          <w:tcPr>
            <w:tcW w:w="747" w:type="dxa"/>
          </w:tcPr>
          <w:p w:rsidR="00E20C4A" w:rsidRPr="00D86B9D" w:rsidP="00E20C4A">
            <w:pPr>
              <w:ind w:right="-249"/>
              <w:rPr>
                <w:sz w:val="20"/>
              </w:rPr>
            </w:pPr>
            <w:r w:rsidR="00AA5513">
              <w:rPr>
                <w:sz w:val="20"/>
              </w:rPr>
              <w:t>N</w:t>
            </w:r>
          </w:p>
        </w:tc>
        <w:tc>
          <w:tcPr>
            <w:tcW w:w="574" w:type="dxa"/>
          </w:tcPr>
          <w:p w:rsidR="00E20C4A" w:rsidRPr="00AA5513" w:rsidP="00E20C4A">
            <w:pPr>
              <w:jc w:val="both"/>
              <w:rPr>
                <w:sz w:val="20"/>
              </w:rPr>
            </w:pPr>
            <w:r w:rsidRPr="00AA5513" w:rsidR="00AA5513">
              <w:rPr>
                <w:sz w:val="20"/>
              </w:rPr>
              <w:t>NZ</w:t>
            </w:r>
          </w:p>
        </w:tc>
        <w:tc>
          <w:tcPr>
            <w:tcW w:w="701" w:type="dxa"/>
          </w:tcPr>
          <w:p w:rsidR="00AA5513" w:rsidP="00AA5513">
            <w:pPr>
              <w:pStyle w:val="Paragrafyzkona"/>
              <w:keepLines w:val="0"/>
              <w:spacing w:before="0" w:after="120" w:line="240" w:lineRule="auto"/>
              <w:jc w:val="left"/>
              <w:rPr>
                <w:b w:val="0"/>
                <w:sz w:val="20"/>
                <w:szCs w:val="20"/>
                <w:lang w:eastAsia="en-US"/>
              </w:rPr>
            </w:pPr>
            <w:r>
              <w:rPr>
                <w:b w:val="0"/>
                <w:sz w:val="20"/>
                <w:szCs w:val="20"/>
                <w:lang w:eastAsia="en-US"/>
              </w:rPr>
              <w:t>§ 55</w:t>
            </w:r>
          </w:p>
          <w:p w:rsidR="00AA5513" w:rsidP="00AA5513">
            <w:pPr>
              <w:pStyle w:val="Paragrafyzkona"/>
              <w:keepLines w:val="0"/>
              <w:spacing w:before="0" w:after="120" w:line="240" w:lineRule="auto"/>
              <w:jc w:val="left"/>
              <w:rPr>
                <w:b w:val="0"/>
                <w:sz w:val="20"/>
                <w:szCs w:val="20"/>
                <w:lang w:eastAsia="en-US"/>
              </w:rPr>
            </w:pPr>
            <w:r w:rsidRPr="00A60944">
              <w:rPr>
                <w:b w:val="0"/>
                <w:sz w:val="20"/>
                <w:szCs w:val="20"/>
                <w:lang w:eastAsia="en-US"/>
              </w:rPr>
              <w:t>O1</w:t>
            </w:r>
          </w:p>
          <w:p w:rsidR="00AA5513" w:rsidP="00AA5513">
            <w:pPr>
              <w:pStyle w:val="Paragrafyzkona"/>
              <w:keepLines w:val="0"/>
              <w:spacing w:before="0" w:after="120" w:line="240" w:lineRule="auto"/>
              <w:jc w:val="left"/>
              <w:rPr>
                <w:b w:val="0"/>
                <w:sz w:val="20"/>
                <w:szCs w:val="20"/>
                <w:lang w:eastAsia="en-US"/>
              </w:rPr>
            </w:pPr>
          </w:p>
          <w:p w:rsidR="00531A2C" w:rsidP="00AA5513">
            <w:pPr>
              <w:pStyle w:val="Paragrafyzkona"/>
              <w:keepLines w:val="0"/>
              <w:spacing w:before="0" w:after="120" w:line="240" w:lineRule="auto"/>
              <w:jc w:val="left"/>
              <w:rPr>
                <w:b w:val="0"/>
                <w:sz w:val="20"/>
                <w:szCs w:val="20"/>
                <w:lang w:eastAsia="en-US"/>
              </w:rPr>
            </w:pPr>
          </w:p>
          <w:p w:rsidR="00531A2C" w:rsidP="00AA5513">
            <w:pPr>
              <w:pStyle w:val="Paragrafyzkona"/>
              <w:keepLines w:val="0"/>
              <w:spacing w:before="0" w:after="120" w:line="240" w:lineRule="auto"/>
              <w:jc w:val="left"/>
              <w:rPr>
                <w:b w:val="0"/>
                <w:sz w:val="20"/>
                <w:szCs w:val="20"/>
                <w:lang w:eastAsia="en-US"/>
              </w:rPr>
            </w:pPr>
          </w:p>
          <w:p w:rsidR="00531A2C" w:rsidP="00AA5513">
            <w:pPr>
              <w:pStyle w:val="Paragrafyzkona"/>
              <w:keepLines w:val="0"/>
              <w:spacing w:before="0" w:after="120" w:line="240" w:lineRule="auto"/>
              <w:jc w:val="left"/>
              <w:rPr>
                <w:b w:val="0"/>
                <w:sz w:val="20"/>
                <w:szCs w:val="20"/>
                <w:lang w:eastAsia="en-US"/>
              </w:rPr>
            </w:pPr>
          </w:p>
          <w:p w:rsidR="00531A2C" w:rsidP="00AA5513">
            <w:pPr>
              <w:pStyle w:val="Paragrafyzkona"/>
              <w:keepLines w:val="0"/>
              <w:spacing w:before="0" w:after="120" w:line="240" w:lineRule="auto"/>
              <w:jc w:val="left"/>
              <w:rPr>
                <w:b w:val="0"/>
                <w:sz w:val="20"/>
                <w:szCs w:val="20"/>
                <w:lang w:eastAsia="en-US"/>
              </w:rPr>
            </w:pPr>
          </w:p>
          <w:p w:rsidR="00C51BBA" w:rsidP="00AA5513">
            <w:pPr>
              <w:pStyle w:val="Paragrafyzkona"/>
              <w:keepLines w:val="0"/>
              <w:spacing w:before="0" w:after="120" w:line="240" w:lineRule="auto"/>
              <w:jc w:val="left"/>
              <w:rPr>
                <w:b w:val="0"/>
                <w:sz w:val="20"/>
                <w:szCs w:val="20"/>
                <w:lang w:eastAsia="en-US"/>
              </w:rPr>
            </w:pPr>
          </w:p>
          <w:p w:rsidR="00C746CE" w:rsidP="00AA5513">
            <w:pPr>
              <w:pStyle w:val="Paragrafyzkona"/>
              <w:keepLines w:val="0"/>
              <w:spacing w:before="0" w:after="120" w:line="240" w:lineRule="auto"/>
              <w:jc w:val="left"/>
              <w:rPr>
                <w:b w:val="0"/>
                <w:sz w:val="20"/>
                <w:szCs w:val="20"/>
                <w:lang w:eastAsia="en-US"/>
              </w:rPr>
            </w:pPr>
          </w:p>
          <w:p w:rsidR="00AA5513" w:rsidP="00AA5513">
            <w:pPr>
              <w:pStyle w:val="Paragrafyzkona"/>
              <w:keepLines w:val="0"/>
              <w:spacing w:before="0" w:after="120" w:line="240" w:lineRule="auto"/>
              <w:jc w:val="left"/>
              <w:rPr>
                <w:b w:val="0"/>
                <w:sz w:val="20"/>
              </w:rPr>
            </w:pPr>
            <w:r>
              <w:rPr>
                <w:b w:val="0"/>
                <w:sz w:val="20"/>
              </w:rPr>
              <w:t>O2</w:t>
            </w:r>
          </w:p>
          <w:p w:rsidR="00BE5DCE" w:rsidP="00AA5513">
            <w:pPr>
              <w:pStyle w:val="Paragrafyzkona"/>
              <w:keepLines w:val="0"/>
              <w:spacing w:before="0" w:after="120" w:line="240" w:lineRule="auto"/>
              <w:jc w:val="left"/>
              <w:rPr>
                <w:b w:val="0"/>
                <w:sz w:val="20"/>
              </w:rPr>
            </w:pPr>
          </w:p>
          <w:p w:rsidR="00BE5DCE" w:rsidP="00AA5513">
            <w:pPr>
              <w:pStyle w:val="Paragrafyzkona"/>
              <w:keepLines w:val="0"/>
              <w:spacing w:before="0" w:after="120" w:line="240" w:lineRule="auto"/>
              <w:jc w:val="left"/>
              <w:rPr>
                <w:b w:val="0"/>
                <w:sz w:val="20"/>
              </w:rPr>
            </w:pPr>
          </w:p>
          <w:p w:rsidR="00BE5DCE" w:rsidP="00AA5513">
            <w:pPr>
              <w:pStyle w:val="Paragrafyzkona"/>
              <w:keepLines w:val="0"/>
              <w:spacing w:before="0" w:after="120" w:line="240" w:lineRule="auto"/>
              <w:jc w:val="left"/>
              <w:rPr>
                <w:b w:val="0"/>
                <w:sz w:val="20"/>
              </w:rPr>
            </w:pPr>
          </w:p>
          <w:p w:rsidR="00531A2C" w:rsidP="00AA5513">
            <w:pPr>
              <w:pStyle w:val="Paragrafyzkona"/>
              <w:keepLines w:val="0"/>
              <w:spacing w:before="0" w:after="120" w:line="240" w:lineRule="auto"/>
              <w:jc w:val="left"/>
              <w:rPr>
                <w:b w:val="0"/>
                <w:sz w:val="20"/>
              </w:rPr>
            </w:pPr>
          </w:p>
          <w:p w:rsidR="00531A2C" w:rsidP="00AA5513">
            <w:pPr>
              <w:pStyle w:val="Paragrafyzkona"/>
              <w:keepLines w:val="0"/>
              <w:spacing w:before="0" w:after="120" w:line="240" w:lineRule="auto"/>
              <w:jc w:val="left"/>
              <w:rPr>
                <w:b w:val="0"/>
                <w:sz w:val="20"/>
              </w:rPr>
            </w:pPr>
          </w:p>
          <w:p w:rsidR="00531A2C" w:rsidP="00AA5513">
            <w:pPr>
              <w:pStyle w:val="Paragrafyzkona"/>
              <w:keepLines w:val="0"/>
              <w:spacing w:before="0" w:after="120" w:line="240" w:lineRule="auto"/>
              <w:jc w:val="left"/>
              <w:rPr>
                <w:b w:val="0"/>
                <w:sz w:val="20"/>
              </w:rPr>
            </w:pPr>
          </w:p>
          <w:p w:rsidR="00531A2C" w:rsidP="00AA5513">
            <w:pPr>
              <w:pStyle w:val="Paragrafyzkona"/>
              <w:keepLines w:val="0"/>
              <w:spacing w:before="0" w:after="120" w:line="240" w:lineRule="auto"/>
              <w:jc w:val="left"/>
              <w:rPr>
                <w:b w:val="0"/>
                <w:sz w:val="20"/>
              </w:rPr>
            </w:pPr>
          </w:p>
          <w:p w:rsidR="00BE5DCE" w:rsidP="00AA5513">
            <w:pPr>
              <w:pStyle w:val="Paragrafyzkona"/>
              <w:keepLines w:val="0"/>
              <w:spacing w:before="0" w:after="120" w:line="240" w:lineRule="auto"/>
              <w:jc w:val="left"/>
              <w:rPr>
                <w:b w:val="0"/>
                <w:sz w:val="20"/>
              </w:rPr>
            </w:pPr>
            <w:r>
              <w:rPr>
                <w:b w:val="0"/>
                <w:sz w:val="20"/>
              </w:rPr>
              <w:t>O3</w:t>
            </w:r>
          </w:p>
          <w:p w:rsidR="00BE5DCE" w:rsidP="00AA5513">
            <w:pPr>
              <w:pStyle w:val="Paragrafyzkona"/>
              <w:keepLines w:val="0"/>
              <w:spacing w:before="0" w:after="120" w:line="240" w:lineRule="auto"/>
              <w:jc w:val="left"/>
              <w:rPr>
                <w:b w:val="0"/>
                <w:sz w:val="20"/>
              </w:rPr>
            </w:pPr>
          </w:p>
          <w:p w:rsidR="00BE5DCE" w:rsidP="00AA5513">
            <w:pPr>
              <w:pStyle w:val="Paragrafyzkona"/>
              <w:keepLines w:val="0"/>
              <w:spacing w:before="0" w:after="120" w:line="240" w:lineRule="auto"/>
              <w:jc w:val="left"/>
              <w:rPr>
                <w:b w:val="0"/>
                <w:sz w:val="20"/>
              </w:rPr>
            </w:pPr>
          </w:p>
          <w:p w:rsidR="0006578D" w:rsidP="00AA5513">
            <w:pPr>
              <w:pStyle w:val="Paragrafyzkona"/>
              <w:keepLines w:val="0"/>
              <w:spacing w:before="0" w:after="120" w:line="240" w:lineRule="auto"/>
              <w:jc w:val="left"/>
              <w:rPr>
                <w:b w:val="0"/>
                <w:sz w:val="20"/>
              </w:rPr>
            </w:pPr>
          </w:p>
          <w:p w:rsidR="0006578D" w:rsidP="00AA5513">
            <w:pPr>
              <w:pStyle w:val="Paragrafyzkona"/>
              <w:keepLines w:val="0"/>
              <w:spacing w:before="0" w:after="120" w:line="240" w:lineRule="auto"/>
              <w:jc w:val="left"/>
              <w:rPr>
                <w:b w:val="0"/>
                <w:sz w:val="20"/>
              </w:rPr>
            </w:pPr>
          </w:p>
          <w:p w:rsidR="00BE5DCE" w:rsidRPr="00A60944" w:rsidP="00AA5513">
            <w:pPr>
              <w:pStyle w:val="Paragrafyzkona"/>
              <w:keepLines w:val="0"/>
              <w:spacing w:before="0" w:after="120" w:line="240" w:lineRule="auto"/>
              <w:jc w:val="left"/>
              <w:rPr>
                <w:b w:val="0"/>
                <w:sz w:val="20"/>
                <w:szCs w:val="20"/>
                <w:lang w:eastAsia="en-US"/>
              </w:rPr>
            </w:pPr>
            <w:r>
              <w:rPr>
                <w:b w:val="0"/>
                <w:sz w:val="20"/>
              </w:rPr>
              <w:t>O4</w:t>
            </w:r>
          </w:p>
          <w:p w:rsidR="00E20C4A" w:rsidRPr="008658BB" w:rsidP="00E20C4A">
            <w:pPr>
              <w:jc w:val="both"/>
              <w:rPr>
                <w:b/>
                <w:sz w:val="20"/>
              </w:rPr>
            </w:pPr>
          </w:p>
        </w:tc>
        <w:tc>
          <w:tcPr>
            <w:tcW w:w="7797" w:type="dxa"/>
          </w:tcPr>
          <w:p w:rsidR="00187EEF" w:rsidRPr="00187EEF" w:rsidP="00187EEF">
            <w:pPr>
              <w:pStyle w:val="ListParagraph"/>
              <w:spacing w:after="360"/>
              <w:ind w:left="0"/>
              <w:jc w:val="both"/>
              <w:rPr>
                <w:sz w:val="20"/>
                <w:szCs w:val="20"/>
                <w:lang w:eastAsia="en-US"/>
              </w:rPr>
            </w:pPr>
            <w:r w:rsidRPr="00187EEF">
              <w:rPr>
                <w:sz w:val="20"/>
                <w:szCs w:val="20"/>
                <w:lang w:eastAsia="en-US"/>
              </w:rPr>
              <w:t>(1)</w:t>
              <w:tab/>
              <w:t xml:space="preserve">Okresný úrad alebo inšpekcia uloží pokutu za porušenie zákazu podľa § 32 písm. a), b) a e) a povinností podľa § 34 ods. 1 písm. a) až g), § 34 ods. 2 písm. g), § 34 ods. 3 písm. a) a d) až f), § 34 ods. 4 písm. a) až c), § 34 ods. 5 písm. b), § 34 ods. 6, § 34 ods. 7 písm. a) až c), § 34 ods. 8 písm. a) a e), § 34 ods. 9 písm. a), § 34 ods. 10 písm. a) až c) a povinnosti ustanovenej v § 34 ods. 11, prevádzkovateľovi zdroja, ak ide o porušenie pre </w:t>
            </w:r>
          </w:p>
          <w:p w:rsidR="00187EEF" w:rsidRPr="00187EEF" w:rsidP="00187EEF">
            <w:pPr>
              <w:pStyle w:val="ListParagraph"/>
              <w:spacing w:after="360"/>
              <w:ind w:left="0"/>
              <w:jc w:val="both"/>
              <w:rPr>
                <w:sz w:val="20"/>
                <w:szCs w:val="20"/>
                <w:lang w:eastAsia="en-US"/>
              </w:rPr>
            </w:pPr>
            <w:r w:rsidRPr="00187EEF">
              <w:rPr>
                <w:sz w:val="20"/>
                <w:szCs w:val="20"/>
                <w:lang w:eastAsia="en-US"/>
              </w:rPr>
              <w:t>a)</w:t>
              <w:tab/>
              <w:t>veľký zdroj od 10 000 eur do 1 000 000 eur,</w:t>
            </w:r>
          </w:p>
          <w:p w:rsidR="00C746CE" w:rsidP="00187EEF">
            <w:pPr>
              <w:pStyle w:val="ListParagraph"/>
              <w:spacing w:after="360"/>
              <w:ind w:left="0"/>
              <w:jc w:val="both"/>
              <w:rPr>
                <w:sz w:val="20"/>
                <w:szCs w:val="20"/>
                <w:lang w:eastAsia="en-US"/>
              </w:rPr>
            </w:pPr>
            <w:r w:rsidRPr="00187EEF" w:rsidR="00187EEF">
              <w:rPr>
                <w:sz w:val="20"/>
                <w:szCs w:val="20"/>
                <w:lang w:eastAsia="en-US"/>
              </w:rPr>
              <w:t>b)</w:t>
              <w:tab/>
              <w:t>stredného zdroja</w:t>
            </w:r>
            <w:r w:rsidRPr="00187EEF" w:rsidR="00187EEF">
              <w:rPr>
                <w:sz w:val="20"/>
                <w:szCs w:val="20"/>
                <w:lang w:eastAsia="en-US"/>
              </w:rPr>
              <w:t xml:space="preserve"> od 2 500 eur do 250 000 eur.</w:t>
            </w:r>
          </w:p>
          <w:p w:rsidR="00C746CE" w:rsidP="00C746CE">
            <w:pPr>
              <w:pStyle w:val="ListParagraph"/>
              <w:spacing w:after="0" w:line="240" w:lineRule="auto"/>
              <w:ind w:left="0"/>
              <w:jc w:val="both"/>
              <w:rPr>
                <w:sz w:val="20"/>
                <w:szCs w:val="20"/>
                <w:lang w:eastAsia="en-US"/>
              </w:rPr>
            </w:pPr>
          </w:p>
          <w:p w:rsidR="00C746CE" w:rsidRPr="00C746CE" w:rsidP="00C746CE">
            <w:pPr>
              <w:pStyle w:val="ListParagraph"/>
              <w:spacing w:after="0" w:line="240" w:lineRule="auto"/>
              <w:ind w:left="0"/>
              <w:jc w:val="both"/>
              <w:rPr>
                <w:sz w:val="20"/>
                <w:szCs w:val="20"/>
                <w:lang w:eastAsia="en-US"/>
              </w:rPr>
            </w:pPr>
          </w:p>
          <w:p w:rsidR="00C746CE" w:rsidRPr="00C746CE" w:rsidP="00C746CE">
            <w:pPr>
              <w:pStyle w:val="ListParagraph"/>
              <w:spacing w:after="360"/>
              <w:ind w:left="0"/>
              <w:jc w:val="both"/>
              <w:rPr>
                <w:sz w:val="20"/>
                <w:szCs w:val="20"/>
                <w:lang w:eastAsia="en-US"/>
              </w:rPr>
            </w:pPr>
            <w:r>
              <w:rPr>
                <w:sz w:val="20"/>
                <w:szCs w:val="20"/>
                <w:lang w:eastAsia="en-US"/>
              </w:rPr>
              <w:t xml:space="preserve">(2) </w:t>
            </w:r>
            <w:r w:rsidRPr="00C746CE">
              <w:rPr>
                <w:sz w:val="20"/>
                <w:szCs w:val="20"/>
                <w:lang w:eastAsia="en-US"/>
              </w:rPr>
              <w:t xml:space="preserve">Okresný 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 </w:t>
            </w:r>
          </w:p>
          <w:p w:rsidR="00C746CE" w:rsidP="00C746CE">
            <w:pPr>
              <w:pStyle w:val="ListParagraph"/>
              <w:spacing w:after="0"/>
              <w:ind w:left="0"/>
              <w:jc w:val="both"/>
              <w:rPr>
                <w:sz w:val="20"/>
                <w:szCs w:val="20"/>
                <w:lang w:eastAsia="en-US"/>
              </w:rPr>
            </w:pPr>
            <w:r>
              <w:rPr>
                <w:sz w:val="20"/>
                <w:szCs w:val="20"/>
                <w:lang w:eastAsia="en-US"/>
              </w:rPr>
              <w:t xml:space="preserve">a) </w:t>
            </w:r>
            <w:r w:rsidRPr="00C746CE">
              <w:rPr>
                <w:sz w:val="20"/>
                <w:szCs w:val="20"/>
                <w:lang w:eastAsia="en-US"/>
              </w:rPr>
              <w:t>veľký zdroj vo výške od 2 500 eur do 250 000 eur,</w:t>
            </w:r>
          </w:p>
          <w:p w:rsidR="00C746CE" w:rsidRPr="00C746CE" w:rsidP="00C746CE">
            <w:pPr>
              <w:pStyle w:val="ListParagraph"/>
              <w:spacing w:after="0"/>
              <w:ind w:left="0"/>
              <w:jc w:val="both"/>
              <w:rPr>
                <w:sz w:val="20"/>
                <w:szCs w:val="20"/>
                <w:lang w:eastAsia="en-US"/>
              </w:rPr>
            </w:pPr>
          </w:p>
          <w:p w:rsidR="00C746CE" w:rsidP="00C746CE">
            <w:pPr>
              <w:pStyle w:val="ListParagraph"/>
              <w:spacing w:after="0"/>
              <w:ind w:left="0"/>
              <w:jc w:val="both"/>
              <w:rPr>
                <w:sz w:val="20"/>
                <w:szCs w:val="20"/>
                <w:lang w:eastAsia="en-US"/>
              </w:rPr>
            </w:pPr>
            <w:r>
              <w:rPr>
                <w:sz w:val="20"/>
                <w:szCs w:val="20"/>
                <w:lang w:eastAsia="en-US"/>
              </w:rPr>
              <w:t xml:space="preserve">b) </w:t>
            </w:r>
            <w:r w:rsidRPr="00C746CE">
              <w:rPr>
                <w:sz w:val="20"/>
                <w:szCs w:val="20"/>
                <w:lang w:eastAsia="en-US"/>
              </w:rPr>
              <w:t>stredného zdroja vo výške od</w:t>
            </w:r>
            <w:r w:rsidRPr="00C746CE">
              <w:rPr>
                <w:sz w:val="20"/>
                <w:szCs w:val="20"/>
                <w:lang w:eastAsia="en-US"/>
              </w:rPr>
              <w:t xml:space="preserve"> 500 eur do 50 000 eur.</w:t>
            </w:r>
          </w:p>
          <w:p w:rsidR="00C746CE" w:rsidP="00C746CE">
            <w:pPr>
              <w:pStyle w:val="ListParagraph"/>
              <w:spacing w:after="0"/>
              <w:ind w:left="0"/>
              <w:jc w:val="both"/>
              <w:rPr>
                <w:sz w:val="20"/>
                <w:szCs w:val="20"/>
                <w:lang w:eastAsia="en-US"/>
              </w:rPr>
            </w:pPr>
          </w:p>
          <w:p w:rsidR="00C746CE" w:rsidRPr="00C746CE" w:rsidP="00C746CE">
            <w:pPr>
              <w:pStyle w:val="ListParagraph"/>
              <w:spacing w:after="0"/>
              <w:ind w:left="0"/>
              <w:jc w:val="both"/>
              <w:rPr>
                <w:sz w:val="20"/>
                <w:szCs w:val="20"/>
                <w:lang w:eastAsia="en-US"/>
              </w:rPr>
            </w:pPr>
          </w:p>
          <w:p w:rsidR="00C746CE" w:rsidRPr="00C746CE" w:rsidP="00C746CE">
            <w:pPr>
              <w:pStyle w:val="ListParagraph"/>
              <w:spacing w:after="360"/>
              <w:ind w:left="0"/>
              <w:jc w:val="both"/>
              <w:rPr>
                <w:sz w:val="20"/>
                <w:szCs w:val="20"/>
                <w:lang w:eastAsia="en-US"/>
              </w:rPr>
            </w:pPr>
            <w:r>
              <w:rPr>
                <w:sz w:val="20"/>
                <w:szCs w:val="20"/>
                <w:lang w:eastAsia="en-US"/>
              </w:rPr>
              <w:t xml:space="preserve">(3) </w:t>
            </w:r>
            <w:r w:rsidRPr="00C746CE">
              <w:rPr>
                <w:sz w:val="20"/>
                <w:szCs w:val="20"/>
                <w:lang w:eastAsia="en-US"/>
              </w:rPr>
              <w:t>Okresný úrad alebo inšpekcia za porušenie povinností v § 34 ods. 1 písm. j) a ods. 2 písm</w:t>
            </w:r>
            <w:r w:rsidR="008B556B">
              <w:rPr>
                <w:sz w:val="20"/>
                <w:szCs w:val="20"/>
                <w:lang w:eastAsia="en-US"/>
              </w:rPr>
              <w:t>. a), d) a k) a § 61 ods. 8 a 11</w:t>
            </w:r>
            <w:r w:rsidRPr="00C746CE">
              <w:rPr>
                <w:sz w:val="20"/>
                <w:szCs w:val="20"/>
                <w:lang w:eastAsia="en-US"/>
              </w:rPr>
              <w:t xml:space="preserve"> uloží pokutu prevádzkovateľovi veľkého zdroja a prevádzkovateľovi stredného zdroja vo výške od 100 eur d</w:t>
            </w:r>
            <w:r w:rsidRPr="00C746CE">
              <w:rPr>
                <w:sz w:val="20"/>
                <w:szCs w:val="20"/>
                <w:lang w:eastAsia="en-US"/>
              </w:rPr>
              <w:t>o 5000 eur.</w:t>
            </w:r>
          </w:p>
          <w:p w:rsidR="0006578D" w:rsidRPr="0006578D" w:rsidP="0006578D">
            <w:pPr>
              <w:pStyle w:val="ListParagraph"/>
              <w:spacing w:after="360"/>
              <w:ind w:left="0"/>
              <w:jc w:val="both"/>
              <w:rPr>
                <w:sz w:val="20"/>
                <w:szCs w:val="20"/>
                <w:lang w:eastAsia="en-US"/>
              </w:rPr>
            </w:pPr>
            <w:r w:rsidRPr="0006578D">
              <w:rPr>
                <w:sz w:val="20"/>
                <w:szCs w:val="20"/>
                <w:lang w:eastAsia="en-US"/>
              </w:rPr>
              <w:t>(4)</w:t>
              <w:tab/>
              <w:t xml:space="preserve">Obec alebo inšpekcia uloží prevádzkovateľovi malého zdroja pokutu za porušenie </w:t>
            </w:r>
          </w:p>
          <w:p w:rsidR="0006578D" w:rsidRPr="0006578D" w:rsidP="0006578D">
            <w:pPr>
              <w:pStyle w:val="ListParagraph"/>
              <w:spacing w:after="360"/>
              <w:jc w:val="both"/>
              <w:rPr>
                <w:sz w:val="20"/>
                <w:szCs w:val="20"/>
                <w:lang w:eastAsia="en-US"/>
              </w:rPr>
            </w:pPr>
            <w:r w:rsidRPr="0006578D">
              <w:rPr>
                <w:sz w:val="20"/>
                <w:szCs w:val="20"/>
                <w:lang w:eastAsia="en-US"/>
              </w:rPr>
              <w:t>a)</w:t>
              <w:tab/>
              <w:t>zákazu podľa § 32 od 200 eur do 10 000 eur,</w:t>
            </w:r>
          </w:p>
          <w:p w:rsidR="0006578D" w:rsidRPr="0006578D" w:rsidP="0006578D">
            <w:pPr>
              <w:pStyle w:val="ListParagraph"/>
              <w:spacing w:after="360"/>
              <w:jc w:val="both"/>
              <w:rPr>
                <w:sz w:val="20"/>
                <w:szCs w:val="20"/>
                <w:lang w:eastAsia="en-US"/>
              </w:rPr>
            </w:pPr>
            <w:r w:rsidRPr="0006578D">
              <w:rPr>
                <w:sz w:val="20"/>
                <w:szCs w:val="20"/>
                <w:lang w:eastAsia="en-US"/>
              </w:rPr>
              <w:t>b)</w:t>
              <w:tab/>
              <w:t>povinnosti podľa § 35 ods. 1 písm. a) až j) od 200 eur do 10 000 eur,</w:t>
            </w:r>
          </w:p>
          <w:p w:rsidR="00C746CE" w:rsidRPr="00BE5DCE" w:rsidP="0006578D">
            <w:pPr>
              <w:pStyle w:val="ListParagraph"/>
              <w:spacing w:after="360"/>
              <w:ind w:left="0"/>
              <w:jc w:val="both"/>
              <w:rPr>
                <w:sz w:val="20"/>
                <w:szCs w:val="20"/>
                <w:lang w:eastAsia="en-US"/>
              </w:rPr>
            </w:pPr>
            <w:r w:rsidRPr="0006578D" w:rsidR="0006578D">
              <w:rPr>
                <w:sz w:val="20"/>
                <w:szCs w:val="20"/>
                <w:lang w:eastAsia="en-US"/>
              </w:rPr>
              <w:t>c)</w:t>
              <w:tab/>
              <w:t>povinnosti podľa § 35 ods. 1 písm. k)</w:t>
            </w:r>
            <w:r w:rsidRPr="0006578D" w:rsidR="0006578D">
              <w:rPr>
                <w:sz w:val="20"/>
                <w:szCs w:val="20"/>
                <w:lang w:eastAsia="en-US"/>
              </w:rPr>
              <w:t xml:space="preserve"> a m) od 50 eur do 500 eur.</w:t>
            </w:r>
          </w:p>
        </w:tc>
        <w:tc>
          <w:tcPr>
            <w:tcW w:w="708" w:type="dxa"/>
          </w:tcPr>
          <w:p w:rsidR="00E20C4A" w:rsidRPr="00AA5513" w:rsidP="00E20C4A">
            <w:pPr>
              <w:jc w:val="both"/>
              <w:rPr>
                <w:sz w:val="20"/>
              </w:rPr>
            </w:pPr>
            <w:r w:rsidRPr="00AA5513" w:rsidR="00AA5513">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Č31</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84127C">
              <w:rPr>
                <w:sz w:val="20"/>
              </w:rPr>
              <w:t>Zrušujúce a prechodné ustanovenia 1. Smernice 96/62/ES, 1999/30/ES, 2000/69/ES a 2002/3/ES sa zrušujú od 11. júna 2010 bez toho, aby boli dotknuté povinnosti členských štátov týkajúce sa lehôt na transpozíciu alebo uplatňovanie týchto smerníc. Od 11. júna 2008 sa však uplatňuje nasledujúce: a) v smernici 96/62/ES sa článok 12 ods. 1 nahrádza takto: „1. Prijmú sa podrobné ustanovenia na poskytovanie informácií podľa článku 11 v súlade s postupom uvedeným v odseku 3.“; b) v smernici 1999/30/ES sa článok 7 ods. 7, poznámka pod čiarou 1 v bode I prílohy VIII a bod VI prílohy IX vypúšťajú; c) v smernici 2000/69/ES sa článok 5 ods. 7 a bod III prílohy VII vypúšťajú; d) v smernici 2002/3/ES sa článok 9 ods. 5 a bod II prílohy VIII vypúšťajú.</w:t>
            </w:r>
          </w:p>
          <w:p w:rsidR="00E20C4A" w:rsidRPr="00633006" w:rsidP="00E20C4A">
            <w:pPr>
              <w:jc w:val="both"/>
              <w:rPr>
                <w:sz w:val="20"/>
              </w:rPr>
            </w:pPr>
          </w:p>
        </w:tc>
        <w:tc>
          <w:tcPr>
            <w:tcW w:w="747" w:type="dxa"/>
          </w:tcPr>
          <w:p w:rsidR="00E20C4A" w:rsidRPr="00D86B9D" w:rsidP="00E20C4A">
            <w:pPr>
              <w:ind w:right="-249"/>
              <w:rPr>
                <w:sz w:val="20"/>
              </w:rPr>
            </w:pPr>
            <w:r w:rsidR="00130212">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960A37"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Č31</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84127C">
              <w:rPr>
                <w:sz w:val="20"/>
              </w:rPr>
              <w:t>2. Bez ohľadu na odsek 1 prvý pododsek zostávajú v účinnosti tieto články: a) článok 5 smernice 96/62/ES do 31. decembra 2010; b) článok 11 ods. 1 smernice 96/62/ES a článok 10 ods. 1, 2 a 3 smernice 2002/3/ES do konca druhého kalendárneho roka po nadobudnutí účinnosti vykonávacích opatrení uvedených v článku 28 ods. 2 tejto smernice; c) článok 9 ods. 3 a 4 smernice 1999/30/ES do 31. decembra 2009.</w:t>
            </w:r>
          </w:p>
          <w:p w:rsidR="00E20C4A" w:rsidRPr="00633006" w:rsidP="00E20C4A">
            <w:pPr>
              <w:jc w:val="both"/>
              <w:rPr>
                <w:sz w:val="20"/>
              </w:rPr>
            </w:pPr>
          </w:p>
        </w:tc>
        <w:tc>
          <w:tcPr>
            <w:tcW w:w="747" w:type="dxa"/>
          </w:tcPr>
          <w:p w:rsidR="00E20C4A" w:rsidRPr="00D86B9D" w:rsidP="00E20C4A">
            <w:pPr>
              <w:ind w:right="-249"/>
              <w:rPr>
                <w:sz w:val="20"/>
              </w:rPr>
            </w:pPr>
            <w:r w:rsidR="00130212">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960A37"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Č31</w:t>
            </w:r>
          </w:p>
          <w:p w:rsidR="00E20C4A" w:rsidP="00E20C4A">
            <w:pPr>
              <w:jc w:val="both"/>
              <w:rPr>
                <w:sz w:val="20"/>
              </w:rPr>
            </w:pPr>
            <w:r>
              <w:rPr>
                <w:sz w:val="20"/>
              </w:rPr>
              <w:t>O3</w:t>
            </w:r>
            <w:r w:rsidR="00130212">
              <w:rPr>
                <w:sz w:val="20"/>
              </w:rPr>
              <w:t>-O4</w:t>
            </w:r>
          </w:p>
          <w:p w:rsidR="00E20C4A" w:rsidP="00E20C4A">
            <w:pPr>
              <w:jc w:val="both"/>
              <w:rPr>
                <w:sz w:val="20"/>
              </w:rPr>
            </w:pPr>
          </w:p>
          <w:p w:rsidR="00E20C4A" w:rsidP="00E20C4A">
            <w:pPr>
              <w:jc w:val="both"/>
              <w:rPr>
                <w:sz w:val="20"/>
              </w:rPr>
            </w:pPr>
          </w:p>
        </w:tc>
        <w:tc>
          <w:tcPr>
            <w:tcW w:w="4074" w:type="dxa"/>
            <w:tcBorders>
              <w:bottom w:val="single" w:sz="4" w:space="0" w:color="auto"/>
            </w:tcBorders>
          </w:tcPr>
          <w:p w:rsidR="00E20C4A" w:rsidRPr="0084127C" w:rsidP="00E20C4A">
            <w:pPr>
              <w:jc w:val="both"/>
              <w:rPr>
                <w:sz w:val="20"/>
              </w:rPr>
            </w:pPr>
            <w:r w:rsidRPr="0084127C">
              <w:rPr>
                <w:sz w:val="20"/>
              </w:rPr>
              <w:t>3. Odkazy na zrušené smernice sa považujú za odkazy na túto smernicu a mali by znieť v súlade s tabuľkou zhody v prílohe XVII.</w:t>
            </w:r>
          </w:p>
          <w:p w:rsidR="00E20C4A" w:rsidP="00E20C4A">
            <w:pPr>
              <w:jc w:val="both"/>
              <w:rPr>
                <w:sz w:val="20"/>
              </w:rPr>
            </w:pPr>
            <w:r w:rsidRPr="0084127C">
              <w:rPr>
                <w:sz w:val="20"/>
              </w:rPr>
              <w:t>4. Rozhodnutie 97/101/ES sa zrušuje s účinnosťou od konca druhého kalendárneho roka po nadobudnutí účinnosti vykonávacích opatrení uvedených v článku 28 ods. 2 tejto smernice. Tretia, štvrtá a piata zarážka článku 7 rozhodnutia 97/101/ES sa vypúšťajú s účinnosťou od 11. júna 2008.</w:t>
            </w:r>
          </w:p>
          <w:p w:rsidR="00E20C4A" w:rsidRPr="0084127C" w:rsidP="00E20C4A">
            <w:pPr>
              <w:jc w:val="both"/>
              <w:rPr>
                <w:sz w:val="20"/>
              </w:rPr>
            </w:pPr>
          </w:p>
        </w:tc>
        <w:tc>
          <w:tcPr>
            <w:tcW w:w="747" w:type="dxa"/>
          </w:tcPr>
          <w:p w:rsidR="00E20C4A" w:rsidRPr="00D86B9D" w:rsidP="00E20C4A">
            <w:pPr>
              <w:ind w:right="-249"/>
              <w:rPr>
                <w:sz w:val="20"/>
              </w:rPr>
            </w:pPr>
            <w:r w:rsidR="00130212">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960A37"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Č32</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84127C">
              <w:rPr>
                <w:sz w:val="20"/>
              </w:rPr>
              <w:t>Preskúmanie 1. V roku 2013 Komisia preskúma ustanovenia týkajúce sa PM</w:t>
            </w:r>
            <w:r w:rsidRPr="009E5012">
              <w:rPr>
                <w:sz w:val="20"/>
                <w:vertAlign w:val="subscript"/>
              </w:rPr>
              <w:t xml:space="preserve">2,5 </w:t>
            </w:r>
            <w:r w:rsidRPr="0084127C">
              <w:rPr>
                <w:sz w:val="20"/>
              </w:rPr>
              <w:t>a prípadne iných znečisťujúcich látok a predloží návrh Európskemu parlamentu a Rade. Pokiaľ ide o PM</w:t>
            </w:r>
            <w:r w:rsidRPr="009E5012">
              <w:rPr>
                <w:sz w:val="20"/>
                <w:vertAlign w:val="subscript"/>
              </w:rPr>
              <w:t>2,5</w:t>
            </w:r>
            <w:r w:rsidRPr="0084127C">
              <w:rPr>
                <w:sz w:val="20"/>
              </w:rPr>
              <w:t>, preskúmanie sa uskutoční s cieľom ustanoviť právne záväznú povinnosť zníženia národnej expozície, aby sa nahradil národný cieľ zníženia expozície a preskúmal sa záväzok zníženia koncentrácie expozície ustanovený v článku 15, pričom sa zohľadnia okrem iného tieto prvky: — najnovšie vedecké informácie Svetovej zdravotníckej organizácie (WHO) a iných príslušných organizácií, — stav kvality ovzdušia a možnosti zníženia v členských štátoch, — revízia smernice 2001/81/ES, — pokrok vo vykonávaní opatrení Spoločenstva na zníženie látok znečisťujúcich ovzdušie.</w:t>
            </w:r>
          </w:p>
          <w:p w:rsidR="00960A37" w:rsidP="00E20C4A">
            <w:pPr>
              <w:jc w:val="both"/>
              <w:rPr>
                <w:sz w:val="20"/>
              </w:rPr>
            </w:pPr>
          </w:p>
          <w:p w:rsidR="00E20C4A" w:rsidRPr="0084127C" w:rsidP="00E20C4A">
            <w:pPr>
              <w:jc w:val="both"/>
              <w:rPr>
                <w:sz w:val="20"/>
              </w:rPr>
            </w:pPr>
          </w:p>
        </w:tc>
        <w:tc>
          <w:tcPr>
            <w:tcW w:w="747" w:type="dxa"/>
          </w:tcPr>
          <w:p w:rsidR="00E20C4A" w:rsidRPr="00D86B9D" w:rsidP="00E20C4A">
            <w:pPr>
              <w:ind w:right="-249"/>
              <w:rPr>
                <w:sz w:val="20"/>
              </w:rPr>
            </w:pPr>
            <w:r w:rsidR="00130212">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090E9B" w:rsidP="00E20C4A">
            <w:pPr>
              <w:jc w:val="both"/>
              <w:rPr>
                <w:sz w:val="20"/>
              </w:rPr>
            </w:pPr>
            <w:r w:rsidRPr="00090E9B"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Č32</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84127C">
              <w:rPr>
                <w:sz w:val="20"/>
              </w:rPr>
              <w:t>2. Komisia zohľadní uskutočniteľnosť prijatia ambicióznejšej limitnej hodnoty pre PM</w:t>
            </w:r>
            <w:r w:rsidRPr="009E5012">
              <w:rPr>
                <w:sz w:val="20"/>
                <w:vertAlign w:val="subscript"/>
              </w:rPr>
              <w:t>2,5</w:t>
            </w:r>
            <w:r w:rsidRPr="0084127C">
              <w:rPr>
                <w:sz w:val="20"/>
              </w:rPr>
              <w:t>, preskúma orientačnú limitnú hodnotu v druhom</w:t>
            </w:r>
            <w:r w:rsidRPr="0084127C">
              <w:rPr>
                <w:sz w:val="20"/>
              </w:rPr>
              <w:t xml:space="preserve"> štádiu pre PM</w:t>
            </w:r>
            <w:r w:rsidRPr="009E5012">
              <w:rPr>
                <w:sz w:val="20"/>
                <w:vertAlign w:val="subscript"/>
              </w:rPr>
              <w:t xml:space="preserve">2,5 </w:t>
            </w:r>
            <w:r w:rsidRPr="0084127C">
              <w:rPr>
                <w:sz w:val="20"/>
              </w:rPr>
              <w:t>a posúdi potvrdenie alebo zmenu tejto hodnoty</w:t>
            </w:r>
            <w:r>
              <w:rPr>
                <w:sz w:val="20"/>
              </w:rPr>
              <w:t>.</w:t>
            </w:r>
          </w:p>
          <w:p w:rsidR="00E20C4A" w:rsidRPr="0084127C" w:rsidP="00E20C4A">
            <w:pPr>
              <w:jc w:val="both"/>
              <w:rPr>
                <w:sz w:val="20"/>
              </w:rPr>
            </w:pPr>
          </w:p>
        </w:tc>
        <w:tc>
          <w:tcPr>
            <w:tcW w:w="747" w:type="dxa"/>
          </w:tcPr>
          <w:p w:rsidR="00E20C4A" w:rsidRPr="00D86B9D" w:rsidP="00E20C4A">
            <w:pPr>
              <w:ind w:right="-249"/>
              <w:rPr>
                <w:sz w:val="20"/>
              </w:rPr>
            </w:pPr>
            <w:r w:rsidR="00130212">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960A37"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Č32</w:t>
            </w:r>
          </w:p>
          <w:p w:rsidR="00E20C4A" w:rsidP="00E20C4A">
            <w:pPr>
              <w:jc w:val="both"/>
              <w:rPr>
                <w:sz w:val="20"/>
              </w:rPr>
            </w:pPr>
            <w:r>
              <w:rPr>
                <w:sz w:val="20"/>
              </w:rPr>
              <w:t>O3</w:t>
            </w:r>
          </w:p>
        </w:tc>
        <w:tc>
          <w:tcPr>
            <w:tcW w:w="4074" w:type="dxa"/>
            <w:tcBorders>
              <w:bottom w:val="single" w:sz="4" w:space="0" w:color="auto"/>
            </w:tcBorders>
          </w:tcPr>
          <w:p w:rsidR="00E20C4A" w:rsidP="00E20C4A">
            <w:pPr>
              <w:jc w:val="both"/>
              <w:rPr>
                <w:sz w:val="20"/>
              </w:rPr>
            </w:pPr>
            <w:r w:rsidRPr="0084127C">
              <w:rPr>
                <w:sz w:val="20"/>
              </w:rPr>
              <w:t>3. Komisia pripraví v rámci preskúmania správu o skúsenostiach s monitorovaním PM</w:t>
            </w:r>
            <w:r w:rsidRPr="009E5012">
              <w:rPr>
                <w:sz w:val="20"/>
                <w:vertAlign w:val="subscript"/>
              </w:rPr>
              <w:t>10</w:t>
            </w:r>
            <w:r w:rsidRPr="0084127C">
              <w:rPr>
                <w:sz w:val="20"/>
              </w:rPr>
              <w:t xml:space="preserve"> a PM</w:t>
            </w:r>
            <w:r w:rsidRPr="009E5012">
              <w:rPr>
                <w:sz w:val="20"/>
                <w:vertAlign w:val="subscript"/>
              </w:rPr>
              <w:t xml:space="preserve">2,5 </w:t>
            </w:r>
            <w:r w:rsidRPr="0084127C">
              <w:rPr>
                <w:sz w:val="20"/>
              </w:rPr>
              <w:t>a o potrebe tohto monitorovania, pričom zohľadní technický pokrok v automatických meracích technikách. V prípade potreby sa navrhnú nové referenčné metódy na meranie PM</w:t>
            </w:r>
            <w:r w:rsidRPr="009E5012">
              <w:rPr>
                <w:sz w:val="20"/>
                <w:vertAlign w:val="subscript"/>
              </w:rPr>
              <w:t>10</w:t>
            </w:r>
            <w:r w:rsidRPr="0084127C">
              <w:rPr>
                <w:sz w:val="20"/>
              </w:rPr>
              <w:t xml:space="preserve"> a PM</w:t>
            </w:r>
            <w:r w:rsidRPr="009E5012">
              <w:rPr>
                <w:sz w:val="20"/>
                <w:vertAlign w:val="subscript"/>
              </w:rPr>
              <w:t>2,5</w:t>
            </w:r>
            <w:r w:rsidRPr="0084127C">
              <w:rPr>
                <w:sz w:val="20"/>
              </w:rPr>
              <w:t>.</w:t>
            </w:r>
          </w:p>
          <w:p w:rsidR="00E20C4A" w:rsidRPr="0084127C" w:rsidP="00E20C4A">
            <w:pPr>
              <w:jc w:val="both"/>
              <w:rPr>
                <w:sz w:val="20"/>
              </w:rPr>
            </w:pPr>
          </w:p>
        </w:tc>
        <w:tc>
          <w:tcPr>
            <w:tcW w:w="747" w:type="dxa"/>
          </w:tcPr>
          <w:p w:rsidR="00E20C4A" w:rsidRPr="00D86B9D" w:rsidP="00E20C4A">
            <w:pPr>
              <w:ind w:right="-249"/>
              <w:rPr>
                <w:sz w:val="20"/>
              </w:rPr>
            </w:pPr>
            <w:r w:rsidR="00130212">
              <w:rPr>
                <w:sz w:val="20"/>
              </w:rPr>
              <w:t>n.a</w:t>
            </w:r>
          </w:p>
        </w:tc>
        <w:tc>
          <w:tcPr>
            <w:tcW w:w="574" w:type="dxa"/>
          </w:tcPr>
          <w:p w:rsidR="00E20C4A" w:rsidRPr="008658BB" w:rsidP="00E20C4A">
            <w:pPr>
              <w:jc w:val="both"/>
              <w:rPr>
                <w:b/>
                <w:sz w:val="20"/>
              </w:rPr>
            </w:pPr>
          </w:p>
        </w:tc>
        <w:tc>
          <w:tcPr>
            <w:tcW w:w="701" w:type="dxa"/>
          </w:tcPr>
          <w:p w:rsidR="00E20C4A" w:rsidRPr="008658BB" w:rsidP="00E20C4A">
            <w:pPr>
              <w:jc w:val="both"/>
              <w:rPr>
                <w:b/>
                <w:sz w:val="20"/>
              </w:rPr>
            </w:pPr>
          </w:p>
        </w:tc>
        <w:tc>
          <w:tcPr>
            <w:tcW w:w="7797" w:type="dxa"/>
          </w:tcPr>
          <w:p w:rsidR="00E20C4A" w:rsidP="00E20C4A">
            <w:pPr>
              <w:pStyle w:val="Normlny"/>
              <w:jc w:val="center"/>
              <w:rPr>
                <w:b/>
              </w:rPr>
            </w:pPr>
          </w:p>
        </w:tc>
        <w:tc>
          <w:tcPr>
            <w:tcW w:w="708" w:type="dxa"/>
          </w:tcPr>
          <w:p w:rsidR="00E20C4A" w:rsidRPr="00960A37" w:rsidP="00E20C4A">
            <w:pPr>
              <w:jc w:val="both"/>
              <w:rPr>
                <w:sz w:val="20"/>
              </w:rPr>
            </w:pPr>
            <w:r w:rsidR="00090E9B">
              <w:rPr>
                <w:sz w:val="20"/>
              </w:rPr>
              <w:t>n.a.</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Č33</w:t>
            </w:r>
          </w:p>
          <w:p w:rsidR="00E20C4A" w:rsidP="00E20C4A">
            <w:pPr>
              <w:jc w:val="both"/>
              <w:rPr>
                <w:sz w:val="20"/>
              </w:rPr>
            </w:pPr>
            <w:r>
              <w:rPr>
                <w:sz w:val="20"/>
              </w:rPr>
              <w:t>O1</w:t>
            </w:r>
          </w:p>
        </w:tc>
        <w:tc>
          <w:tcPr>
            <w:tcW w:w="4074" w:type="dxa"/>
            <w:tcBorders>
              <w:bottom w:val="single" w:sz="4" w:space="0" w:color="auto"/>
            </w:tcBorders>
          </w:tcPr>
          <w:p w:rsidR="00E20C4A" w:rsidP="00E20C4A">
            <w:pPr>
              <w:jc w:val="both"/>
              <w:rPr>
                <w:sz w:val="20"/>
              </w:rPr>
            </w:pPr>
            <w:r w:rsidRPr="0084127C">
              <w:rPr>
                <w:sz w:val="20"/>
              </w:rPr>
              <w:t>Transpozícia 1. Členské štáty uvedú do účinnosti zákony, iné právne predpisy a správne opatrenia potrebné na dosiahnutie súladu s touto smernicou najneskôr do 11. júna 2010. Bezodkladne oznámia Komisii znenie týchto ustanovení. Členské štáty uvedú priamo v prijatých opatreniach alebo pri ich úradnom uverejnení odkaz na túto smernicu. Podrobnosti o odkaze upravia členské štáty.</w:t>
            </w:r>
          </w:p>
          <w:p w:rsidR="00E20C4A" w:rsidRPr="0084127C" w:rsidP="00E20C4A">
            <w:pPr>
              <w:jc w:val="both"/>
              <w:rPr>
                <w:sz w:val="20"/>
              </w:rPr>
            </w:pPr>
          </w:p>
        </w:tc>
        <w:tc>
          <w:tcPr>
            <w:tcW w:w="747" w:type="dxa"/>
          </w:tcPr>
          <w:p w:rsidR="00E20C4A" w:rsidP="00E20C4A">
            <w:pPr>
              <w:ind w:right="-249"/>
              <w:rPr>
                <w:sz w:val="20"/>
              </w:rPr>
            </w:pPr>
            <w:r w:rsidR="000928BD">
              <w:rPr>
                <w:sz w:val="20"/>
              </w:rPr>
              <w:t>N</w:t>
            </w:r>
          </w:p>
          <w:p w:rsidR="00882959" w:rsidP="00E20C4A">
            <w:pPr>
              <w:ind w:right="-249"/>
              <w:rPr>
                <w:sz w:val="20"/>
              </w:rPr>
            </w:pPr>
          </w:p>
          <w:p w:rsidR="00882959" w:rsidP="00E20C4A">
            <w:pPr>
              <w:ind w:right="-249"/>
              <w:rPr>
                <w:sz w:val="20"/>
              </w:rPr>
            </w:pPr>
          </w:p>
          <w:p w:rsidR="00882959" w:rsidP="00E20C4A">
            <w:pPr>
              <w:ind w:right="-249"/>
              <w:rPr>
                <w:sz w:val="20"/>
              </w:rPr>
            </w:pPr>
          </w:p>
          <w:p w:rsidR="00882959" w:rsidP="00E20C4A">
            <w:pPr>
              <w:ind w:right="-249"/>
              <w:rPr>
                <w:sz w:val="20"/>
              </w:rPr>
            </w:pPr>
          </w:p>
          <w:p w:rsidR="00882959" w:rsidP="00E20C4A">
            <w:pPr>
              <w:ind w:right="-249"/>
              <w:rPr>
                <w:sz w:val="20"/>
              </w:rPr>
            </w:pPr>
            <w:r>
              <w:rPr>
                <w:sz w:val="20"/>
              </w:rPr>
              <w:t>N</w:t>
            </w:r>
          </w:p>
          <w:p w:rsidR="00882959" w:rsidP="00E20C4A">
            <w:pPr>
              <w:ind w:right="-249"/>
              <w:rPr>
                <w:sz w:val="20"/>
              </w:rPr>
            </w:pPr>
          </w:p>
          <w:p w:rsidR="00882959" w:rsidP="00E20C4A">
            <w:pPr>
              <w:ind w:right="-249"/>
              <w:rPr>
                <w:sz w:val="20"/>
              </w:rPr>
            </w:pPr>
          </w:p>
          <w:p w:rsidR="00882959" w:rsidP="00E20C4A">
            <w:pPr>
              <w:ind w:right="-249"/>
              <w:rPr>
                <w:sz w:val="20"/>
              </w:rPr>
            </w:pPr>
          </w:p>
          <w:p w:rsidR="008841D7" w:rsidP="00E20C4A">
            <w:pPr>
              <w:ind w:right="-249"/>
              <w:rPr>
                <w:sz w:val="20"/>
              </w:rPr>
            </w:pPr>
          </w:p>
          <w:p w:rsidR="008841D7" w:rsidP="00E20C4A">
            <w:pPr>
              <w:ind w:right="-249"/>
              <w:rPr>
                <w:sz w:val="20"/>
              </w:rPr>
            </w:pPr>
          </w:p>
          <w:p w:rsidR="008841D7" w:rsidP="00E20C4A">
            <w:pPr>
              <w:ind w:right="-249"/>
              <w:rPr>
                <w:sz w:val="20"/>
              </w:rPr>
            </w:pPr>
          </w:p>
          <w:p w:rsidR="00882959" w:rsidP="00E20C4A">
            <w:pPr>
              <w:ind w:right="-249"/>
              <w:rPr>
                <w:sz w:val="20"/>
              </w:rPr>
            </w:pPr>
          </w:p>
          <w:p w:rsidR="00882959" w:rsidP="00E20C4A">
            <w:pPr>
              <w:ind w:right="-249"/>
              <w:rPr>
                <w:sz w:val="20"/>
              </w:rPr>
            </w:pPr>
            <w:r>
              <w:rPr>
                <w:sz w:val="20"/>
              </w:rPr>
              <w:t>N</w:t>
            </w:r>
          </w:p>
          <w:p w:rsidR="00882959" w:rsidP="00E20C4A">
            <w:pPr>
              <w:ind w:right="-249"/>
              <w:rPr>
                <w:sz w:val="20"/>
              </w:rPr>
            </w:pPr>
          </w:p>
          <w:p w:rsidR="00882959" w:rsidP="00E20C4A">
            <w:pPr>
              <w:ind w:right="-249"/>
              <w:rPr>
                <w:sz w:val="20"/>
              </w:rPr>
            </w:pPr>
          </w:p>
          <w:p w:rsidR="00882959" w:rsidP="00E20C4A">
            <w:pPr>
              <w:ind w:right="-249"/>
              <w:rPr>
                <w:sz w:val="20"/>
              </w:rPr>
            </w:pPr>
          </w:p>
          <w:p w:rsidR="00882959" w:rsidRPr="00D86B9D" w:rsidP="00E20C4A">
            <w:pPr>
              <w:ind w:right="-249"/>
              <w:rPr>
                <w:sz w:val="20"/>
              </w:rPr>
            </w:pPr>
          </w:p>
        </w:tc>
        <w:tc>
          <w:tcPr>
            <w:tcW w:w="574" w:type="dxa"/>
          </w:tcPr>
          <w:p w:rsidR="00E20C4A" w:rsidP="00E20C4A">
            <w:pPr>
              <w:jc w:val="both"/>
              <w:rPr>
                <w:sz w:val="20"/>
              </w:rPr>
            </w:pPr>
            <w:r w:rsidRPr="000928BD" w:rsidR="000928BD">
              <w:rPr>
                <w:sz w:val="20"/>
              </w:rPr>
              <w:t>NZ</w:t>
            </w:r>
          </w:p>
          <w:p w:rsidR="00882959" w:rsidP="00E20C4A">
            <w:pPr>
              <w:jc w:val="both"/>
              <w:rPr>
                <w:sz w:val="20"/>
              </w:rPr>
            </w:pPr>
          </w:p>
          <w:p w:rsidR="00882959" w:rsidP="00E20C4A">
            <w:pPr>
              <w:jc w:val="both"/>
              <w:rPr>
                <w:sz w:val="20"/>
              </w:rPr>
            </w:pPr>
          </w:p>
          <w:p w:rsidR="00882959" w:rsidP="00E20C4A">
            <w:pPr>
              <w:jc w:val="both"/>
              <w:rPr>
                <w:sz w:val="20"/>
              </w:rPr>
            </w:pPr>
          </w:p>
          <w:p w:rsidR="00882959" w:rsidP="00E20C4A">
            <w:pPr>
              <w:jc w:val="both"/>
              <w:rPr>
                <w:sz w:val="20"/>
              </w:rPr>
            </w:pPr>
          </w:p>
          <w:p w:rsidR="00882959" w:rsidP="00E20C4A">
            <w:pPr>
              <w:jc w:val="both"/>
              <w:rPr>
                <w:sz w:val="20"/>
              </w:rPr>
            </w:pPr>
            <w:r>
              <w:rPr>
                <w:sz w:val="20"/>
              </w:rPr>
              <w:t>NZ</w:t>
            </w:r>
          </w:p>
          <w:p w:rsidR="00882959" w:rsidP="00E20C4A">
            <w:pPr>
              <w:jc w:val="both"/>
              <w:rPr>
                <w:sz w:val="20"/>
              </w:rPr>
            </w:pPr>
          </w:p>
          <w:p w:rsidR="00882959" w:rsidP="00E20C4A">
            <w:pPr>
              <w:jc w:val="both"/>
              <w:rPr>
                <w:sz w:val="20"/>
              </w:rPr>
            </w:pPr>
          </w:p>
          <w:p w:rsidR="00882959" w:rsidP="00E20C4A">
            <w:pPr>
              <w:jc w:val="both"/>
              <w:rPr>
                <w:sz w:val="20"/>
              </w:rPr>
            </w:pPr>
          </w:p>
          <w:p w:rsidR="00882959" w:rsidP="00E20C4A">
            <w:pPr>
              <w:jc w:val="both"/>
              <w:rPr>
                <w:sz w:val="20"/>
              </w:rPr>
            </w:pPr>
          </w:p>
          <w:p w:rsidR="008841D7" w:rsidP="00E20C4A">
            <w:pPr>
              <w:jc w:val="both"/>
              <w:rPr>
                <w:sz w:val="20"/>
              </w:rPr>
            </w:pPr>
          </w:p>
          <w:p w:rsidR="008841D7" w:rsidP="00E20C4A">
            <w:pPr>
              <w:jc w:val="both"/>
              <w:rPr>
                <w:sz w:val="20"/>
              </w:rPr>
            </w:pPr>
          </w:p>
          <w:p w:rsidR="008841D7" w:rsidP="00E20C4A">
            <w:pPr>
              <w:jc w:val="both"/>
              <w:rPr>
                <w:sz w:val="20"/>
              </w:rPr>
            </w:pPr>
          </w:p>
          <w:p w:rsidR="00882959" w:rsidRPr="000928BD" w:rsidP="00E20C4A">
            <w:pPr>
              <w:jc w:val="both"/>
              <w:rPr>
                <w:sz w:val="20"/>
              </w:rPr>
            </w:pPr>
            <w:r>
              <w:rPr>
                <w:sz w:val="20"/>
              </w:rPr>
              <w:t>Z</w:t>
            </w:r>
          </w:p>
        </w:tc>
        <w:tc>
          <w:tcPr>
            <w:tcW w:w="701" w:type="dxa"/>
          </w:tcPr>
          <w:p w:rsidR="000928BD" w:rsidP="000928BD">
            <w:pPr>
              <w:pStyle w:val="Paragrafyzkona"/>
              <w:keepLines w:val="0"/>
              <w:spacing w:before="0" w:after="120" w:line="240" w:lineRule="auto"/>
              <w:jc w:val="left"/>
              <w:rPr>
                <w:b w:val="0"/>
                <w:sz w:val="20"/>
                <w:szCs w:val="20"/>
                <w:lang w:eastAsia="en-US"/>
              </w:rPr>
            </w:pPr>
            <w:r w:rsidR="009434A0">
              <w:rPr>
                <w:b w:val="0"/>
                <w:sz w:val="20"/>
                <w:szCs w:val="20"/>
                <w:lang w:eastAsia="en-US"/>
              </w:rPr>
              <w:t>§ 41</w:t>
            </w:r>
          </w:p>
          <w:p w:rsidR="0057536E" w:rsidP="000928BD">
            <w:pPr>
              <w:pStyle w:val="Paragrafyzkona"/>
              <w:keepLines w:val="0"/>
              <w:spacing w:before="0" w:after="120" w:line="240" w:lineRule="auto"/>
              <w:jc w:val="left"/>
              <w:rPr>
                <w:b w:val="0"/>
                <w:sz w:val="20"/>
                <w:szCs w:val="20"/>
                <w:lang w:eastAsia="en-US"/>
              </w:rPr>
            </w:pPr>
            <w:r w:rsidR="000928BD">
              <w:rPr>
                <w:b w:val="0"/>
                <w:sz w:val="20"/>
                <w:szCs w:val="20"/>
                <w:lang w:eastAsia="en-US"/>
              </w:rPr>
              <w:t>Pd</w:t>
            </w:r>
          </w:p>
          <w:p w:rsidR="0057536E" w:rsidP="000928BD">
            <w:pPr>
              <w:pStyle w:val="Paragrafyzkona"/>
              <w:keepLines w:val="0"/>
              <w:spacing w:before="0" w:after="120" w:line="240" w:lineRule="auto"/>
              <w:jc w:val="left"/>
              <w:rPr>
                <w:b w:val="0"/>
                <w:sz w:val="20"/>
                <w:szCs w:val="20"/>
                <w:lang w:eastAsia="en-US"/>
              </w:rPr>
            </w:pPr>
          </w:p>
          <w:p w:rsidR="00523DC1" w:rsidP="00E20C4A">
            <w:pPr>
              <w:jc w:val="both"/>
              <w:rPr>
                <w:sz w:val="20"/>
              </w:rPr>
            </w:pPr>
          </w:p>
          <w:p w:rsidR="00523DC1" w:rsidP="00E20C4A">
            <w:pPr>
              <w:jc w:val="both"/>
              <w:rPr>
                <w:sz w:val="20"/>
              </w:rPr>
            </w:pPr>
          </w:p>
          <w:p w:rsidR="00523DC1" w:rsidP="00E20C4A">
            <w:pPr>
              <w:jc w:val="both"/>
              <w:rPr>
                <w:sz w:val="20"/>
              </w:rPr>
            </w:pPr>
          </w:p>
          <w:p w:rsidR="00E20C4A" w:rsidP="00E20C4A">
            <w:pPr>
              <w:jc w:val="both"/>
              <w:rPr>
                <w:sz w:val="20"/>
              </w:rPr>
            </w:pPr>
            <w:r w:rsidR="00523DC1">
              <w:rPr>
                <w:sz w:val="20"/>
              </w:rPr>
              <w:t>Príl. č.11</w:t>
            </w:r>
          </w:p>
          <w:p w:rsidR="00882959" w:rsidP="00E20C4A">
            <w:pPr>
              <w:jc w:val="both"/>
              <w:rPr>
                <w:sz w:val="20"/>
              </w:rPr>
            </w:pPr>
          </w:p>
          <w:p w:rsidR="00882959" w:rsidP="00E20C4A">
            <w:pPr>
              <w:jc w:val="both"/>
              <w:rPr>
                <w:sz w:val="20"/>
              </w:rPr>
            </w:pPr>
          </w:p>
          <w:p w:rsidR="00882959" w:rsidRPr="00243497" w:rsidP="00882959">
            <w:pPr>
              <w:snapToGrid w:val="0"/>
              <w:rPr>
                <w:sz w:val="20"/>
              </w:rPr>
            </w:pPr>
            <w:r>
              <w:rPr>
                <w:sz w:val="20"/>
              </w:rPr>
              <w:t xml:space="preserve">          </w:t>
            </w:r>
            <w:r w:rsidRPr="00243497">
              <w:rPr>
                <w:sz w:val="20"/>
              </w:rPr>
              <w:t>§ 35</w:t>
            </w:r>
          </w:p>
          <w:p w:rsidR="00882959" w:rsidRPr="00882959" w:rsidP="00882959">
            <w:pPr>
              <w:snapToGrid w:val="0"/>
              <w:rPr>
                <w:sz w:val="20"/>
              </w:rPr>
            </w:pPr>
            <w:r w:rsidRPr="00243497">
              <w:rPr>
                <w:sz w:val="20"/>
              </w:rPr>
              <w:t>O7</w:t>
            </w:r>
          </w:p>
          <w:p w:rsidR="00882959" w:rsidRPr="00882959" w:rsidP="00882959">
            <w:pPr>
              <w:jc w:val="both"/>
              <w:rPr>
                <w:sz w:val="20"/>
              </w:rPr>
            </w:pPr>
          </w:p>
        </w:tc>
        <w:tc>
          <w:tcPr>
            <w:tcW w:w="7797" w:type="dxa"/>
          </w:tcPr>
          <w:p w:rsidR="00BA33CE" w:rsidP="00882959">
            <w:pPr>
              <w:pStyle w:val="ListParagraph"/>
              <w:spacing w:line="240" w:lineRule="auto"/>
              <w:ind w:left="0"/>
              <w:contextualSpacing w:val="0"/>
              <w:jc w:val="both"/>
              <w:rPr>
                <w:sz w:val="20"/>
                <w:szCs w:val="20"/>
                <w:lang w:eastAsia="en-US"/>
              </w:rPr>
            </w:pPr>
            <w:r w:rsidRPr="005416C3" w:rsidR="000928BD">
              <w:rPr>
                <w:sz w:val="20"/>
                <w:szCs w:val="20"/>
                <w:lang w:eastAsia="en-US"/>
              </w:rPr>
              <w:t xml:space="preserve"> Ministerstvo </w:t>
            </w:r>
          </w:p>
          <w:p w:rsidR="0057536E" w:rsidP="00882959">
            <w:pPr>
              <w:pStyle w:val="ListParagraph"/>
              <w:spacing w:line="240" w:lineRule="auto"/>
              <w:ind w:left="0"/>
              <w:contextualSpacing w:val="0"/>
              <w:jc w:val="both"/>
              <w:rPr>
                <w:sz w:val="20"/>
                <w:szCs w:val="20"/>
                <w:lang w:eastAsia="en-US"/>
              </w:rPr>
            </w:pPr>
            <w:r w:rsidR="00BA33CE">
              <w:rPr>
                <w:sz w:val="20"/>
                <w:szCs w:val="20"/>
                <w:lang w:eastAsia="en-US"/>
              </w:rPr>
              <w:t xml:space="preserve">d) </w:t>
            </w:r>
            <w:r w:rsidRPr="005416C3" w:rsidR="000928BD">
              <w:rPr>
                <w:sz w:val="20"/>
                <w:szCs w:val="20"/>
                <w:lang w:eastAsia="en-US"/>
              </w:rPr>
              <w:t>je vo vzťahu ku Komisii notifikačným orgánom, sprístupňuje a podáva Komisii ustanovené informácie a správy vo veciach ochrany ovzdušia a v ustanovených lehotách</w:t>
            </w:r>
            <w:r w:rsidRPr="005416C3" w:rsidR="000928BD">
              <w:rPr>
                <w:sz w:val="20"/>
                <w:szCs w:val="20"/>
                <w:lang w:eastAsia="en-US"/>
              </w:rPr>
              <w:t xml:space="preserve"> a rozsahu ustanovenom vykonávací</w:t>
            </w:r>
            <w:r w:rsidR="00882959">
              <w:rPr>
                <w:sz w:val="20"/>
                <w:szCs w:val="20"/>
                <w:lang w:eastAsia="en-US"/>
              </w:rPr>
              <w:t>m predpisom podľa § 62 písm. n)</w:t>
            </w:r>
          </w:p>
          <w:p w:rsidR="00882959" w:rsidP="00882959">
            <w:pPr>
              <w:pStyle w:val="ListParagraph"/>
              <w:spacing w:line="240" w:lineRule="auto"/>
              <w:ind w:left="0"/>
              <w:contextualSpacing w:val="0"/>
              <w:jc w:val="both"/>
              <w:rPr>
                <w:sz w:val="20"/>
                <w:szCs w:val="20"/>
                <w:lang w:eastAsia="en-US"/>
              </w:rPr>
            </w:pPr>
          </w:p>
          <w:p w:rsidR="00882959" w:rsidRPr="00882959" w:rsidP="00882959">
            <w:pPr>
              <w:pStyle w:val="ListParagraph"/>
              <w:spacing w:line="240" w:lineRule="auto"/>
              <w:ind w:left="0"/>
              <w:contextualSpacing w:val="0"/>
              <w:jc w:val="both"/>
              <w:rPr>
                <w:sz w:val="20"/>
                <w:szCs w:val="20"/>
                <w:lang w:eastAsia="en-US"/>
              </w:rPr>
            </w:pPr>
            <w:r>
              <w:rPr>
                <w:sz w:val="20"/>
                <w:szCs w:val="20"/>
                <w:lang w:eastAsia="en-US"/>
              </w:rPr>
              <w:t xml:space="preserve">Bod </w:t>
            </w:r>
            <w:r w:rsidRPr="00882959">
              <w:rPr>
                <w:sz w:val="20"/>
                <w:szCs w:val="20"/>
                <w:lang w:eastAsia="en-US"/>
              </w:rPr>
              <w:t>6.</w:t>
              <w:tab/>
              <w:t>Smernica Európskeho parlamentu a Rady 2008/50/ES z 21. mája 2008 o kvalite okolitého ovzdušia a čistejšom ovzduší v Európe (Ú. v. EÚ L 152, 11.6.2008) v znení smernice Komisie (EÚ) 20</w:t>
            </w:r>
            <w:r w:rsidRPr="00882959">
              <w:rPr>
                <w:sz w:val="20"/>
                <w:szCs w:val="20"/>
                <w:lang w:eastAsia="en-US"/>
              </w:rPr>
              <w:t>15/1480 z 28. augusta 2015 (Ú. v. EÚ L 226, 29.8.2015).</w:t>
            </w:r>
          </w:p>
          <w:p w:rsidR="00882959" w:rsidP="00882959">
            <w:pPr>
              <w:rPr>
                <w:sz w:val="20"/>
              </w:rPr>
            </w:pPr>
          </w:p>
          <w:p w:rsidR="00882959" w:rsidRPr="00243497" w:rsidP="00882959">
            <w:pPr>
              <w:rPr>
                <w:sz w:val="20"/>
              </w:rPr>
            </w:pPr>
            <w:r w:rsidRPr="00243497">
              <w:rPr>
                <w:sz w:val="20"/>
              </w:rPr>
              <w:t>Úlohy ministerstiev a ostatných ústredných orgánov štátnej správy</w:t>
            </w:r>
          </w:p>
          <w:p w:rsidR="00882959" w:rsidRPr="00243497" w:rsidP="00882959">
            <w:pPr>
              <w:rPr>
                <w:sz w:val="20"/>
              </w:rPr>
            </w:pPr>
            <w:r w:rsidRPr="00243497">
              <w:rPr>
                <w:sz w:val="20"/>
              </w:rPr>
              <w:t>(7) Ministerstvá a ostatné ústredné orgány štátnej správy v rozsahu vymedzenej pôsobnosti plnia voči orgánom Európskej únie informačnú a oznamovaciu povinnosť, ktorá im vyplýva z právne záväzných aktov týchto orgánov</w:t>
            </w:r>
          </w:p>
          <w:p w:rsidR="00882959" w:rsidRPr="0057536E" w:rsidP="0057536E">
            <w:pPr>
              <w:spacing w:after="360"/>
              <w:jc w:val="center"/>
              <w:rPr>
                <w:szCs w:val="24"/>
                <w:lang w:eastAsia="sk-SK"/>
              </w:rPr>
            </w:pPr>
          </w:p>
          <w:p w:rsidR="00E20C4A" w:rsidP="00E20C4A">
            <w:pPr>
              <w:pStyle w:val="Normlny"/>
              <w:jc w:val="center"/>
              <w:rPr>
                <w:b/>
              </w:rPr>
            </w:pPr>
          </w:p>
        </w:tc>
        <w:tc>
          <w:tcPr>
            <w:tcW w:w="708" w:type="dxa"/>
          </w:tcPr>
          <w:p w:rsidR="00E20C4A" w:rsidRPr="000928BD" w:rsidP="00E20C4A">
            <w:pPr>
              <w:jc w:val="both"/>
              <w:rPr>
                <w:sz w:val="20"/>
              </w:rPr>
            </w:pPr>
            <w:r w:rsidRPr="000928BD" w:rsidR="000928BD">
              <w:rPr>
                <w:sz w:val="20"/>
              </w:rPr>
              <w:t>Ú</w:t>
            </w:r>
          </w:p>
        </w:tc>
        <w:tc>
          <w:tcPr>
            <w:tcW w:w="1130" w:type="dxa"/>
          </w:tcPr>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E20C4A" w:rsidP="00E20C4A">
            <w:pPr>
              <w:jc w:val="both"/>
              <w:rPr>
                <w:sz w:val="20"/>
              </w:rPr>
            </w:pPr>
            <w:r>
              <w:rPr>
                <w:sz w:val="20"/>
              </w:rPr>
              <w:t>Č33</w:t>
            </w:r>
          </w:p>
          <w:p w:rsidR="00E20C4A" w:rsidP="00E20C4A">
            <w:pPr>
              <w:jc w:val="both"/>
              <w:rPr>
                <w:sz w:val="20"/>
              </w:rPr>
            </w:pPr>
            <w:r>
              <w:rPr>
                <w:sz w:val="20"/>
              </w:rPr>
              <w:t>O2</w:t>
            </w:r>
          </w:p>
        </w:tc>
        <w:tc>
          <w:tcPr>
            <w:tcW w:w="4074" w:type="dxa"/>
            <w:tcBorders>
              <w:bottom w:val="single" w:sz="4" w:space="0" w:color="auto"/>
            </w:tcBorders>
          </w:tcPr>
          <w:p w:rsidR="00E20C4A" w:rsidP="00E20C4A">
            <w:pPr>
              <w:jc w:val="both"/>
              <w:rPr>
                <w:sz w:val="20"/>
              </w:rPr>
            </w:pPr>
            <w:r w:rsidRPr="0084127C">
              <w:rPr>
                <w:sz w:val="20"/>
              </w:rPr>
              <w:t>2. Členské štáty však zabezpečia, aby sa najneskôr do 1. januára 2009 zriadil dostatočný počet staníc na meranie PM</w:t>
            </w:r>
            <w:r w:rsidRPr="00FC4AFD">
              <w:rPr>
                <w:sz w:val="20"/>
                <w:vertAlign w:val="subscript"/>
              </w:rPr>
              <w:t xml:space="preserve">2,5 </w:t>
            </w:r>
            <w:r w:rsidRPr="0084127C">
              <w:rPr>
                <w:sz w:val="20"/>
              </w:rPr>
              <w:t>v mestských pozaďových miestach, ktoré sú potrebné na výpočet indikátora priemernej expozície, v súlade s oddielom B prílohy V, s cieľom dodržať časový rámec a podmienky uvedené v oddiele A prílohy XIV.</w:t>
            </w:r>
          </w:p>
          <w:p w:rsidR="00E20C4A" w:rsidRPr="0084127C" w:rsidP="00E20C4A">
            <w:pPr>
              <w:jc w:val="both"/>
              <w:rPr>
                <w:sz w:val="20"/>
              </w:rPr>
            </w:pPr>
          </w:p>
        </w:tc>
        <w:tc>
          <w:tcPr>
            <w:tcW w:w="747" w:type="dxa"/>
          </w:tcPr>
          <w:p w:rsidR="00E20C4A" w:rsidRPr="00D86B9D" w:rsidP="00E20C4A">
            <w:pPr>
              <w:ind w:right="-249"/>
              <w:rPr>
                <w:sz w:val="20"/>
              </w:rPr>
            </w:pPr>
            <w:r w:rsidR="00497E45">
              <w:rPr>
                <w:sz w:val="20"/>
              </w:rPr>
              <w:t>N</w:t>
            </w:r>
          </w:p>
        </w:tc>
        <w:tc>
          <w:tcPr>
            <w:tcW w:w="574" w:type="dxa"/>
          </w:tcPr>
          <w:p w:rsidR="00E20C4A" w:rsidRPr="00497E45" w:rsidP="00E20C4A">
            <w:pPr>
              <w:jc w:val="both"/>
              <w:rPr>
                <w:sz w:val="20"/>
              </w:rPr>
            </w:pPr>
            <w:r w:rsidRPr="00497E45" w:rsidR="00497E45">
              <w:rPr>
                <w:sz w:val="20"/>
              </w:rPr>
              <w:t>NZ</w:t>
            </w:r>
          </w:p>
        </w:tc>
        <w:tc>
          <w:tcPr>
            <w:tcW w:w="701" w:type="dxa"/>
          </w:tcPr>
          <w:p w:rsidR="005A025B" w:rsidP="005A025B">
            <w:pPr>
              <w:pStyle w:val="Paragrafyzkona"/>
              <w:spacing w:before="0" w:after="120" w:line="240" w:lineRule="auto"/>
              <w:rPr>
                <w:b w:val="0"/>
                <w:sz w:val="20"/>
                <w:szCs w:val="20"/>
                <w:lang w:eastAsia="en-US"/>
              </w:rPr>
            </w:pPr>
            <w:bookmarkStart w:id="4" w:name="_Toc51424448"/>
            <w:bookmarkStart w:id="5" w:name="_Toc51424577"/>
            <w:r w:rsidRPr="005A025B">
              <w:rPr>
                <w:b w:val="0"/>
                <w:sz w:val="20"/>
                <w:szCs w:val="20"/>
                <w:lang w:eastAsia="en-US"/>
              </w:rPr>
              <w:t>§ 3</w:t>
            </w:r>
            <w:bookmarkEnd w:id="4"/>
            <w:bookmarkEnd w:id="5"/>
          </w:p>
          <w:p w:rsidR="005A025B" w:rsidRPr="005A025B" w:rsidP="005A025B">
            <w:pPr>
              <w:pStyle w:val="Paragrafyzkona"/>
              <w:spacing w:before="0" w:after="120" w:line="240" w:lineRule="auto"/>
              <w:rPr>
                <w:b w:val="0"/>
                <w:sz w:val="20"/>
                <w:szCs w:val="20"/>
                <w:lang w:eastAsia="en-US"/>
              </w:rPr>
            </w:pPr>
            <w:r>
              <w:rPr>
                <w:b w:val="0"/>
                <w:sz w:val="20"/>
                <w:szCs w:val="20"/>
                <w:lang w:eastAsia="en-US"/>
              </w:rPr>
              <w:t>O10</w:t>
            </w:r>
          </w:p>
          <w:p w:rsidR="00E20C4A" w:rsidRPr="00497E45" w:rsidP="00E20C4A">
            <w:pPr>
              <w:jc w:val="both"/>
              <w:rPr>
                <w:sz w:val="20"/>
              </w:rPr>
            </w:pPr>
          </w:p>
        </w:tc>
        <w:tc>
          <w:tcPr>
            <w:tcW w:w="7797" w:type="dxa"/>
          </w:tcPr>
          <w:p w:rsidR="00E20C4A" w:rsidRPr="00497E45" w:rsidP="005A025B">
            <w:pPr>
              <w:pStyle w:val="Normlny"/>
              <w:jc w:val="both"/>
            </w:pPr>
            <w:r w:rsidRPr="005A025B" w:rsidR="005A025B">
              <w:t>(10)</w:t>
              <w:tab/>
              <w:t>Indikátorom priemernej expozície pre PM</w:t>
            </w:r>
            <w:r w:rsidRPr="00E46DD8" w:rsidR="005A025B">
              <w:rPr>
                <w:vertAlign w:val="subscript"/>
              </w:rPr>
              <w:t xml:space="preserve">2,5 </w:t>
            </w:r>
            <w:r w:rsidRPr="005A025B" w:rsidR="005A025B">
              <w:t>je priemerná úroveň znečistenia ovzdušia, ktorá odráža expozíciu obyvateľstva, určená na základe meraní na mestských pozaďových miestach na celom území Slovenskej republiky; mestským pozaďovým miestom je miesto v mestskej oblasti, kde je úroveň znečistenia ovzdušia reprezentatívna pre expozíciu bežného mestského obyvateľstva. Indikátor priemernej expozície pre PM</w:t>
            </w:r>
            <w:r w:rsidRPr="00E46DD8" w:rsidR="005A025B">
              <w:rPr>
                <w:vertAlign w:val="subscript"/>
              </w:rPr>
              <w:t>2,5</w:t>
            </w:r>
            <w:r w:rsidRPr="005A025B" w:rsidR="005A025B">
              <w:t xml:space="preserve"> nesmie presiahnuť ustanovený záväzok zníženia expozície na rok 2015.</w:t>
            </w:r>
          </w:p>
        </w:tc>
        <w:tc>
          <w:tcPr>
            <w:tcW w:w="708" w:type="dxa"/>
          </w:tcPr>
          <w:p w:rsidR="00E20C4A" w:rsidRPr="00497E45" w:rsidP="00E20C4A">
            <w:pPr>
              <w:jc w:val="both"/>
              <w:rPr>
                <w:sz w:val="20"/>
              </w:rPr>
            </w:pPr>
            <w:r w:rsidRPr="00497E45" w:rsidR="00497E45">
              <w:rPr>
                <w:sz w:val="20"/>
              </w:rPr>
              <w:t>Ú</w:t>
            </w:r>
          </w:p>
        </w:tc>
        <w:tc>
          <w:tcPr>
            <w:tcW w:w="1130" w:type="dxa"/>
          </w:tcPr>
          <w:p w:rsidR="00497E45" w:rsidRPr="0092264F" w:rsidP="00497E45">
            <w:pPr>
              <w:rPr>
                <w:sz w:val="20"/>
              </w:rPr>
            </w:pPr>
            <w:r w:rsidRPr="0092264F">
              <w:rPr>
                <w:sz w:val="20"/>
              </w:rPr>
              <w:t xml:space="preserve">Indikátor priemernej expozície PM2,5  už bol ustanovený  v roku 2010. </w:t>
            </w:r>
          </w:p>
          <w:p w:rsidR="00497E45" w:rsidRPr="0092264F" w:rsidP="00497E45">
            <w:pPr>
              <w:rPr>
                <w:sz w:val="20"/>
              </w:rPr>
            </w:pPr>
            <w:r w:rsidRPr="0092264F">
              <w:rPr>
                <w:sz w:val="20"/>
              </w:rPr>
              <w:t>Už je to  neaktívne ustanovenie</w:t>
            </w:r>
          </w:p>
          <w:p w:rsidR="00E20C4A" w:rsidRPr="008658BB" w:rsidP="00E20C4A">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CB3E7D" w:rsidP="00CB3E7D">
            <w:pPr>
              <w:jc w:val="both"/>
              <w:rPr>
                <w:sz w:val="20"/>
              </w:rPr>
            </w:pPr>
            <w:r>
              <w:rPr>
                <w:sz w:val="20"/>
              </w:rPr>
              <w:t>Č33</w:t>
            </w:r>
          </w:p>
          <w:p w:rsidR="00CB3E7D" w:rsidP="00CB3E7D">
            <w:pPr>
              <w:jc w:val="both"/>
              <w:rPr>
                <w:sz w:val="20"/>
              </w:rPr>
            </w:pPr>
            <w:r>
              <w:rPr>
                <w:sz w:val="20"/>
              </w:rPr>
              <w:t>O3</w:t>
            </w:r>
          </w:p>
        </w:tc>
        <w:tc>
          <w:tcPr>
            <w:tcW w:w="4074" w:type="dxa"/>
            <w:tcBorders>
              <w:bottom w:val="single" w:sz="4" w:space="0" w:color="auto"/>
            </w:tcBorders>
          </w:tcPr>
          <w:p w:rsidR="00CB3E7D" w:rsidP="00CB3E7D">
            <w:pPr>
              <w:jc w:val="both"/>
              <w:rPr>
                <w:sz w:val="20"/>
              </w:rPr>
            </w:pPr>
            <w:r w:rsidRPr="0084127C">
              <w:rPr>
                <w:sz w:val="20"/>
              </w:rPr>
              <w:t>3. Členské štáty oznámia Komisii znenie hlavných ustanovení vnútroštátnych právnych predpisov, ktoré prijmú v oblasti pôsobnosti tejto smernice.</w:t>
            </w:r>
          </w:p>
          <w:p w:rsidR="00CB3E7D" w:rsidRPr="0084127C" w:rsidP="00CB3E7D">
            <w:pPr>
              <w:jc w:val="both"/>
              <w:rPr>
                <w:sz w:val="20"/>
              </w:rPr>
            </w:pPr>
          </w:p>
        </w:tc>
        <w:tc>
          <w:tcPr>
            <w:tcW w:w="747" w:type="dxa"/>
          </w:tcPr>
          <w:p w:rsidR="00CB3E7D" w:rsidP="00CB3E7D">
            <w:pPr>
              <w:ind w:right="-249"/>
              <w:rPr>
                <w:sz w:val="20"/>
              </w:rPr>
            </w:pPr>
            <w:r>
              <w:rPr>
                <w:sz w:val="20"/>
              </w:rPr>
              <w:t>N</w:t>
            </w:r>
          </w:p>
          <w:p w:rsidR="00BD496F" w:rsidP="00CB3E7D">
            <w:pPr>
              <w:ind w:right="-249"/>
              <w:rPr>
                <w:sz w:val="20"/>
              </w:rPr>
            </w:pPr>
          </w:p>
          <w:p w:rsidR="00BD496F" w:rsidP="00CB3E7D">
            <w:pPr>
              <w:ind w:right="-249"/>
              <w:rPr>
                <w:sz w:val="20"/>
              </w:rPr>
            </w:pPr>
          </w:p>
          <w:p w:rsidR="00BD496F" w:rsidP="00CB3E7D">
            <w:pPr>
              <w:ind w:right="-249"/>
              <w:rPr>
                <w:sz w:val="20"/>
              </w:rPr>
            </w:pPr>
          </w:p>
          <w:p w:rsidR="005A025B" w:rsidP="00CB3E7D">
            <w:pPr>
              <w:ind w:right="-249"/>
              <w:rPr>
                <w:sz w:val="20"/>
              </w:rPr>
            </w:pPr>
          </w:p>
          <w:p w:rsidR="00BD496F" w:rsidP="00CB3E7D">
            <w:pPr>
              <w:ind w:right="-249"/>
              <w:rPr>
                <w:sz w:val="20"/>
              </w:rPr>
            </w:pPr>
            <w:r>
              <w:rPr>
                <w:sz w:val="20"/>
              </w:rPr>
              <w:t>N</w:t>
            </w:r>
          </w:p>
          <w:p w:rsidR="00BD496F" w:rsidP="00CB3E7D">
            <w:pPr>
              <w:ind w:right="-249"/>
              <w:rPr>
                <w:sz w:val="20"/>
              </w:rPr>
            </w:pPr>
          </w:p>
          <w:p w:rsidR="00BD496F" w:rsidP="00CB3E7D">
            <w:pPr>
              <w:ind w:right="-249"/>
              <w:rPr>
                <w:sz w:val="20"/>
              </w:rPr>
            </w:pPr>
          </w:p>
          <w:p w:rsidR="00BD496F" w:rsidP="00CB3E7D">
            <w:pPr>
              <w:ind w:right="-249"/>
              <w:rPr>
                <w:sz w:val="20"/>
              </w:rPr>
            </w:pPr>
          </w:p>
          <w:p w:rsidR="005A025B" w:rsidP="00CB3E7D">
            <w:pPr>
              <w:ind w:right="-249"/>
              <w:rPr>
                <w:sz w:val="20"/>
              </w:rPr>
            </w:pPr>
          </w:p>
          <w:p w:rsidR="00BD496F" w:rsidRPr="00D86B9D" w:rsidP="00CB3E7D">
            <w:pPr>
              <w:ind w:right="-249"/>
              <w:rPr>
                <w:sz w:val="20"/>
              </w:rPr>
            </w:pPr>
            <w:r>
              <w:rPr>
                <w:sz w:val="20"/>
              </w:rPr>
              <w:t>N</w:t>
            </w:r>
          </w:p>
        </w:tc>
        <w:tc>
          <w:tcPr>
            <w:tcW w:w="574" w:type="dxa"/>
          </w:tcPr>
          <w:p w:rsidR="00CB3E7D" w:rsidP="00CB3E7D">
            <w:pPr>
              <w:jc w:val="both"/>
              <w:rPr>
                <w:sz w:val="20"/>
              </w:rPr>
            </w:pPr>
            <w:r w:rsidRPr="00CB3E7D">
              <w:rPr>
                <w:sz w:val="20"/>
              </w:rPr>
              <w:t>NZ</w:t>
            </w:r>
          </w:p>
          <w:p w:rsidR="00BD496F" w:rsidP="00CB3E7D">
            <w:pPr>
              <w:jc w:val="both"/>
              <w:rPr>
                <w:sz w:val="20"/>
              </w:rPr>
            </w:pPr>
          </w:p>
          <w:p w:rsidR="00BD496F" w:rsidP="00CB3E7D">
            <w:pPr>
              <w:jc w:val="both"/>
              <w:rPr>
                <w:sz w:val="20"/>
              </w:rPr>
            </w:pPr>
          </w:p>
          <w:p w:rsidR="00BD496F" w:rsidP="00CB3E7D">
            <w:pPr>
              <w:jc w:val="both"/>
              <w:rPr>
                <w:sz w:val="20"/>
              </w:rPr>
            </w:pPr>
          </w:p>
          <w:p w:rsidR="005A025B" w:rsidP="00CB3E7D">
            <w:pPr>
              <w:jc w:val="both"/>
              <w:rPr>
                <w:sz w:val="20"/>
              </w:rPr>
            </w:pPr>
          </w:p>
          <w:p w:rsidR="00BD496F" w:rsidP="00CB3E7D">
            <w:pPr>
              <w:jc w:val="both"/>
              <w:rPr>
                <w:sz w:val="20"/>
              </w:rPr>
            </w:pPr>
            <w:r>
              <w:rPr>
                <w:sz w:val="20"/>
              </w:rPr>
              <w:t>NZ</w:t>
            </w:r>
          </w:p>
          <w:p w:rsidR="00BD496F" w:rsidP="00CB3E7D">
            <w:pPr>
              <w:jc w:val="both"/>
              <w:rPr>
                <w:sz w:val="20"/>
              </w:rPr>
            </w:pPr>
          </w:p>
          <w:p w:rsidR="00BD496F" w:rsidP="00CB3E7D">
            <w:pPr>
              <w:jc w:val="both"/>
              <w:rPr>
                <w:sz w:val="20"/>
              </w:rPr>
            </w:pPr>
          </w:p>
          <w:p w:rsidR="005A025B" w:rsidP="00CB3E7D">
            <w:pPr>
              <w:jc w:val="both"/>
              <w:rPr>
                <w:sz w:val="20"/>
              </w:rPr>
            </w:pPr>
          </w:p>
          <w:p w:rsidR="00BD496F" w:rsidP="00CB3E7D">
            <w:pPr>
              <w:jc w:val="both"/>
              <w:rPr>
                <w:sz w:val="20"/>
              </w:rPr>
            </w:pPr>
          </w:p>
          <w:p w:rsidR="00BD496F" w:rsidRPr="00CB3E7D" w:rsidP="00CB3E7D">
            <w:pPr>
              <w:jc w:val="both"/>
              <w:rPr>
                <w:sz w:val="20"/>
              </w:rPr>
            </w:pPr>
            <w:r>
              <w:rPr>
                <w:sz w:val="20"/>
              </w:rPr>
              <w:t>Z</w:t>
            </w:r>
          </w:p>
        </w:tc>
        <w:tc>
          <w:tcPr>
            <w:tcW w:w="701" w:type="dxa"/>
          </w:tcPr>
          <w:p w:rsidR="00CB3E7D" w:rsidP="00CB3E7D">
            <w:pPr>
              <w:pStyle w:val="Paragrafyzkona"/>
              <w:keepLines w:val="0"/>
              <w:spacing w:before="0" w:after="120" w:line="240" w:lineRule="auto"/>
              <w:jc w:val="left"/>
              <w:rPr>
                <w:b w:val="0"/>
                <w:sz w:val="20"/>
                <w:szCs w:val="20"/>
                <w:lang w:eastAsia="en-US"/>
              </w:rPr>
            </w:pPr>
            <w:r w:rsidR="009434A0">
              <w:rPr>
                <w:b w:val="0"/>
                <w:sz w:val="20"/>
                <w:szCs w:val="20"/>
                <w:lang w:eastAsia="en-US"/>
              </w:rPr>
              <w:t>§ 41</w:t>
            </w:r>
          </w:p>
          <w:p w:rsidR="00CB3E7D" w:rsidP="00CB3E7D">
            <w:pPr>
              <w:pStyle w:val="Paragrafyzkona"/>
              <w:keepLines w:val="0"/>
              <w:spacing w:before="0" w:after="120" w:line="240" w:lineRule="auto"/>
              <w:jc w:val="left"/>
              <w:rPr>
                <w:b w:val="0"/>
                <w:sz w:val="20"/>
              </w:rPr>
            </w:pPr>
            <w:r w:rsidRPr="00A60944">
              <w:rPr>
                <w:b w:val="0"/>
                <w:sz w:val="20"/>
              </w:rPr>
              <w:t>Pd</w:t>
            </w:r>
          </w:p>
          <w:p w:rsidR="00BD496F" w:rsidP="00CB3E7D">
            <w:pPr>
              <w:pStyle w:val="Paragrafyzkona"/>
              <w:keepLines w:val="0"/>
              <w:spacing w:before="0" w:after="120" w:line="240" w:lineRule="auto"/>
              <w:jc w:val="left"/>
              <w:rPr>
                <w:b w:val="0"/>
                <w:sz w:val="20"/>
              </w:rPr>
            </w:pPr>
          </w:p>
          <w:p w:rsidR="00BD496F" w:rsidP="00CB3E7D">
            <w:pPr>
              <w:pStyle w:val="Paragrafyzkona"/>
              <w:keepLines w:val="0"/>
              <w:spacing w:before="0" w:after="120" w:line="240" w:lineRule="auto"/>
              <w:jc w:val="left"/>
              <w:rPr>
                <w:b w:val="0"/>
                <w:sz w:val="20"/>
              </w:rPr>
            </w:pPr>
            <w:r w:rsidR="003E6362">
              <w:rPr>
                <w:b w:val="0"/>
                <w:sz w:val="20"/>
              </w:rPr>
              <w:t>Príl. č.11</w:t>
            </w:r>
          </w:p>
          <w:p w:rsidR="00BD496F" w:rsidP="00BD496F">
            <w:pPr>
              <w:snapToGrid w:val="0"/>
              <w:rPr>
                <w:sz w:val="20"/>
                <w:szCs w:val="24"/>
                <w:lang w:eastAsia="sk-SK"/>
              </w:rPr>
            </w:pPr>
          </w:p>
          <w:p w:rsidR="005A025B" w:rsidP="00BD496F">
            <w:pPr>
              <w:snapToGrid w:val="0"/>
              <w:rPr>
                <w:sz w:val="20"/>
                <w:szCs w:val="24"/>
                <w:lang w:eastAsia="sk-SK"/>
              </w:rPr>
            </w:pPr>
          </w:p>
          <w:p w:rsidR="00BD496F" w:rsidRPr="00243497" w:rsidP="00BD496F">
            <w:pPr>
              <w:snapToGrid w:val="0"/>
              <w:rPr>
                <w:sz w:val="20"/>
              </w:rPr>
            </w:pPr>
            <w:r w:rsidRPr="00243497">
              <w:rPr>
                <w:sz w:val="20"/>
              </w:rPr>
              <w:t>§ 35</w:t>
            </w:r>
          </w:p>
          <w:p w:rsidR="00BD496F" w:rsidRPr="00882959" w:rsidP="00BD496F">
            <w:pPr>
              <w:snapToGrid w:val="0"/>
              <w:rPr>
                <w:sz w:val="20"/>
              </w:rPr>
            </w:pPr>
            <w:r w:rsidRPr="00243497">
              <w:rPr>
                <w:sz w:val="20"/>
              </w:rPr>
              <w:t>O7</w:t>
            </w:r>
          </w:p>
          <w:p w:rsidR="00BD496F" w:rsidRPr="008658BB" w:rsidP="00BD496F">
            <w:pPr>
              <w:pStyle w:val="Paragrafyzkona"/>
              <w:keepLines w:val="0"/>
              <w:spacing w:before="0" w:after="120" w:line="240" w:lineRule="auto"/>
              <w:jc w:val="left"/>
              <w:rPr>
                <w:b w:val="0"/>
                <w:sz w:val="20"/>
              </w:rPr>
            </w:pPr>
          </w:p>
        </w:tc>
        <w:tc>
          <w:tcPr>
            <w:tcW w:w="7797" w:type="dxa"/>
          </w:tcPr>
          <w:p w:rsidR="005A025B" w:rsidP="00CB3E7D">
            <w:pPr>
              <w:pStyle w:val="ListParagraph"/>
              <w:spacing w:line="240" w:lineRule="auto"/>
              <w:ind w:left="0"/>
              <w:contextualSpacing w:val="0"/>
              <w:jc w:val="both"/>
              <w:rPr>
                <w:sz w:val="20"/>
                <w:szCs w:val="20"/>
              </w:rPr>
            </w:pPr>
            <w:r w:rsidR="00CB3E7D">
              <w:rPr>
                <w:sz w:val="20"/>
                <w:szCs w:val="20"/>
              </w:rPr>
              <w:t>Ministerstvo</w:t>
            </w:r>
          </w:p>
          <w:p w:rsidR="00CB3E7D" w:rsidP="00CB3E7D">
            <w:pPr>
              <w:pStyle w:val="ListParagraph"/>
              <w:spacing w:line="240" w:lineRule="auto"/>
              <w:ind w:left="0"/>
              <w:contextualSpacing w:val="0"/>
              <w:jc w:val="both"/>
              <w:rPr>
                <w:sz w:val="20"/>
                <w:szCs w:val="20"/>
              </w:rPr>
            </w:pPr>
            <w:r w:rsidR="005A025B">
              <w:rPr>
                <w:sz w:val="20"/>
                <w:szCs w:val="20"/>
              </w:rPr>
              <w:t>d)</w:t>
            </w:r>
            <w:r>
              <w:rPr>
                <w:sz w:val="20"/>
                <w:szCs w:val="20"/>
              </w:rPr>
              <w:t xml:space="preserve"> </w:t>
            </w:r>
            <w:r w:rsidRPr="00A60944">
              <w:rPr>
                <w:sz w:val="20"/>
                <w:szCs w:val="20"/>
              </w:rPr>
              <w:t>je vo vzťahu ku Komisii notifikačným orgánom, sprístupňuje a podáva Komisii ustanovené informácie a správy vo veciach ochrany ovzdušia a v ustanovených lehotách a rozsahu ustanovenom vykonávacím predpisom podľa § 62 písm. n),</w:t>
            </w:r>
          </w:p>
          <w:p w:rsidR="00454806" w:rsidP="00454806">
            <w:pPr>
              <w:pStyle w:val="Normlny"/>
              <w:jc w:val="both"/>
              <w:rPr>
                <w:lang w:eastAsia="sk-SK"/>
              </w:rPr>
            </w:pPr>
          </w:p>
          <w:p w:rsidR="00CB3E7D" w:rsidP="00BD496F">
            <w:pPr>
              <w:pStyle w:val="ListParagraph"/>
              <w:spacing w:line="240" w:lineRule="auto"/>
              <w:ind w:left="0"/>
              <w:contextualSpacing w:val="0"/>
              <w:jc w:val="both"/>
              <w:rPr>
                <w:sz w:val="20"/>
                <w:szCs w:val="20"/>
                <w:lang w:eastAsia="en-US"/>
              </w:rPr>
            </w:pPr>
            <w:r w:rsidR="00BD496F">
              <w:rPr>
                <w:sz w:val="20"/>
                <w:szCs w:val="20"/>
                <w:lang w:eastAsia="en-US"/>
              </w:rPr>
              <w:t xml:space="preserve">Bod </w:t>
            </w:r>
            <w:r w:rsidRPr="00882959" w:rsidR="00BD496F">
              <w:rPr>
                <w:sz w:val="20"/>
                <w:szCs w:val="20"/>
                <w:lang w:eastAsia="en-US"/>
              </w:rPr>
              <w:t>6.</w:t>
              <w:tab/>
              <w:t>Smernica Európskeho parlamentu a Rady 2008/50/ES z 21. mája 2008 o kvalite okolitého ovzdušia a čistejšom ovzduší v Európe (Ú. v. EÚ L 152, 11.6.2008) v znení smernice Komisie (EÚ) 2015/1480 z 28. augusta 2015 (Ú. v. EÚ L 226, 29.8.2015).</w:t>
            </w:r>
          </w:p>
          <w:p w:rsidR="00BD496F" w:rsidRPr="00243497" w:rsidP="00BD496F">
            <w:pPr>
              <w:rPr>
                <w:sz w:val="20"/>
              </w:rPr>
            </w:pPr>
            <w:r w:rsidRPr="00243497">
              <w:rPr>
                <w:sz w:val="20"/>
              </w:rPr>
              <w:t>Úlohy ministerstiev a ostatných ústredných orgánov štátnej spr</w:t>
            </w:r>
            <w:r w:rsidRPr="00243497">
              <w:rPr>
                <w:sz w:val="20"/>
              </w:rPr>
              <w:t>ávy</w:t>
            </w:r>
          </w:p>
          <w:p w:rsidR="00BD496F" w:rsidRPr="00243497" w:rsidP="00BD496F">
            <w:pPr>
              <w:rPr>
                <w:sz w:val="20"/>
              </w:rPr>
            </w:pPr>
            <w:r w:rsidRPr="00243497">
              <w:rPr>
                <w:sz w:val="20"/>
              </w:rPr>
              <w:t>(7) Ministerstvá a ostatné ústredné orgány štátnej správy v rozsahu vymedzenej pôsobnosti plnia voči orgánom Európskej únie informačnú a oznamovaciu povinnosť, ktorá im vyplýva z právne záväzných aktov týchto orgánov</w:t>
            </w:r>
          </w:p>
          <w:p w:rsidR="00BD496F" w:rsidRPr="00D15A09" w:rsidP="00BD496F">
            <w:pPr>
              <w:pStyle w:val="ListParagraph"/>
              <w:spacing w:line="240" w:lineRule="auto"/>
              <w:ind w:left="0"/>
              <w:contextualSpacing w:val="0"/>
              <w:jc w:val="both"/>
            </w:pPr>
          </w:p>
        </w:tc>
        <w:tc>
          <w:tcPr>
            <w:tcW w:w="708" w:type="dxa"/>
          </w:tcPr>
          <w:p w:rsidR="00CB3E7D" w:rsidRPr="00CB3E7D" w:rsidP="00CB3E7D">
            <w:pPr>
              <w:jc w:val="both"/>
              <w:rPr>
                <w:sz w:val="20"/>
              </w:rPr>
            </w:pPr>
            <w:r w:rsidRPr="00CB3E7D">
              <w:rPr>
                <w:sz w:val="20"/>
              </w:rPr>
              <w:t>Ú</w:t>
            </w:r>
          </w:p>
        </w:tc>
        <w:tc>
          <w:tcPr>
            <w:tcW w:w="1130" w:type="dxa"/>
          </w:tcPr>
          <w:p w:rsidR="00CB3E7D" w:rsidRPr="008658BB" w:rsidP="00CB3E7D">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CB3E7D" w:rsidP="00CB3E7D">
            <w:pPr>
              <w:jc w:val="both"/>
              <w:rPr>
                <w:sz w:val="20"/>
              </w:rPr>
            </w:pPr>
            <w:r>
              <w:rPr>
                <w:sz w:val="20"/>
              </w:rPr>
              <w:t>Č34</w:t>
            </w:r>
          </w:p>
        </w:tc>
        <w:tc>
          <w:tcPr>
            <w:tcW w:w="4074" w:type="dxa"/>
            <w:tcBorders>
              <w:bottom w:val="single" w:sz="4" w:space="0" w:color="auto"/>
            </w:tcBorders>
          </w:tcPr>
          <w:p w:rsidR="00CB3E7D" w:rsidRPr="0084127C" w:rsidP="00CB3E7D">
            <w:pPr>
              <w:jc w:val="both"/>
              <w:rPr>
                <w:sz w:val="20"/>
              </w:rPr>
            </w:pPr>
            <w:r w:rsidRPr="00566FFE">
              <w:rPr>
                <w:sz w:val="20"/>
              </w:rPr>
              <w:t>Nadobudnutie účinnosti Táto smernica nadobúda účinnosť dňom jej uverejnenia v Úradnom vestníku Európskej únie.</w:t>
            </w:r>
          </w:p>
        </w:tc>
        <w:tc>
          <w:tcPr>
            <w:tcW w:w="747" w:type="dxa"/>
          </w:tcPr>
          <w:p w:rsidR="00CB3E7D" w:rsidRPr="00D86B9D" w:rsidP="00CB3E7D">
            <w:pPr>
              <w:ind w:right="-249"/>
              <w:rPr>
                <w:sz w:val="20"/>
              </w:rPr>
            </w:pPr>
            <w:r w:rsidR="00C4522D">
              <w:rPr>
                <w:sz w:val="20"/>
              </w:rPr>
              <w:t>n.a.</w:t>
            </w:r>
          </w:p>
        </w:tc>
        <w:tc>
          <w:tcPr>
            <w:tcW w:w="574" w:type="dxa"/>
          </w:tcPr>
          <w:p w:rsidR="00CB3E7D" w:rsidP="00CB3E7D">
            <w:pPr>
              <w:jc w:val="both"/>
              <w:rPr>
                <w:sz w:val="20"/>
              </w:rPr>
            </w:pPr>
          </w:p>
          <w:p w:rsidR="00C9413D" w:rsidP="00CB3E7D">
            <w:pPr>
              <w:jc w:val="both"/>
              <w:rPr>
                <w:sz w:val="20"/>
              </w:rPr>
            </w:pPr>
          </w:p>
          <w:p w:rsidR="00C9413D" w:rsidP="00CB3E7D">
            <w:pPr>
              <w:jc w:val="both"/>
              <w:rPr>
                <w:sz w:val="20"/>
              </w:rPr>
            </w:pPr>
          </w:p>
          <w:p w:rsidR="00C9413D" w:rsidRPr="00575737" w:rsidP="00CB3E7D">
            <w:pPr>
              <w:jc w:val="both"/>
              <w:rPr>
                <w:sz w:val="20"/>
              </w:rPr>
            </w:pPr>
          </w:p>
        </w:tc>
        <w:tc>
          <w:tcPr>
            <w:tcW w:w="701" w:type="dxa"/>
          </w:tcPr>
          <w:p w:rsidR="00C9413D" w:rsidP="00C9413D">
            <w:pPr>
              <w:pStyle w:val="Paragrafyzkona"/>
              <w:keepLines w:val="0"/>
              <w:spacing w:before="0" w:after="120" w:line="240" w:lineRule="auto"/>
              <w:jc w:val="left"/>
              <w:rPr>
                <w:b w:val="0"/>
                <w:sz w:val="20"/>
                <w:szCs w:val="20"/>
                <w:lang w:eastAsia="en-US"/>
              </w:rPr>
            </w:pPr>
          </w:p>
          <w:p w:rsidR="00C9413D" w:rsidP="00C9413D">
            <w:pPr>
              <w:pStyle w:val="Paragrafyzkona"/>
              <w:keepLines w:val="0"/>
              <w:spacing w:before="0" w:after="120" w:line="240" w:lineRule="auto"/>
              <w:jc w:val="left"/>
              <w:rPr>
                <w:b w:val="0"/>
                <w:sz w:val="20"/>
                <w:szCs w:val="20"/>
                <w:lang w:eastAsia="en-US"/>
              </w:rPr>
            </w:pPr>
          </w:p>
          <w:p w:rsidR="00575737" w:rsidP="00575737">
            <w:pPr>
              <w:pStyle w:val="Paragrafyzkona"/>
              <w:keepLines w:val="0"/>
              <w:spacing w:before="0" w:after="120" w:line="240" w:lineRule="auto"/>
              <w:jc w:val="left"/>
              <w:rPr>
                <w:b w:val="0"/>
                <w:sz w:val="20"/>
                <w:szCs w:val="20"/>
                <w:lang w:eastAsia="en-US"/>
              </w:rPr>
            </w:pPr>
          </w:p>
          <w:p w:rsidR="00CB3E7D" w:rsidRPr="008658BB" w:rsidP="00CB3E7D">
            <w:pPr>
              <w:jc w:val="both"/>
              <w:rPr>
                <w:b/>
                <w:sz w:val="20"/>
              </w:rPr>
            </w:pPr>
          </w:p>
        </w:tc>
        <w:tc>
          <w:tcPr>
            <w:tcW w:w="7797" w:type="dxa"/>
          </w:tcPr>
          <w:p w:rsidR="00C9413D" w:rsidRPr="00121119" w:rsidP="00C9413D">
            <w:pPr>
              <w:keepNext/>
              <w:keepLines/>
              <w:rPr>
                <w:sz w:val="20"/>
                <w:lang w:eastAsia="sk-SK"/>
              </w:rPr>
            </w:pPr>
          </w:p>
          <w:p w:rsidR="00C9413D" w:rsidRPr="00C9413D" w:rsidP="00C9413D">
            <w:pPr>
              <w:spacing w:after="360"/>
              <w:jc w:val="both"/>
              <w:rPr>
                <w:sz w:val="20"/>
                <w:lang w:eastAsia="sk-SK"/>
              </w:rPr>
            </w:pPr>
          </w:p>
          <w:p w:rsidR="00CB3E7D" w:rsidRPr="00121119" w:rsidP="00454806">
            <w:pPr>
              <w:pStyle w:val="Normlny"/>
              <w:jc w:val="both"/>
              <w:rPr>
                <w:lang w:eastAsia="sk-SK"/>
              </w:rPr>
            </w:pPr>
          </w:p>
        </w:tc>
        <w:tc>
          <w:tcPr>
            <w:tcW w:w="708" w:type="dxa"/>
          </w:tcPr>
          <w:p w:rsidR="00CB3E7D" w:rsidRPr="00575737" w:rsidP="00CB3E7D">
            <w:pPr>
              <w:jc w:val="both"/>
              <w:rPr>
                <w:sz w:val="20"/>
              </w:rPr>
            </w:pPr>
            <w:r w:rsidR="00C4522D">
              <w:rPr>
                <w:sz w:val="20"/>
              </w:rPr>
              <w:t xml:space="preserve">n.a. </w:t>
            </w:r>
          </w:p>
        </w:tc>
        <w:tc>
          <w:tcPr>
            <w:tcW w:w="1130" w:type="dxa"/>
          </w:tcPr>
          <w:p w:rsidR="00CB3E7D" w:rsidRPr="008658BB" w:rsidP="00CB3E7D">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458"/>
        </w:trPr>
        <w:tc>
          <w:tcPr>
            <w:tcW w:w="850" w:type="dxa"/>
          </w:tcPr>
          <w:p w:rsidR="00CB3E7D" w:rsidP="00CB3E7D">
            <w:pPr>
              <w:jc w:val="both"/>
              <w:rPr>
                <w:sz w:val="20"/>
              </w:rPr>
            </w:pPr>
            <w:r>
              <w:rPr>
                <w:sz w:val="20"/>
              </w:rPr>
              <w:t>Č35</w:t>
            </w:r>
          </w:p>
        </w:tc>
        <w:tc>
          <w:tcPr>
            <w:tcW w:w="4074" w:type="dxa"/>
            <w:tcBorders>
              <w:bottom w:val="single" w:sz="4" w:space="0" w:color="auto"/>
            </w:tcBorders>
          </w:tcPr>
          <w:p w:rsidR="00CB3E7D" w:rsidRPr="00566FFE" w:rsidP="00CB3E7D">
            <w:pPr>
              <w:jc w:val="both"/>
              <w:rPr>
                <w:sz w:val="20"/>
              </w:rPr>
            </w:pPr>
            <w:r w:rsidRPr="00566FFE">
              <w:rPr>
                <w:sz w:val="20"/>
              </w:rPr>
              <w:t>Adresáti Táto smernica je určená členským štátom.</w:t>
            </w:r>
          </w:p>
          <w:p w:rsidR="00CB3E7D" w:rsidRPr="0084127C" w:rsidP="00CB3E7D">
            <w:pPr>
              <w:jc w:val="both"/>
              <w:rPr>
                <w:sz w:val="20"/>
              </w:rPr>
            </w:pPr>
          </w:p>
        </w:tc>
        <w:tc>
          <w:tcPr>
            <w:tcW w:w="747" w:type="dxa"/>
          </w:tcPr>
          <w:p w:rsidR="00CB3E7D" w:rsidRPr="00D86B9D" w:rsidP="00CB3E7D">
            <w:pPr>
              <w:ind w:right="-249"/>
              <w:rPr>
                <w:sz w:val="20"/>
              </w:rPr>
            </w:pPr>
            <w:r w:rsidR="00CE05F5">
              <w:rPr>
                <w:sz w:val="20"/>
              </w:rPr>
              <w:t xml:space="preserve">n.a </w:t>
            </w:r>
          </w:p>
        </w:tc>
        <w:tc>
          <w:tcPr>
            <w:tcW w:w="574" w:type="dxa"/>
          </w:tcPr>
          <w:p w:rsidR="00CB3E7D" w:rsidRPr="008658BB" w:rsidP="00CB3E7D">
            <w:pPr>
              <w:jc w:val="both"/>
              <w:rPr>
                <w:b/>
                <w:sz w:val="20"/>
              </w:rPr>
            </w:pPr>
          </w:p>
        </w:tc>
        <w:tc>
          <w:tcPr>
            <w:tcW w:w="701" w:type="dxa"/>
          </w:tcPr>
          <w:p w:rsidR="00CB3E7D" w:rsidRPr="008658BB" w:rsidP="00CB3E7D">
            <w:pPr>
              <w:jc w:val="both"/>
              <w:rPr>
                <w:b/>
                <w:sz w:val="20"/>
              </w:rPr>
            </w:pPr>
          </w:p>
        </w:tc>
        <w:tc>
          <w:tcPr>
            <w:tcW w:w="7797" w:type="dxa"/>
          </w:tcPr>
          <w:p w:rsidR="00CB3E7D" w:rsidRPr="00121119" w:rsidP="00CB3E7D">
            <w:pPr>
              <w:pStyle w:val="Normlny"/>
              <w:jc w:val="center"/>
              <w:rPr>
                <w:lang w:eastAsia="sk-SK"/>
              </w:rPr>
            </w:pPr>
          </w:p>
        </w:tc>
        <w:tc>
          <w:tcPr>
            <w:tcW w:w="708" w:type="dxa"/>
          </w:tcPr>
          <w:p w:rsidR="00CB3E7D" w:rsidRPr="005416C3" w:rsidP="00CB3E7D">
            <w:pPr>
              <w:jc w:val="both"/>
              <w:rPr>
                <w:sz w:val="20"/>
              </w:rPr>
            </w:pPr>
            <w:r w:rsidR="00090E9B">
              <w:rPr>
                <w:sz w:val="20"/>
              </w:rPr>
              <w:t>n.a.</w:t>
            </w:r>
          </w:p>
        </w:tc>
        <w:tc>
          <w:tcPr>
            <w:tcW w:w="1130" w:type="dxa"/>
          </w:tcPr>
          <w:p w:rsidR="00CB3E7D" w:rsidRPr="008658BB" w:rsidP="00CB3E7D">
            <w:pPr>
              <w:jc w:val="both"/>
              <w:rPr>
                <w:b/>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w:t>
            </w:r>
          </w:p>
        </w:tc>
        <w:tc>
          <w:tcPr>
            <w:tcW w:w="4074" w:type="dxa"/>
            <w:tcBorders>
              <w:bottom w:val="single" w:sz="4" w:space="0" w:color="auto"/>
            </w:tcBorders>
          </w:tcPr>
          <w:p w:rsidR="00CB3E7D" w:rsidRPr="004021A9" w:rsidP="00CB3E7D">
            <w:pPr>
              <w:pStyle w:val="NormalWeb"/>
              <w:rPr>
                <w:sz w:val="20"/>
                <w:szCs w:val="20"/>
              </w:rPr>
            </w:pPr>
            <w:r w:rsidRPr="004021A9">
              <w:rPr>
                <w:sz w:val="20"/>
                <w:szCs w:val="20"/>
              </w:rPr>
              <w:t>CIELE KVALITY ÚDAJOV</w:t>
            </w:r>
          </w:p>
          <w:p w:rsidR="00CB3E7D" w:rsidP="00CB3E7D">
            <w:pPr>
              <w:pStyle w:val="NormalWeb"/>
              <w:rPr>
                <w:sz w:val="20"/>
                <w:szCs w:val="20"/>
              </w:rPr>
            </w:pPr>
            <w:r w:rsidRPr="004021A9">
              <w:rPr>
                <w:sz w:val="20"/>
                <w:szCs w:val="20"/>
              </w:rPr>
              <w:t>A. Ciele kvality údajov pre hodnotenie kvality o</w:t>
            </w:r>
            <w:r w:rsidRPr="004021A9">
              <w:rPr>
                <w:sz w:val="20"/>
                <w:szCs w:val="20"/>
              </w:rPr>
              <w:t>kolitého ovzdušia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3"/>
              <w:gridCol w:w="824"/>
              <w:gridCol w:w="594"/>
              <w:gridCol w:w="708"/>
              <w:gridCol w:w="641"/>
            </w:tblGrid>
            <w:tr w:rsidTr="00A862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70"/>
              </w:trPr>
              <w:tc>
                <w:tcPr>
                  <w:tcW w:w="1073" w:type="dxa"/>
                </w:tcPr>
                <w:p w:rsidR="004832E8" w:rsidRPr="00E8184C" w:rsidP="00CB3E7D">
                  <w:pPr>
                    <w:pStyle w:val="NormalWeb"/>
                    <w:rPr>
                      <w:sz w:val="18"/>
                      <w:szCs w:val="18"/>
                    </w:rPr>
                  </w:pPr>
                </w:p>
              </w:tc>
              <w:tc>
                <w:tcPr>
                  <w:tcW w:w="824" w:type="dxa"/>
                </w:tcPr>
                <w:p w:rsidR="004832E8" w:rsidRPr="00E8184C" w:rsidP="00CB3E7D">
                  <w:pPr>
                    <w:pStyle w:val="NormalWeb"/>
                    <w:rPr>
                      <w:sz w:val="18"/>
                      <w:szCs w:val="18"/>
                    </w:rPr>
                  </w:pPr>
                  <w:r w:rsidRPr="00E8184C">
                    <w:rPr>
                      <w:sz w:val="18"/>
                      <w:szCs w:val="18"/>
                    </w:rPr>
                    <w:t>| Oxid siričitý, oxid dusičitý, oxidy dusíka a oxid uhoľnatý</w:t>
                  </w:r>
                </w:p>
              </w:tc>
              <w:tc>
                <w:tcPr>
                  <w:tcW w:w="594" w:type="dxa"/>
                </w:tcPr>
                <w:p w:rsidR="004832E8" w:rsidRPr="00E8184C" w:rsidP="00CB3E7D">
                  <w:pPr>
                    <w:pStyle w:val="NormalWeb"/>
                    <w:rPr>
                      <w:sz w:val="18"/>
                      <w:szCs w:val="18"/>
                    </w:rPr>
                  </w:pPr>
                  <w:r w:rsidRPr="00E8184C">
                    <w:rPr>
                      <w:sz w:val="18"/>
                      <w:szCs w:val="18"/>
                    </w:rPr>
                    <w:t>Benzén</w:t>
                  </w:r>
                </w:p>
              </w:tc>
              <w:tc>
                <w:tcPr>
                  <w:tcW w:w="708" w:type="dxa"/>
                </w:tcPr>
                <w:p w:rsidR="004832E8" w:rsidRPr="00E8184C" w:rsidP="00CB3E7D">
                  <w:pPr>
                    <w:pStyle w:val="NormalWeb"/>
                    <w:rPr>
                      <w:sz w:val="18"/>
                      <w:szCs w:val="18"/>
                    </w:rPr>
                  </w:pPr>
                  <w:r w:rsidRPr="00E8184C">
                    <w:rPr>
                      <w:sz w:val="18"/>
                      <w:szCs w:val="18"/>
                    </w:rPr>
                    <w:t>Suspendované častice (PM</w:t>
                  </w:r>
                  <w:r w:rsidRPr="00E8184C">
                    <w:rPr>
                      <w:sz w:val="18"/>
                      <w:szCs w:val="18"/>
                      <w:vertAlign w:val="subscript"/>
                    </w:rPr>
                    <w:t>10</w:t>
                  </w:r>
                  <w:r w:rsidRPr="00E8184C">
                    <w:rPr>
                      <w:sz w:val="18"/>
                      <w:szCs w:val="18"/>
                    </w:rPr>
                    <w:t>/PM</w:t>
                  </w:r>
                  <w:r w:rsidRPr="00E8184C">
                    <w:rPr>
                      <w:sz w:val="18"/>
                      <w:szCs w:val="18"/>
                      <w:vertAlign w:val="subscript"/>
                    </w:rPr>
                    <w:t>2,5</w:t>
                  </w:r>
                  <w:r w:rsidRPr="00E8184C">
                    <w:rPr>
                      <w:sz w:val="18"/>
                      <w:szCs w:val="18"/>
                    </w:rPr>
                    <w:t>) a olovo</w:t>
                  </w:r>
                </w:p>
              </w:tc>
              <w:tc>
                <w:tcPr>
                  <w:tcW w:w="641" w:type="dxa"/>
                </w:tcPr>
                <w:p w:rsidR="004832E8" w:rsidRPr="00E8184C" w:rsidP="00CB3E7D">
                  <w:pPr>
                    <w:pStyle w:val="NormalWeb"/>
                    <w:rPr>
                      <w:sz w:val="18"/>
                      <w:szCs w:val="18"/>
                    </w:rPr>
                  </w:pPr>
                  <w:r w:rsidRPr="00E8184C">
                    <w:rPr>
                      <w:sz w:val="18"/>
                      <w:szCs w:val="18"/>
                    </w:rPr>
                    <w:t>Ozón a súvisiace NO a NO</w:t>
                  </w:r>
                  <w:r w:rsidRPr="00A8620D">
                    <w:rPr>
                      <w:sz w:val="18"/>
                      <w:szCs w:val="18"/>
                      <w:vertAlign w:val="subscript"/>
                    </w:rPr>
                    <w:t>2</w:t>
                  </w:r>
                </w:p>
              </w:tc>
            </w:tr>
            <w:tr w:rsidTr="00A8620D">
              <w:tblPrEx>
                <w:tblW w:w="0" w:type="auto"/>
                <w:tblLayout w:type="fixed"/>
                <w:tblCellMar>
                  <w:left w:w="70" w:type="dxa"/>
                  <w:right w:w="70" w:type="dxa"/>
                </w:tblCellMar>
                <w:tblLook w:val="0000"/>
              </w:tblPrEx>
              <w:trPr>
                <w:trHeight w:val="870"/>
              </w:trPr>
              <w:tc>
                <w:tcPr>
                  <w:tcW w:w="1073" w:type="dxa"/>
                </w:tcPr>
                <w:p w:rsidR="004832E8" w:rsidRPr="00E8184C" w:rsidP="00CB3E7D">
                  <w:pPr>
                    <w:pStyle w:val="NormalWeb"/>
                    <w:rPr>
                      <w:b/>
                      <w:sz w:val="18"/>
                      <w:szCs w:val="18"/>
                    </w:rPr>
                  </w:pPr>
                  <w:r w:rsidRPr="00E8184C">
                    <w:rPr>
                      <w:b/>
                      <w:sz w:val="18"/>
                      <w:szCs w:val="18"/>
                    </w:rPr>
                    <w:t>Stále merania (</w:t>
                  </w:r>
                  <w:r w:rsidRPr="00E8184C">
                    <w:rPr>
                      <w:b/>
                      <w:sz w:val="18"/>
                      <w:szCs w:val="18"/>
                      <w:vertAlign w:val="superscript"/>
                    </w:rPr>
                    <w:t>1</w:t>
                  </w:r>
                  <w:r w:rsidRPr="00E8184C">
                    <w:rPr>
                      <w:b/>
                      <w:sz w:val="18"/>
                      <w:szCs w:val="18"/>
                    </w:rPr>
                    <w:t>)</w:t>
                  </w:r>
                </w:p>
                <w:p w:rsidR="004832E8" w:rsidRPr="00E8184C" w:rsidP="00CB3E7D">
                  <w:pPr>
                    <w:pStyle w:val="NormalWeb"/>
                    <w:rPr>
                      <w:sz w:val="18"/>
                      <w:szCs w:val="18"/>
                    </w:rPr>
                  </w:pPr>
                  <w:r w:rsidRPr="00E8184C">
                    <w:rPr>
                      <w:sz w:val="18"/>
                      <w:szCs w:val="18"/>
                    </w:rPr>
                    <w:t>Neistota</w:t>
                  </w:r>
                </w:p>
                <w:p w:rsidR="004832E8" w:rsidRPr="00E8184C" w:rsidP="00CB3E7D">
                  <w:pPr>
                    <w:pStyle w:val="NormalWeb"/>
                    <w:rPr>
                      <w:sz w:val="18"/>
                      <w:szCs w:val="18"/>
                    </w:rPr>
                  </w:pPr>
                  <w:r w:rsidRPr="00E8184C" w:rsidR="00BD7EEB">
                    <w:rPr>
                      <w:sz w:val="18"/>
                      <w:szCs w:val="18"/>
                    </w:rPr>
                    <w:t>Minimálny počet údajov</w:t>
                  </w:r>
                </w:p>
                <w:p w:rsidR="00BD7EEB" w:rsidRPr="00E8184C" w:rsidP="00CB3E7D">
                  <w:pPr>
                    <w:pStyle w:val="NormalWeb"/>
                    <w:rPr>
                      <w:sz w:val="18"/>
                      <w:szCs w:val="18"/>
                    </w:rPr>
                  </w:pPr>
                  <w:r w:rsidRPr="00E8184C">
                    <w:rPr>
                      <w:sz w:val="18"/>
                      <w:szCs w:val="18"/>
                    </w:rPr>
                    <w:t>Minimálne časové pokrytie:</w:t>
                  </w:r>
                </w:p>
                <w:p w:rsidR="00BD7EEB" w:rsidP="00BD7EEB">
                  <w:pPr>
                    <w:pStyle w:val="NormalWeb"/>
                    <w:rPr>
                      <w:sz w:val="18"/>
                      <w:szCs w:val="18"/>
                    </w:rPr>
                  </w:pPr>
                  <w:r w:rsidRPr="00E8184C">
                    <w:rPr>
                      <w:sz w:val="18"/>
                      <w:szCs w:val="18"/>
                    </w:rPr>
                    <w:t>-mestské pozadie a dopr</w:t>
                  </w:r>
                  <w:r w:rsidRPr="00E8184C">
                    <w:rPr>
                      <w:sz w:val="18"/>
                      <w:szCs w:val="18"/>
                    </w:rPr>
                    <w:t xml:space="preserve">ava </w:t>
                  </w:r>
                </w:p>
                <w:p w:rsidR="00E8184C" w:rsidRPr="00E8184C" w:rsidP="00BD7EEB">
                  <w:pPr>
                    <w:pStyle w:val="NormalWeb"/>
                    <w:rPr>
                      <w:sz w:val="18"/>
                      <w:szCs w:val="18"/>
                    </w:rPr>
                  </w:pPr>
                </w:p>
                <w:p w:rsidR="00BD7EEB" w:rsidRPr="00E8184C" w:rsidP="00BD7EEB">
                  <w:pPr>
                    <w:pStyle w:val="NormalWeb"/>
                    <w:rPr>
                      <w:sz w:val="18"/>
                      <w:szCs w:val="18"/>
                    </w:rPr>
                  </w:pPr>
                  <w:r w:rsidRPr="00E8184C">
                    <w:rPr>
                      <w:sz w:val="18"/>
                      <w:szCs w:val="18"/>
                    </w:rPr>
                    <w:t>-priemyselné oblasti</w:t>
                  </w:r>
                </w:p>
              </w:tc>
              <w:tc>
                <w:tcPr>
                  <w:tcW w:w="824" w:type="dxa"/>
                </w:tcPr>
                <w:p w:rsidR="004832E8" w:rsidRPr="00E8184C" w:rsidP="00CB3E7D">
                  <w:pPr>
                    <w:pStyle w:val="NormalWeb"/>
                    <w:rPr>
                      <w:sz w:val="18"/>
                      <w:szCs w:val="18"/>
                    </w:rPr>
                  </w:pPr>
                </w:p>
                <w:p w:rsidR="00E8184C" w:rsidRPr="00E8184C" w:rsidP="00CB3E7D">
                  <w:pPr>
                    <w:pStyle w:val="NormalWeb"/>
                    <w:rPr>
                      <w:sz w:val="18"/>
                      <w:szCs w:val="18"/>
                    </w:rPr>
                  </w:pPr>
                  <w:r w:rsidRPr="00E8184C">
                    <w:rPr>
                      <w:sz w:val="18"/>
                      <w:szCs w:val="18"/>
                    </w:rPr>
                    <w:t>15%</w:t>
                  </w:r>
                </w:p>
                <w:p w:rsidR="00E8184C" w:rsidRPr="00E8184C" w:rsidP="00CB3E7D">
                  <w:pPr>
                    <w:pStyle w:val="NormalWeb"/>
                    <w:rPr>
                      <w:sz w:val="18"/>
                      <w:szCs w:val="18"/>
                    </w:rPr>
                  </w:pPr>
                </w:p>
                <w:p w:rsidR="00E8184C" w:rsidRPr="00E8184C" w:rsidP="00CB3E7D">
                  <w:pPr>
                    <w:pStyle w:val="NormalWeb"/>
                    <w:rPr>
                      <w:sz w:val="18"/>
                      <w:szCs w:val="18"/>
                    </w:rPr>
                  </w:pPr>
                  <w:r w:rsidRPr="00E8184C">
                    <w:rPr>
                      <w:sz w:val="18"/>
                      <w:szCs w:val="18"/>
                    </w:rPr>
                    <w:t>90%</w:t>
                  </w:r>
                </w:p>
                <w:p w:rsidR="00E8184C" w:rsidRPr="00E8184C" w:rsidP="00CB3E7D">
                  <w:pPr>
                    <w:pStyle w:val="NormalWeb"/>
                    <w:rPr>
                      <w:sz w:val="18"/>
                      <w:szCs w:val="18"/>
                    </w:rPr>
                  </w:pPr>
                </w:p>
                <w:p w:rsidR="00E8184C" w:rsidRPr="00E8184C" w:rsidP="00CB3E7D">
                  <w:pPr>
                    <w:pStyle w:val="NormalWeb"/>
                    <w:rPr>
                      <w:sz w:val="18"/>
                      <w:szCs w:val="18"/>
                    </w:rPr>
                  </w:pPr>
                </w:p>
                <w:p w:rsidR="00E8184C" w:rsidRPr="00E8184C" w:rsidP="00CB3E7D">
                  <w:pPr>
                    <w:pStyle w:val="NormalWeb"/>
                    <w:rPr>
                      <w:sz w:val="18"/>
                      <w:szCs w:val="18"/>
                    </w:rPr>
                  </w:pPr>
                </w:p>
                <w:p w:rsidR="00E8184C" w:rsidRPr="00E8184C" w:rsidP="00CB3E7D">
                  <w:pPr>
                    <w:pStyle w:val="NormalWeb"/>
                    <w:rPr>
                      <w:sz w:val="18"/>
                      <w:szCs w:val="18"/>
                    </w:rPr>
                  </w:pPr>
                  <w:r w:rsidRPr="00E8184C">
                    <w:rPr>
                      <w:sz w:val="18"/>
                      <w:szCs w:val="18"/>
                    </w:rPr>
                    <w:t xml:space="preserve">   ---</w:t>
                  </w:r>
                </w:p>
                <w:p w:rsidR="00E8184C" w:rsidRPr="00E8184C" w:rsidP="00CB3E7D">
                  <w:pPr>
                    <w:pStyle w:val="NormalWeb"/>
                    <w:rPr>
                      <w:sz w:val="18"/>
                      <w:szCs w:val="18"/>
                    </w:rPr>
                  </w:pPr>
                </w:p>
                <w:p w:rsidR="00E8184C" w:rsidRPr="00E8184C" w:rsidP="00CB3E7D">
                  <w:pPr>
                    <w:pStyle w:val="NormalWeb"/>
                    <w:rPr>
                      <w:sz w:val="18"/>
                      <w:szCs w:val="18"/>
                    </w:rPr>
                  </w:pPr>
                  <w:r w:rsidRPr="00E8184C">
                    <w:rPr>
                      <w:sz w:val="18"/>
                      <w:szCs w:val="18"/>
                    </w:rPr>
                    <w:t xml:space="preserve">   ---</w:t>
                  </w:r>
                </w:p>
              </w:tc>
              <w:tc>
                <w:tcPr>
                  <w:tcW w:w="594" w:type="dxa"/>
                </w:tcPr>
                <w:p w:rsidR="004832E8" w:rsidRPr="00E8184C" w:rsidP="00CB3E7D">
                  <w:pPr>
                    <w:pStyle w:val="NormalWeb"/>
                    <w:rPr>
                      <w:sz w:val="18"/>
                      <w:szCs w:val="18"/>
                    </w:rPr>
                  </w:pPr>
                </w:p>
                <w:p w:rsidR="00E8184C" w:rsidP="00CB3E7D">
                  <w:pPr>
                    <w:pStyle w:val="NormalWeb"/>
                    <w:rPr>
                      <w:sz w:val="18"/>
                      <w:szCs w:val="18"/>
                    </w:rPr>
                  </w:pPr>
                  <w:r w:rsidRPr="00E8184C">
                    <w:rPr>
                      <w:sz w:val="18"/>
                      <w:szCs w:val="18"/>
                    </w:rPr>
                    <w:t>25%</w:t>
                  </w:r>
                </w:p>
                <w:p w:rsidR="00E8184C" w:rsidP="00CB3E7D">
                  <w:pPr>
                    <w:pStyle w:val="NormalWeb"/>
                    <w:rPr>
                      <w:sz w:val="18"/>
                      <w:szCs w:val="18"/>
                    </w:rPr>
                  </w:pPr>
                </w:p>
                <w:p w:rsidR="00E8184C" w:rsidP="00CB3E7D">
                  <w:pPr>
                    <w:pStyle w:val="NormalWeb"/>
                    <w:rPr>
                      <w:sz w:val="18"/>
                      <w:szCs w:val="18"/>
                    </w:rPr>
                  </w:pPr>
                  <w:r>
                    <w:rPr>
                      <w:sz w:val="18"/>
                      <w:szCs w:val="18"/>
                    </w:rPr>
                    <w:t>90%</w:t>
                  </w:r>
                </w:p>
                <w:p w:rsidR="00E8184C" w:rsidP="00CB3E7D">
                  <w:pPr>
                    <w:pStyle w:val="NormalWeb"/>
                    <w:rPr>
                      <w:sz w:val="18"/>
                      <w:szCs w:val="18"/>
                    </w:rPr>
                  </w:pPr>
                </w:p>
                <w:p w:rsidR="00E8184C" w:rsidP="00CB3E7D">
                  <w:pPr>
                    <w:pStyle w:val="NormalWeb"/>
                    <w:rPr>
                      <w:sz w:val="18"/>
                      <w:szCs w:val="18"/>
                    </w:rPr>
                  </w:pPr>
                </w:p>
                <w:p w:rsidR="00E8184C" w:rsidP="00CB3E7D">
                  <w:pPr>
                    <w:pStyle w:val="NormalWeb"/>
                    <w:rPr>
                      <w:sz w:val="18"/>
                      <w:szCs w:val="18"/>
                    </w:rPr>
                  </w:pPr>
                </w:p>
                <w:p w:rsidR="00E8184C" w:rsidP="00CB3E7D">
                  <w:pPr>
                    <w:pStyle w:val="NormalWeb"/>
                    <w:rPr>
                      <w:sz w:val="18"/>
                      <w:szCs w:val="18"/>
                    </w:rPr>
                  </w:pPr>
                  <w:r>
                    <w:rPr>
                      <w:sz w:val="18"/>
                      <w:szCs w:val="18"/>
                    </w:rPr>
                    <w:t>35% (</w:t>
                  </w:r>
                  <w:r w:rsidRPr="00E8184C">
                    <w:rPr>
                      <w:sz w:val="18"/>
                      <w:szCs w:val="18"/>
                      <w:vertAlign w:val="superscript"/>
                    </w:rPr>
                    <w:t>2</w:t>
                  </w:r>
                  <w:r>
                    <w:rPr>
                      <w:sz w:val="18"/>
                      <w:szCs w:val="18"/>
                    </w:rPr>
                    <w:t>)</w:t>
                  </w:r>
                </w:p>
                <w:p w:rsidR="00E8184C" w:rsidP="00CB3E7D">
                  <w:pPr>
                    <w:pStyle w:val="NormalWeb"/>
                    <w:rPr>
                      <w:sz w:val="18"/>
                      <w:szCs w:val="18"/>
                    </w:rPr>
                  </w:pPr>
                </w:p>
                <w:p w:rsidR="00E8184C" w:rsidRPr="00E8184C" w:rsidP="00CB3E7D">
                  <w:pPr>
                    <w:pStyle w:val="NormalWeb"/>
                    <w:rPr>
                      <w:sz w:val="18"/>
                      <w:szCs w:val="18"/>
                    </w:rPr>
                  </w:pPr>
                  <w:r>
                    <w:rPr>
                      <w:sz w:val="18"/>
                      <w:szCs w:val="18"/>
                    </w:rPr>
                    <w:t>90%</w:t>
                  </w:r>
                </w:p>
              </w:tc>
              <w:tc>
                <w:tcPr>
                  <w:tcW w:w="708" w:type="dxa"/>
                </w:tcPr>
                <w:p w:rsidR="004832E8" w:rsidRPr="00E8184C" w:rsidP="00CB3E7D">
                  <w:pPr>
                    <w:pStyle w:val="NormalWeb"/>
                    <w:rPr>
                      <w:sz w:val="18"/>
                      <w:szCs w:val="18"/>
                    </w:rPr>
                  </w:pPr>
                </w:p>
                <w:p w:rsidR="00E8184C" w:rsidP="00CB3E7D">
                  <w:pPr>
                    <w:pStyle w:val="NormalWeb"/>
                    <w:rPr>
                      <w:sz w:val="18"/>
                      <w:szCs w:val="18"/>
                    </w:rPr>
                  </w:pPr>
                  <w:r w:rsidRPr="00E8184C">
                    <w:rPr>
                      <w:sz w:val="18"/>
                      <w:szCs w:val="18"/>
                    </w:rPr>
                    <w:t>25%</w:t>
                  </w:r>
                </w:p>
                <w:p w:rsidR="00E8184C" w:rsidP="00CB3E7D">
                  <w:pPr>
                    <w:pStyle w:val="NormalWeb"/>
                    <w:rPr>
                      <w:sz w:val="18"/>
                      <w:szCs w:val="18"/>
                    </w:rPr>
                  </w:pPr>
                </w:p>
                <w:p w:rsidR="00E8184C" w:rsidP="00CB3E7D">
                  <w:pPr>
                    <w:pStyle w:val="NormalWeb"/>
                    <w:rPr>
                      <w:sz w:val="18"/>
                      <w:szCs w:val="18"/>
                    </w:rPr>
                  </w:pPr>
                  <w:r>
                    <w:rPr>
                      <w:sz w:val="18"/>
                      <w:szCs w:val="18"/>
                    </w:rPr>
                    <w:t>90%</w:t>
                  </w:r>
                </w:p>
                <w:p w:rsidR="00E8184C" w:rsidP="00CB3E7D">
                  <w:pPr>
                    <w:pStyle w:val="NormalWeb"/>
                    <w:rPr>
                      <w:sz w:val="18"/>
                      <w:szCs w:val="18"/>
                    </w:rPr>
                  </w:pPr>
                </w:p>
                <w:p w:rsidR="00E8184C" w:rsidP="00CB3E7D">
                  <w:pPr>
                    <w:pStyle w:val="NormalWeb"/>
                    <w:rPr>
                      <w:sz w:val="18"/>
                      <w:szCs w:val="18"/>
                    </w:rPr>
                  </w:pPr>
                </w:p>
                <w:p w:rsidR="00E8184C" w:rsidP="00CB3E7D">
                  <w:pPr>
                    <w:pStyle w:val="NormalWeb"/>
                    <w:rPr>
                      <w:sz w:val="18"/>
                      <w:szCs w:val="18"/>
                    </w:rPr>
                  </w:pPr>
                </w:p>
                <w:p w:rsidR="00E8184C" w:rsidP="00CB3E7D">
                  <w:pPr>
                    <w:pStyle w:val="NormalWeb"/>
                    <w:rPr>
                      <w:sz w:val="18"/>
                      <w:szCs w:val="18"/>
                    </w:rPr>
                  </w:pPr>
                  <w:r>
                    <w:rPr>
                      <w:sz w:val="18"/>
                      <w:szCs w:val="18"/>
                    </w:rPr>
                    <w:t xml:space="preserve">  ---</w:t>
                  </w:r>
                </w:p>
                <w:p w:rsidR="00E8184C" w:rsidP="00CB3E7D">
                  <w:pPr>
                    <w:pStyle w:val="NormalWeb"/>
                    <w:rPr>
                      <w:sz w:val="18"/>
                      <w:szCs w:val="18"/>
                    </w:rPr>
                  </w:pPr>
                </w:p>
                <w:p w:rsidR="00E8184C" w:rsidRPr="00E8184C" w:rsidP="00CB3E7D">
                  <w:pPr>
                    <w:pStyle w:val="NormalWeb"/>
                    <w:rPr>
                      <w:sz w:val="18"/>
                      <w:szCs w:val="18"/>
                    </w:rPr>
                  </w:pPr>
                  <w:r>
                    <w:rPr>
                      <w:sz w:val="18"/>
                      <w:szCs w:val="18"/>
                    </w:rPr>
                    <w:t xml:space="preserve">  ---</w:t>
                  </w:r>
                </w:p>
              </w:tc>
              <w:tc>
                <w:tcPr>
                  <w:tcW w:w="641" w:type="dxa"/>
                </w:tcPr>
                <w:p w:rsidR="004832E8" w:rsidRPr="00E8184C" w:rsidP="00CB3E7D">
                  <w:pPr>
                    <w:pStyle w:val="NormalWeb"/>
                    <w:rPr>
                      <w:sz w:val="18"/>
                      <w:szCs w:val="18"/>
                    </w:rPr>
                  </w:pPr>
                </w:p>
                <w:p w:rsidR="00E8184C" w:rsidP="00CB3E7D">
                  <w:pPr>
                    <w:pStyle w:val="NormalWeb"/>
                    <w:rPr>
                      <w:sz w:val="18"/>
                      <w:szCs w:val="18"/>
                    </w:rPr>
                  </w:pPr>
                  <w:r w:rsidRPr="00E8184C">
                    <w:rPr>
                      <w:sz w:val="18"/>
                      <w:szCs w:val="18"/>
                    </w:rPr>
                    <w:t>15%</w:t>
                  </w:r>
                </w:p>
                <w:p w:rsidR="00E8184C" w:rsidP="00CB3E7D">
                  <w:pPr>
                    <w:pStyle w:val="NormalWeb"/>
                    <w:rPr>
                      <w:sz w:val="18"/>
                      <w:szCs w:val="18"/>
                    </w:rPr>
                  </w:pPr>
                </w:p>
                <w:p w:rsidR="00E8184C" w:rsidP="00CB3E7D">
                  <w:pPr>
                    <w:pStyle w:val="NormalWeb"/>
                    <w:rPr>
                      <w:sz w:val="18"/>
                      <w:szCs w:val="18"/>
                    </w:rPr>
                  </w:pPr>
                  <w:r>
                    <w:rPr>
                      <w:sz w:val="18"/>
                      <w:szCs w:val="18"/>
                    </w:rPr>
                    <w:t>90% počas leta 75% počas zimy</w:t>
                  </w:r>
                </w:p>
                <w:p w:rsidR="00E8184C" w:rsidP="00CB3E7D">
                  <w:pPr>
                    <w:pStyle w:val="NormalWeb"/>
                    <w:rPr>
                      <w:sz w:val="18"/>
                      <w:szCs w:val="18"/>
                    </w:rPr>
                  </w:pPr>
                </w:p>
                <w:p w:rsidR="00E8184C" w:rsidP="00CB3E7D">
                  <w:pPr>
                    <w:pStyle w:val="NormalWeb"/>
                    <w:rPr>
                      <w:sz w:val="18"/>
                      <w:szCs w:val="18"/>
                    </w:rPr>
                  </w:pPr>
                  <w:r>
                    <w:rPr>
                      <w:sz w:val="18"/>
                      <w:szCs w:val="18"/>
                    </w:rPr>
                    <w:t xml:space="preserve">  ---</w:t>
                  </w:r>
                </w:p>
                <w:p w:rsidR="00E8184C" w:rsidP="00CB3E7D">
                  <w:pPr>
                    <w:pStyle w:val="NormalWeb"/>
                    <w:rPr>
                      <w:sz w:val="18"/>
                      <w:szCs w:val="18"/>
                    </w:rPr>
                  </w:pPr>
                </w:p>
                <w:p w:rsidR="00E8184C" w:rsidRPr="00E8184C" w:rsidP="00CB3E7D">
                  <w:pPr>
                    <w:pStyle w:val="NormalWeb"/>
                    <w:rPr>
                      <w:sz w:val="18"/>
                      <w:szCs w:val="18"/>
                    </w:rPr>
                  </w:pPr>
                  <w:r>
                    <w:rPr>
                      <w:sz w:val="18"/>
                      <w:szCs w:val="18"/>
                    </w:rPr>
                    <w:t xml:space="preserve">  ---</w:t>
                  </w:r>
                </w:p>
              </w:tc>
            </w:tr>
            <w:tr w:rsidTr="00A8620D">
              <w:tblPrEx>
                <w:tblW w:w="0" w:type="auto"/>
                <w:tblLayout w:type="fixed"/>
                <w:tblCellMar>
                  <w:left w:w="70" w:type="dxa"/>
                  <w:right w:w="70" w:type="dxa"/>
                </w:tblCellMar>
                <w:tblLook w:val="0000"/>
              </w:tblPrEx>
              <w:trPr>
                <w:trHeight w:val="855"/>
              </w:trPr>
              <w:tc>
                <w:tcPr>
                  <w:tcW w:w="1073" w:type="dxa"/>
                </w:tcPr>
                <w:p w:rsidR="00E8184C" w:rsidP="00CB3E7D">
                  <w:pPr>
                    <w:pStyle w:val="NormalWeb"/>
                    <w:rPr>
                      <w:b/>
                      <w:sz w:val="20"/>
                      <w:szCs w:val="20"/>
                    </w:rPr>
                  </w:pPr>
                  <w:r w:rsidRPr="00E8184C">
                    <w:rPr>
                      <w:b/>
                      <w:sz w:val="20"/>
                      <w:szCs w:val="20"/>
                    </w:rPr>
                    <w:t>Indikatívne merania</w:t>
                  </w:r>
                </w:p>
                <w:p w:rsidR="00E8184C" w:rsidRPr="00E8184C" w:rsidP="00CB3E7D">
                  <w:pPr>
                    <w:pStyle w:val="NormalWeb"/>
                    <w:rPr>
                      <w:sz w:val="20"/>
                      <w:szCs w:val="20"/>
                    </w:rPr>
                  </w:pPr>
                  <w:r w:rsidRPr="00E8184C">
                    <w:rPr>
                      <w:sz w:val="20"/>
                      <w:szCs w:val="20"/>
                    </w:rPr>
                    <w:t>Neistota</w:t>
                  </w:r>
                </w:p>
                <w:p w:rsidR="00E8184C" w:rsidP="00CB3E7D">
                  <w:pPr>
                    <w:pStyle w:val="NormalWeb"/>
                    <w:rPr>
                      <w:b/>
                      <w:sz w:val="20"/>
                      <w:szCs w:val="20"/>
                    </w:rPr>
                  </w:pPr>
                </w:p>
                <w:p w:rsidR="00E8184C" w:rsidP="00CB3E7D">
                  <w:pPr>
                    <w:pStyle w:val="NormalWeb"/>
                    <w:rPr>
                      <w:sz w:val="20"/>
                      <w:szCs w:val="20"/>
                    </w:rPr>
                  </w:pPr>
                  <w:r>
                    <w:rPr>
                      <w:sz w:val="20"/>
                      <w:szCs w:val="20"/>
                    </w:rPr>
                    <w:t>Minimálny počet údajov</w:t>
                  </w:r>
                </w:p>
                <w:p w:rsidR="00E8184C" w:rsidRPr="00E8184C" w:rsidP="00CB3E7D">
                  <w:pPr>
                    <w:pStyle w:val="NormalWeb"/>
                    <w:rPr>
                      <w:sz w:val="20"/>
                      <w:szCs w:val="20"/>
                    </w:rPr>
                  </w:pPr>
                  <w:r>
                    <w:rPr>
                      <w:sz w:val="20"/>
                      <w:szCs w:val="20"/>
                    </w:rPr>
                    <w:t>Minimálne časové pokrytie</w:t>
                  </w:r>
                </w:p>
              </w:tc>
              <w:tc>
                <w:tcPr>
                  <w:tcW w:w="824" w:type="dxa"/>
                </w:tcPr>
                <w:p w:rsidR="00E8184C" w:rsidP="00CB3E7D">
                  <w:pPr>
                    <w:pStyle w:val="NormalWeb"/>
                    <w:rPr>
                      <w:sz w:val="20"/>
                      <w:szCs w:val="20"/>
                    </w:rPr>
                  </w:pPr>
                </w:p>
                <w:p w:rsidR="00E8184C" w:rsidP="00CB3E7D">
                  <w:pPr>
                    <w:pStyle w:val="NormalWeb"/>
                    <w:rPr>
                      <w:sz w:val="20"/>
                      <w:szCs w:val="20"/>
                    </w:rPr>
                  </w:pPr>
                </w:p>
                <w:p w:rsidR="00E8184C" w:rsidP="00CB3E7D">
                  <w:pPr>
                    <w:pStyle w:val="NormalWeb"/>
                    <w:rPr>
                      <w:sz w:val="20"/>
                      <w:szCs w:val="20"/>
                    </w:rPr>
                  </w:pPr>
                  <w:r>
                    <w:rPr>
                      <w:sz w:val="20"/>
                      <w:szCs w:val="20"/>
                    </w:rPr>
                    <w:t xml:space="preserve"> 25%</w:t>
                  </w:r>
                </w:p>
                <w:p w:rsidR="00E8184C" w:rsidP="00CB3E7D">
                  <w:pPr>
                    <w:pStyle w:val="NormalWeb"/>
                    <w:rPr>
                      <w:sz w:val="20"/>
                      <w:szCs w:val="20"/>
                    </w:rPr>
                  </w:pPr>
                </w:p>
                <w:p w:rsidR="00E8184C" w:rsidP="00CB3E7D">
                  <w:pPr>
                    <w:pStyle w:val="NormalWeb"/>
                    <w:rPr>
                      <w:sz w:val="20"/>
                      <w:szCs w:val="20"/>
                    </w:rPr>
                  </w:pPr>
                  <w:r>
                    <w:rPr>
                      <w:sz w:val="20"/>
                      <w:szCs w:val="20"/>
                    </w:rPr>
                    <w:t>90%</w:t>
                  </w:r>
                </w:p>
                <w:p w:rsidR="00E8184C" w:rsidP="00CB3E7D">
                  <w:pPr>
                    <w:pStyle w:val="NormalWeb"/>
                    <w:rPr>
                      <w:sz w:val="20"/>
                      <w:szCs w:val="20"/>
                    </w:rPr>
                  </w:pPr>
                </w:p>
                <w:p w:rsidR="00E8184C" w:rsidP="00CB3E7D">
                  <w:pPr>
                    <w:pStyle w:val="NormalWeb"/>
                    <w:rPr>
                      <w:sz w:val="20"/>
                      <w:szCs w:val="20"/>
                    </w:rPr>
                  </w:pPr>
                  <w:r>
                    <w:rPr>
                      <w:sz w:val="20"/>
                      <w:szCs w:val="20"/>
                    </w:rPr>
                    <w:t>14%(</w:t>
                  </w:r>
                  <w:r w:rsidRPr="00E8184C">
                    <w:rPr>
                      <w:sz w:val="20"/>
                      <w:szCs w:val="20"/>
                      <w:vertAlign w:val="superscript"/>
                    </w:rPr>
                    <w:t>4</w:t>
                  </w:r>
                  <w:r>
                    <w:rPr>
                      <w:sz w:val="20"/>
                      <w:szCs w:val="20"/>
                    </w:rPr>
                    <w:t>)</w:t>
                  </w:r>
                </w:p>
              </w:tc>
              <w:tc>
                <w:tcPr>
                  <w:tcW w:w="594" w:type="dxa"/>
                </w:tcPr>
                <w:p w:rsidR="004832E8" w:rsidP="00CB3E7D">
                  <w:pPr>
                    <w:pStyle w:val="NormalWeb"/>
                    <w:rPr>
                      <w:sz w:val="20"/>
                      <w:szCs w:val="20"/>
                    </w:rPr>
                  </w:pPr>
                </w:p>
                <w:p w:rsidR="00E8184C" w:rsidP="00CB3E7D">
                  <w:pPr>
                    <w:pStyle w:val="NormalWeb"/>
                    <w:rPr>
                      <w:sz w:val="20"/>
                      <w:szCs w:val="20"/>
                    </w:rPr>
                  </w:pPr>
                </w:p>
                <w:p w:rsidR="00E8184C" w:rsidP="00CB3E7D">
                  <w:pPr>
                    <w:pStyle w:val="NormalWeb"/>
                    <w:rPr>
                      <w:sz w:val="20"/>
                      <w:szCs w:val="20"/>
                    </w:rPr>
                  </w:pPr>
                  <w:r>
                    <w:rPr>
                      <w:sz w:val="20"/>
                      <w:szCs w:val="20"/>
                    </w:rPr>
                    <w:t>30%</w:t>
                  </w:r>
                </w:p>
                <w:p w:rsidR="00E8184C" w:rsidP="00CB3E7D">
                  <w:pPr>
                    <w:pStyle w:val="NormalWeb"/>
                    <w:rPr>
                      <w:sz w:val="20"/>
                      <w:szCs w:val="20"/>
                    </w:rPr>
                  </w:pPr>
                </w:p>
                <w:p w:rsidR="00E8184C" w:rsidP="00CB3E7D">
                  <w:pPr>
                    <w:pStyle w:val="NormalWeb"/>
                    <w:rPr>
                      <w:sz w:val="20"/>
                      <w:szCs w:val="20"/>
                    </w:rPr>
                  </w:pPr>
                  <w:r>
                    <w:rPr>
                      <w:sz w:val="20"/>
                      <w:szCs w:val="20"/>
                    </w:rPr>
                    <w:t>90%</w:t>
                  </w:r>
                </w:p>
                <w:p w:rsidR="00E8184C" w:rsidP="00CB3E7D">
                  <w:pPr>
                    <w:pStyle w:val="NormalWeb"/>
                    <w:rPr>
                      <w:sz w:val="20"/>
                      <w:szCs w:val="20"/>
                    </w:rPr>
                  </w:pPr>
                </w:p>
                <w:p w:rsidR="00E8184C" w:rsidP="00CB3E7D">
                  <w:pPr>
                    <w:pStyle w:val="NormalWeb"/>
                    <w:rPr>
                      <w:sz w:val="20"/>
                      <w:szCs w:val="20"/>
                    </w:rPr>
                  </w:pPr>
                  <w:r>
                    <w:rPr>
                      <w:sz w:val="20"/>
                      <w:szCs w:val="20"/>
                    </w:rPr>
                    <w:t>14%(</w:t>
                  </w:r>
                  <w:r w:rsidRPr="002D6B96">
                    <w:rPr>
                      <w:sz w:val="20"/>
                      <w:szCs w:val="20"/>
                      <w:vertAlign w:val="superscript"/>
                    </w:rPr>
                    <w:t>3</w:t>
                  </w:r>
                  <w:r>
                    <w:rPr>
                      <w:sz w:val="20"/>
                      <w:szCs w:val="20"/>
                    </w:rPr>
                    <w:t>)</w:t>
                  </w:r>
                </w:p>
              </w:tc>
              <w:tc>
                <w:tcPr>
                  <w:tcW w:w="708" w:type="dxa"/>
                </w:tcPr>
                <w:p w:rsidR="004832E8" w:rsidP="00CB3E7D">
                  <w:pPr>
                    <w:pStyle w:val="NormalWeb"/>
                    <w:rPr>
                      <w:sz w:val="20"/>
                      <w:szCs w:val="20"/>
                    </w:rPr>
                  </w:pPr>
                </w:p>
                <w:p w:rsidR="00E8184C" w:rsidP="00CB3E7D">
                  <w:pPr>
                    <w:pStyle w:val="NormalWeb"/>
                    <w:rPr>
                      <w:sz w:val="20"/>
                      <w:szCs w:val="20"/>
                    </w:rPr>
                  </w:pPr>
                </w:p>
                <w:p w:rsidR="00E8184C" w:rsidP="00CB3E7D">
                  <w:pPr>
                    <w:pStyle w:val="NormalWeb"/>
                    <w:rPr>
                      <w:sz w:val="20"/>
                      <w:szCs w:val="20"/>
                    </w:rPr>
                  </w:pPr>
                  <w:r>
                    <w:rPr>
                      <w:sz w:val="20"/>
                      <w:szCs w:val="20"/>
                    </w:rPr>
                    <w:t>50%</w:t>
                  </w:r>
                </w:p>
                <w:p w:rsidR="00E8184C" w:rsidP="00CB3E7D">
                  <w:pPr>
                    <w:pStyle w:val="NormalWeb"/>
                    <w:rPr>
                      <w:sz w:val="20"/>
                      <w:szCs w:val="20"/>
                    </w:rPr>
                  </w:pPr>
                </w:p>
                <w:p w:rsidR="00E8184C" w:rsidP="00CB3E7D">
                  <w:pPr>
                    <w:pStyle w:val="NormalWeb"/>
                    <w:rPr>
                      <w:sz w:val="20"/>
                      <w:szCs w:val="20"/>
                    </w:rPr>
                  </w:pPr>
                  <w:r>
                    <w:rPr>
                      <w:sz w:val="20"/>
                      <w:szCs w:val="20"/>
                    </w:rPr>
                    <w:t>90%</w:t>
                  </w:r>
                </w:p>
                <w:p w:rsidR="00E8184C" w:rsidP="00CB3E7D">
                  <w:pPr>
                    <w:pStyle w:val="NormalWeb"/>
                    <w:rPr>
                      <w:sz w:val="20"/>
                      <w:szCs w:val="20"/>
                    </w:rPr>
                  </w:pPr>
                </w:p>
                <w:p w:rsidR="00E8184C" w:rsidP="00CB3E7D">
                  <w:pPr>
                    <w:pStyle w:val="NormalWeb"/>
                    <w:rPr>
                      <w:sz w:val="20"/>
                      <w:szCs w:val="20"/>
                    </w:rPr>
                  </w:pPr>
                  <w:r>
                    <w:rPr>
                      <w:sz w:val="20"/>
                      <w:szCs w:val="20"/>
                    </w:rPr>
                    <w:t>14</w:t>
                  </w:r>
                  <w:r w:rsidR="002D6B96">
                    <w:rPr>
                      <w:sz w:val="20"/>
                      <w:szCs w:val="20"/>
                    </w:rPr>
                    <w:t>%</w:t>
                  </w:r>
                  <w:r>
                    <w:rPr>
                      <w:sz w:val="20"/>
                      <w:szCs w:val="20"/>
                    </w:rPr>
                    <w:t xml:space="preserve"> (</w:t>
                  </w:r>
                  <w:r w:rsidRPr="00E8184C">
                    <w:rPr>
                      <w:sz w:val="20"/>
                      <w:szCs w:val="20"/>
                      <w:vertAlign w:val="superscript"/>
                    </w:rPr>
                    <w:t>4</w:t>
                  </w:r>
                  <w:r>
                    <w:rPr>
                      <w:sz w:val="20"/>
                      <w:szCs w:val="20"/>
                    </w:rPr>
                    <w:t>)</w:t>
                  </w:r>
                </w:p>
              </w:tc>
              <w:tc>
                <w:tcPr>
                  <w:tcW w:w="641" w:type="dxa"/>
                </w:tcPr>
                <w:p w:rsidR="004832E8" w:rsidP="00CB3E7D">
                  <w:pPr>
                    <w:pStyle w:val="NormalWeb"/>
                    <w:rPr>
                      <w:sz w:val="20"/>
                      <w:szCs w:val="20"/>
                    </w:rPr>
                  </w:pPr>
                </w:p>
                <w:p w:rsidR="00E8184C" w:rsidP="00CB3E7D">
                  <w:pPr>
                    <w:pStyle w:val="NormalWeb"/>
                    <w:rPr>
                      <w:sz w:val="20"/>
                      <w:szCs w:val="20"/>
                    </w:rPr>
                  </w:pPr>
                </w:p>
                <w:p w:rsidR="00E8184C" w:rsidP="00CB3E7D">
                  <w:pPr>
                    <w:pStyle w:val="NormalWeb"/>
                    <w:rPr>
                      <w:sz w:val="20"/>
                      <w:szCs w:val="20"/>
                    </w:rPr>
                  </w:pPr>
                  <w:r>
                    <w:rPr>
                      <w:sz w:val="20"/>
                      <w:szCs w:val="20"/>
                    </w:rPr>
                    <w:t>30%</w:t>
                  </w:r>
                </w:p>
                <w:p w:rsidR="00E8184C" w:rsidP="00CB3E7D">
                  <w:pPr>
                    <w:pStyle w:val="NormalWeb"/>
                    <w:rPr>
                      <w:sz w:val="20"/>
                      <w:szCs w:val="20"/>
                    </w:rPr>
                  </w:pPr>
                </w:p>
                <w:p w:rsidR="00E8184C" w:rsidP="00CB3E7D">
                  <w:pPr>
                    <w:pStyle w:val="NormalWeb"/>
                    <w:rPr>
                      <w:sz w:val="20"/>
                      <w:szCs w:val="20"/>
                    </w:rPr>
                  </w:pPr>
                  <w:r>
                    <w:rPr>
                      <w:sz w:val="20"/>
                      <w:szCs w:val="20"/>
                    </w:rPr>
                    <w:t>90%</w:t>
                  </w:r>
                </w:p>
                <w:p w:rsidR="002D6B96" w:rsidP="00CB3E7D">
                  <w:pPr>
                    <w:pStyle w:val="NormalWeb"/>
                    <w:rPr>
                      <w:sz w:val="20"/>
                      <w:szCs w:val="20"/>
                    </w:rPr>
                  </w:pPr>
                </w:p>
                <w:p w:rsidR="002D6B96" w:rsidP="00CB3E7D">
                  <w:pPr>
                    <w:pStyle w:val="NormalWeb"/>
                    <w:rPr>
                      <w:sz w:val="20"/>
                      <w:szCs w:val="20"/>
                    </w:rPr>
                  </w:pPr>
                  <w:r w:rsidRPr="004021A9">
                    <w:rPr>
                      <w:sz w:val="20"/>
                      <w:szCs w:val="20"/>
                    </w:rPr>
                    <w:t>&gt; 10 % počas leta</w:t>
                  </w:r>
                </w:p>
              </w:tc>
            </w:tr>
            <w:tr w:rsidTr="00A8620D">
              <w:tblPrEx>
                <w:tblW w:w="0" w:type="auto"/>
                <w:tblLayout w:type="fixed"/>
                <w:tblCellMar>
                  <w:left w:w="70" w:type="dxa"/>
                  <w:right w:w="70" w:type="dxa"/>
                </w:tblCellMar>
                <w:tblLook w:val="0000"/>
              </w:tblPrEx>
              <w:trPr>
                <w:trHeight w:val="960"/>
              </w:trPr>
              <w:tc>
                <w:tcPr>
                  <w:tcW w:w="1073" w:type="dxa"/>
                </w:tcPr>
                <w:p w:rsidR="004832E8" w:rsidP="00CB3E7D">
                  <w:pPr>
                    <w:pStyle w:val="NormalWeb"/>
                    <w:rPr>
                      <w:sz w:val="20"/>
                      <w:szCs w:val="20"/>
                    </w:rPr>
                  </w:pPr>
                  <w:r w:rsidRPr="00A8620D" w:rsidR="00A8620D">
                    <w:rPr>
                      <w:b/>
                      <w:sz w:val="20"/>
                      <w:szCs w:val="20"/>
                    </w:rPr>
                    <w:t>Modelovanie neistoty</w:t>
                  </w:r>
                  <w:r w:rsidR="00A8620D">
                    <w:rPr>
                      <w:sz w:val="20"/>
                      <w:szCs w:val="20"/>
                    </w:rPr>
                    <w:t>:</w:t>
                  </w:r>
                </w:p>
                <w:p w:rsidR="00A8620D" w:rsidP="00CB3E7D">
                  <w:pPr>
                    <w:pStyle w:val="NormalWeb"/>
                    <w:rPr>
                      <w:sz w:val="20"/>
                      <w:szCs w:val="20"/>
                    </w:rPr>
                  </w:pPr>
                  <w:r>
                    <w:rPr>
                      <w:sz w:val="20"/>
                      <w:szCs w:val="20"/>
                    </w:rPr>
                    <w:t>Hodinové priemery</w:t>
                  </w:r>
                </w:p>
                <w:p w:rsidR="00A8620D" w:rsidP="00CB3E7D">
                  <w:pPr>
                    <w:pStyle w:val="NormalWeb"/>
                    <w:rPr>
                      <w:sz w:val="20"/>
                      <w:szCs w:val="20"/>
                    </w:rPr>
                  </w:pPr>
                  <w:r>
                    <w:rPr>
                      <w:sz w:val="20"/>
                      <w:szCs w:val="20"/>
                    </w:rPr>
                    <w:t>Osemhodinové priemery</w:t>
                  </w:r>
                </w:p>
                <w:p w:rsidR="00A8620D" w:rsidP="00CB3E7D">
                  <w:pPr>
                    <w:pStyle w:val="NormalWeb"/>
                    <w:rPr>
                      <w:sz w:val="20"/>
                      <w:szCs w:val="20"/>
                    </w:rPr>
                  </w:pPr>
                  <w:r>
                    <w:rPr>
                      <w:sz w:val="20"/>
                      <w:szCs w:val="20"/>
                    </w:rPr>
                    <w:t>Denné priemery</w:t>
                  </w:r>
                </w:p>
                <w:p w:rsidR="00A8620D" w:rsidP="00CB3E7D">
                  <w:pPr>
                    <w:pStyle w:val="NormalWeb"/>
                    <w:rPr>
                      <w:sz w:val="20"/>
                      <w:szCs w:val="20"/>
                    </w:rPr>
                  </w:pPr>
                  <w:r>
                    <w:rPr>
                      <w:sz w:val="20"/>
                      <w:szCs w:val="20"/>
                    </w:rPr>
                    <w:t>Ročné priemery</w:t>
                  </w:r>
                </w:p>
              </w:tc>
              <w:tc>
                <w:tcPr>
                  <w:tcW w:w="824" w:type="dxa"/>
                </w:tcPr>
                <w:p w:rsidR="004832E8" w:rsidP="00CB3E7D">
                  <w:pPr>
                    <w:pStyle w:val="NormalWeb"/>
                    <w:rPr>
                      <w:sz w:val="20"/>
                      <w:szCs w:val="20"/>
                    </w:rPr>
                  </w:pPr>
                </w:p>
                <w:p w:rsidR="00A8620D" w:rsidP="00CB3E7D">
                  <w:pPr>
                    <w:pStyle w:val="NormalWeb"/>
                    <w:rPr>
                      <w:sz w:val="20"/>
                      <w:szCs w:val="20"/>
                    </w:rPr>
                  </w:pPr>
                </w:p>
                <w:p w:rsidR="00A8620D" w:rsidP="00CB3E7D">
                  <w:pPr>
                    <w:pStyle w:val="NormalWeb"/>
                    <w:rPr>
                      <w:sz w:val="20"/>
                      <w:szCs w:val="20"/>
                    </w:rPr>
                  </w:pPr>
                  <w:r>
                    <w:rPr>
                      <w:sz w:val="20"/>
                      <w:szCs w:val="20"/>
                    </w:rPr>
                    <w:t>50%</w:t>
                  </w:r>
                </w:p>
                <w:p w:rsidR="00A8620D" w:rsidP="00CB3E7D">
                  <w:pPr>
                    <w:pStyle w:val="NormalWeb"/>
                    <w:rPr>
                      <w:sz w:val="20"/>
                      <w:szCs w:val="20"/>
                    </w:rPr>
                  </w:pPr>
                </w:p>
                <w:p w:rsidR="00A8620D" w:rsidP="00CB3E7D">
                  <w:pPr>
                    <w:pStyle w:val="NormalWeb"/>
                    <w:rPr>
                      <w:sz w:val="20"/>
                      <w:szCs w:val="20"/>
                    </w:rPr>
                  </w:pPr>
                  <w:r>
                    <w:rPr>
                      <w:sz w:val="20"/>
                      <w:szCs w:val="20"/>
                    </w:rPr>
                    <w:t>50%</w:t>
                  </w:r>
                </w:p>
                <w:p w:rsidR="00A8620D" w:rsidP="00CB3E7D">
                  <w:pPr>
                    <w:pStyle w:val="NormalWeb"/>
                    <w:rPr>
                      <w:sz w:val="20"/>
                      <w:szCs w:val="20"/>
                    </w:rPr>
                  </w:pPr>
                </w:p>
                <w:p w:rsidR="00A8620D" w:rsidP="00CB3E7D">
                  <w:pPr>
                    <w:pStyle w:val="NormalWeb"/>
                    <w:rPr>
                      <w:sz w:val="20"/>
                      <w:szCs w:val="20"/>
                    </w:rPr>
                  </w:pPr>
                  <w:r>
                    <w:rPr>
                      <w:sz w:val="20"/>
                      <w:szCs w:val="20"/>
                    </w:rPr>
                    <w:t>50%</w:t>
                  </w:r>
                </w:p>
                <w:p w:rsidR="00A8620D" w:rsidP="00CB3E7D">
                  <w:pPr>
                    <w:pStyle w:val="NormalWeb"/>
                    <w:rPr>
                      <w:sz w:val="20"/>
                      <w:szCs w:val="20"/>
                    </w:rPr>
                  </w:pPr>
                </w:p>
                <w:p w:rsidR="00A8620D" w:rsidP="00CB3E7D">
                  <w:pPr>
                    <w:pStyle w:val="NormalWeb"/>
                    <w:rPr>
                      <w:sz w:val="20"/>
                      <w:szCs w:val="20"/>
                    </w:rPr>
                  </w:pPr>
                  <w:r>
                    <w:rPr>
                      <w:sz w:val="20"/>
                      <w:szCs w:val="20"/>
                    </w:rPr>
                    <w:t>30%</w:t>
                  </w:r>
                </w:p>
              </w:tc>
              <w:tc>
                <w:tcPr>
                  <w:tcW w:w="594" w:type="dxa"/>
                </w:tcPr>
                <w:p w:rsidR="004832E8" w:rsidP="00CB3E7D">
                  <w:pPr>
                    <w:pStyle w:val="NormalWeb"/>
                    <w:rPr>
                      <w:sz w:val="20"/>
                      <w:szCs w:val="20"/>
                    </w:rPr>
                  </w:pPr>
                </w:p>
                <w:p w:rsidR="00A8620D" w:rsidP="00CB3E7D">
                  <w:pPr>
                    <w:pStyle w:val="NormalWeb"/>
                    <w:rPr>
                      <w:sz w:val="20"/>
                      <w:szCs w:val="20"/>
                    </w:rPr>
                  </w:pPr>
                </w:p>
                <w:p w:rsidR="00A8620D" w:rsidP="00CB3E7D">
                  <w:pPr>
                    <w:pStyle w:val="NormalWeb"/>
                    <w:rPr>
                      <w:sz w:val="20"/>
                      <w:szCs w:val="20"/>
                    </w:rPr>
                  </w:pPr>
                  <w:r>
                    <w:rPr>
                      <w:sz w:val="20"/>
                      <w:szCs w:val="20"/>
                    </w:rPr>
                    <w:t xml:space="preserve"> ---</w:t>
                  </w:r>
                </w:p>
                <w:p w:rsidR="00A8620D" w:rsidP="00CB3E7D">
                  <w:pPr>
                    <w:pStyle w:val="NormalWeb"/>
                    <w:rPr>
                      <w:sz w:val="20"/>
                      <w:szCs w:val="20"/>
                    </w:rPr>
                  </w:pPr>
                </w:p>
                <w:p w:rsidR="00A8620D" w:rsidP="00CB3E7D">
                  <w:pPr>
                    <w:pStyle w:val="NormalWeb"/>
                    <w:rPr>
                      <w:sz w:val="20"/>
                      <w:szCs w:val="20"/>
                    </w:rPr>
                  </w:pPr>
                  <w:r>
                    <w:rPr>
                      <w:sz w:val="20"/>
                      <w:szCs w:val="20"/>
                    </w:rPr>
                    <w:t xml:space="preserve"> ---</w:t>
                  </w:r>
                </w:p>
                <w:p w:rsidR="00A8620D" w:rsidP="00CB3E7D">
                  <w:pPr>
                    <w:pStyle w:val="NormalWeb"/>
                    <w:rPr>
                      <w:sz w:val="20"/>
                      <w:szCs w:val="20"/>
                    </w:rPr>
                  </w:pPr>
                </w:p>
                <w:p w:rsidR="00A8620D" w:rsidP="00CB3E7D">
                  <w:pPr>
                    <w:pStyle w:val="NormalWeb"/>
                    <w:rPr>
                      <w:sz w:val="20"/>
                      <w:szCs w:val="20"/>
                    </w:rPr>
                  </w:pPr>
                  <w:r>
                    <w:rPr>
                      <w:sz w:val="20"/>
                      <w:szCs w:val="20"/>
                    </w:rPr>
                    <w:t xml:space="preserve"> ---</w:t>
                  </w:r>
                </w:p>
                <w:p w:rsidR="00A8620D" w:rsidP="00CB3E7D">
                  <w:pPr>
                    <w:pStyle w:val="NormalWeb"/>
                    <w:rPr>
                      <w:sz w:val="20"/>
                      <w:szCs w:val="20"/>
                    </w:rPr>
                  </w:pPr>
                </w:p>
                <w:p w:rsidR="00A8620D" w:rsidP="00CB3E7D">
                  <w:pPr>
                    <w:pStyle w:val="NormalWeb"/>
                    <w:rPr>
                      <w:sz w:val="20"/>
                      <w:szCs w:val="20"/>
                    </w:rPr>
                  </w:pPr>
                  <w:r>
                    <w:rPr>
                      <w:sz w:val="20"/>
                      <w:szCs w:val="20"/>
                    </w:rPr>
                    <w:t>50%</w:t>
                  </w:r>
                </w:p>
              </w:tc>
              <w:tc>
                <w:tcPr>
                  <w:tcW w:w="708" w:type="dxa"/>
                </w:tcPr>
                <w:p w:rsidR="004832E8" w:rsidP="00CB3E7D">
                  <w:pPr>
                    <w:pStyle w:val="NormalWeb"/>
                    <w:rPr>
                      <w:sz w:val="20"/>
                      <w:szCs w:val="20"/>
                    </w:rPr>
                  </w:pPr>
                </w:p>
                <w:p w:rsidR="00A8620D" w:rsidP="00CB3E7D">
                  <w:pPr>
                    <w:pStyle w:val="NormalWeb"/>
                    <w:rPr>
                      <w:sz w:val="20"/>
                      <w:szCs w:val="20"/>
                    </w:rPr>
                  </w:pPr>
                </w:p>
                <w:p w:rsidR="00A8620D" w:rsidP="00CB3E7D">
                  <w:pPr>
                    <w:pStyle w:val="NormalWeb"/>
                    <w:rPr>
                      <w:sz w:val="20"/>
                      <w:szCs w:val="20"/>
                    </w:rPr>
                  </w:pPr>
                  <w:r>
                    <w:rPr>
                      <w:sz w:val="20"/>
                      <w:szCs w:val="20"/>
                    </w:rPr>
                    <w:t xml:space="preserve"> ---</w:t>
                  </w:r>
                </w:p>
                <w:p w:rsidR="00A8620D" w:rsidP="00CB3E7D">
                  <w:pPr>
                    <w:pStyle w:val="NormalWeb"/>
                    <w:rPr>
                      <w:sz w:val="20"/>
                      <w:szCs w:val="20"/>
                    </w:rPr>
                  </w:pPr>
                </w:p>
                <w:p w:rsidR="00A8620D" w:rsidP="00CB3E7D">
                  <w:pPr>
                    <w:pStyle w:val="NormalWeb"/>
                    <w:rPr>
                      <w:sz w:val="20"/>
                      <w:szCs w:val="20"/>
                    </w:rPr>
                  </w:pPr>
                  <w:r>
                    <w:rPr>
                      <w:sz w:val="20"/>
                      <w:szCs w:val="20"/>
                    </w:rPr>
                    <w:t xml:space="preserve"> ---</w:t>
                  </w:r>
                </w:p>
                <w:p w:rsidR="00A8620D" w:rsidP="00CB3E7D">
                  <w:pPr>
                    <w:pStyle w:val="NormalWeb"/>
                    <w:rPr>
                      <w:sz w:val="20"/>
                      <w:szCs w:val="20"/>
                    </w:rPr>
                  </w:pPr>
                </w:p>
                <w:p w:rsidR="00A8620D" w:rsidP="00CB3E7D">
                  <w:pPr>
                    <w:pStyle w:val="NormalWeb"/>
                    <w:rPr>
                      <w:sz w:val="20"/>
                      <w:szCs w:val="20"/>
                    </w:rPr>
                  </w:pPr>
                  <w:r>
                    <w:rPr>
                      <w:sz w:val="20"/>
                      <w:szCs w:val="20"/>
                    </w:rPr>
                    <w:t>ešte neurčené</w:t>
                  </w:r>
                </w:p>
                <w:p w:rsidR="00A8620D" w:rsidP="00CB3E7D">
                  <w:pPr>
                    <w:pStyle w:val="NormalWeb"/>
                    <w:rPr>
                      <w:sz w:val="20"/>
                      <w:szCs w:val="20"/>
                    </w:rPr>
                  </w:pPr>
                  <w:r>
                    <w:rPr>
                      <w:sz w:val="20"/>
                      <w:szCs w:val="20"/>
                    </w:rPr>
                    <w:t>50%</w:t>
                  </w:r>
                </w:p>
              </w:tc>
              <w:tc>
                <w:tcPr>
                  <w:tcW w:w="641" w:type="dxa"/>
                </w:tcPr>
                <w:p w:rsidR="004832E8" w:rsidP="00CB3E7D">
                  <w:pPr>
                    <w:pStyle w:val="NormalWeb"/>
                    <w:rPr>
                      <w:sz w:val="20"/>
                      <w:szCs w:val="20"/>
                    </w:rPr>
                  </w:pPr>
                </w:p>
                <w:p w:rsidR="00A8620D" w:rsidP="00CB3E7D">
                  <w:pPr>
                    <w:pStyle w:val="NormalWeb"/>
                    <w:rPr>
                      <w:sz w:val="20"/>
                      <w:szCs w:val="20"/>
                    </w:rPr>
                  </w:pPr>
                </w:p>
                <w:p w:rsidR="00A8620D" w:rsidP="00CB3E7D">
                  <w:pPr>
                    <w:pStyle w:val="NormalWeb"/>
                    <w:rPr>
                      <w:sz w:val="20"/>
                      <w:szCs w:val="20"/>
                    </w:rPr>
                  </w:pPr>
                  <w:r>
                    <w:rPr>
                      <w:sz w:val="20"/>
                      <w:szCs w:val="20"/>
                    </w:rPr>
                    <w:t>50%</w:t>
                  </w:r>
                </w:p>
                <w:p w:rsidR="00A8620D" w:rsidP="00CB3E7D">
                  <w:pPr>
                    <w:pStyle w:val="NormalWeb"/>
                    <w:rPr>
                      <w:sz w:val="20"/>
                      <w:szCs w:val="20"/>
                    </w:rPr>
                  </w:pPr>
                </w:p>
                <w:p w:rsidR="00A8620D" w:rsidP="00CB3E7D">
                  <w:pPr>
                    <w:pStyle w:val="NormalWeb"/>
                    <w:rPr>
                      <w:sz w:val="20"/>
                      <w:szCs w:val="20"/>
                    </w:rPr>
                  </w:pPr>
                  <w:r>
                    <w:rPr>
                      <w:sz w:val="20"/>
                      <w:szCs w:val="20"/>
                    </w:rPr>
                    <w:t>50%</w:t>
                  </w:r>
                </w:p>
                <w:p w:rsidR="00A8620D" w:rsidP="00CB3E7D">
                  <w:pPr>
                    <w:pStyle w:val="NormalWeb"/>
                    <w:rPr>
                      <w:sz w:val="20"/>
                      <w:szCs w:val="20"/>
                    </w:rPr>
                  </w:pPr>
                </w:p>
                <w:p w:rsidR="00A8620D" w:rsidP="00CB3E7D">
                  <w:pPr>
                    <w:pStyle w:val="NormalWeb"/>
                    <w:rPr>
                      <w:sz w:val="20"/>
                      <w:szCs w:val="20"/>
                    </w:rPr>
                  </w:pPr>
                  <w:r>
                    <w:rPr>
                      <w:sz w:val="20"/>
                      <w:szCs w:val="20"/>
                    </w:rPr>
                    <w:t xml:space="preserve"> ---</w:t>
                  </w:r>
                </w:p>
                <w:p w:rsidR="00A8620D" w:rsidP="00CB3E7D">
                  <w:pPr>
                    <w:pStyle w:val="NormalWeb"/>
                    <w:rPr>
                      <w:sz w:val="20"/>
                      <w:szCs w:val="20"/>
                    </w:rPr>
                  </w:pPr>
                </w:p>
                <w:p w:rsidR="00A8620D" w:rsidP="00CB3E7D">
                  <w:pPr>
                    <w:pStyle w:val="NormalWeb"/>
                    <w:rPr>
                      <w:sz w:val="20"/>
                      <w:szCs w:val="20"/>
                    </w:rPr>
                  </w:pPr>
                  <w:r>
                    <w:rPr>
                      <w:sz w:val="20"/>
                      <w:szCs w:val="20"/>
                    </w:rPr>
                    <w:t xml:space="preserve"> ---</w:t>
                  </w:r>
                </w:p>
              </w:tc>
            </w:tr>
            <w:tr w:rsidTr="00A8620D">
              <w:tblPrEx>
                <w:tblW w:w="0" w:type="auto"/>
                <w:tblLayout w:type="fixed"/>
                <w:tblCellMar>
                  <w:left w:w="70" w:type="dxa"/>
                  <w:right w:w="70" w:type="dxa"/>
                </w:tblCellMar>
                <w:tblLook w:val="0000"/>
              </w:tblPrEx>
              <w:trPr>
                <w:trHeight w:val="1230"/>
              </w:trPr>
              <w:tc>
                <w:tcPr>
                  <w:tcW w:w="1073" w:type="dxa"/>
                </w:tcPr>
                <w:p w:rsidR="00A8620D" w:rsidP="00CB3E7D">
                  <w:pPr>
                    <w:pStyle w:val="NormalWeb"/>
                    <w:rPr>
                      <w:sz w:val="20"/>
                      <w:szCs w:val="20"/>
                    </w:rPr>
                  </w:pPr>
                  <w:r>
                    <w:rPr>
                      <w:sz w:val="20"/>
                      <w:szCs w:val="20"/>
                    </w:rPr>
                    <w:t>Objektívny odhad</w:t>
                  </w:r>
                </w:p>
                <w:p w:rsidR="00A8620D" w:rsidP="00CB3E7D">
                  <w:pPr>
                    <w:pStyle w:val="NormalWeb"/>
                    <w:rPr>
                      <w:sz w:val="20"/>
                      <w:szCs w:val="20"/>
                    </w:rPr>
                  </w:pPr>
                  <w:r>
                    <w:rPr>
                      <w:sz w:val="20"/>
                      <w:szCs w:val="20"/>
                    </w:rPr>
                    <w:t>Neistota</w:t>
                  </w:r>
                </w:p>
              </w:tc>
              <w:tc>
                <w:tcPr>
                  <w:tcW w:w="824" w:type="dxa"/>
                </w:tcPr>
                <w:p w:rsidR="00A8620D" w:rsidP="00CB3E7D">
                  <w:pPr>
                    <w:pStyle w:val="NormalWeb"/>
                    <w:rPr>
                      <w:sz w:val="20"/>
                      <w:szCs w:val="20"/>
                    </w:rPr>
                  </w:pPr>
                </w:p>
                <w:p w:rsidR="00A8620D" w:rsidP="00CB3E7D">
                  <w:pPr>
                    <w:pStyle w:val="NormalWeb"/>
                    <w:rPr>
                      <w:sz w:val="20"/>
                      <w:szCs w:val="20"/>
                    </w:rPr>
                  </w:pPr>
                  <w:r>
                    <w:rPr>
                      <w:sz w:val="20"/>
                      <w:szCs w:val="20"/>
                    </w:rPr>
                    <w:t>75%</w:t>
                  </w:r>
                </w:p>
              </w:tc>
              <w:tc>
                <w:tcPr>
                  <w:tcW w:w="594" w:type="dxa"/>
                </w:tcPr>
                <w:p w:rsidR="004832E8" w:rsidP="00CB3E7D">
                  <w:pPr>
                    <w:pStyle w:val="NormalWeb"/>
                    <w:rPr>
                      <w:sz w:val="20"/>
                      <w:szCs w:val="20"/>
                    </w:rPr>
                  </w:pPr>
                </w:p>
                <w:p w:rsidR="00A8620D" w:rsidP="00CB3E7D">
                  <w:pPr>
                    <w:pStyle w:val="NormalWeb"/>
                    <w:rPr>
                      <w:sz w:val="20"/>
                      <w:szCs w:val="20"/>
                    </w:rPr>
                  </w:pPr>
                  <w:r>
                    <w:rPr>
                      <w:sz w:val="20"/>
                      <w:szCs w:val="20"/>
                    </w:rPr>
                    <w:t>100%</w:t>
                  </w:r>
                </w:p>
              </w:tc>
              <w:tc>
                <w:tcPr>
                  <w:tcW w:w="708" w:type="dxa"/>
                </w:tcPr>
                <w:p w:rsidR="004832E8" w:rsidP="00CB3E7D">
                  <w:pPr>
                    <w:pStyle w:val="NormalWeb"/>
                    <w:rPr>
                      <w:sz w:val="20"/>
                      <w:szCs w:val="20"/>
                    </w:rPr>
                  </w:pPr>
                </w:p>
                <w:p w:rsidR="00A8620D" w:rsidP="00CB3E7D">
                  <w:pPr>
                    <w:pStyle w:val="NormalWeb"/>
                    <w:rPr>
                      <w:sz w:val="20"/>
                      <w:szCs w:val="20"/>
                    </w:rPr>
                  </w:pPr>
                  <w:r>
                    <w:rPr>
                      <w:sz w:val="20"/>
                      <w:szCs w:val="20"/>
                    </w:rPr>
                    <w:t>100%</w:t>
                  </w:r>
                </w:p>
              </w:tc>
              <w:tc>
                <w:tcPr>
                  <w:tcW w:w="641" w:type="dxa"/>
                </w:tcPr>
                <w:p w:rsidR="004832E8" w:rsidP="00CB3E7D">
                  <w:pPr>
                    <w:pStyle w:val="NormalWeb"/>
                    <w:rPr>
                      <w:sz w:val="20"/>
                      <w:szCs w:val="20"/>
                    </w:rPr>
                  </w:pPr>
                </w:p>
                <w:p w:rsidR="00A8620D" w:rsidP="00CB3E7D">
                  <w:pPr>
                    <w:pStyle w:val="NormalWeb"/>
                    <w:rPr>
                      <w:sz w:val="20"/>
                      <w:szCs w:val="20"/>
                    </w:rPr>
                  </w:pPr>
                  <w:r>
                    <w:rPr>
                      <w:sz w:val="20"/>
                      <w:szCs w:val="20"/>
                    </w:rPr>
                    <w:t>75%</w:t>
                  </w:r>
                </w:p>
              </w:tc>
            </w:tr>
          </w:tbl>
          <w:p w:rsidR="00A8620D" w:rsidRPr="00A8620D" w:rsidP="00A8620D">
            <w:pPr>
              <w:pStyle w:val="NormalWeb"/>
              <w:rPr>
                <w:sz w:val="20"/>
                <w:szCs w:val="20"/>
              </w:rPr>
            </w:pPr>
            <w:r>
              <w:rPr>
                <w:sz w:val="20"/>
                <w:szCs w:val="20"/>
              </w:rPr>
              <w:t>(</w:t>
            </w:r>
            <w:r w:rsidRPr="00A8620D">
              <w:rPr>
                <w:sz w:val="20"/>
                <w:szCs w:val="20"/>
                <w:vertAlign w:val="superscript"/>
              </w:rPr>
              <w:t>1</w:t>
            </w:r>
            <w:r>
              <w:rPr>
                <w:sz w:val="20"/>
                <w:szCs w:val="20"/>
              </w:rPr>
              <w:t>)</w:t>
            </w:r>
            <w:r w:rsidRPr="00A8620D">
              <w:rPr>
                <w:sz w:val="18"/>
                <w:szCs w:val="18"/>
              </w:rPr>
              <w:t>Členské štáty môžu pri benzéne, olove a suspendovaných časticiach uplatňovať náhodné merania namiesto nepretržitých meraní, ak môžu Komisii dokázať, že neistota vrátane neistoty v rámci náhodného odberu vzoriek spĺňa kvalitatívny cieľ 25 % a časové pokrytie je vždy dlhšie ako minimálne časové pokrytie pre indikatívne merania. Náhodný odber vzorky je potrebné rozdeliť v rámci roka rovnomerne, aby sa zabránilo skresleniu údajov. Neistota v rámci náhodného odberu vzorky sa môže určiť postupom ustanoveným v ISO 11222 (2002) „Kvalita ovzdušia – Stanovenie neistoty priemernej hodnoty pri meraniach kvality ovzdušia“. Ak sa náhodné merania používajú na hodnotenie požiadaviek na limitnú hodnotu PM</w:t>
            </w:r>
            <w:r w:rsidRPr="00A8620D">
              <w:rPr>
                <w:sz w:val="18"/>
                <w:szCs w:val="18"/>
                <w:vertAlign w:val="subscript"/>
              </w:rPr>
              <w:t>10</w:t>
            </w:r>
            <w:r w:rsidRPr="00A8620D">
              <w:rPr>
                <w:sz w:val="18"/>
                <w:szCs w:val="18"/>
              </w:rPr>
              <w:t>, mal by sa namiesto počtu prekročení, na ktorý veľmi vplýva rozsah údajov, hodnotiť 90,4-percentil (má byť nižší alebo rovný 50 μg/m</w:t>
            </w:r>
            <w:r w:rsidRPr="00A8620D">
              <w:rPr>
                <w:sz w:val="18"/>
                <w:szCs w:val="18"/>
                <w:vertAlign w:val="superscript"/>
              </w:rPr>
              <w:t>3</w:t>
            </w:r>
            <w:r w:rsidRPr="00A8620D">
              <w:rPr>
                <w:sz w:val="18"/>
                <w:szCs w:val="18"/>
              </w:rPr>
              <w:t>).</w:t>
            </w:r>
          </w:p>
          <w:p w:rsidR="00A8620D" w:rsidRPr="00A8620D" w:rsidP="00A8620D">
            <w:pPr>
              <w:pStyle w:val="NormalWeb"/>
              <w:rPr>
                <w:sz w:val="20"/>
                <w:szCs w:val="20"/>
              </w:rPr>
            </w:pPr>
            <w:r w:rsidRPr="00A8620D">
              <w:rPr>
                <w:sz w:val="20"/>
                <w:szCs w:val="20"/>
              </w:rPr>
              <w:t>(</w:t>
            </w:r>
            <w:r w:rsidRPr="00A8620D">
              <w:rPr>
                <w:sz w:val="20"/>
                <w:szCs w:val="20"/>
                <w:vertAlign w:val="superscript"/>
              </w:rPr>
              <w:t>2</w:t>
            </w:r>
            <w:r w:rsidRPr="00A8620D">
              <w:rPr>
                <w:sz w:val="20"/>
                <w:szCs w:val="20"/>
              </w:rPr>
              <w:t xml:space="preserve">) </w:t>
            </w:r>
            <w:r w:rsidRPr="00A8620D">
              <w:rPr>
                <w:sz w:val="18"/>
                <w:szCs w:val="18"/>
              </w:rPr>
              <w:t>Rozdelené v rámci roka tak, aby predstavovali rôzne podmienky klímy a dopravy</w:t>
            </w:r>
            <w:r w:rsidRPr="00A8620D">
              <w:rPr>
                <w:sz w:val="20"/>
                <w:szCs w:val="20"/>
              </w:rPr>
              <w:t>.</w:t>
            </w:r>
          </w:p>
          <w:p w:rsidR="00A8620D" w:rsidRPr="00A8620D" w:rsidP="00A8620D">
            <w:pPr>
              <w:pStyle w:val="NormalWeb"/>
              <w:rPr>
                <w:sz w:val="18"/>
                <w:szCs w:val="18"/>
              </w:rPr>
            </w:pPr>
            <w:r w:rsidRPr="00A8620D">
              <w:rPr>
                <w:sz w:val="20"/>
                <w:szCs w:val="20"/>
              </w:rPr>
              <w:t>(</w:t>
            </w:r>
            <w:r w:rsidRPr="00A8620D">
              <w:rPr>
                <w:sz w:val="20"/>
                <w:szCs w:val="20"/>
                <w:vertAlign w:val="superscript"/>
              </w:rPr>
              <w:t>3</w:t>
            </w:r>
            <w:r w:rsidRPr="00A8620D">
              <w:rPr>
                <w:sz w:val="20"/>
                <w:szCs w:val="20"/>
              </w:rPr>
              <w:t xml:space="preserve">) </w:t>
            </w:r>
            <w:r w:rsidRPr="00A8620D">
              <w:rPr>
                <w:sz w:val="18"/>
                <w:szCs w:val="18"/>
              </w:rPr>
              <w:t>Jedno náhodné denné meranie týždenne rovnomerne rozdelené počas roka alebo 8 týždňov rovnomerne rozdelených počas roka.</w:t>
            </w:r>
          </w:p>
          <w:p w:rsidR="004832E8" w:rsidP="00CB3E7D">
            <w:pPr>
              <w:pStyle w:val="NormalWeb"/>
              <w:rPr>
                <w:sz w:val="20"/>
                <w:szCs w:val="20"/>
              </w:rPr>
            </w:pPr>
            <w:r w:rsidRPr="00A8620D" w:rsidR="00A8620D">
              <w:rPr>
                <w:sz w:val="20"/>
                <w:szCs w:val="20"/>
              </w:rPr>
              <w:t>(</w:t>
            </w:r>
            <w:r w:rsidRPr="00A8620D" w:rsidR="00A8620D">
              <w:rPr>
                <w:sz w:val="20"/>
                <w:szCs w:val="20"/>
                <w:vertAlign w:val="superscript"/>
              </w:rPr>
              <w:t>4</w:t>
            </w:r>
            <w:r w:rsidRPr="00A8620D" w:rsidR="00A8620D">
              <w:rPr>
                <w:sz w:val="20"/>
                <w:szCs w:val="20"/>
              </w:rPr>
              <w:t xml:space="preserve">) </w:t>
            </w:r>
            <w:r w:rsidRPr="00A8620D" w:rsidR="00A8620D">
              <w:rPr>
                <w:sz w:val="18"/>
                <w:szCs w:val="18"/>
              </w:rPr>
              <w:t>Jedno náhodné meranie týždenne rovnomerne rozdelené počas roka alebo 8 týždňov rovnomerne rozdelených počas roka.</w:t>
            </w:r>
          </w:p>
          <w:p w:rsidR="00CB3E7D" w:rsidRPr="004021A9" w:rsidP="00CB3E7D">
            <w:pPr>
              <w:pStyle w:val="NormalWeb"/>
              <w:rPr>
                <w:sz w:val="20"/>
                <w:szCs w:val="20"/>
              </w:rPr>
            </w:pPr>
            <w:r w:rsidRPr="004021A9">
              <w:rPr>
                <w:sz w:val="20"/>
                <w:szCs w:val="20"/>
              </w:rPr>
              <w:t>Neistota (vyjadrená pri 95 % intervale spoľahlivosti) hodnotiacich metód sa posúdi v súlade so zásadami Príručky CEN na vyjadrovanie neistoty pri meraniach (ENV 13005 – 1999), metodikou ISO 5725:1994 a pokynom uvedeným v Správe CEN o kvalite ovzdušia – Prístup k odhadu neistoty referenčných metód merania kvality ovzdušia (CR 14377:2002E). Percentá neistoty uvedené v tabuľke vyššie sa uvádzajú pre jednotlivé merania spriemerované za dané obdobie vo vzťahu k limitnej hodnote (alebo cieľovej hodnote v prípade ozónu) pre 95 % interval spoľahlivosti. Neistota stálych meraní sa interpretuje ako nestálosť, ktorú možno uplatňovať v pásme príslušnej limitnej hodnoty (alebo cieľovej hodnoty v prípade ozónu).</w:t>
            </w:r>
          </w:p>
          <w:p w:rsidR="00CB3E7D" w:rsidRPr="004021A9" w:rsidP="00CB3E7D">
            <w:pPr>
              <w:pStyle w:val="NormalWeb"/>
              <w:rPr>
                <w:sz w:val="20"/>
                <w:szCs w:val="20"/>
              </w:rPr>
            </w:pPr>
            <w:r w:rsidRPr="004021A9">
              <w:rPr>
                <w:sz w:val="20"/>
                <w:szCs w:val="20"/>
              </w:rPr>
              <w:t>Neistota modelovania sa definuje ako maximálna odchýlka meraných a vypočítaných úrovní koncentrácie pre 90 % jednotlivých monitorovacích bodov za dané obdobie vo vzťahu k limitnej hodnote (alebo cieľovej hodnote v prípade ozónu) bez toho, aby sa bral do úvahy čas udalostí. Neistota modelovania sa interpretuje ako nestálosť, ktorú možno uplatňovať v pásme príslušnej limitnej hodnoty (alebo cieľovej hodnoty v prípade ozónu). Stále merania, ktoré sa musia vybrať na porovnanie s výsledkami modelovania, reprezentujú mierku, ktorú model pokrýva.</w:t>
            </w:r>
          </w:p>
          <w:p w:rsidR="00CB3E7D" w:rsidRPr="004021A9" w:rsidP="00CB3E7D">
            <w:pPr>
              <w:pStyle w:val="NormalWeb"/>
              <w:rPr>
                <w:sz w:val="20"/>
                <w:szCs w:val="20"/>
              </w:rPr>
            </w:pPr>
            <w:r w:rsidRPr="004021A9">
              <w:rPr>
                <w:sz w:val="20"/>
                <w:szCs w:val="20"/>
              </w:rPr>
              <w:t>Neistota objektívneho odhadu sa definuje ako maximálna odchýlka meraných a vypočítaných úrovní koncentrácie za dané obdobie vo vzťahu k limitnej hodnote (alebo cieľovej hodnote v prípade ozónu) bez toho, aby sa bral do úvahy čas udalostí.</w:t>
            </w:r>
          </w:p>
          <w:p w:rsidR="00CB3E7D" w:rsidRPr="004021A9" w:rsidP="00CB3E7D">
            <w:pPr>
              <w:pStyle w:val="NormalWeb"/>
              <w:rPr>
                <w:sz w:val="20"/>
                <w:szCs w:val="20"/>
              </w:rPr>
            </w:pPr>
            <w:r w:rsidRPr="004021A9">
              <w:rPr>
                <w:sz w:val="20"/>
                <w:szCs w:val="20"/>
              </w:rPr>
              <w:t>Požiadavky na minimálny počet údajov a minimálne časové pokrytie nezahŕňajú straty údajov spôsobené pravidelnou kalibráciou alebo bežnou údržbou prístrojov.</w:t>
            </w:r>
          </w:p>
          <w:p w:rsidR="00CB3E7D" w:rsidRPr="004021A9" w:rsidP="00CB3E7D">
            <w:pPr>
              <w:pStyle w:val="NormalWeb"/>
              <w:rPr>
                <w:sz w:val="20"/>
                <w:szCs w:val="20"/>
              </w:rPr>
            </w:pPr>
            <w:r w:rsidRPr="004021A9">
              <w:rPr>
                <w:sz w:val="20"/>
                <w:szCs w:val="20"/>
              </w:rPr>
              <w:t>B. Výsledky hodnotenia kvality ovzdušia</w:t>
            </w:r>
          </w:p>
          <w:p w:rsidR="00CB3E7D" w:rsidRPr="004021A9" w:rsidP="00CB3E7D">
            <w:pPr>
              <w:pStyle w:val="NormalWeb"/>
              <w:rPr>
                <w:sz w:val="20"/>
                <w:szCs w:val="20"/>
              </w:rPr>
            </w:pPr>
            <w:r w:rsidRPr="004021A9">
              <w:rPr>
                <w:sz w:val="20"/>
                <w:szCs w:val="20"/>
              </w:rPr>
              <w:t>Za zóny alebo aglomerácie, v ktorých sa na doplnenie informácií z meraní použijú iné zdroje informácií ako merania alebo v ktorých slúžia tieto zdroje ako jediné</w:t>
            </w:r>
            <w:r w:rsidRPr="004021A9">
              <w:rPr>
                <w:sz w:val="20"/>
                <w:szCs w:val="20"/>
              </w:rPr>
              <w:t xml:space="preserve"> prostriedky hodnotenia kvality ovzdušia, sa zozbierajú tieto informácie:</w:t>
            </w:r>
          </w:p>
          <w:p w:rsidR="00CB3E7D" w:rsidRPr="004021A9" w:rsidP="00CB3E7D">
            <w:pPr>
              <w:pStyle w:val="NormalWeb"/>
              <w:rPr>
                <w:sz w:val="20"/>
                <w:szCs w:val="20"/>
              </w:rPr>
            </w:pPr>
            <w:r w:rsidRPr="004021A9">
              <w:rPr>
                <w:sz w:val="20"/>
                <w:szCs w:val="20"/>
              </w:rPr>
              <w:t>- opis vykonaných hodnotiacich činností,</w:t>
            </w:r>
          </w:p>
          <w:p w:rsidR="00CB3E7D" w:rsidRPr="004021A9" w:rsidP="00CB3E7D">
            <w:pPr>
              <w:pStyle w:val="NormalWeb"/>
              <w:rPr>
                <w:sz w:val="20"/>
                <w:szCs w:val="20"/>
              </w:rPr>
            </w:pPr>
            <w:r w:rsidRPr="004021A9">
              <w:rPr>
                <w:sz w:val="20"/>
                <w:szCs w:val="20"/>
              </w:rPr>
              <w:t>- použité osobitné metódy s odkazmi na opis metód,</w:t>
            </w:r>
          </w:p>
          <w:p w:rsidR="00CB3E7D" w:rsidRPr="004021A9" w:rsidP="00CB3E7D">
            <w:pPr>
              <w:pStyle w:val="NormalWeb"/>
              <w:rPr>
                <w:sz w:val="20"/>
                <w:szCs w:val="20"/>
              </w:rPr>
            </w:pPr>
            <w:r w:rsidRPr="004021A9">
              <w:rPr>
                <w:sz w:val="20"/>
                <w:szCs w:val="20"/>
              </w:rPr>
              <w:t>- zdroje údajov a informácií,</w:t>
            </w:r>
          </w:p>
          <w:p w:rsidR="00CB3E7D" w:rsidRPr="004021A9" w:rsidP="00CB3E7D">
            <w:pPr>
              <w:pStyle w:val="NormalWeb"/>
              <w:rPr>
                <w:sz w:val="20"/>
                <w:szCs w:val="20"/>
              </w:rPr>
            </w:pPr>
            <w:r w:rsidRPr="004021A9">
              <w:rPr>
                <w:sz w:val="20"/>
                <w:szCs w:val="20"/>
              </w:rPr>
              <w:t>- opis výsledkov vrátane neistôt, a najmä rozsah všetkých oblastí alebo prípadne dĺžka cesty v zóne alebo aglomerácii, nad ktorou koncentrácie prekračujú ktorúkoľvek limitnú hodnotu, cieľovú hodnotu alebo dlhodobý cieľ prípadne vrátane medze tolerancie a rozsah všetkých oblastí, v ktorých koncentrácie prekračujú ho</w:t>
            </w:r>
            <w:r w:rsidRPr="004021A9">
              <w:rPr>
                <w:sz w:val="20"/>
                <w:szCs w:val="20"/>
              </w:rPr>
              <w:t>rný alebo dolný prah na hodnotenie,</w:t>
            </w:r>
          </w:p>
          <w:p w:rsidR="00CB3E7D" w:rsidP="00CB3E7D">
            <w:pPr>
              <w:pStyle w:val="NormalWeb"/>
              <w:rPr>
                <w:sz w:val="20"/>
                <w:szCs w:val="20"/>
              </w:rPr>
            </w:pPr>
            <w:r w:rsidRPr="004021A9">
              <w:rPr>
                <w:sz w:val="20"/>
                <w:szCs w:val="20"/>
              </w:rPr>
              <w:t>- obyvateľstvo, ktoré je potenciálne vystavené úrovniam prekračujúcim akúkoľvek limitnú hodnotu na ochranu zdravia ľudí.</w:t>
            </w:r>
          </w:p>
          <w:p w:rsidR="004953FB" w:rsidRPr="004953FB" w:rsidP="004953FB">
            <w:pPr>
              <w:pStyle w:val="NormalWeb"/>
              <w:rPr>
                <w:sz w:val="20"/>
                <w:szCs w:val="20"/>
              </w:rPr>
            </w:pPr>
            <w:r w:rsidRPr="004953FB">
              <w:rPr>
                <w:sz w:val="20"/>
                <w:szCs w:val="20"/>
              </w:rPr>
              <w:t>C.   Zaručenie kvality pri hodnotení kvality okolitého ovzdušia: potvrdenie údajov</w:t>
            </w:r>
          </w:p>
          <w:p w:rsidR="00A8620D" w:rsidRPr="004953FB" w:rsidP="004953FB">
            <w:pPr>
              <w:pStyle w:val="NormalWeb"/>
              <w:rPr>
                <w:sz w:val="20"/>
                <w:szCs w:val="20"/>
              </w:rPr>
            </w:pPr>
            <w:r w:rsidRPr="004953FB" w:rsidR="004953FB">
              <w:rPr>
                <w:sz w:val="20"/>
                <w:szCs w:val="20"/>
              </w:rPr>
              <w:t>1. V záujme presnosti meraní a dodržiavania cieľov kvality údajov stanovených v oddiele A zabezpečia príslušné orgány a subjekty určené podľa článku 3:</w:t>
            </w:r>
          </w:p>
          <w:p w:rsidR="004953FB" w:rsidRPr="004953FB" w:rsidP="004953FB">
            <w:pPr>
              <w:pStyle w:val="NormalWeb"/>
              <w:rPr>
                <w:sz w:val="20"/>
                <w:szCs w:val="20"/>
              </w:rPr>
            </w:pPr>
            <w:r w:rsidRPr="004953FB">
              <w:rPr>
                <w:sz w:val="20"/>
                <w:szCs w:val="20"/>
              </w:rPr>
              <w:t>i) aby boli všetky merania vykonané v súvislosti s hodnotením kvality okolitého ovzdušia podľa článkov 6 a 9 vysledovateľné v súlade s požiadavkami stanovenými v harmonizovanej norme pre skúšobné a kalibračné laboratóriá;</w:t>
            </w:r>
          </w:p>
          <w:p w:rsidR="004953FB" w:rsidRPr="004953FB" w:rsidP="004953FB">
            <w:pPr>
              <w:pStyle w:val="NormalWeb"/>
              <w:rPr>
                <w:sz w:val="20"/>
                <w:szCs w:val="20"/>
              </w:rPr>
            </w:pPr>
            <w:r w:rsidRPr="004953FB">
              <w:rPr>
                <w:sz w:val="20"/>
                <w:szCs w:val="20"/>
              </w:rPr>
              <w:t>ii) aby mali inštitúcie prevádzkujúce siete a samostatné stanice zavedený systém zaručenia kvality a kontroly kvality, ktorým sa zabezpečuje pravidelná údržba s cieľom zaistiť nepretržitú presnosť meracích prístrojov. Príslušné národné referenčné laboratórium daný systém kvality podľa potreby, no aspoň každých päť rokov preskúma;</w:t>
            </w:r>
          </w:p>
          <w:p w:rsidR="004953FB" w:rsidRPr="004953FB" w:rsidP="004953FB">
            <w:pPr>
              <w:pStyle w:val="NormalWeb"/>
              <w:rPr>
                <w:sz w:val="20"/>
                <w:szCs w:val="20"/>
              </w:rPr>
            </w:pPr>
            <w:r w:rsidRPr="004953FB">
              <w:rPr>
                <w:sz w:val="20"/>
                <w:szCs w:val="20"/>
              </w:rPr>
              <w:t>iii) aby sa v súvislosti so zberom údajov a podávaním správ uplatňoval postup slúžiaci na zaručenie kvality/kontrolu kvality a aby sa inštitúcie poverené touto úlohou aktívne podieľali na súvisiacich programoch Únie na zaručovanie kvality;</w:t>
            </w:r>
          </w:p>
          <w:p w:rsidR="004953FB" w:rsidRPr="004953FB" w:rsidP="004953FB">
            <w:pPr>
              <w:pStyle w:val="NormalWeb"/>
              <w:rPr>
                <w:sz w:val="20"/>
                <w:szCs w:val="20"/>
              </w:rPr>
            </w:pPr>
            <w:r w:rsidRPr="004953FB">
              <w:rPr>
                <w:sz w:val="20"/>
                <w:szCs w:val="20"/>
              </w:rPr>
              <w:t>iv) aby boli národné referenčné laboratóriá vymenované náležitým príslušným orgánom alebo subjektom určeným podľa článku 3 a aby boli akreditované na referenčné metódy uvedené v prílohe VI, a to aspoň v prípade tých znečisťujúcich látok, ktorých koncentrácie prekračujú dolný prah na hodnotenie, podľa relevantnej harmonizovanej normy týkajúcej sa skúšobných a kalibračných laboratórií, odkaz na ktorú bol uverejnený v Úradnom vestníku Európskej únie v súlade s článkom 2 ods. 9 nariadenia (ES) č. 765/2008, ktorým sa stanovujú požiadavky akreditácie a dohľadu nad trhom. Tieto laboratóriá sú zodpovedné aj za koordináciu programov Únie na zaručenie kvality na území daného členského štátu, ktoré organizuje Komisia prostredníctvom svojho Spoločného výskumného centra a dané laboratóriá zároveň na vnútroštátnej úrovni zodpovedajú za koordináciu náležitého uplatňovania referenčných metód a preukazovania rovnocennosti nereferenčných metód. Národné referenčné laboratóriá, ktoré organizujú vzájomné porovnávanie na vnútroštátnej úrovni, by mali byť zároveň akreditované podľa príslušnej harmonizovanej normy pre skúšky</w:t>
            </w:r>
            <w:r w:rsidRPr="004953FB">
              <w:rPr>
                <w:sz w:val="20"/>
                <w:szCs w:val="20"/>
              </w:rPr>
              <w:t xml:space="preserve"> spôsobilosti;</w:t>
            </w:r>
          </w:p>
          <w:p w:rsidR="004953FB" w:rsidRPr="004953FB" w:rsidP="004953FB">
            <w:pPr>
              <w:pStyle w:val="NormalWeb"/>
              <w:rPr>
                <w:sz w:val="20"/>
                <w:szCs w:val="20"/>
              </w:rPr>
            </w:pPr>
            <w:r w:rsidRPr="004953FB">
              <w:rPr>
                <w:sz w:val="20"/>
                <w:szCs w:val="20"/>
              </w:rPr>
              <w:t>v) aby sa národné referenčné laboratóriá aspoň každé tri roky zúčastňovali na programoch Únie na zaručovanie kvality, ktoré organizuje Komisia prostredníctvom svojho Spoločného výskumného centra. Ak z danej účasti vyplynú neuspokojivé výsledky, potom by národné laboratórium malo pri svojom ďalšom zapojení do vzájomného porovnávania preukázať uspokojivé nápravné opatrenia a predložiť o nich správu Spoločnému výskumnému centru;</w:t>
            </w:r>
          </w:p>
          <w:p w:rsidR="004953FB" w:rsidRPr="004953FB" w:rsidP="004953FB">
            <w:pPr>
              <w:pStyle w:val="NormalWeb"/>
              <w:rPr>
                <w:sz w:val="20"/>
                <w:szCs w:val="20"/>
              </w:rPr>
            </w:pPr>
            <w:r w:rsidRPr="004953FB">
              <w:rPr>
                <w:sz w:val="20"/>
                <w:szCs w:val="20"/>
              </w:rPr>
              <w:t>vi) aby národné referenčné laboratóriá podporovali pôsobenie Komisiou zriadenej Európskej siete národných referenčných laboratórií.</w:t>
            </w:r>
          </w:p>
          <w:p w:rsidR="004953FB" w:rsidRPr="004021A9" w:rsidP="004953FB">
            <w:pPr>
              <w:pStyle w:val="NormalWeb"/>
              <w:rPr>
                <w:sz w:val="20"/>
                <w:szCs w:val="20"/>
              </w:rPr>
            </w:pPr>
            <w:r w:rsidRPr="004953FB">
              <w:rPr>
                <w:sz w:val="20"/>
                <w:szCs w:val="20"/>
              </w:rPr>
              <w:t>2. Za platné sa považujú všetky oznamované údaje podľa článku 27, okrem údajov označených ako predbežné.</w:t>
            </w:r>
          </w:p>
          <w:p w:rsidR="00CB3E7D" w:rsidRPr="004021A9" w:rsidP="00CB3E7D">
            <w:pPr>
              <w:pStyle w:val="NormalWeb"/>
              <w:rPr>
                <w:sz w:val="20"/>
                <w:szCs w:val="20"/>
              </w:rPr>
            </w:pPr>
            <w:r w:rsidRPr="004021A9" w:rsidR="004953FB">
              <w:rPr>
                <w:sz w:val="20"/>
                <w:szCs w:val="20"/>
              </w:rPr>
              <w:t xml:space="preserve"> </w:t>
            </w:r>
          </w:p>
        </w:tc>
        <w:tc>
          <w:tcPr>
            <w:tcW w:w="747" w:type="dxa"/>
            <w:tcBorders>
              <w:bottom w:val="single" w:sz="4" w:space="0" w:color="auto"/>
            </w:tcBorders>
          </w:tcPr>
          <w:p w:rsidR="00CB3E7D" w:rsidRPr="00390FC1" w:rsidP="00CB3E7D">
            <w:pPr>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Pr>
                <w:sz w:val="20"/>
              </w:rPr>
              <w:t>NV</w:t>
            </w:r>
          </w:p>
        </w:tc>
        <w:tc>
          <w:tcPr>
            <w:tcW w:w="701" w:type="dxa"/>
            <w:tcBorders>
              <w:bottom w:val="single" w:sz="4" w:space="0" w:color="auto"/>
            </w:tcBorders>
          </w:tcPr>
          <w:p w:rsidR="00CB3E7D" w:rsidP="00CB3E7D">
            <w:pPr>
              <w:jc w:val="both"/>
              <w:rPr>
                <w:sz w:val="20"/>
              </w:rPr>
            </w:pPr>
            <w:r w:rsidR="00490A84">
              <w:rPr>
                <w:sz w:val="20"/>
              </w:rPr>
              <w:t>Príl. č. 6</w:t>
            </w:r>
          </w:p>
          <w:p w:rsidR="0066225B" w:rsidRPr="00390FC1" w:rsidP="00CB3E7D">
            <w:pPr>
              <w:jc w:val="both"/>
              <w:rPr>
                <w:sz w:val="20"/>
              </w:rPr>
            </w:pPr>
            <w:r w:rsidR="00E71D89">
              <w:rPr>
                <w:sz w:val="20"/>
              </w:rPr>
              <w:t>A,B,C,D</w:t>
            </w:r>
          </w:p>
          <w:p w:rsidR="00CB3E7D" w:rsidRPr="00390FC1" w:rsidP="00CB3E7D">
            <w:pPr>
              <w:ind w:right="-206"/>
              <w:jc w:val="both"/>
              <w:rPr>
                <w:sz w:val="20"/>
              </w:rPr>
            </w:pPr>
          </w:p>
        </w:tc>
        <w:tc>
          <w:tcPr>
            <w:tcW w:w="7797" w:type="dxa"/>
            <w:tcBorders>
              <w:bottom w:val="single" w:sz="4" w:space="0" w:color="auto"/>
            </w:tcBorders>
          </w:tcPr>
          <w:p w:rsidR="00CB3E7D" w:rsidRPr="00341B72" w:rsidP="00CB3E7D">
            <w:pPr>
              <w:pStyle w:val="NormalWeb"/>
              <w:spacing w:before="0" w:beforeAutospacing="0" w:after="0" w:afterAutospacing="0"/>
              <w:jc w:val="both"/>
              <w:rPr>
                <w:sz w:val="20"/>
                <w:szCs w:val="20"/>
              </w:rPr>
            </w:pPr>
            <w:r w:rsidRPr="00341B72">
              <w:rPr>
                <w:sz w:val="20"/>
                <w:szCs w:val="20"/>
              </w:rPr>
              <w:t>CIELE V KVALITE ÚDAJOV A CIELE SPRACOVANIA VÝSLEDKOV HODNOT</w:t>
            </w:r>
            <w:r w:rsidRPr="00341B72">
              <w:rPr>
                <w:sz w:val="20"/>
                <w:szCs w:val="20"/>
              </w:rPr>
              <w:t>ENIA KVALITY OVZDUŠIA</w:t>
            </w:r>
          </w:p>
          <w:p w:rsidR="00CB3E7D" w:rsidRPr="00341B72" w:rsidP="00CB3E7D">
            <w:pPr>
              <w:pStyle w:val="NormalWeb"/>
              <w:spacing w:before="0" w:beforeAutospacing="0" w:after="0" w:afterAutospacing="0"/>
              <w:jc w:val="both"/>
              <w:rPr>
                <w:sz w:val="20"/>
                <w:szCs w:val="20"/>
              </w:rPr>
            </w:pPr>
          </w:p>
          <w:p w:rsidR="00121119" w:rsidRPr="00341B72" w:rsidP="00121119">
            <w:pPr>
              <w:pStyle w:val="NormalWeb"/>
              <w:keepLines/>
              <w:spacing w:before="0" w:beforeAutospacing="0" w:after="0" w:afterAutospacing="0"/>
              <w:rPr>
                <w:sz w:val="20"/>
                <w:szCs w:val="20"/>
              </w:rPr>
            </w:pPr>
            <w:r w:rsidRPr="00341B72" w:rsidR="00CB3E7D">
              <w:rPr>
                <w:sz w:val="20"/>
                <w:szCs w:val="20"/>
              </w:rPr>
              <w:t xml:space="preserve">  </w:t>
            </w:r>
            <w:r w:rsidRPr="00341B72">
              <w:rPr>
                <w:sz w:val="20"/>
                <w:szCs w:val="20"/>
              </w:rPr>
              <w:t>A. Ciele v kvalite údajov na hodnotenie kvality ovzdušia</w:t>
            </w:r>
          </w:p>
          <w:tbl>
            <w:tblPr>
              <w:tblStyle w:val="TableNormal"/>
              <w:tblW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2"/>
              <w:gridCol w:w="698"/>
              <w:gridCol w:w="699"/>
              <w:gridCol w:w="816"/>
              <w:gridCol w:w="819"/>
              <w:gridCol w:w="816"/>
              <w:gridCol w:w="700"/>
              <w:gridCol w:w="816"/>
              <w:gridCol w:w="816"/>
              <w:gridCol w:w="6"/>
            </w:tblGrid>
            <w:tr w:rsidTr="000C05D2">
              <w:tblPrEx>
                <w:tblW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6" w:type="dxa"/>
                <w:trHeight w:val="331"/>
              </w:trPr>
              <w:tc>
                <w:tcPr>
                  <w:tcW w:w="1373" w:type="dxa"/>
                </w:tcPr>
                <w:p w:rsidR="00121119" w:rsidRPr="00341B72" w:rsidP="00121119">
                  <w:pPr>
                    <w:pStyle w:val="NormalWeb"/>
                    <w:keepLines/>
                    <w:spacing w:before="0" w:beforeAutospacing="0" w:after="0" w:afterAutospacing="0"/>
                    <w:contextualSpacing/>
                    <w:rPr>
                      <w:sz w:val="20"/>
                      <w:szCs w:val="20"/>
                    </w:rPr>
                  </w:pPr>
                </w:p>
              </w:tc>
              <w:tc>
                <w:tcPr>
                  <w:tcW w:w="699" w:type="dxa"/>
                  <w:vAlign w:val="center"/>
                </w:tcPr>
                <w:p w:rsidR="00121119" w:rsidRPr="00341B72" w:rsidP="00121119">
                  <w:pPr>
                    <w:pStyle w:val="NormalWeb"/>
                    <w:keepLines/>
                    <w:spacing w:before="0" w:beforeAutospacing="0" w:after="0" w:afterAutospacing="0"/>
                    <w:ind w:left="-108" w:right="-108"/>
                    <w:contextualSpacing/>
                    <w:rPr>
                      <w:sz w:val="20"/>
                      <w:szCs w:val="20"/>
                    </w:rPr>
                  </w:pPr>
                  <w:r w:rsidRPr="00341B72">
                    <w:rPr>
                      <w:sz w:val="20"/>
                      <w:szCs w:val="20"/>
                    </w:rPr>
                    <w:t>SO2, NO2, NOx, CO</w:t>
                  </w:r>
                </w:p>
              </w:tc>
              <w:tc>
                <w:tcPr>
                  <w:tcW w:w="700" w:type="dxa"/>
                  <w:vAlign w:val="center"/>
                </w:tcPr>
                <w:p w:rsidR="00121119" w:rsidRPr="00341B72" w:rsidP="00121119">
                  <w:pPr>
                    <w:pStyle w:val="NormalWeb"/>
                    <w:keepLines/>
                    <w:spacing w:before="0" w:beforeAutospacing="0" w:after="0" w:afterAutospacing="0"/>
                    <w:ind w:left="-108"/>
                    <w:contextualSpacing/>
                    <w:rPr>
                      <w:sz w:val="20"/>
                      <w:szCs w:val="20"/>
                    </w:rPr>
                  </w:pPr>
                  <w:r w:rsidRPr="00341B72">
                    <w:rPr>
                      <w:sz w:val="20"/>
                      <w:szCs w:val="20"/>
                    </w:rPr>
                    <w:t>Benzén</w:t>
                  </w:r>
                </w:p>
              </w:tc>
              <w:tc>
                <w:tcPr>
                  <w:tcW w:w="816" w:type="dxa"/>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PM</w:t>
                  </w:r>
                  <w:r w:rsidRPr="00341B72">
                    <w:rPr>
                      <w:sz w:val="20"/>
                      <w:szCs w:val="20"/>
                      <w:vertAlign w:val="subscript"/>
                    </w:rPr>
                    <w:t>10</w:t>
                  </w:r>
                  <w:r w:rsidRPr="00341B72">
                    <w:rPr>
                      <w:sz w:val="20"/>
                      <w:szCs w:val="20"/>
                    </w:rPr>
                    <w:t>,</w:t>
                  </w:r>
                </w:p>
                <w:p w:rsidR="00121119" w:rsidRPr="00341B72" w:rsidP="00121119">
                  <w:pPr>
                    <w:pStyle w:val="NormalWeb"/>
                    <w:keepLines/>
                    <w:spacing w:before="0" w:beforeAutospacing="0" w:after="0" w:afterAutospacing="0"/>
                    <w:contextualSpacing/>
                    <w:rPr>
                      <w:sz w:val="20"/>
                      <w:szCs w:val="20"/>
                    </w:rPr>
                  </w:pPr>
                  <w:r w:rsidRPr="00341B72">
                    <w:rPr>
                      <w:sz w:val="20"/>
                      <w:szCs w:val="20"/>
                    </w:rPr>
                    <w:t>PM</w:t>
                  </w:r>
                  <w:r w:rsidRPr="00341B72">
                    <w:rPr>
                      <w:sz w:val="20"/>
                      <w:szCs w:val="20"/>
                      <w:vertAlign w:val="subscript"/>
                    </w:rPr>
                    <w:t>2,5</w:t>
                  </w:r>
                  <w:r w:rsidRPr="00341B72">
                    <w:rPr>
                      <w:sz w:val="20"/>
                      <w:szCs w:val="20"/>
                    </w:rPr>
                    <w:t>, Pb</w:t>
                  </w:r>
                </w:p>
              </w:tc>
              <w:tc>
                <w:tcPr>
                  <w:tcW w:w="816" w:type="dxa"/>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Ozón a súvisiace </w:t>
                  </w:r>
                </w:p>
                <w:p w:rsidR="00121119" w:rsidRPr="00341B72" w:rsidP="00121119">
                  <w:pPr>
                    <w:pStyle w:val="NormalWeb"/>
                    <w:keepLines/>
                    <w:spacing w:before="0" w:beforeAutospacing="0" w:after="0" w:afterAutospacing="0"/>
                    <w:ind w:right="-250"/>
                    <w:contextualSpacing/>
                    <w:rPr>
                      <w:sz w:val="20"/>
                      <w:szCs w:val="20"/>
                    </w:rPr>
                  </w:pPr>
                  <w:r w:rsidRPr="00341B72">
                    <w:rPr>
                      <w:sz w:val="20"/>
                      <w:szCs w:val="20"/>
                    </w:rPr>
                    <w:t>NO a NO2</w:t>
                  </w:r>
                </w:p>
              </w:tc>
              <w:tc>
                <w:tcPr>
                  <w:tcW w:w="816" w:type="dxa"/>
                  <w:vAlign w:val="center"/>
                </w:tcPr>
                <w:p w:rsidR="00121119" w:rsidRPr="00341B72" w:rsidP="00121119">
                  <w:pPr>
                    <w:pStyle w:val="NormalWeb"/>
                    <w:keepLines/>
                    <w:spacing w:before="0" w:beforeAutospacing="0" w:after="0" w:afterAutospacing="0"/>
                    <w:ind w:right="-108"/>
                    <w:contextualSpacing/>
                    <w:jc w:val="center"/>
                    <w:rPr>
                      <w:sz w:val="20"/>
                      <w:szCs w:val="20"/>
                    </w:rPr>
                  </w:pPr>
                  <w:r w:rsidRPr="00341B72">
                    <w:rPr>
                      <w:sz w:val="20"/>
                      <w:szCs w:val="20"/>
                    </w:rPr>
                    <w:t>BaP</w:t>
                  </w:r>
                </w:p>
              </w:tc>
              <w:tc>
                <w:tcPr>
                  <w:tcW w:w="700" w:type="dxa"/>
                  <w:vAlign w:val="center"/>
                </w:tcPr>
                <w:p w:rsidR="00121119" w:rsidRPr="00341B72" w:rsidP="00121119">
                  <w:pPr>
                    <w:pStyle w:val="NormalWeb"/>
                    <w:keepLines/>
                    <w:spacing w:before="0" w:beforeAutospacing="0" w:after="0" w:afterAutospacing="0"/>
                    <w:ind w:left="-108" w:right="-108"/>
                    <w:contextualSpacing/>
                    <w:rPr>
                      <w:sz w:val="20"/>
                      <w:szCs w:val="20"/>
                    </w:rPr>
                  </w:pPr>
                  <w:r w:rsidRPr="00341B72">
                    <w:rPr>
                      <w:sz w:val="20"/>
                      <w:szCs w:val="20"/>
                    </w:rPr>
                    <w:t>As,Cd,Ni</w:t>
                  </w:r>
                </w:p>
              </w:tc>
              <w:tc>
                <w:tcPr>
                  <w:tcW w:w="816" w:type="dxa"/>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PAH,1) plynná Hg</w:t>
                  </w:r>
                </w:p>
              </w:tc>
              <w:tc>
                <w:tcPr>
                  <w:tcW w:w="816" w:type="dxa"/>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Celková depozícia</w:t>
                  </w:r>
                </w:p>
              </w:tc>
            </w:tr>
            <w:tr w:rsidTr="000C05D2">
              <w:tblPrEx>
                <w:tblW w:w="7558" w:type="dxa"/>
                <w:tblLayout w:type="fixed"/>
                <w:tblLook w:val="01E0"/>
              </w:tblPrEx>
              <w:trPr>
                <w:trHeight w:val="331"/>
              </w:trPr>
              <w:tc>
                <w:tcPr>
                  <w:tcW w:w="4407" w:type="dxa"/>
                  <w:gridSpan w:val="5"/>
                </w:tcPr>
                <w:p w:rsidR="00121119" w:rsidRPr="00341B72" w:rsidP="00121119">
                  <w:pPr>
                    <w:pStyle w:val="NormalWeb"/>
                    <w:keepLines/>
                    <w:spacing w:before="0" w:beforeAutospacing="0" w:after="0" w:afterAutospacing="0"/>
                    <w:contextualSpacing/>
                    <w:rPr>
                      <w:sz w:val="20"/>
                      <w:szCs w:val="20"/>
                    </w:rPr>
                  </w:pPr>
                  <w:r w:rsidRPr="00341B72">
                    <w:rPr>
                      <w:sz w:val="20"/>
                      <w:szCs w:val="20"/>
                    </w:rPr>
                    <w:t>Stále meranie</w:t>
                  </w:r>
                  <w:r w:rsidRPr="00341B72">
                    <w:rPr>
                      <w:sz w:val="20"/>
                      <w:szCs w:val="20"/>
                      <w:vertAlign w:val="superscript"/>
                    </w:rPr>
                    <w:t>2</w:t>
                  </w:r>
                  <w:r w:rsidRPr="00341B72">
                    <w:rPr>
                      <w:sz w:val="20"/>
                      <w:szCs w:val="20"/>
                    </w:rPr>
                    <w:t>)</w:t>
                  </w:r>
                </w:p>
              </w:tc>
              <w:tc>
                <w:tcPr>
                  <w:tcW w:w="3150" w:type="dxa"/>
                  <w:gridSpan w:val="5"/>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Stále meranie </w:t>
                  </w:r>
                  <w:r w:rsidRPr="00341B72">
                    <w:rPr>
                      <w:sz w:val="20"/>
                      <w:szCs w:val="20"/>
                      <w:vertAlign w:val="superscript"/>
                    </w:rPr>
                    <w:t>5</w:t>
                  </w:r>
                  <w:r w:rsidRPr="00341B72">
                    <w:rPr>
                      <w:sz w:val="20"/>
                      <w:szCs w:val="20"/>
                    </w:rPr>
                    <w:t>)</w:t>
                  </w:r>
                </w:p>
              </w:tc>
            </w:tr>
            <w:tr w:rsidTr="000C05D2">
              <w:tblPrEx>
                <w:tblW w:w="7558" w:type="dxa"/>
                <w:tblLayout w:type="fixed"/>
                <w:tblLook w:val="01E0"/>
              </w:tblPrEx>
              <w:trPr>
                <w:gridAfter w:val="1"/>
                <w:wAfter w:w="6" w:type="dxa"/>
                <w:trHeight w:val="331"/>
              </w:trPr>
              <w:tc>
                <w:tcPr>
                  <w:tcW w:w="1373" w:type="dxa"/>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Neistota </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15 %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25 %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25 %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15 %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40 %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70 %</w:t>
                  </w:r>
                </w:p>
              </w:tc>
            </w:tr>
            <w:tr w:rsidTr="000C05D2">
              <w:tblPrEx>
                <w:tblW w:w="7558" w:type="dxa"/>
                <w:tblLayout w:type="fixed"/>
                <w:tblLook w:val="01E0"/>
              </w:tblPrEx>
              <w:trPr>
                <w:gridAfter w:val="1"/>
                <w:wAfter w:w="6" w:type="dxa"/>
                <w:trHeight w:val="331"/>
              </w:trPr>
              <w:tc>
                <w:tcPr>
                  <w:tcW w:w="1373" w:type="dxa"/>
                </w:tcPr>
                <w:p w:rsidR="00121119" w:rsidRPr="00341B72" w:rsidP="00121119">
                  <w:pPr>
                    <w:pStyle w:val="NormalWeb"/>
                    <w:keepLines/>
                    <w:spacing w:before="0" w:beforeAutospacing="0" w:after="0" w:afterAutospacing="0"/>
                    <w:contextualSpacing/>
                    <w:rPr>
                      <w:sz w:val="20"/>
                      <w:szCs w:val="20"/>
                    </w:rPr>
                  </w:pPr>
                  <w:r w:rsidRPr="00341B72">
                    <w:rPr>
                      <w:sz w:val="20"/>
                      <w:szCs w:val="20"/>
                    </w:rPr>
                    <w:t>Najmenší počet údajov</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p w:rsidR="00121119" w:rsidRPr="00341B72" w:rsidP="00121119">
                  <w:pPr>
                    <w:pStyle w:val="NormalWeb"/>
                    <w:keepLines/>
                    <w:spacing w:before="0" w:beforeAutospacing="0" w:after="0" w:afterAutospacing="0"/>
                    <w:contextualSpacing/>
                    <w:jc w:val="center"/>
                    <w:rPr>
                      <w:sz w:val="20"/>
                      <w:szCs w:val="20"/>
                    </w:rPr>
                  </w:pP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p w:rsidR="00121119" w:rsidRPr="00341B72" w:rsidP="00121119">
                  <w:pPr>
                    <w:pStyle w:val="NormalWeb"/>
                    <w:keepLines/>
                    <w:spacing w:before="0" w:beforeAutospacing="0" w:after="0" w:afterAutospacing="0"/>
                    <w:contextualSpacing/>
                    <w:jc w:val="center"/>
                    <w:rPr>
                      <w:sz w:val="20"/>
                      <w:szCs w:val="20"/>
                    </w:rPr>
                  </w:pP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p w:rsidR="00121119" w:rsidRPr="00341B72" w:rsidP="00121119">
                  <w:pPr>
                    <w:pStyle w:val="NormalWeb"/>
                    <w:keepLines/>
                    <w:spacing w:before="0" w:beforeAutospacing="0" w:after="0" w:afterAutospacing="0"/>
                    <w:contextualSpacing/>
                    <w:jc w:val="center"/>
                    <w:rPr>
                      <w:sz w:val="20"/>
                      <w:szCs w:val="20"/>
                    </w:rPr>
                  </w:pPr>
                </w:p>
              </w:tc>
              <w:tc>
                <w:tcPr>
                  <w:tcW w:w="816" w:type="dxa"/>
                </w:tcPr>
                <w:p w:rsidR="00121119" w:rsidRPr="00341B72" w:rsidP="00121119">
                  <w:pPr>
                    <w:pStyle w:val="NormalWeb"/>
                    <w:keepLines/>
                    <w:spacing w:before="0" w:beforeAutospacing="0" w:after="0" w:afterAutospacing="0"/>
                    <w:ind w:right="-108"/>
                    <w:contextualSpacing/>
                    <w:rPr>
                      <w:sz w:val="20"/>
                      <w:szCs w:val="20"/>
                    </w:rPr>
                  </w:pPr>
                  <w:r w:rsidRPr="00341B72">
                    <w:rPr>
                      <w:sz w:val="20"/>
                      <w:szCs w:val="20"/>
                    </w:rPr>
                    <w:t xml:space="preserve"> 90 % počas leta</w:t>
                  </w:r>
                </w:p>
                <w:p w:rsidR="00121119" w:rsidRPr="00341B72" w:rsidP="00121119">
                  <w:pPr>
                    <w:pStyle w:val="NormalWeb"/>
                    <w:keepLines/>
                    <w:spacing w:before="0" w:beforeAutospacing="0" w:after="0" w:afterAutospacing="0"/>
                    <w:ind w:left="-108" w:right="-108"/>
                    <w:contextualSpacing/>
                    <w:rPr>
                      <w:sz w:val="20"/>
                      <w:szCs w:val="20"/>
                    </w:rPr>
                  </w:pPr>
                  <w:r w:rsidRPr="00341B72">
                    <w:rPr>
                      <w:sz w:val="20"/>
                      <w:szCs w:val="20"/>
                    </w:rPr>
                    <w:t xml:space="preserve"> 75 % </w:t>
                  </w:r>
                </w:p>
                <w:p w:rsidR="00121119" w:rsidRPr="00341B72" w:rsidP="00121119">
                  <w:pPr>
                    <w:pStyle w:val="NormalWeb"/>
                    <w:keepLines/>
                    <w:spacing w:before="0" w:beforeAutospacing="0" w:after="0" w:afterAutospacing="0"/>
                    <w:ind w:left="-108" w:right="-108"/>
                    <w:contextualSpacing/>
                    <w:rPr>
                      <w:sz w:val="20"/>
                      <w:szCs w:val="20"/>
                    </w:rPr>
                  </w:pPr>
                  <w:r w:rsidRPr="00341B72">
                    <w:rPr>
                      <w:sz w:val="20"/>
                      <w:szCs w:val="20"/>
                    </w:rPr>
                    <w:t>počas zimy</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r>
            <w:tr w:rsidTr="000C05D2">
              <w:tblPrEx>
                <w:tblW w:w="7558" w:type="dxa"/>
                <w:tblLayout w:type="fixed"/>
                <w:tblLook w:val="01E0"/>
              </w:tblPrEx>
              <w:trPr>
                <w:gridAfter w:val="1"/>
                <w:wAfter w:w="6" w:type="dxa"/>
                <w:trHeight w:val="331"/>
              </w:trPr>
              <w:tc>
                <w:tcPr>
                  <w:tcW w:w="1373" w:type="dxa"/>
                </w:tcPr>
                <w:p w:rsidR="00121119" w:rsidRPr="00341B72" w:rsidP="00121119">
                  <w:pPr>
                    <w:pStyle w:val="NormalWeb"/>
                    <w:keepLines/>
                    <w:spacing w:before="0" w:beforeAutospacing="0" w:after="0" w:afterAutospacing="0"/>
                    <w:contextualSpacing/>
                    <w:rPr>
                      <w:sz w:val="20"/>
                      <w:szCs w:val="20"/>
                    </w:rPr>
                  </w:pPr>
                  <w:r w:rsidRPr="00341B72">
                    <w:rPr>
                      <w:sz w:val="20"/>
                      <w:szCs w:val="20"/>
                    </w:rPr>
                    <w:t>Najmenšie časové pokrytie:</w:t>
                  </w:r>
                </w:p>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 mestské pozadie </w:t>
                  </w:r>
                </w:p>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 a doprava </w:t>
                  </w:r>
                </w:p>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 priemyselné </w:t>
                  </w:r>
                </w:p>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 oblasti </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tabs>
                      <w:tab w:val="center" w:pos="881"/>
                    </w:tab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tabs>
                      <w:tab w:val="center" w:pos="881"/>
                    </w:tabs>
                    <w:spacing w:before="0" w:beforeAutospacing="0" w:after="0" w:afterAutospacing="0"/>
                    <w:contextualSpacing/>
                    <w:jc w:val="center"/>
                    <w:rPr>
                      <w:sz w:val="20"/>
                      <w:szCs w:val="20"/>
                    </w:rPr>
                  </w:pPr>
                </w:p>
                <w:p w:rsidR="00121119" w:rsidRPr="00341B72" w:rsidP="00121119">
                  <w:pPr>
                    <w:pStyle w:val="NormalWeb"/>
                    <w:keepLines/>
                    <w:tabs>
                      <w:tab w:val="center" w:pos="881"/>
                    </w:tabs>
                    <w:spacing w:before="0" w:beforeAutospacing="0" w:after="0" w:afterAutospacing="0"/>
                    <w:contextualSpacing/>
                    <w:jc w:val="center"/>
                    <w:rPr>
                      <w:sz w:val="20"/>
                      <w:szCs w:val="20"/>
                    </w:rPr>
                  </w:pPr>
                  <w:r w:rsidRPr="00341B72">
                    <w:rPr>
                      <w:sz w:val="20"/>
                      <w:szCs w:val="20"/>
                    </w:rPr>
                    <w:t>-</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ind w:left="-108" w:right="-108"/>
                    <w:contextualSpacing/>
                    <w:jc w:val="center"/>
                    <w:rPr>
                      <w:sz w:val="20"/>
                      <w:szCs w:val="20"/>
                    </w:rPr>
                  </w:pPr>
                  <w:r w:rsidRPr="00341B72">
                    <w:rPr>
                      <w:sz w:val="20"/>
                      <w:szCs w:val="20"/>
                    </w:rPr>
                    <w:t>35 % 3)</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33 %</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33 %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tc>
            </w:tr>
            <w:tr w:rsidTr="000C05D2">
              <w:tblPrEx>
                <w:tblW w:w="7558" w:type="dxa"/>
                <w:tblLayout w:type="fixed"/>
                <w:tblLook w:val="01E0"/>
              </w:tblPrEx>
              <w:trPr>
                <w:trHeight w:val="331"/>
              </w:trPr>
              <w:tc>
                <w:tcPr>
                  <w:tcW w:w="4407" w:type="dxa"/>
                  <w:gridSpan w:val="5"/>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Indikatívne merania</w:t>
                  </w:r>
                  <w:r w:rsidRPr="00341B72">
                    <w:rPr>
                      <w:sz w:val="20"/>
                      <w:szCs w:val="20"/>
                      <w:vertAlign w:val="superscript"/>
                    </w:rPr>
                    <w:t>3a</w:t>
                  </w:r>
                  <w:r w:rsidRPr="00341B72">
                    <w:rPr>
                      <w:sz w:val="20"/>
                      <w:szCs w:val="20"/>
                    </w:rPr>
                    <w:t>)</w:t>
                  </w:r>
                </w:p>
              </w:tc>
              <w:tc>
                <w:tcPr>
                  <w:tcW w:w="3150" w:type="dxa"/>
                  <w:gridSpan w:val="5"/>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Indikatívne merania </w:t>
                  </w:r>
                  <w:r w:rsidRPr="00341B72">
                    <w:rPr>
                      <w:sz w:val="20"/>
                      <w:szCs w:val="20"/>
                      <w:vertAlign w:val="superscript"/>
                    </w:rPr>
                    <w:t>4</w:t>
                  </w:r>
                  <w:r w:rsidRPr="00341B72">
                    <w:rPr>
                      <w:sz w:val="20"/>
                      <w:szCs w:val="20"/>
                    </w:rPr>
                    <w:t>)</w:t>
                  </w:r>
                  <w:r w:rsidRPr="00341B72">
                    <w:rPr>
                      <w:sz w:val="20"/>
                      <w:szCs w:val="20"/>
                      <w:vertAlign w:val="superscript"/>
                    </w:rPr>
                    <w:t xml:space="preserve"> 5</w:t>
                  </w:r>
                  <w:r w:rsidRPr="00341B72">
                    <w:rPr>
                      <w:sz w:val="20"/>
                      <w:szCs w:val="20"/>
                    </w:rPr>
                    <w:t>)</w:t>
                  </w:r>
                </w:p>
              </w:tc>
            </w:tr>
            <w:tr w:rsidTr="000C05D2">
              <w:tblPrEx>
                <w:tblW w:w="7558" w:type="dxa"/>
                <w:tblLayout w:type="fixed"/>
                <w:tblLook w:val="01E0"/>
              </w:tblPrEx>
              <w:trPr>
                <w:gridAfter w:val="1"/>
                <w:wAfter w:w="6" w:type="dxa"/>
                <w:trHeight w:val="331"/>
              </w:trPr>
              <w:tc>
                <w:tcPr>
                  <w:tcW w:w="1373" w:type="dxa"/>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Neistota </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25 %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30 %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30 %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40 %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70 %</w:t>
                  </w:r>
                </w:p>
              </w:tc>
            </w:tr>
            <w:tr w:rsidTr="000C05D2">
              <w:tblPrEx>
                <w:tblW w:w="7558" w:type="dxa"/>
                <w:tblLayout w:type="fixed"/>
                <w:tblLook w:val="01E0"/>
              </w:tblPrEx>
              <w:trPr>
                <w:gridAfter w:val="1"/>
                <w:wAfter w:w="6" w:type="dxa"/>
                <w:trHeight w:val="331"/>
              </w:trPr>
              <w:tc>
                <w:tcPr>
                  <w:tcW w:w="1373" w:type="dxa"/>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Najmenší počet údajov </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90 %</w:t>
                  </w:r>
                </w:p>
              </w:tc>
            </w:tr>
            <w:tr w:rsidTr="000C05D2">
              <w:tblPrEx>
                <w:tblW w:w="7558" w:type="dxa"/>
                <w:tblLayout w:type="fixed"/>
                <w:tblLook w:val="01E0"/>
              </w:tblPrEx>
              <w:trPr>
                <w:gridAfter w:val="1"/>
                <w:wAfter w:w="6" w:type="dxa"/>
                <w:trHeight w:val="331"/>
              </w:trPr>
              <w:tc>
                <w:tcPr>
                  <w:tcW w:w="1373" w:type="dxa"/>
                </w:tcPr>
                <w:p w:rsidR="00121119" w:rsidRPr="00341B72" w:rsidP="00121119">
                  <w:pPr>
                    <w:pStyle w:val="NormalWeb"/>
                    <w:keepLines/>
                    <w:spacing w:before="0" w:beforeAutospacing="0" w:after="0" w:afterAutospacing="0"/>
                    <w:contextualSpacing/>
                    <w:rPr>
                      <w:sz w:val="20"/>
                      <w:szCs w:val="20"/>
                    </w:rPr>
                  </w:pPr>
                  <w:r w:rsidRPr="00341B72">
                    <w:rPr>
                      <w:sz w:val="20"/>
                      <w:szCs w:val="20"/>
                    </w:rPr>
                    <w:t>Najmenšie časové pokrytie</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14 %6)</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14 % 7)</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14 % 6)</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&gt; 10 %</w:t>
                  </w:r>
                </w:p>
                <w:p w:rsidR="00121119" w:rsidRPr="00341B72" w:rsidP="00121119">
                  <w:pPr>
                    <w:pStyle w:val="NormalWeb"/>
                    <w:keepLines/>
                    <w:spacing w:before="0" w:beforeAutospacing="0" w:after="0" w:afterAutospacing="0"/>
                    <w:ind w:left="-108"/>
                    <w:contextualSpacing/>
                    <w:jc w:val="center"/>
                    <w:rPr>
                      <w:sz w:val="20"/>
                      <w:szCs w:val="20"/>
                    </w:rPr>
                  </w:pPr>
                  <w:r w:rsidRPr="00341B72">
                    <w:rPr>
                      <w:sz w:val="20"/>
                      <w:szCs w:val="20"/>
                    </w:rPr>
                    <w:t>počas leta</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14 %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14 %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14 %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33 %</w:t>
                  </w:r>
                </w:p>
              </w:tc>
            </w:tr>
            <w:tr w:rsidTr="000C05D2">
              <w:tblPrEx>
                <w:tblW w:w="7558" w:type="dxa"/>
                <w:tblLayout w:type="fixed"/>
                <w:tblLook w:val="01E0"/>
              </w:tblPrEx>
              <w:trPr>
                <w:trHeight w:val="331"/>
              </w:trPr>
              <w:tc>
                <w:tcPr>
                  <w:tcW w:w="7558" w:type="dxa"/>
                  <w:gridSpan w:val="10"/>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Modelovanie </w:t>
                  </w:r>
                </w:p>
              </w:tc>
            </w:tr>
            <w:tr w:rsidTr="000C05D2">
              <w:tblPrEx>
                <w:tblW w:w="7558" w:type="dxa"/>
                <w:tblLayout w:type="fixed"/>
                <w:tblLook w:val="01E0"/>
              </w:tblPrEx>
              <w:trPr>
                <w:gridAfter w:val="1"/>
                <w:wAfter w:w="6" w:type="dxa"/>
                <w:trHeight w:val="331"/>
              </w:trPr>
              <w:tc>
                <w:tcPr>
                  <w:tcW w:w="1373" w:type="dxa"/>
                </w:tcPr>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Neistota </w:t>
                  </w:r>
                </w:p>
                <w:p w:rsidR="00121119" w:rsidRPr="00341B72" w:rsidP="00557828">
                  <w:pPr>
                    <w:pStyle w:val="NormalWeb"/>
                    <w:keepNext/>
                    <w:keepLines/>
                    <w:numPr>
                      <w:ilvl w:val="0"/>
                      <w:numId w:val="13"/>
                    </w:numPr>
                    <w:spacing w:before="0" w:beforeAutospacing="0" w:after="0" w:afterAutospacing="0"/>
                    <w:ind w:left="142" w:hanging="142"/>
                    <w:contextualSpacing/>
                    <w:jc w:val="both"/>
                    <w:rPr>
                      <w:sz w:val="20"/>
                      <w:szCs w:val="20"/>
                    </w:rPr>
                  </w:pPr>
                  <w:r w:rsidRPr="00341B72">
                    <w:rPr>
                      <w:sz w:val="20"/>
                      <w:szCs w:val="20"/>
                    </w:rPr>
                    <w:t xml:space="preserve">hodinové priemery </w:t>
                  </w:r>
                </w:p>
                <w:p w:rsidR="00121119" w:rsidRPr="00341B72" w:rsidP="00557828">
                  <w:pPr>
                    <w:pStyle w:val="NormalWeb"/>
                    <w:keepNext/>
                    <w:keepLines/>
                    <w:numPr>
                      <w:ilvl w:val="0"/>
                      <w:numId w:val="13"/>
                    </w:numPr>
                    <w:spacing w:before="0" w:beforeAutospacing="0" w:after="0" w:afterAutospacing="0"/>
                    <w:ind w:left="142" w:hanging="142"/>
                    <w:contextualSpacing/>
                    <w:jc w:val="both"/>
                    <w:rPr>
                      <w:sz w:val="20"/>
                      <w:szCs w:val="20"/>
                    </w:rPr>
                  </w:pPr>
                  <w:r w:rsidRPr="00341B72">
                    <w:rPr>
                      <w:sz w:val="20"/>
                      <w:szCs w:val="20"/>
                    </w:rPr>
                    <w:t xml:space="preserve">8-hodinové priemery </w:t>
                  </w:r>
                </w:p>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Denné priemery </w:t>
                  </w:r>
                </w:p>
                <w:p w:rsidR="00121119" w:rsidRPr="00341B72" w:rsidP="00121119">
                  <w:pPr>
                    <w:pStyle w:val="NormalWeb"/>
                    <w:keepLines/>
                    <w:spacing w:before="0" w:beforeAutospacing="0" w:after="0" w:afterAutospacing="0"/>
                    <w:contextualSpacing/>
                    <w:rPr>
                      <w:sz w:val="20"/>
                      <w:szCs w:val="20"/>
                    </w:rPr>
                  </w:pPr>
                  <w:r w:rsidRPr="00341B72">
                    <w:rPr>
                      <w:sz w:val="20"/>
                      <w:szCs w:val="20"/>
                    </w:rPr>
                    <w:t xml:space="preserve">Ročné priemery </w:t>
                  </w:r>
                </w:p>
              </w:tc>
              <w:tc>
                <w:tcPr>
                  <w:tcW w:w="699"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30 %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50 %</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60 %</w:t>
                  </w:r>
                </w:p>
              </w:tc>
              <w:tc>
                <w:tcPr>
                  <w:tcW w:w="700"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60 %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60 %</w:t>
                  </w:r>
                </w:p>
              </w:tc>
              <w:tc>
                <w:tcPr>
                  <w:tcW w:w="816" w:type="dxa"/>
                  <w:vAlign w:val="center"/>
                </w:tcPr>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w:t>
                  </w:r>
                </w:p>
                <w:p w:rsidR="00121119" w:rsidRPr="00341B72" w:rsidP="00121119">
                  <w:pPr>
                    <w:pStyle w:val="NormalWeb"/>
                    <w:keepLines/>
                    <w:spacing w:before="0" w:beforeAutospacing="0" w:after="0" w:afterAutospacing="0"/>
                    <w:contextualSpacing/>
                    <w:jc w:val="center"/>
                    <w:rPr>
                      <w:sz w:val="20"/>
                      <w:szCs w:val="20"/>
                    </w:rPr>
                  </w:pPr>
                  <w:r w:rsidRPr="00341B72">
                    <w:rPr>
                      <w:sz w:val="20"/>
                      <w:szCs w:val="20"/>
                    </w:rPr>
                    <w:t>60 %</w:t>
                  </w:r>
                </w:p>
              </w:tc>
            </w:tr>
            <w:tr w:rsidTr="000C05D2">
              <w:tblPrEx>
                <w:tblW w:w="7558" w:type="dxa"/>
                <w:tblLayout w:type="fixed"/>
                <w:tblLook w:val="01E0"/>
              </w:tblPrEx>
              <w:trPr>
                <w:trHeight w:val="331"/>
              </w:trPr>
              <w:tc>
                <w:tcPr>
                  <w:tcW w:w="7558" w:type="dxa"/>
                  <w:gridSpan w:val="10"/>
                  <w:tcBorders>
                    <w:bottom w:val="single" w:sz="4" w:space="0" w:color="auto"/>
                  </w:tcBorders>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Objektívny odhad</w:t>
                  </w:r>
                </w:p>
              </w:tc>
            </w:tr>
            <w:tr w:rsidTr="000C05D2">
              <w:tblPrEx>
                <w:tblW w:w="7558" w:type="dxa"/>
                <w:tblLayout w:type="fixed"/>
                <w:tblLook w:val="01E0"/>
              </w:tblPrEx>
              <w:trPr>
                <w:gridAfter w:val="1"/>
                <w:wAfter w:w="6" w:type="dxa"/>
                <w:trHeight w:val="331"/>
              </w:trPr>
              <w:tc>
                <w:tcPr>
                  <w:tcW w:w="1373" w:type="dxa"/>
                  <w:tcBorders>
                    <w:bottom w:val="single" w:sz="4" w:space="0" w:color="auto"/>
                  </w:tcBorders>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Neistota</w:t>
                  </w:r>
                </w:p>
              </w:tc>
              <w:tc>
                <w:tcPr>
                  <w:tcW w:w="699" w:type="dxa"/>
                  <w:tcBorders>
                    <w:bottom w:val="single" w:sz="4" w:space="0" w:color="auto"/>
                  </w:tcBorders>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75</w:t>
                  </w:r>
                  <w:r w:rsidRPr="00341B72">
                    <w:rPr>
                      <w:sz w:val="20"/>
                      <w:szCs w:val="20"/>
                    </w:rPr>
                    <w:t> %</w:t>
                  </w:r>
                </w:p>
              </w:tc>
              <w:tc>
                <w:tcPr>
                  <w:tcW w:w="700" w:type="dxa"/>
                  <w:tcBorders>
                    <w:bottom w:val="single" w:sz="4" w:space="0" w:color="auto"/>
                  </w:tcBorders>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100 %</w:t>
                  </w:r>
                </w:p>
              </w:tc>
              <w:tc>
                <w:tcPr>
                  <w:tcW w:w="816" w:type="dxa"/>
                  <w:tcBorders>
                    <w:bottom w:val="single" w:sz="4" w:space="0" w:color="auto"/>
                  </w:tcBorders>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100 %</w:t>
                  </w:r>
                </w:p>
              </w:tc>
              <w:tc>
                <w:tcPr>
                  <w:tcW w:w="816" w:type="dxa"/>
                  <w:tcBorders>
                    <w:bottom w:val="single" w:sz="4" w:space="0" w:color="auto"/>
                  </w:tcBorders>
                  <w:vAlign w:val="center"/>
                </w:tcPr>
                <w:p w:rsidR="00121119" w:rsidRPr="00341B72" w:rsidP="00121119">
                  <w:pPr>
                    <w:pStyle w:val="NormalWeb"/>
                    <w:keepLines/>
                    <w:spacing w:before="0" w:beforeAutospacing="0" w:after="0" w:afterAutospacing="0"/>
                    <w:contextualSpacing/>
                    <w:rPr>
                      <w:sz w:val="20"/>
                      <w:szCs w:val="20"/>
                    </w:rPr>
                  </w:pPr>
                  <w:r w:rsidRPr="00341B72">
                    <w:rPr>
                      <w:sz w:val="20"/>
                      <w:szCs w:val="20"/>
                    </w:rPr>
                    <w:t>75 %</w:t>
                  </w:r>
                </w:p>
              </w:tc>
              <w:tc>
                <w:tcPr>
                  <w:tcW w:w="816" w:type="dxa"/>
                  <w:tcBorders>
                    <w:bottom w:val="single" w:sz="4" w:space="0" w:color="auto"/>
                  </w:tcBorders>
                </w:tcPr>
                <w:p w:rsidR="00121119" w:rsidRPr="00341B72" w:rsidP="00121119">
                  <w:pPr>
                    <w:pStyle w:val="NormalWeb"/>
                    <w:keepLines/>
                    <w:spacing w:before="0" w:beforeAutospacing="0" w:after="0" w:afterAutospacing="0"/>
                    <w:contextualSpacing/>
                    <w:rPr>
                      <w:sz w:val="20"/>
                      <w:szCs w:val="20"/>
                    </w:rPr>
                  </w:pPr>
                </w:p>
              </w:tc>
              <w:tc>
                <w:tcPr>
                  <w:tcW w:w="700" w:type="dxa"/>
                  <w:tcBorders>
                    <w:bottom w:val="single" w:sz="4" w:space="0" w:color="auto"/>
                  </w:tcBorders>
                </w:tcPr>
                <w:p w:rsidR="00121119" w:rsidRPr="00341B72" w:rsidP="00121119">
                  <w:pPr>
                    <w:pStyle w:val="NormalWeb"/>
                    <w:keepLines/>
                    <w:spacing w:before="0" w:beforeAutospacing="0" w:after="0" w:afterAutospacing="0"/>
                    <w:contextualSpacing/>
                    <w:rPr>
                      <w:sz w:val="20"/>
                      <w:szCs w:val="20"/>
                    </w:rPr>
                  </w:pPr>
                </w:p>
              </w:tc>
              <w:tc>
                <w:tcPr>
                  <w:tcW w:w="816" w:type="dxa"/>
                  <w:tcBorders>
                    <w:bottom w:val="single" w:sz="4" w:space="0" w:color="auto"/>
                  </w:tcBorders>
                </w:tcPr>
                <w:p w:rsidR="00121119" w:rsidRPr="00341B72" w:rsidP="00121119">
                  <w:pPr>
                    <w:pStyle w:val="NormalWeb"/>
                    <w:keepLines/>
                    <w:spacing w:before="0" w:beforeAutospacing="0" w:after="0" w:afterAutospacing="0"/>
                    <w:contextualSpacing/>
                    <w:rPr>
                      <w:sz w:val="20"/>
                      <w:szCs w:val="20"/>
                    </w:rPr>
                  </w:pPr>
                </w:p>
              </w:tc>
              <w:tc>
                <w:tcPr>
                  <w:tcW w:w="816" w:type="dxa"/>
                  <w:tcBorders>
                    <w:bottom w:val="single" w:sz="4" w:space="0" w:color="auto"/>
                  </w:tcBorders>
                </w:tcPr>
                <w:p w:rsidR="00121119" w:rsidRPr="00341B72" w:rsidP="00121119">
                  <w:pPr>
                    <w:pStyle w:val="NormalWeb"/>
                    <w:keepLines/>
                    <w:spacing w:before="0" w:beforeAutospacing="0" w:after="0" w:afterAutospacing="0"/>
                    <w:contextualSpacing/>
                    <w:rPr>
                      <w:sz w:val="20"/>
                      <w:szCs w:val="20"/>
                    </w:rPr>
                  </w:pPr>
                </w:p>
              </w:tc>
            </w:tr>
          </w:tbl>
          <w:p w:rsidR="00121119" w:rsidRPr="00341B72" w:rsidP="00121119">
            <w:pPr>
              <w:pStyle w:val="NormalWeb"/>
              <w:keepLines/>
              <w:spacing w:before="0" w:beforeAutospacing="0" w:after="240" w:afterAutospacing="0"/>
              <w:contextualSpacing/>
              <w:rPr>
                <w:sz w:val="18"/>
                <w:szCs w:val="18"/>
              </w:rPr>
            </w:pPr>
            <w:r w:rsidRPr="00341B72">
              <w:rPr>
                <w:sz w:val="18"/>
                <w:szCs w:val="18"/>
              </w:rPr>
              <w:t>Poznámky:</w:t>
            </w:r>
          </w:p>
          <w:p w:rsidR="00121119" w:rsidRPr="00341B72" w:rsidP="00121119">
            <w:pPr>
              <w:pStyle w:val="NormalWeb"/>
              <w:keepLines/>
              <w:spacing w:before="0" w:beforeAutospacing="0" w:after="240" w:afterAutospacing="0"/>
              <w:ind w:left="284" w:right="425" w:hanging="284"/>
              <w:contextualSpacing/>
              <w:rPr>
                <w:sz w:val="18"/>
                <w:szCs w:val="18"/>
              </w:rPr>
            </w:pPr>
            <w:r w:rsidRPr="00341B72">
              <w:rPr>
                <w:sz w:val="18"/>
                <w:szCs w:val="18"/>
                <w:vertAlign w:val="superscript"/>
              </w:rPr>
              <w:t>1</w:t>
            </w:r>
            <w:r w:rsidRPr="00341B72">
              <w:rPr>
                <w:sz w:val="18"/>
                <w:szCs w:val="18"/>
              </w:rPr>
              <w:t xml:space="preserve">) Polycyklické  aromatické uhľovodíky okrem benzo(a)pyrénu. </w:t>
            </w:r>
          </w:p>
          <w:p w:rsidR="00121119" w:rsidRPr="00341B72" w:rsidP="00121119">
            <w:pPr>
              <w:pStyle w:val="NormalWeb"/>
              <w:keepLines/>
              <w:spacing w:before="0" w:beforeAutospacing="0" w:after="240" w:afterAutospacing="0"/>
              <w:ind w:left="142" w:right="-142" w:hanging="142"/>
              <w:contextualSpacing/>
              <w:rPr>
                <w:sz w:val="18"/>
                <w:szCs w:val="18"/>
              </w:rPr>
            </w:pPr>
            <w:r w:rsidRPr="00341B72">
              <w:rPr>
                <w:sz w:val="18"/>
                <w:szCs w:val="18"/>
                <w:vertAlign w:val="superscript"/>
              </w:rPr>
              <w:t>2</w:t>
            </w:r>
            <w:r w:rsidRPr="00341B72">
              <w:rPr>
                <w:sz w:val="18"/>
                <w:szCs w:val="18"/>
              </w:rPr>
              <w:t>) Kontinuálne merania benzénu, olova a častíc PM</w:t>
            </w:r>
            <w:r w:rsidRPr="00341B72">
              <w:rPr>
                <w:sz w:val="18"/>
                <w:szCs w:val="18"/>
                <w:vertAlign w:val="subscript"/>
              </w:rPr>
              <w:t>10</w:t>
            </w:r>
            <w:r w:rsidRPr="00341B72">
              <w:rPr>
                <w:sz w:val="18"/>
                <w:szCs w:val="18"/>
              </w:rPr>
              <w:t xml:space="preserve"> a častíc PM</w:t>
            </w:r>
            <w:r w:rsidRPr="00341B72">
              <w:rPr>
                <w:sz w:val="18"/>
                <w:szCs w:val="18"/>
                <w:vertAlign w:val="subscript"/>
              </w:rPr>
              <w:t xml:space="preserve">2,5 </w:t>
            </w:r>
            <w:r w:rsidRPr="00341B72">
              <w:rPr>
                <w:sz w:val="18"/>
                <w:szCs w:val="18"/>
              </w:rPr>
              <w:t>možno nahradiť stálym periodickým meraním, ak ministerstvom poverená organizácia vykonávajúca hodnotenie kvality ovzdušia Európskej komisii preukáže, že neistota vrátane neistoty v rámci náhodného odberu vzoriek spĺňa kvalitatívny cieľ 25 % a časové pokrytie je vždy dlhšie ako najmenšie časové pokrytie pre indikatívne merania. Náhodný odber vzorky je potrebné rozdeliť v rámci roka rovnomerne, aby sa zabránilo skresleniu údajov. Neistota v rámci náhodného odberu vzorky sa môže určiť postupom ustanoveným v technickej norme.</w:t>
            </w:r>
            <w:r>
              <w:rPr>
                <w:sz w:val="18"/>
                <w:szCs w:val="18"/>
                <w:vertAlign w:val="superscript"/>
              </w:rPr>
              <w:footnoteReference w:id="3"/>
            </w:r>
            <w:r w:rsidRPr="00341B72">
              <w:rPr>
                <w:sz w:val="18"/>
                <w:szCs w:val="18"/>
              </w:rPr>
              <w:t>) alebo inej obdobnej technickej špecifikácii s porovnateľnými alebo prísnejšími požiadavkami. Ak sa stále periodické merania používajú na hodnotenie požiadaviek na limitnú hodnotu častíc PM</w:t>
            </w:r>
            <w:r w:rsidRPr="00341B72">
              <w:rPr>
                <w:sz w:val="18"/>
                <w:szCs w:val="18"/>
                <w:vertAlign w:val="subscript"/>
              </w:rPr>
              <w:t>10</w:t>
            </w:r>
            <w:r w:rsidRPr="00341B72">
              <w:rPr>
                <w:sz w:val="18"/>
                <w:szCs w:val="18"/>
              </w:rPr>
              <w:t>, mal by sa namiesto počtu prekročení, na ktorý veľmi vplýva rozsah údajov, hodnotiť 90,4-percentil, ktorý má byť nižší alebo rovný 50 μg/m3</w:t>
            </w:r>
            <w:r w:rsidRPr="00341B72">
              <w:rPr>
                <w:sz w:val="18"/>
                <w:szCs w:val="18"/>
              </w:rPr>
              <w:t>.</w:t>
            </w:r>
          </w:p>
          <w:p w:rsidR="00121119" w:rsidRPr="00341B72" w:rsidP="00121119">
            <w:pPr>
              <w:pStyle w:val="NormalWeb"/>
              <w:keepLines/>
              <w:spacing w:before="0" w:beforeAutospacing="0" w:after="240" w:afterAutospacing="0"/>
              <w:ind w:left="142" w:right="141" w:hanging="142"/>
              <w:contextualSpacing/>
              <w:rPr>
                <w:sz w:val="18"/>
                <w:szCs w:val="18"/>
              </w:rPr>
            </w:pPr>
            <w:r w:rsidRPr="00341B72">
              <w:rPr>
                <w:sz w:val="18"/>
                <w:szCs w:val="18"/>
                <w:vertAlign w:val="superscript"/>
              </w:rPr>
              <w:t>3</w:t>
            </w:r>
            <w:r w:rsidRPr="00341B72">
              <w:rPr>
                <w:sz w:val="18"/>
                <w:szCs w:val="18"/>
              </w:rPr>
              <w:t>) Rozdelené v rámci roka tak, aby predstavovali rôzne podmienky klímy a dopravy.</w:t>
            </w:r>
          </w:p>
          <w:p w:rsidR="00121119" w:rsidRPr="00341B72" w:rsidP="00121119">
            <w:pPr>
              <w:pStyle w:val="NormalWeb"/>
              <w:keepLines/>
              <w:spacing w:before="0" w:beforeAutospacing="0" w:after="240" w:afterAutospacing="0"/>
              <w:ind w:left="142" w:right="141" w:hanging="142"/>
              <w:contextualSpacing/>
              <w:rPr>
                <w:sz w:val="18"/>
                <w:szCs w:val="18"/>
              </w:rPr>
            </w:pPr>
            <w:r w:rsidRPr="00341B72">
              <w:rPr>
                <w:sz w:val="18"/>
                <w:szCs w:val="18"/>
                <w:vertAlign w:val="superscript"/>
              </w:rPr>
              <w:t>3a</w:t>
            </w:r>
            <w:r w:rsidRPr="00341B72">
              <w:rPr>
                <w:sz w:val="18"/>
                <w:szCs w:val="18"/>
              </w:rPr>
              <w:t>) Indikatívne merania pre SO2, NO2, NOx, CO, benzén,  PM</w:t>
            </w:r>
            <w:r w:rsidRPr="00341B72">
              <w:rPr>
                <w:sz w:val="18"/>
                <w:szCs w:val="18"/>
                <w:vertAlign w:val="subscript"/>
              </w:rPr>
              <w:t>10</w:t>
            </w:r>
            <w:r w:rsidRPr="00341B72">
              <w:rPr>
                <w:sz w:val="18"/>
                <w:szCs w:val="18"/>
              </w:rPr>
              <w:t>, PM</w:t>
            </w:r>
            <w:r w:rsidRPr="00341B72">
              <w:rPr>
                <w:sz w:val="18"/>
                <w:szCs w:val="18"/>
                <w:vertAlign w:val="subscript"/>
              </w:rPr>
              <w:t>2,5</w:t>
            </w:r>
            <w:r w:rsidRPr="00341B72">
              <w:rPr>
                <w:sz w:val="18"/>
                <w:szCs w:val="18"/>
              </w:rPr>
              <w:t>, Pb, ozón a súvisiace NO a NO2 sú merania, ktoré spĺňajú menej prísne ciele v kvalite údajov, ako sa vyž</w:t>
            </w:r>
            <w:r w:rsidRPr="00341B72">
              <w:rPr>
                <w:sz w:val="18"/>
                <w:szCs w:val="18"/>
              </w:rPr>
              <w:t>aduje pri stálych meraniach.</w:t>
            </w:r>
          </w:p>
          <w:p w:rsidR="00121119" w:rsidRPr="00341B72" w:rsidP="00121119">
            <w:pPr>
              <w:pStyle w:val="NormalWeb"/>
              <w:keepLines/>
              <w:spacing w:before="0" w:beforeAutospacing="0" w:after="0" w:afterAutospacing="0"/>
              <w:ind w:left="142" w:right="141" w:hanging="142"/>
              <w:contextualSpacing/>
              <w:rPr>
                <w:sz w:val="18"/>
                <w:szCs w:val="18"/>
              </w:rPr>
            </w:pPr>
            <w:r w:rsidRPr="00341B72">
              <w:rPr>
                <w:sz w:val="18"/>
                <w:szCs w:val="18"/>
                <w:vertAlign w:val="superscript"/>
              </w:rPr>
              <w:t>4</w:t>
            </w:r>
            <w:r w:rsidRPr="00341B72">
              <w:rPr>
                <w:sz w:val="18"/>
                <w:szCs w:val="18"/>
              </w:rPr>
              <w:t>) Indikatívne merania pre BaP, As, Cd, Ni, PAH, plynnú ortuť a celkovú depozíciu sú merania, ktoré sa vykonávajú so zníženou pravidelnosťou, ale spĺňajú ostatné ciele v kvalite údajov.</w:t>
            </w:r>
          </w:p>
          <w:p w:rsidR="00121119" w:rsidRPr="00341B72" w:rsidP="00121119">
            <w:pPr>
              <w:keepNext/>
              <w:keepLines/>
              <w:autoSpaceDE w:val="0"/>
              <w:autoSpaceDN w:val="0"/>
              <w:adjustRightInd w:val="0"/>
              <w:ind w:left="142" w:right="141" w:hanging="142"/>
              <w:contextualSpacing/>
              <w:jc w:val="both"/>
              <w:rPr>
                <w:sz w:val="18"/>
                <w:szCs w:val="18"/>
                <w:lang w:eastAsia="sk-SK"/>
              </w:rPr>
            </w:pPr>
            <w:r w:rsidRPr="00341B72">
              <w:rPr>
                <w:sz w:val="18"/>
                <w:szCs w:val="18"/>
                <w:vertAlign w:val="superscript"/>
                <w:lang w:eastAsia="sk-SK"/>
              </w:rPr>
              <w:t>5</w:t>
            </w:r>
            <w:r w:rsidRPr="00341B72">
              <w:rPr>
                <w:sz w:val="18"/>
                <w:szCs w:val="18"/>
                <w:lang w:eastAsia="sk-SK"/>
              </w:rPr>
              <w:t>) Rozdelené v rámci roka tak, aby predstavovali rôzne podmienky klímy a antropogénnej činnosti.</w:t>
            </w:r>
          </w:p>
          <w:p w:rsidR="00121119" w:rsidRPr="00341B72" w:rsidP="00121119">
            <w:pPr>
              <w:keepNext/>
              <w:keepLines/>
              <w:autoSpaceDE w:val="0"/>
              <w:autoSpaceDN w:val="0"/>
              <w:adjustRightInd w:val="0"/>
              <w:ind w:left="142" w:right="141" w:hanging="142"/>
              <w:contextualSpacing/>
              <w:jc w:val="both"/>
              <w:rPr>
                <w:sz w:val="18"/>
                <w:szCs w:val="18"/>
                <w:lang w:eastAsia="sk-SK"/>
              </w:rPr>
            </w:pPr>
            <w:r w:rsidRPr="00341B72">
              <w:rPr>
                <w:sz w:val="18"/>
                <w:szCs w:val="18"/>
                <w:vertAlign w:val="superscript"/>
                <w:lang w:eastAsia="sk-SK"/>
              </w:rPr>
              <w:t>6</w:t>
            </w:r>
            <w:r w:rsidRPr="00341B72">
              <w:rPr>
                <w:sz w:val="18"/>
                <w:szCs w:val="18"/>
                <w:lang w:eastAsia="sk-SK"/>
              </w:rPr>
              <w:t>) Jedno periodické denné meranie týždenne rovnomerne rozdelené počas roka alebo 8 týždňov rovnomerne rozdelených počas roka.</w:t>
            </w:r>
          </w:p>
          <w:p w:rsidR="00121119" w:rsidRPr="00341B72" w:rsidP="00121119">
            <w:pPr>
              <w:keepNext/>
              <w:keepLines/>
              <w:autoSpaceDE w:val="0"/>
              <w:autoSpaceDN w:val="0"/>
              <w:adjustRightInd w:val="0"/>
              <w:ind w:right="425"/>
              <w:contextualSpacing/>
              <w:rPr>
                <w:sz w:val="18"/>
                <w:szCs w:val="18"/>
                <w:lang w:eastAsia="sk-SK"/>
              </w:rPr>
            </w:pPr>
            <w:r w:rsidRPr="00341B72">
              <w:rPr>
                <w:sz w:val="18"/>
                <w:szCs w:val="18"/>
                <w:vertAlign w:val="superscript"/>
                <w:lang w:eastAsia="sk-SK"/>
              </w:rPr>
              <w:t>7</w:t>
            </w:r>
            <w:r w:rsidRPr="00341B72">
              <w:rPr>
                <w:sz w:val="18"/>
                <w:szCs w:val="18"/>
                <w:lang w:eastAsia="sk-SK"/>
              </w:rPr>
              <w:t>) Jedno periodické meranie týždenne rovnomerne rozdelené počas roka alebo 8 týždňov rovnomerne rozdelených počas roka.</w:t>
            </w:r>
          </w:p>
          <w:p w:rsidR="00CB3E7D" w:rsidRPr="00341B72" w:rsidP="00121119">
            <w:pPr>
              <w:pStyle w:val="NormalWeb"/>
              <w:spacing w:before="0" w:beforeAutospacing="0" w:after="0" w:afterAutospacing="0"/>
              <w:rPr>
                <w:sz w:val="18"/>
                <w:szCs w:val="18"/>
              </w:rPr>
            </w:pPr>
          </w:p>
          <w:p w:rsidR="00992C59" w:rsidRPr="00341B72" w:rsidP="00121119">
            <w:pPr>
              <w:pStyle w:val="NormalWeb"/>
              <w:spacing w:before="0" w:beforeAutospacing="0" w:after="0" w:afterAutospacing="0"/>
              <w:rPr>
                <w:sz w:val="18"/>
                <w:szCs w:val="18"/>
              </w:rPr>
            </w:pPr>
            <w:r w:rsidRPr="00341B72">
              <w:rPr>
                <w:sz w:val="18"/>
                <w:szCs w:val="18"/>
                <w:vertAlign w:val="superscript"/>
              </w:rPr>
              <w:t>18</w:t>
            </w:r>
            <w:r w:rsidRPr="00341B72">
              <w:rPr>
                <w:sz w:val="18"/>
                <w:szCs w:val="18"/>
              </w:rPr>
              <w:t xml:space="preserve">) </w:t>
            </w:r>
            <w:r w:rsidRPr="00341B72">
              <w:rPr>
                <w:sz w:val="18"/>
                <w:szCs w:val="18"/>
                <w:lang w:bidi="sk-SK"/>
              </w:rPr>
              <w:t>STN ISO 11222 Ochrana ovzdušia. Vonkajšie ovzdušie. Stanovenie neistoty časového priemeru pri meraniach na zisťovanie kvality ovzdušia (83 5514).</w:t>
            </w:r>
          </w:p>
          <w:p w:rsidR="00CB3E7D" w:rsidRPr="00341B72" w:rsidP="00CB3E7D">
            <w:pPr>
              <w:jc w:val="both"/>
              <w:rPr>
                <w:sz w:val="20"/>
                <w:lang w:eastAsia="sk-SK"/>
              </w:rPr>
            </w:pPr>
          </w:p>
          <w:p w:rsidR="00121119" w:rsidRPr="00341B72" w:rsidP="00121119">
            <w:pPr>
              <w:pStyle w:val="NormalWeb"/>
              <w:keepLines/>
              <w:spacing w:before="0" w:beforeAutospacing="0" w:after="0" w:afterAutospacing="0"/>
              <w:contextualSpacing/>
              <w:rPr>
                <w:sz w:val="20"/>
                <w:szCs w:val="20"/>
              </w:rPr>
            </w:pPr>
            <w:r w:rsidRPr="00341B72">
              <w:rPr>
                <w:sz w:val="20"/>
                <w:szCs w:val="20"/>
              </w:rPr>
              <w:t>Neistota vyjadrená pri 95-percentom intervale spoľahlivost</w:t>
            </w:r>
            <w:r w:rsidRPr="00341B72">
              <w:rPr>
                <w:sz w:val="20"/>
                <w:szCs w:val="20"/>
              </w:rPr>
              <w:t>i hodnotiacich metód sa posúdi v súlade s technickými normami.</w:t>
            </w:r>
            <w:r>
              <w:rPr>
                <w:sz w:val="20"/>
                <w:szCs w:val="20"/>
                <w:vertAlign w:val="superscript"/>
              </w:rPr>
              <w:footnoteReference w:id="4"/>
            </w:r>
            <w:r w:rsidRPr="00341B72">
              <w:rPr>
                <w:sz w:val="20"/>
                <w:szCs w:val="20"/>
              </w:rPr>
              <w:t>) alebo inou obdobnou technickou špecifikáciou  s porovnateľnejšími alebo prísnejšími požiadavkami. Percentá neistoty uvedené v tabuľke sa uvádzajú pre jednotlivé merania spriemerované za dané obdobie vo vzťahu k limitnej hodnote alebo cieľovej hodnote pre 95-percentný interval spoľahlivosti. Neistota stálych meraní sa interpretuje ako nestálosť, ktorú možno uplatňovať v pásme príslušnej limitnej hodnoty alebo cieľovej hodnoty.</w:t>
            </w:r>
          </w:p>
          <w:p w:rsidR="00121119" w:rsidRPr="00341B72" w:rsidP="00121119">
            <w:pPr>
              <w:pStyle w:val="NormalWeb"/>
              <w:keepLines/>
              <w:spacing w:before="0" w:beforeAutospacing="0" w:after="0" w:afterAutospacing="0"/>
              <w:contextualSpacing/>
              <w:rPr>
                <w:sz w:val="20"/>
                <w:szCs w:val="20"/>
              </w:rPr>
            </w:pPr>
          </w:p>
          <w:p w:rsidR="00121119" w:rsidRPr="00341B72" w:rsidP="00121119">
            <w:pPr>
              <w:pStyle w:val="NormalWeb"/>
              <w:keepLines/>
              <w:spacing w:before="0" w:beforeAutospacing="0" w:after="0" w:afterAutospacing="0"/>
              <w:contextualSpacing/>
              <w:rPr>
                <w:sz w:val="20"/>
                <w:szCs w:val="20"/>
              </w:rPr>
            </w:pPr>
            <w:r w:rsidRPr="00341B72">
              <w:rPr>
                <w:sz w:val="20"/>
                <w:szCs w:val="20"/>
              </w:rPr>
              <w:t>Neistota modelovania pre znečisťujúce látky</w:t>
            </w:r>
          </w:p>
          <w:p w:rsidR="00121119" w:rsidRPr="00341B72" w:rsidP="00557828">
            <w:pPr>
              <w:pStyle w:val="NormalWeb"/>
              <w:keepNext/>
              <w:keepLines/>
              <w:numPr>
                <w:ilvl w:val="0"/>
                <w:numId w:val="14"/>
              </w:numPr>
              <w:spacing w:before="0" w:beforeAutospacing="0" w:after="0" w:afterAutospacing="0"/>
              <w:ind w:left="284" w:hanging="284"/>
              <w:contextualSpacing/>
              <w:jc w:val="both"/>
              <w:rPr>
                <w:sz w:val="20"/>
                <w:szCs w:val="20"/>
              </w:rPr>
            </w:pPr>
            <w:r w:rsidRPr="00341B72">
              <w:rPr>
                <w:sz w:val="20"/>
                <w:szCs w:val="20"/>
              </w:rPr>
              <w:t xml:space="preserve"> oxid siričitý, oxid dusičitý, oxidy dusíka, oxid uhoľnatý, benzén, PM</w:t>
            </w:r>
            <w:r w:rsidRPr="00341B72">
              <w:rPr>
                <w:sz w:val="20"/>
                <w:szCs w:val="20"/>
                <w:vertAlign w:val="subscript"/>
              </w:rPr>
              <w:t>10</w:t>
            </w:r>
            <w:r w:rsidRPr="00341B72">
              <w:rPr>
                <w:sz w:val="20"/>
                <w:szCs w:val="20"/>
              </w:rPr>
              <w:t>, PM</w:t>
            </w:r>
            <w:r w:rsidRPr="00341B72">
              <w:rPr>
                <w:sz w:val="20"/>
                <w:szCs w:val="20"/>
                <w:vertAlign w:val="subscript"/>
              </w:rPr>
              <w:t>2,5</w:t>
            </w:r>
            <w:r w:rsidRPr="00341B72">
              <w:rPr>
                <w:sz w:val="20"/>
                <w:szCs w:val="20"/>
              </w:rPr>
              <w:t>, ozón a súvisiace látky oxid dusnatý a oxid dusičitý sa definuje ako najväčšia odchýlka meraných a vypočítaných úrovní koncentrácie pre 90 % jednotlivých monitorovacích bodov za dané obdobie vo vzťahu k limitnej hodnote alebo cieľovej hodnote bez toho, aby sa bral do úvahy čas udalostí,</w:t>
            </w:r>
          </w:p>
          <w:p w:rsidR="00121119" w:rsidRPr="00341B72" w:rsidP="00121119">
            <w:pPr>
              <w:pStyle w:val="NormalWeb"/>
              <w:keepLines/>
              <w:spacing w:before="0" w:beforeAutospacing="0" w:after="0" w:afterAutospacing="0"/>
              <w:contextualSpacing/>
              <w:rPr>
                <w:sz w:val="20"/>
                <w:szCs w:val="20"/>
              </w:rPr>
            </w:pPr>
          </w:p>
          <w:p w:rsidR="00121119" w:rsidRPr="00341B72" w:rsidP="00557828">
            <w:pPr>
              <w:pStyle w:val="NormalWeb"/>
              <w:keepNext/>
              <w:keepLines/>
              <w:numPr>
                <w:ilvl w:val="0"/>
                <w:numId w:val="14"/>
              </w:numPr>
              <w:spacing w:before="0" w:beforeAutospacing="0" w:after="0" w:afterAutospacing="0"/>
              <w:ind w:left="284" w:hanging="284"/>
              <w:contextualSpacing/>
              <w:jc w:val="both"/>
              <w:rPr>
                <w:sz w:val="20"/>
                <w:szCs w:val="20"/>
              </w:rPr>
            </w:pPr>
            <w:r w:rsidRPr="00341B72">
              <w:rPr>
                <w:sz w:val="20"/>
                <w:szCs w:val="20"/>
              </w:rPr>
              <w:t>benzo(a)pyrén, arzén, kadmium, nikel, polycyklické aromatické uhľovodíky, celková plynná ortuť a pre celkovú depozíciu sa uvažujú hodnoty nameraných a vypočítaných úrovní koncentrácie počas celého roka. Neistota modelovania sa interpretuje ako nestálosť, ktorú možno uplatňovať v pásme príslušnej limitnej hodnoty alebo cieľovej hodnoty. Stále merania, ktoré sa musia vybrať na porovnanie s výsledkami modelovania, reprezentujú mierku, ktorú model pokrýva.</w:t>
            </w:r>
          </w:p>
          <w:p w:rsidR="00121119" w:rsidRPr="00341B72" w:rsidP="00121119">
            <w:pPr>
              <w:pStyle w:val="NormalWeb"/>
              <w:keepLines/>
              <w:spacing w:before="0" w:beforeAutospacing="0" w:after="0" w:afterAutospacing="0"/>
              <w:contextualSpacing/>
              <w:rPr>
                <w:sz w:val="20"/>
                <w:szCs w:val="20"/>
              </w:rPr>
            </w:pPr>
          </w:p>
          <w:p w:rsidR="00121119" w:rsidRPr="00341B72" w:rsidP="00121119">
            <w:pPr>
              <w:pStyle w:val="NormalWeb"/>
              <w:keepLines/>
              <w:spacing w:before="0" w:beforeAutospacing="0" w:after="0" w:afterAutospacing="0"/>
              <w:contextualSpacing/>
              <w:rPr>
                <w:sz w:val="20"/>
                <w:szCs w:val="20"/>
              </w:rPr>
            </w:pPr>
            <w:r w:rsidRPr="00341B72">
              <w:rPr>
                <w:sz w:val="20"/>
                <w:szCs w:val="20"/>
              </w:rPr>
              <w:t>Neistota objektívneho odhadu sa definuje ako najväčšia odchýlka meraných a vypočítaných úrovní koncentrácie za dané obdobie vo vzťahu k limitnej hodnote alebo cieľovej hodnote bez toho, aby sa bral do úvahy čas udalostí. Ak ide o znečisťujúce látky benzo(a)pyrén, arzén, kadmium, nikel, polycyklické aromatické uhľovodíky, celková plynná ortuť a pre celkovú depozíciu, neistota odhadu nesmie prekročiť 100 %.</w:t>
            </w:r>
          </w:p>
          <w:p w:rsidR="00121119" w:rsidRPr="00341B72" w:rsidP="00121119">
            <w:pPr>
              <w:pStyle w:val="NormalWeb"/>
              <w:keepLines/>
              <w:spacing w:before="0" w:beforeAutospacing="0" w:after="0" w:afterAutospacing="0"/>
              <w:contextualSpacing/>
              <w:rPr>
                <w:sz w:val="20"/>
                <w:szCs w:val="20"/>
              </w:rPr>
            </w:pPr>
          </w:p>
          <w:p w:rsidR="00121119" w:rsidRPr="00341B72" w:rsidP="00121119">
            <w:pPr>
              <w:pStyle w:val="NormalWeb"/>
              <w:keepLines/>
              <w:spacing w:before="0" w:beforeAutospacing="0" w:after="0" w:afterAutospacing="0"/>
              <w:contextualSpacing/>
              <w:rPr>
                <w:sz w:val="20"/>
                <w:szCs w:val="20"/>
              </w:rPr>
            </w:pPr>
            <w:r w:rsidRPr="00341B72">
              <w:rPr>
                <w:sz w:val="20"/>
                <w:szCs w:val="20"/>
              </w:rPr>
              <w:t>Požiadavky na najmenší počet údajov a najmenšie časové pokrytie nezahŕňajú straty údajov spôsobené pravidelnou kalibráciou alebo bežnou údržbou prístrojov.</w:t>
            </w:r>
          </w:p>
          <w:p w:rsidR="00121119" w:rsidRPr="00341B72" w:rsidP="00121119">
            <w:pPr>
              <w:pStyle w:val="NormalWeb"/>
              <w:keepLines/>
              <w:spacing w:before="0" w:beforeAutospacing="0" w:after="0" w:afterAutospacing="0"/>
              <w:contextualSpacing/>
              <w:rPr>
                <w:sz w:val="20"/>
                <w:szCs w:val="20"/>
              </w:rPr>
            </w:pPr>
          </w:p>
          <w:p w:rsidR="00121119" w:rsidRPr="00341B72" w:rsidP="00121119">
            <w:pPr>
              <w:rPr>
                <w:sz w:val="20"/>
                <w:lang w:eastAsia="sk-SK"/>
              </w:rPr>
            </w:pPr>
            <w:r w:rsidRPr="00341B72">
              <w:rPr>
                <w:sz w:val="20"/>
                <w:lang w:eastAsia="sk-SK"/>
              </w:rPr>
              <w:br w:type="page"/>
            </w:r>
          </w:p>
          <w:p w:rsidR="00121119" w:rsidRPr="00341B72" w:rsidP="00121119">
            <w:pPr>
              <w:keepNext/>
              <w:keepLines/>
              <w:contextualSpacing/>
              <w:jc w:val="both"/>
              <w:rPr>
                <w:sz w:val="20"/>
                <w:lang w:eastAsia="sk-SK"/>
              </w:rPr>
            </w:pPr>
            <w:r w:rsidRPr="00341B72">
              <w:rPr>
                <w:sz w:val="20"/>
                <w:lang w:eastAsia="sk-SK"/>
              </w:rPr>
              <w:t>Na meranie benzo(a)pyrénu a ďalších polycyklických aromatických uhľovodíkov sa vyžaduje dvadsaťštyrihodinový odber vzoriek. Pri správnom nakladaní so vzorkami možno jednotlivé vzorky odobraté v období do jedného mesiaca spájať a analyzovať ako zloženú vzorku za predpokladu, že metóda zabezpečí, aby boli vzorky počas tohto obdobia stabilné. Tri izomérne zlúčeniny benzo(b)fluorantén, benzo(j)fluorantén, benzo(k)fluorantén, ktoré je ťažko chromatograficky rozdeliť sa môžu určiť a interpretovať ako súčet. Odber vzoriek sa rozkladá rovnomerne na dni v týždni a počas roka. Meranie rýchlosti depozície sa uskutočňuje najmä z mesačných alebo týždenných odberov vzoriek počas celého roka.</w:t>
            </w:r>
          </w:p>
          <w:p w:rsidR="00992C59" w:rsidRPr="00341B72" w:rsidP="00121119">
            <w:pPr>
              <w:keepNext/>
              <w:keepLines/>
              <w:contextualSpacing/>
              <w:jc w:val="both"/>
              <w:rPr>
                <w:sz w:val="20"/>
                <w:lang w:eastAsia="sk-SK"/>
              </w:rPr>
            </w:pPr>
          </w:p>
          <w:p w:rsidR="00992C59" w:rsidRPr="00341B72" w:rsidP="00992C59">
            <w:pPr>
              <w:pStyle w:val="FootnoteText"/>
              <w:spacing w:before="0"/>
              <w:ind w:left="0" w:firstLine="0"/>
              <w:rPr>
                <w:sz w:val="18"/>
                <w:szCs w:val="18"/>
                <w:lang w:eastAsia="sk-SK"/>
              </w:rPr>
            </w:pPr>
            <w:r w:rsidRPr="00341B72">
              <w:rPr>
                <w:vertAlign w:val="superscript"/>
              </w:rPr>
              <w:t>19</w:t>
            </w:r>
            <w:r w:rsidRPr="00341B72">
              <w:rPr>
                <w:sz w:val="18"/>
                <w:szCs w:val="18"/>
              </w:rPr>
              <w:t>)</w:t>
            </w:r>
            <w:r w:rsidRPr="00341B72">
              <w:rPr>
                <w:bCs/>
                <w:sz w:val="18"/>
                <w:szCs w:val="18"/>
              </w:rPr>
              <w:t xml:space="preserve"> </w:t>
            </w:r>
            <w:r w:rsidRPr="00341B72">
              <w:rPr>
                <w:sz w:val="18"/>
                <w:szCs w:val="18"/>
                <w:lang w:eastAsia="sk-SK"/>
              </w:rPr>
              <w:t xml:space="preserve">STN P ENV 13005 Návod na určovanie neistoty pri meraní (99 0010), STN EN ISO 20988 Ochrana ovzdušia. Návod na odhad neistoty merania (ISO 20988: 2007) (83 4102), </w:t>
            </w:r>
          </w:p>
          <w:p w:rsidR="00992C59" w:rsidRPr="00341B72" w:rsidP="00992C59">
            <w:pPr>
              <w:pStyle w:val="FootnoteText"/>
              <w:spacing w:before="0"/>
              <w:rPr>
                <w:sz w:val="18"/>
                <w:szCs w:val="18"/>
                <w:lang w:eastAsia="sk-SK"/>
              </w:rPr>
            </w:pPr>
            <w:r w:rsidRPr="00341B72">
              <w:rPr>
                <w:sz w:val="18"/>
                <w:szCs w:val="18"/>
                <w:lang w:eastAsia="sk-SK"/>
              </w:rPr>
              <w:t xml:space="preserve">STN ISO 5725-1/C1 Presnosť (správnosť a zhodnosť) metód a výsledkov merania. Časť 1: Všeobecné zásady a definície (01 0251), </w:t>
            </w:r>
          </w:p>
          <w:p w:rsidR="00992C59" w:rsidRPr="00341B72" w:rsidP="00992C59">
            <w:pPr>
              <w:pStyle w:val="FootnoteText"/>
              <w:spacing w:before="0"/>
              <w:rPr>
                <w:sz w:val="18"/>
                <w:szCs w:val="18"/>
                <w:lang w:eastAsia="sk-SK"/>
              </w:rPr>
            </w:pPr>
            <w:r w:rsidRPr="00341B72">
              <w:rPr>
                <w:sz w:val="18"/>
                <w:szCs w:val="18"/>
                <w:lang w:eastAsia="sk-SK"/>
              </w:rPr>
              <w:t>STN ISO 5725-2/C1 Presnosť (správnosť a zhodnosť) metód a výsledkov merania. Časť 2: Základná metóda stanovenia opakovateľnosti a reprodukovateľnosti norma</w:t>
            </w:r>
            <w:r w:rsidRPr="00341B72">
              <w:rPr>
                <w:sz w:val="18"/>
                <w:szCs w:val="18"/>
                <w:lang w:eastAsia="sk-SK"/>
              </w:rPr>
              <w:t xml:space="preserve">lizovanej metódy merania (01 0251), </w:t>
            </w:r>
          </w:p>
          <w:p w:rsidR="00992C59" w:rsidRPr="00341B72" w:rsidP="00992C59">
            <w:pPr>
              <w:pStyle w:val="FootnoteText"/>
              <w:spacing w:before="0"/>
              <w:rPr>
                <w:sz w:val="18"/>
                <w:szCs w:val="18"/>
                <w:lang w:eastAsia="sk-SK"/>
              </w:rPr>
            </w:pPr>
            <w:r w:rsidRPr="00341B72">
              <w:rPr>
                <w:sz w:val="18"/>
                <w:szCs w:val="18"/>
                <w:lang w:eastAsia="sk-SK"/>
              </w:rPr>
              <w:t xml:space="preserve">STN ISO 5725-3/C1 Presnosť (správnosť a zhodnosť) metód a výsledkov merania. </w:t>
            </w:r>
          </w:p>
          <w:p w:rsidR="00992C59" w:rsidRPr="00341B72" w:rsidP="00992C59">
            <w:pPr>
              <w:pStyle w:val="FootnoteText"/>
              <w:spacing w:before="0"/>
              <w:rPr>
                <w:sz w:val="18"/>
                <w:szCs w:val="18"/>
                <w:lang w:eastAsia="sk-SK"/>
              </w:rPr>
            </w:pPr>
            <w:r w:rsidRPr="00341B72">
              <w:rPr>
                <w:sz w:val="18"/>
                <w:szCs w:val="18"/>
                <w:lang w:eastAsia="sk-SK"/>
              </w:rPr>
              <w:t xml:space="preserve">    Časť 3: Medziľahlé miery zhodnosti normalizovanej metódy merania (01 0251), </w:t>
            </w:r>
          </w:p>
          <w:p w:rsidR="00992C59" w:rsidRPr="00341B72" w:rsidP="00992C59">
            <w:pPr>
              <w:pStyle w:val="FootnoteText"/>
              <w:spacing w:before="0"/>
              <w:rPr>
                <w:sz w:val="18"/>
                <w:szCs w:val="18"/>
                <w:lang w:eastAsia="sk-SK"/>
              </w:rPr>
            </w:pPr>
            <w:r w:rsidRPr="00341B72">
              <w:rPr>
                <w:sz w:val="18"/>
                <w:szCs w:val="18"/>
                <w:lang w:eastAsia="sk-SK"/>
              </w:rPr>
              <w:t xml:space="preserve">STN ISO 5725-4 Presnosť (správnosť a zhodnosť) metód a výsledkov merania. Časť 4: Základné metódy stanovenia správnosti normalizovanej metódy merania (01 0251), </w:t>
            </w:r>
          </w:p>
          <w:p w:rsidR="00992C59" w:rsidRPr="00341B72" w:rsidP="00992C59">
            <w:pPr>
              <w:keepNext/>
              <w:keepLines/>
              <w:contextualSpacing/>
              <w:jc w:val="both"/>
              <w:rPr>
                <w:sz w:val="18"/>
                <w:szCs w:val="18"/>
                <w:lang w:eastAsia="sk-SK"/>
              </w:rPr>
            </w:pPr>
            <w:r w:rsidRPr="00341B72">
              <w:rPr>
                <w:sz w:val="18"/>
                <w:szCs w:val="18"/>
                <w:lang w:eastAsia="sk-SK"/>
              </w:rPr>
              <w:t>STN ISO 5725-5 Presnosť (správnosť a zhodnosť) metód a výsledkov merania. Časť 5: Alternatívne metódy stanovenia zhodnosti normalizovanej metódy merania (01 0251) a TNI CR 14377 Ochrana ovzdušia Návod na odhad neistoty pre referenčné metódy zisťovania kvality vonkajšieho ovzdušia (83 5515).</w:t>
            </w:r>
          </w:p>
          <w:p w:rsidR="00121119" w:rsidRPr="00341B72" w:rsidP="00121119">
            <w:pPr>
              <w:keepNext/>
              <w:keepLines/>
              <w:contextualSpacing/>
              <w:jc w:val="both"/>
              <w:rPr>
                <w:sz w:val="20"/>
                <w:lang w:eastAsia="sk-SK"/>
              </w:rPr>
            </w:pPr>
          </w:p>
          <w:p w:rsidR="00121119" w:rsidRPr="00341B72" w:rsidP="00121119">
            <w:pPr>
              <w:keepNext/>
              <w:keepLines/>
              <w:contextualSpacing/>
              <w:jc w:val="both"/>
              <w:rPr>
                <w:sz w:val="20"/>
                <w:lang w:eastAsia="sk-SK"/>
              </w:rPr>
            </w:pPr>
            <w:r w:rsidRPr="00341B72">
              <w:rPr>
                <w:sz w:val="20"/>
                <w:lang w:eastAsia="sk-SK"/>
              </w:rPr>
              <w:t xml:space="preserve">Pre znečisťujúce látky benzo(a)pyrén, arzénu, kadmia, niklu, polycyklické aromatické uhľovodíky, celková plynná ortuť a pre celkovú depozíciu sa môže </w:t>
            </w:r>
          </w:p>
          <w:p w:rsidR="00121119" w:rsidRPr="00341B72" w:rsidP="00557828">
            <w:pPr>
              <w:keepNext/>
              <w:keepLines/>
              <w:numPr>
                <w:ilvl w:val="0"/>
                <w:numId w:val="15"/>
              </w:numPr>
              <w:ind w:left="426" w:hanging="426"/>
              <w:contextualSpacing/>
              <w:jc w:val="both"/>
              <w:rPr>
                <w:sz w:val="20"/>
                <w:lang w:eastAsia="sk-SK"/>
              </w:rPr>
            </w:pPr>
            <w:r w:rsidRPr="00341B72">
              <w:rPr>
                <w:sz w:val="20"/>
                <w:lang w:eastAsia="sk-SK"/>
              </w:rPr>
              <w:t>robiť odber vzorky za mokra namiesto hromadného odberu, ak sa dá preukázať, že rozdiel medzi nimi je do 10 %; rýchlosti depozície sa uvádzajú najmä v µg/m2 za deň,</w:t>
            </w:r>
          </w:p>
          <w:p w:rsidR="00121119" w:rsidRPr="00341B72" w:rsidP="00557828">
            <w:pPr>
              <w:keepNext/>
              <w:keepLines/>
              <w:numPr>
                <w:ilvl w:val="0"/>
                <w:numId w:val="15"/>
              </w:numPr>
              <w:ind w:left="426" w:hanging="426"/>
              <w:contextualSpacing/>
              <w:jc w:val="both"/>
              <w:rPr>
                <w:sz w:val="20"/>
                <w:lang w:eastAsia="sk-SK"/>
              </w:rPr>
            </w:pPr>
            <w:r w:rsidRPr="00341B72">
              <w:rPr>
                <w:sz w:val="20"/>
                <w:lang w:eastAsia="sk-SK"/>
              </w:rPr>
              <w:t>uplatňovať menšie najmenšie časové pokrytie, ako je uvedené v tabuľke, ale nie menšie ako 14 % pre stále merania a 6 % pre indikatívne merania po preukázaní splnenia 95-percentnej rozšírenej neistoty ročného priemeru vypočítanej z cieľov v kvalite údajov v tabuľke podľa technickej normy alebo inej obdobnej technickej špecifikácie  s porovnateľnejšími alebo prísnejšími požiadavkami.</w:t>
            </w:r>
          </w:p>
          <w:p w:rsidR="00121119" w:rsidRPr="00341B72" w:rsidP="00121119">
            <w:pPr>
              <w:keepNext/>
              <w:keepLines/>
              <w:ind w:left="426"/>
              <w:contextualSpacing/>
              <w:rPr>
                <w:sz w:val="20"/>
                <w:lang w:eastAsia="sk-SK"/>
              </w:rPr>
            </w:pPr>
          </w:p>
          <w:p w:rsidR="00121119" w:rsidRPr="00341B72" w:rsidP="00121119">
            <w:pPr>
              <w:keepNext/>
              <w:keepLines/>
              <w:contextualSpacing/>
              <w:jc w:val="both"/>
              <w:rPr>
                <w:sz w:val="20"/>
                <w:lang w:eastAsia="sk-SK"/>
              </w:rPr>
            </w:pPr>
            <w:r w:rsidRPr="00341B72">
              <w:rPr>
                <w:sz w:val="20"/>
                <w:lang w:eastAsia="sk-SK"/>
              </w:rPr>
              <w:t>Ustanovenia týkajúce sa jednotlivých vzoriek v predchádzajúcom odseku sa vzťahujú aj na arzén, kadmium, nikel a celkovú plynnú ortuť. Okrem toho sa povoľuje odber čiastočných vzoriek z filtrov zachytávajúcich PM</w:t>
            </w:r>
            <w:r w:rsidRPr="00341B72">
              <w:rPr>
                <w:sz w:val="20"/>
                <w:vertAlign w:val="subscript"/>
                <w:lang w:eastAsia="sk-SK"/>
              </w:rPr>
              <w:t>10</w:t>
            </w:r>
            <w:r w:rsidRPr="00341B72">
              <w:rPr>
                <w:sz w:val="20"/>
                <w:lang w:eastAsia="sk-SK"/>
              </w:rPr>
              <w:t xml:space="preserve"> určených pre kovy na účely následnej analýzy, ak existujú dôkazy o tom, že odber čiastočných vzoriek je reprezentatívny pre celok a porovnaním s príslušnými cieľmi kvality údajov nedochádza k ohrozeniu citlivosti detekcie. Ako alternatíva k dennému odberu vzoriek sa povoľuje týždenný odber vzoriek kovov vo frakcii častíc PM</w:t>
            </w:r>
            <w:r w:rsidRPr="00341B72">
              <w:rPr>
                <w:sz w:val="20"/>
                <w:vertAlign w:val="subscript"/>
                <w:lang w:eastAsia="sk-SK"/>
              </w:rPr>
              <w:t>10</w:t>
            </w:r>
            <w:r w:rsidRPr="00341B72">
              <w:rPr>
                <w:sz w:val="20"/>
                <w:lang w:eastAsia="sk-SK"/>
              </w:rPr>
              <w:t>, a to za predpokladu, že nie sú ohrozené charakteristické znaky odberu.</w:t>
            </w:r>
          </w:p>
          <w:p w:rsidR="00121119" w:rsidRPr="00341B72" w:rsidP="00121119">
            <w:pPr>
              <w:keepNext/>
              <w:keepLines/>
              <w:contextualSpacing/>
              <w:jc w:val="both"/>
              <w:rPr>
                <w:sz w:val="20"/>
                <w:lang w:eastAsia="sk-SK"/>
              </w:rPr>
            </w:pPr>
          </w:p>
          <w:p w:rsidR="00121119" w:rsidRPr="00341B72" w:rsidP="00121119">
            <w:pPr>
              <w:pStyle w:val="NormalWeb"/>
              <w:keepLines/>
              <w:spacing w:before="0" w:beforeAutospacing="0" w:after="0" w:afterAutospacing="0"/>
              <w:contextualSpacing/>
              <w:rPr>
                <w:sz w:val="20"/>
                <w:szCs w:val="20"/>
              </w:rPr>
            </w:pPr>
          </w:p>
          <w:p w:rsidR="00121119" w:rsidRPr="00341B72" w:rsidP="00121119">
            <w:pPr>
              <w:pStyle w:val="NormalWeb"/>
              <w:keepLines/>
              <w:spacing w:before="0" w:beforeAutospacing="0" w:after="0" w:afterAutospacing="0"/>
              <w:contextualSpacing/>
              <w:rPr>
                <w:sz w:val="20"/>
                <w:szCs w:val="20"/>
              </w:rPr>
            </w:pPr>
            <w:r w:rsidRPr="00341B72">
              <w:rPr>
                <w:sz w:val="20"/>
                <w:szCs w:val="20"/>
              </w:rPr>
              <w:t>B. Výsledky hodnotenia kvality ovzdušia</w:t>
            </w:r>
          </w:p>
          <w:p w:rsidR="00121119" w:rsidRPr="00341B72" w:rsidP="00121119">
            <w:pPr>
              <w:pStyle w:val="NormalWeb"/>
              <w:keepLines/>
              <w:spacing w:before="0" w:beforeAutospacing="0" w:after="0" w:afterAutospacing="0"/>
              <w:ind w:left="284"/>
              <w:contextualSpacing/>
              <w:rPr>
                <w:sz w:val="20"/>
                <w:szCs w:val="20"/>
              </w:rPr>
            </w:pPr>
            <w:r w:rsidRPr="00341B72">
              <w:rPr>
                <w:sz w:val="20"/>
                <w:szCs w:val="20"/>
              </w:rPr>
              <w:t>Za zóny alebo aglomerácie, v ktorých sa na doplnenie informácií z meraní použijú iné zdroje informácií ako merania alebo v ktorých slúžia tieto zdroje ako jediné prostriedky hodnotenia kvality ovzdušia, sa zozbierajú tieto informácie:</w:t>
            </w:r>
          </w:p>
          <w:p w:rsidR="00121119" w:rsidRPr="00341B72" w:rsidP="00121119">
            <w:pPr>
              <w:pStyle w:val="NormalWeb"/>
              <w:keepNext/>
              <w:keepLines/>
              <w:numPr>
                <w:ilvl w:val="0"/>
                <w:numId w:val="2"/>
              </w:numPr>
              <w:spacing w:before="0" w:beforeAutospacing="0" w:after="0" w:afterAutospacing="0"/>
              <w:ind w:hanging="76"/>
              <w:contextualSpacing/>
              <w:jc w:val="both"/>
              <w:rPr>
                <w:sz w:val="20"/>
                <w:szCs w:val="20"/>
              </w:rPr>
            </w:pPr>
            <w:r w:rsidRPr="00341B72">
              <w:rPr>
                <w:sz w:val="20"/>
                <w:szCs w:val="20"/>
              </w:rPr>
              <w:t>opis vykonaných hodnotiacich činností,</w:t>
            </w:r>
          </w:p>
          <w:p w:rsidR="00121119" w:rsidRPr="00341B72" w:rsidP="00121119">
            <w:pPr>
              <w:pStyle w:val="NormalWeb"/>
              <w:keepNext/>
              <w:keepLines/>
              <w:numPr>
                <w:ilvl w:val="0"/>
                <w:numId w:val="2"/>
              </w:numPr>
              <w:spacing w:before="0" w:beforeAutospacing="0" w:after="0" w:afterAutospacing="0"/>
              <w:ind w:hanging="76"/>
              <w:contextualSpacing/>
              <w:jc w:val="both"/>
              <w:rPr>
                <w:sz w:val="20"/>
                <w:szCs w:val="20"/>
              </w:rPr>
            </w:pPr>
            <w:r w:rsidRPr="00341B72">
              <w:rPr>
                <w:sz w:val="20"/>
                <w:szCs w:val="20"/>
              </w:rPr>
              <w:t>použité osobitné metódy s odkazmi na opis metód,</w:t>
            </w:r>
          </w:p>
          <w:p w:rsidR="00121119" w:rsidRPr="00341B72" w:rsidP="00121119">
            <w:pPr>
              <w:pStyle w:val="NormalWeb"/>
              <w:keepNext/>
              <w:keepLines/>
              <w:numPr>
                <w:ilvl w:val="0"/>
                <w:numId w:val="2"/>
              </w:numPr>
              <w:spacing w:before="0" w:beforeAutospacing="0" w:after="0" w:afterAutospacing="0"/>
              <w:ind w:hanging="76"/>
              <w:contextualSpacing/>
              <w:jc w:val="both"/>
              <w:rPr>
                <w:sz w:val="20"/>
                <w:szCs w:val="20"/>
              </w:rPr>
            </w:pPr>
            <w:r w:rsidRPr="00341B72">
              <w:rPr>
                <w:sz w:val="20"/>
                <w:szCs w:val="20"/>
              </w:rPr>
              <w:t>zdroje údajov a informácií,</w:t>
            </w:r>
          </w:p>
          <w:p w:rsidR="00121119" w:rsidRPr="00341B72" w:rsidP="00121119">
            <w:pPr>
              <w:pStyle w:val="NormalWeb"/>
              <w:keepNext/>
              <w:keepLines/>
              <w:numPr>
                <w:ilvl w:val="0"/>
                <w:numId w:val="2"/>
              </w:numPr>
              <w:tabs>
                <w:tab w:val="clear" w:pos="360"/>
              </w:tabs>
              <w:spacing w:before="0" w:beforeAutospacing="0" w:after="0" w:afterAutospacing="0"/>
              <w:ind w:left="709" w:hanging="425"/>
              <w:contextualSpacing/>
              <w:jc w:val="both"/>
              <w:rPr>
                <w:sz w:val="20"/>
                <w:szCs w:val="20"/>
              </w:rPr>
            </w:pPr>
            <w:r w:rsidRPr="00341B72">
              <w:rPr>
                <w:sz w:val="20"/>
                <w:szCs w:val="20"/>
              </w:rPr>
              <w:t>opis výsledkov vrátane neistôt a najmä rozsah všetkých oblastí alebo dĺžka cesty v zóne alebo aglomerácii, nad ktorou koncentrácie prekračujú ktorúkoľvek limitnú hodnotu, cieľovú hodnotu alebo dlhodobý cieľ vrátane medze tolerancie a rozsah všetkých oblastí, v ktorých koncentrácie prekračujú hornú medzu alebo dolnú medzu na hodnotenie úrovne znečistenia ovzdušia,</w:t>
            </w:r>
          </w:p>
          <w:p w:rsidR="00121119" w:rsidRPr="00341B72" w:rsidP="00121119">
            <w:pPr>
              <w:pStyle w:val="NormalWeb"/>
              <w:keepNext/>
              <w:keepLines/>
              <w:numPr>
                <w:ilvl w:val="0"/>
                <w:numId w:val="2"/>
              </w:numPr>
              <w:tabs>
                <w:tab w:val="clear" w:pos="360"/>
              </w:tabs>
              <w:spacing w:before="0" w:beforeAutospacing="0" w:after="0" w:afterAutospacing="0"/>
              <w:ind w:left="709" w:hanging="425"/>
              <w:contextualSpacing/>
              <w:jc w:val="both"/>
              <w:rPr>
                <w:sz w:val="20"/>
                <w:szCs w:val="20"/>
              </w:rPr>
            </w:pPr>
            <w:r w:rsidRPr="00341B72">
              <w:rPr>
                <w:sz w:val="20"/>
                <w:szCs w:val="20"/>
              </w:rPr>
              <w:t>obyvateľstvo, ktoré je potenciálne vystavené úrovniam znečistenia ovzdušia prekračujúcim akúkoľvek limitnú hodnotu na ochranu zdravia ľudí.</w:t>
            </w:r>
          </w:p>
          <w:p w:rsidR="00121119" w:rsidRPr="00341B72" w:rsidP="00121119">
            <w:pPr>
              <w:pStyle w:val="NormalWeb"/>
              <w:keepLines/>
              <w:spacing w:before="0" w:beforeAutospacing="0" w:after="0" w:afterAutospacing="0"/>
              <w:ind w:hanging="76"/>
              <w:contextualSpacing/>
              <w:rPr>
                <w:sz w:val="20"/>
                <w:szCs w:val="20"/>
              </w:rPr>
            </w:pPr>
          </w:p>
          <w:p w:rsidR="00991727" w:rsidRPr="00341B72" w:rsidP="00991727">
            <w:pPr>
              <w:pStyle w:val="NormalWeb"/>
              <w:keepLines/>
              <w:spacing w:before="0" w:beforeAutospacing="0" w:after="120" w:afterAutospacing="0"/>
              <w:ind w:left="284" w:hanging="284"/>
              <w:rPr>
                <w:sz w:val="20"/>
                <w:szCs w:val="20"/>
              </w:rPr>
            </w:pPr>
            <w:r w:rsidRPr="00341B72">
              <w:rPr>
                <w:sz w:val="20"/>
                <w:szCs w:val="20"/>
              </w:rPr>
              <w:t>C. Zabezpečenie kvality meraní pri hodnotení kvality ovzdušia a potvrdenie údajov</w:t>
            </w:r>
          </w:p>
          <w:p w:rsidR="00991727" w:rsidRPr="00341B72" w:rsidP="00991727">
            <w:pPr>
              <w:pStyle w:val="NormalWeb"/>
              <w:spacing w:before="0" w:beforeAutospacing="0" w:after="120" w:afterAutospacing="0"/>
              <w:rPr>
                <w:sz w:val="20"/>
                <w:szCs w:val="20"/>
              </w:rPr>
            </w:pPr>
            <w:r w:rsidRPr="00341B72">
              <w:rPr>
                <w:sz w:val="20"/>
                <w:szCs w:val="20"/>
              </w:rPr>
              <w:t>1. Na zabezpečenie presnosti meraní a dodržiavania cieľov v kvalite údajov ustanovených v písmene A ministerstvom poverená organizácia, poverené národné laboratóriá a prevádzkovatelia stacionárnych zdrojov znečisťovania ovzdušia podľa § 34 ods. 4 písm. a) zákona zabezpečia,  aby</w:t>
            </w:r>
          </w:p>
          <w:p w:rsidR="00991727" w:rsidRPr="00341B72" w:rsidP="00991727">
            <w:pPr>
              <w:pStyle w:val="NormalWeb"/>
              <w:numPr>
                <w:ilvl w:val="0"/>
                <w:numId w:val="3"/>
              </w:numPr>
              <w:tabs>
                <w:tab w:val="clear" w:pos="360"/>
                <w:tab w:val="left" w:pos="851"/>
              </w:tabs>
              <w:spacing w:before="0" w:beforeAutospacing="0" w:after="120" w:afterAutospacing="0"/>
              <w:ind w:left="851" w:hanging="284"/>
              <w:jc w:val="both"/>
              <w:rPr>
                <w:sz w:val="20"/>
                <w:szCs w:val="20"/>
              </w:rPr>
            </w:pPr>
            <w:r w:rsidRPr="00341B72">
              <w:rPr>
                <w:sz w:val="20"/>
                <w:szCs w:val="20"/>
              </w:rPr>
              <w:t>všetky merania vykonané v súvislosti s hodnotením kvality ovzdušia boli sledovateľné v súlade s požiadavkami podľa technickej normy,</w:t>
            </w:r>
            <w:r>
              <w:rPr>
                <w:sz w:val="20"/>
                <w:szCs w:val="20"/>
              </w:rPr>
              <w:footnoteReference w:id="5"/>
            </w:r>
            <w:r w:rsidRPr="00341B72">
              <w:rPr>
                <w:sz w:val="20"/>
                <w:szCs w:val="20"/>
              </w:rPr>
              <w:t>) alebo inej obdobnej technickej špecifikácie  s porovnateľnejšími alebo prísnejšími požiadavkami.</w:t>
            </w:r>
          </w:p>
          <w:p w:rsidR="00991727" w:rsidRPr="00341B72" w:rsidP="00991727">
            <w:pPr>
              <w:pStyle w:val="NormalWeb"/>
              <w:numPr>
                <w:ilvl w:val="0"/>
                <w:numId w:val="3"/>
              </w:numPr>
              <w:tabs>
                <w:tab w:val="clear" w:pos="360"/>
                <w:tab w:val="num" w:pos="851"/>
              </w:tabs>
              <w:spacing w:before="0" w:beforeAutospacing="0" w:after="120" w:afterAutospacing="0"/>
              <w:ind w:left="851" w:hanging="284"/>
              <w:jc w:val="both"/>
              <w:rPr>
                <w:sz w:val="20"/>
                <w:szCs w:val="20"/>
              </w:rPr>
            </w:pPr>
            <w:r w:rsidRPr="00341B72">
              <w:rPr>
                <w:sz w:val="20"/>
                <w:szCs w:val="20"/>
              </w:rPr>
              <w:t>subjekty prevádzkujúce siete a individuálne stanice mali zavedený systém zabezpečenia kvality a kontroly kvality, ktorý predpisuje pravidelnú údržbu s cieľom zaistiť nepretržitú presnosť meracích prístrojov; národné referenčné laboratórium daný systém kvality preskúma podľa potreby najmenej však raz za päť rokov,</w:t>
            </w:r>
          </w:p>
          <w:p w:rsidR="00991727" w:rsidRPr="00341B72" w:rsidP="00991727">
            <w:pPr>
              <w:pStyle w:val="NormalWeb"/>
              <w:numPr>
                <w:ilvl w:val="0"/>
                <w:numId w:val="3"/>
              </w:numPr>
              <w:tabs>
                <w:tab w:val="clear" w:pos="360"/>
              </w:tabs>
              <w:spacing w:before="0" w:beforeAutospacing="0" w:after="120" w:afterAutospacing="0"/>
              <w:ind w:left="851" w:hanging="284"/>
              <w:jc w:val="both"/>
              <w:rPr>
                <w:sz w:val="20"/>
                <w:szCs w:val="20"/>
              </w:rPr>
            </w:pPr>
            <w:r w:rsidRPr="00341B72">
              <w:rPr>
                <w:sz w:val="20"/>
                <w:szCs w:val="20"/>
              </w:rPr>
              <w:t>sa uplatňoval postup slúžiaci na zaručenie kvality/kontrolu kvality v súvislosti so zberom údajov a podávaním správ a aby sa organizácie poverené touto činnosťou v spolupráci s ministerstvom aktívne podieľali na súvisiacich programoch Európskej únie na zaručovanie kvality,</w:t>
            </w:r>
          </w:p>
          <w:p w:rsidR="00991727" w:rsidRPr="00341B72" w:rsidP="00991727">
            <w:pPr>
              <w:pStyle w:val="NormalWeb"/>
              <w:numPr>
                <w:ilvl w:val="0"/>
                <w:numId w:val="3"/>
              </w:numPr>
              <w:tabs>
                <w:tab w:val="clear" w:pos="360"/>
              </w:tabs>
              <w:spacing w:before="0" w:beforeAutospacing="0" w:after="120" w:afterAutospacing="0"/>
              <w:ind w:left="851" w:hanging="284"/>
              <w:jc w:val="both"/>
              <w:rPr>
                <w:sz w:val="20"/>
                <w:szCs w:val="20"/>
              </w:rPr>
            </w:pPr>
            <w:r w:rsidRPr="00341B72">
              <w:rPr>
                <w:sz w:val="20"/>
                <w:szCs w:val="20"/>
              </w:rPr>
              <w:t>národné referenčné laboratóriá, ktoré sa zúčastňujú porovnávacích meraní kvality ovzdušia pre znečisťujúce látky podľa tejto vyhlášky boli vymenované náležitým príslušným orgánom a aby boli akreditované na referenčné metódy uvedené v prílohe č. 5, a to aspoň pri tých znečisťujúcich látkach, ktorých koncentrácie prekračujú dolnú medzu na hodnotenie, podľa relevantnej harmonizovanej normy týkajúcej sa skúšobných a kalibračných laboratórií</w:t>
            </w:r>
            <w:bookmarkStart w:id="6" w:name="_Ref267924511"/>
            <w:bookmarkStart w:id="7" w:name="_Ref264026611"/>
            <w:r w:rsidRPr="00341B72">
              <w:rPr>
                <w:sz w:val="20"/>
                <w:szCs w:val="20"/>
              </w:rPr>
              <w:t>;</w:t>
            </w:r>
            <w:r>
              <w:rPr>
                <w:sz w:val="20"/>
                <w:szCs w:val="20"/>
              </w:rPr>
              <w:footnoteReference w:id="6"/>
            </w:r>
            <w:bookmarkEnd w:id="6"/>
            <w:bookmarkEnd w:id="7"/>
            <w:r w:rsidRPr="00341B72">
              <w:rPr>
                <w:sz w:val="20"/>
                <w:szCs w:val="20"/>
              </w:rPr>
              <w:t>) tieto laboratóriá sa na území Slovenskej republiky zúčastňujú koordinácie programov zabezpečenia kvality v Európskej únii, ktoré organizuje Európska komisia a koordinujú na vnútroštátnej úrovni uplatňovanie referenčných metód a preukazovanie rovnocennosti nereferenčných metód a mali by byť zároveň akreditované podľa príslušnej harmonizovanej normy pre skúšku spôsobilosti,</w:t>
            </w:r>
          </w:p>
          <w:p w:rsidR="00991727" w:rsidRPr="00341B72" w:rsidP="00991727">
            <w:pPr>
              <w:pStyle w:val="NormalWeb"/>
              <w:numPr>
                <w:ilvl w:val="0"/>
                <w:numId w:val="3"/>
              </w:numPr>
              <w:tabs>
                <w:tab w:val="clear" w:pos="360"/>
              </w:tabs>
              <w:spacing w:before="0" w:beforeAutospacing="0" w:after="120" w:afterAutospacing="0"/>
              <w:ind w:left="851" w:hanging="284"/>
              <w:jc w:val="both"/>
              <w:rPr>
                <w:sz w:val="20"/>
                <w:szCs w:val="20"/>
              </w:rPr>
            </w:pPr>
            <w:r w:rsidRPr="00341B72">
              <w:rPr>
                <w:sz w:val="20"/>
                <w:szCs w:val="20"/>
              </w:rPr>
              <w:t>sa národné referenčné laboratóriá aspoň každé tri roky zúčastňovali na programoch Európskej únie na zaručovanie kvality, ktoré organizuje Európska komisia prostredníctvom svojho Spoločného výskumného centra; ak z danej účasti vyplynú neuspokojivé výsledky, potom by národné laboratórium malo pri svojom ďalšom zapojení do vzájomného porovnávania preukázať uspokojivé nápravné opatrenia a predložiť o nich správu Spoločnému výskumnému centru,</w:t>
            </w:r>
          </w:p>
          <w:p w:rsidR="00991727" w:rsidRPr="00341B72" w:rsidP="00991727">
            <w:pPr>
              <w:pStyle w:val="NormalWeb"/>
              <w:numPr>
                <w:ilvl w:val="0"/>
                <w:numId w:val="3"/>
              </w:numPr>
              <w:tabs>
                <w:tab w:val="clear" w:pos="360"/>
              </w:tabs>
              <w:spacing w:before="0" w:beforeAutospacing="0" w:after="120" w:afterAutospacing="0"/>
              <w:ind w:left="851" w:hanging="284"/>
              <w:jc w:val="both"/>
              <w:rPr>
                <w:sz w:val="20"/>
                <w:szCs w:val="20"/>
              </w:rPr>
            </w:pPr>
            <w:r w:rsidRPr="00341B72">
              <w:rPr>
                <w:sz w:val="20"/>
                <w:szCs w:val="20"/>
              </w:rPr>
              <w:t>národné referenčné laboratóriá podporovali pôsobenie Európskou komisiou zriadenej Európskej siete národných referenčných laboratórií.</w:t>
            </w:r>
          </w:p>
          <w:p w:rsidR="00991727" w:rsidRPr="00341B72" w:rsidP="00991727">
            <w:pPr>
              <w:ind w:left="851" w:hanging="284"/>
              <w:contextualSpacing/>
              <w:rPr>
                <w:sz w:val="20"/>
                <w:lang w:eastAsia="sk-SK"/>
              </w:rPr>
            </w:pPr>
            <w:r w:rsidRPr="00341B72">
              <w:rPr>
                <w:sz w:val="20"/>
                <w:lang w:eastAsia="sk-SK"/>
              </w:rPr>
              <w:tab/>
            </w:r>
          </w:p>
          <w:p w:rsidR="00991727" w:rsidRPr="00341B72" w:rsidP="00991727">
            <w:pPr>
              <w:pStyle w:val="NormalWeb"/>
              <w:spacing w:before="0" w:beforeAutospacing="0" w:after="0" w:afterAutospacing="0"/>
              <w:contextualSpacing/>
              <w:rPr>
                <w:sz w:val="20"/>
                <w:szCs w:val="20"/>
              </w:rPr>
            </w:pPr>
            <w:r w:rsidRPr="00341B72">
              <w:rPr>
                <w:sz w:val="20"/>
                <w:szCs w:val="20"/>
              </w:rPr>
              <w:t>2. Všetky oznamované údaje o kvalite ovzdušia podľa osobitného predpisu</w:t>
            </w:r>
            <w:r>
              <w:rPr>
                <w:sz w:val="20"/>
                <w:szCs w:val="20"/>
              </w:rPr>
              <w:footnoteReference w:id="7"/>
            </w:r>
            <w:r w:rsidRPr="00341B72">
              <w:rPr>
                <w:sz w:val="20"/>
                <w:szCs w:val="20"/>
              </w:rPr>
              <w:t>) sa považujú za platné, okrem údajov označených ako predbežné.</w:t>
            </w:r>
          </w:p>
          <w:p w:rsidR="00121119" w:rsidRPr="00341B72" w:rsidP="00121119">
            <w:pPr>
              <w:keepNext/>
              <w:keepLines/>
              <w:contextualSpacing/>
              <w:rPr>
                <w:sz w:val="20"/>
                <w:lang w:eastAsia="sk-SK"/>
              </w:rPr>
            </w:pPr>
          </w:p>
          <w:p w:rsidR="00121119" w:rsidRPr="00341B72" w:rsidP="00121119">
            <w:pPr>
              <w:keepNext/>
              <w:keepLines/>
              <w:contextualSpacing/>
              <w:rPr>
                <w:sz w:val="20"/>
                <w:lang w:eastAsia="sk-SK"/>
              </w:rPr>
            </w:pPr>
            <w:r w:rsidRPr="00341B72">
              <w:rPr>
                <w:sz w:val="20"/>
                <w:lang w:eastAsia="sk-SK"/>
              </w:rPr>
              <w:t>D. Štandardizácia</w:t>
            </w:r>
          </w:p>
          <w:p w:rsidR="00121119" w:rsidRPr="00341B72" w:rsidP="00121119">
            <w:pPr>
              <w:keepNext/>
              <w:keepLines/>
              <w:ind w:left="284"/>
              <w:contextualSpacing/>
              <w:rPr>
                <w:sz w:val="20"/>
                <w:lang w:eastAsia="sk-SK"/>
              </w:rPr>
            </w:pPr>
            <w:r w:rsidRPr="00341B72">
              <w:rPr>
                <w:sz w:val="20"/>
                <w:lang w:eastAsia="sk-SK"/>
              </w:rPr>
              <w:t>Pre látky, ktoré sa analyzujú vo frakcii častíc PM</w:t>
            </w:r>
            <w:r w:rsidRPr="00341B72">
              <w:rPr>
                <w:sz w:val="20"/>
                <w:vertAlign w:val="subscript"/>
                <w:lang w:eastAsia="sk-SK"/>
              </w:rPr>
              <w:t>10</w:t>
            </w:r>
            <w:r w:rsidRPr="00341B72">
              <w:rPr>
                <w:sz w:val="20"/>
                <w:lang w:eastAsia="sk-SK"/>
              </w:rPr>
              <w:t>, sa objem vzorky vzťahuje na vonkajšie podmienky.</w:t>
            </w:r>
          </w:p>
          <w:p w:rsidR="00121119" w:rsidRPr="00341B72" w:rsidP="00121119">
            <w:pPr>
              <w:keepNext/>
              <w:keepLines/>
              <w:rPr>
                <w:sz w:val="20"/>
                <w:lang w:eastAsia="sk-SK"/>
              </w:rPr>
            </w:pPr>
          </w:p>
          <w:p w:rsidR="00121119" w:rsidRPr="00341B72" w:rsidP="00121119">
            <w:pPr>
              <w:keepNext/>
              <w:keepLines/>
              <w:rPr>
                <w:sz w:val="18"/>
                <w:szCs w:val="18"/>
                <w:lang w:bidi="sk-SK"/>
              </w:rPr>
            </w:pPr>
            <w:r w:rsidRPr="00341B72" w:rsidR="00992C59">
              <w:rPr>
                <w:sz w:val="20"/>
                <w:vertAlign w:val="superscript"/>
                <w:lang w:bidi="sk-SK"/>
              </w:rPr>
              <w:t>20</w:t>
            </w:r>
            <w:r w:rsidRPr="00341B72" w:rsidR="00992C59">
              <w:rPr>
                <w:sz w:val="20"/>
                <w:lang w:bidi="sk-SK"/>
              </w:rPr>
              <w:t xml:space="preserve">) </w:t>
            </w:r>
            <w:r w:rsidRPr="00341B72" w:rsidR="00992C59">
              <w:rPr>
                <w:sz w:val="18"/>
                <w:szCs w:val="18"/>
                <w:lang w:bidi="sk-SK"/>
              </w:rPr>
              <w:t>STN EN ISO/IEC 17025 Všeobecné požiadavky na kompetentnosť skúšobných a kalibračných laboratórií (015253).</w:t>
            </w:r>
          </w:p>
          <w:p w:rsidR="00992C59" w:rsidRPr="00341B72" w:rsidP="007E2F58">
            <w:pPr>
              <w:pStyle w:val="FootnoteText"/>
              <w:spacing w:before="0"/>
              <w:ind w:left="0" w:firstLine="0"/>
              <w:rPr>
                <w:sz w:val="18"/>
                <w:szCs w:val="18"/>
              </w:rPr>
            </w:pPr>
            <w:r w:rsidRPr="00341B72" w:rsidR="007E2F58">
              <w:rPr>
                <w:sz w:val="18"/>
                <w:szCs w:val="18"/>
                <w:vertAlign w:val="superscript"/>
              </w:rPr>
              <w:t>21</w:t>
            </w:r>
            <w:r w:rsidRPr="00341B72" w:rsidR="007E2F58">
              <w:rPr>
                <w:sz w:val="18"/>
                <w:szCs w:val="18"/>
              </w:rPr>
              <w:t>)</w:t>
            </w:r>
            <w:r w:rsidRPr="00341B72">
              <w:rPr>
                <w:sz w:val="18"/>
                <w:szCs w:val="18"/>
              </w:rPr>
              <w:t>Čl. 2 ods. 9 nariadenia (ES) č. 765/2008, ktorým sa stanovujú požiadavky akreditácie a dohľadu nad trhom v súvislosti s uvádzaním výrobkov na trh a ktorým sa zrušuje nariadenie (EHS) č. 339/93 (Ú. v. EÚ L 218, 13.8.2008).</w:t>
            </w:r>
          </w:p>
          <w:p w:rsidR="00992C59" w:rsidRPr="00EB6D72" w:rsidP="00992C59">
            <w:pPr>
              <w:keepNext/>
              <w:keepLines/>
              <w:rPr>
                <w:sz w:val="18"/>
                <w:szCs w:val="18"/>
                <w:lang w:eastAsia="sk-SK"/>
              </w:rPr>
            </w:pPr>
            <w:r w:rsidRPr="00341B72" w:rsidR="007E2F58">
              <w:rPr>
                <w:sz w:val="18"/>
                <w:szCs w:val="18"/>
                <w:vertAlign w:val="superscript"/>
              </w:rPr>
              <w:t>22</w:t>
            </w:r>
            <w:r w:rsidRPr="00341B72" w:rsidR="007E2F58">
              <w:rPr>
                <w:sz w:val="18"/>
                <w:szCs w:val="18"/>
              </w:rPr>
              <w:t xml:space="preserve">) </w:t>
            </w:r>
            <w:r w:rsidRPr="00341B72">
              <w:rPr>
                <w:bCs/>
                <w:color w:val="000000"/>
                <w:sz w:val="18"/>
                <w:szCs w:val="18"/>
              </w:rPr>
              <w:t xml:space="preserve">Vykonávacie rozhodnutie komisie č. </w:t>
            </w:r>
            <w:r w:rsidRPr="00341B72">
              <w:rPr>
                <w:color w:val="000000"/>
                <w:sz w:val="18"/>
                <w:szCs w:val="18"/>
              </w:rPr>
              <w:t>2011/850/EÚ</w:t>
            </w:r>
            <w:r w:rsidRPr="00341B72">
              <w:rPr>
                <w:bCs/>
                <w:color w:val="000000"/>
                <w:sz w:val="18"/>
                <w:szCs w:val="18"/>
              </w:rPr>
              <w:t xml:space="preserve"> z 12. decembra 2011, ktorým sa stanovujú pravidlá pre smernice Európskeho parlamentu a Rady 2004/107/ES a 2008/50/ES, pokiaľ ide o vzájomnú výmenu informácií a podávanie správ o kvalite okolitého ovzdušia (Ú. v. EÚ L 335, 17.12. 2011).</w:t>
            </w:r>
          </w:p>
          <w:p w:rsidR="00121119" w:rsidRPr="00EB6D72" w:rsidP="00121119">
            <w:pPr>
              <w:keepNext/>
              <w:keepLines/>
              <w:rPr>
                <w:sz w:val="18"/>
                <w:szCs w:val="18"/>
                <w:lang w:eastAsia="sk-SK"/>
              </w:rPr>
            </w:pPr>
            <w:r w:rsidRPr="00EB6D72">
              <w:rPr>
                <w:sz w:val="18"/>
                <w:szCs w:val="18"/>
                <w:lang w:eastAsia="sk-SK"/>
              </w:rPr>
              <w:br w:type="page"/>
            </w:r>
          </w:p>
          <w:p w:rsidR="00CB3E7D" w:rsidRPr="00121119" w:rsidP="00CB3E7D">
            <w:pPr>
              <w:jc w:val="both"/>
              <w:rPr>
                <w:sz w:val="20"/>
                <w:lang w:eastAsia="sk-SK"/>
              </w:rPr>
            </w:pPr>
          </w:p>
        </w:tc>
        <w:tc>
          <w:tcPr>
            <w:tcW w:w="708" w:type="dxa"/>
            <w:tcBorders>
              <w:bottom w:val="single" w:sz="4" w:space="0" w:color="auto"/>
            </w:tcBorders>
          </w:tcPr>
          <w:p w:rsidR="00CB3E7D" w:rsidRPr="00390FC1" w:rsidP="00CB3E7D">
            <w:pPr>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2</w:t>
            </w:r>
          </w:p>
        </w:tc>
        <w:tc>
          <w:tcPr>
            <w:tcW w:w="4074" w:type="dxa"/>
            <w:tcBorders>
              <w:bottom w:val="single" w:sz="4" w:space="0" w:color="auto"/>
            </w:tcBorders>
          </w:tcPr>
          <w:p w:rsidR="00CB3E7D" w:rsidRPr="004021A9" w:rsidP="00CB3E7D">
            <w:pPr>
              <w:pStyle w:val="NormalWeb"/>
              <w:rPr>
                <w:sz w:val="20"/>
                <w:szCs w:val="20"/>
              </w:rPr>
            </w:pPr>
            <w:r w:rsidRPr="004021A9">
              <w:rPr>
                <w:sz w:val="20"/>
                <w:szCs w:val="20"/>
              </w:rPr>
              <w:t>Určenie požiadaviek na hodnotenie koncentrácií oxidu siričitého, oxidu dusičitého, oxidov dusíka, suspendovaných častíc (PM</w:t>
            </w:r>
            <w:r w:rsidRPr="00E46DD8">
              <w:rPr>
                <w:sz w:val="20"/>
                <w:szCs w:val="20"/>
                <w:vertAlign w:val="subscript"/>
              </w:rPr>
              <w:t>10</w:t>
            </w:r>
            <w:r w:rsidRPr="004021A9">
              <w:rPr>
                <w:sz w:val="20"/>
                <w:szCs w:val="20"/>
              </w:rPr>
              <w:t xml:space="preserve"> a PM</w:t>
            </w:r>
            <w:r w:rsidRPr="00E46DD8">
              <w:rPr>
                <w:sz w:val="20"/>
                <w:szCs w:val="20"/>
                <w:vertAlign w:val="subscript"/>
              </w:rPr>
              <w:t>2,5</w:t>
            </w:r>
            <w:r w:rsidRPr="004021A9">
              <w:rPr>
                <w:sz w:val="20"/>
                <w:szCs w:val="20"/>
              </w:rPr>
              <w:t>), olova, benzénu a oxidu uhoľnatého v okolitom ovzduší v zóne alebo aglomerácii</w:t>
            </w:r>
          </w:p>
          <w:p w:rsidR="00CB3E7D" w:rsidRPr="004021A9" w:rsidP="00CB3E7D">
            <w:pPr>
              <w:pStyle w:val="NormalWeb"/>
              <w:rPr>
                <w:sz w:val="20"/>
                <w:szCs w:val="20"/>
              </w:rPr>
            </w:pPr>
            <w:r w:rsidRPr="004021A9">
              <w:rPr>
                <w:sz w:val="20"/>
                <w:szCs w:val="20"/>
              </w:rPr>
              <w:t>A. Horný a dolný prah na hodnotenie</w:t>
            </w:r>
          </w:p>
          <w:p w:rsidR="00CB3E7D" w:rsidRPr="004021A9" w:rsidP="00CB3E7D">
            <w:pPr>
              <w:pStyle w:val="NormalWeb"/>
              <w:rPr>
                <w:sz w:val="20"/>
                <w:szCs w:val="20"/>
              </w:rPr>
            </w:pPr>
            <w:r w:rsidRPr="004021A9">
              <w:rPr>
                <w:sz w:val="20"/>
                <w:szCs w:val="20"/>
              </w:rPr>
              <w:t>Uplatňujú sa tieto horné a dolné prahy na hodnotenie:</w:t>
            </w:r>
          </w:p>
          <w:p w:rsidR="00CB3E7D" w:rsidP="00CB3E7D">
            <w:pPr>
              <w:pStyle w:val="NormalWeb"/>
              <w:rPr>
                <w:sz w:val="20"/>
                <w:szCs w:val="20"/>
              </w:rPr>
            </w:pPr>
            <w:r w:rsidRPr="004021A9">
              <w:rPr>
                <w:sz w:val="20"/>
                <w:szCs w:val="20"/>
              </w:rPr>
              <w:t>1. Oxid siričitý</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40"/>
              <w:gridCol w:w="1365"/>
              <w:gridCol w:w="1350"/>
            </w:tblGrid>
            <w:tr w:rsidTr="00F953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75"/>
              </w:trPr>
              <w:tc>
                <w:tcPr>
                  <w:tcW w:w="1140" w:type="dxa"/>
                </w:tcPr>
                <w:p w:rsidR="00F9536B" w:rsidRPr="00F9536B" w:rsidP="00CB3E7D">
                  <w:pPr>
                    <w:pStyle w:val="NormalWeb"/>
                    <w:rPr>
                      <w:sz w:val="18"/>
                      <w:szCs w:val="18"/>
                    </w:rPr>
                  </w:pPr>
                </w:p>
              </w:tc>
              <w:tc>
                <w:tcPr>
                  <w:tcW w:w="1365" w:type="dxa"/>
                </w:tcPr>
                <w:p w:rsidR="00F9536B" w:rsidRPr="00F9536B" w:rsidP="00CB3E7D">
                  <w:pPr>
                    <w:pStyle w:val="NormalWeb"/>
                    <w:rPr>
                      <w:sz w:val="18"/>
                      <w:szCs w:val="18"/>
                    </w:rPr>
                  </w:pPr>
                  <w:r w:rsidRPr="00F9536B">
                    <w:rPr>
                      <w:sz w:val="18"/>
                      <w:szCs w:val="18"/>
                    </w:rPr>
                    <w:t>Ochrana zdravia</w:t>
                  </w:r>
                </w:p>
              </w:tc>
              <w:tc>
                <w:tcPr>
                  <w:tcW w:w="1350" w:type="dxa"/>
                </w:tcPr>
                <w:p w:rsidR="00F9536B" w:rsidRPr="00F9536B" w:rsidP="00CB3E7D">
                  <w:pPr>
                    <w:pStyle w:val="NormalWeb"/>
                    <w:rPr>
                      <w:sz w:val="18"/>
                      <w:szCs w:val="18"/>
                    </w:rPr>
                  </w:pPr>
                  <w:r w:rsidRPr="00F9536B">
                    <w:rPr>
                      <w:sz w:val="18"/>
                      <w:szCs w:val="18"/>
                    </w:rPr>
                    <w:t>Ochrana vegetácie</w:t>
                  </w:r>
                </w:p>
              </w:tc>
            </w:tr>
            <w:tr w:rsidTr="00F9536B">
              <w:tblPrEx>
                <w:tblW w:w="0" w:type="auto"/>
                <w:tblLayout w:type="fixed"/>
                <w:tblCellMar>
                  <w:left w:w="70" w:type="dxa"/>
                  <w:right w:w="70" w:type="dxa"/>
                </w:tblCellMar>
                <w:tblLook w:val="0000"/>
              </w:tblPrEx>
              <w:trPr>
                <w:trHeight w:val="585"/>
              </w:trPr>
              <w:tc>
                <w:tcPr>
                  <w:tcW w:w="1140" w:type="dxa"/>
                </w:tcPr>
                <w:p w:rsidR="00F9536B" w:rsidRPr="00F9536B" w:rsidP="00CB3E7D">
                  <w:pPr>
                    <w:pStyle w:val="NormalWeb"/>
                    <w:rPr>
                      <w:sz w:val="18"/>
                      <w:szCs w:val="18"/>
                    </w:rPr>
                  </w:pPr>
                  <w:r w:rsidRPr="00F9536B">
                    <w:rPr>
                      <w:sz w:val="18"/>
                      <w:szCs w:val="18"/>
                    </w:rPr>
                    <w:t>Horný prah hodnotenie</w:t>
                  </w:r>
                </w:p>
              </w:tc>
              <w:tc>
                <w:tcPr>
                  <w:tcW w:w="1365" w:type="dxa"/>
                </w:tcPr>
                <w:p w:rsidR="00F9536B" w:rsidRPr="00F9536B" w:rsidP="00CB3E7D">
                  <w:pPr>
                    <w:pStyle w:val="NormalWeb"/>
                    <w:rPr>
                      <w:sz w:val="18"/>
                      <w:szCs w:val="18"/>
                    </w:rPr>
                  </w:pPr>
                  <w:r w:rsidRPr="00F9536B">
                    <w:rPr>
                      <w:sz w:val="18"/>
                      <w:szCs w:val="18"/>
                    </w:rPr>
                    <w:t>60 % 24-hodinovej limitnej hodnoty (75 µg/m</w:t>
                  </w:r>
                  <w:r w:rsidRPr="00F9536B">
                    <w:rPr>
                      <w:sz w:val="18"/>
                      <w:szCs w:val="18"/>
                      <w:vertAlign w:val="superscript"/>
                    </w:rPr>
                    <w:t>3</w:t>
                  </w:r>
                  <w:r w:rsidRPr="00F9536B">
                    <w:rPr>
                      <w:sz w:val="18"/>
                      <w:szCs w:val="18"/>
                    </w:rPr>
                    <w:t xml:space="preserve"> sa neprekročí viac ako 3-krát za každý kalendárny rok)</w:t>
                  </w:r>
                </w:p>
              </w:tc>
              <w:tc>
                <w:tcPr>
                  <w:tcW w:w="1350" w:type="dxa"/>
                </w:tcPr>
                <w:p w:rsidR="00F9536B" w:rsidRPr="00F9536B" w:rsidP="00CB3E7D">
                  <w:pPr>
                    <w:pStyle w:val="NormalWeb"/>
                    <w:rPr>
                      <w:sz w:val="18"/>
                      <w:szCs w:val="18"/>
                    </w:rPr>
                  </w:pPr>
                  <w:r w:rsidRPr="00F9536B">
                    <w:rPr>
                      <w:sz w:val="18"/>
                      <w:szCs w:val="18"/>
                    </w:rPr>
                    <w:t>60 % zimnej kritickej úrovne (12 µg/m</w:t>
                  </w:r>
                  <w:r w:rsidRPr="00F9536B">
                    <w:rPr>
                      <w:sz w:val="18"/>
                      <w:szCs w:val="18"/>
                      <w:vertAlign w:val="superscript"/>
                    </w:rPr>
                    <w:t>3</w:t>
                  </w:r>
                  <w:r w:rsidRPr="00F9536B">
                    <w:rPr>
                      <w:sz w:val="18"/>
                      <w:szCs w:val="18"/>
                    </w:rPr>
                    <w:t>)</w:t>
                  </w:r>
                </w:p>
              </w:tc>
            </w:tr>
            <w:tr w:rsidTr="00F9536B">
              <w:tblPrEx>
                <w:tblW w:w="0" w:type="auto"/>
                <w:tblLayout w:type="fixed"/>
                <w:tblCellMar>
                  <w:left w:w="70" w:type="dxa"/>
                  <w:right w:w="70" w:type="dxa"/>
                </w:tblCellMar>
                <w:tblLook w:val="0000"/>
              </w:tblPrEx>
              <w:trPr>
                <w:trHeight w:val="495"/>
              </w:trPr>
              <w:tc>
                <w:tcPr>
                  <w:tcW w:w="1140" w:type="dxa"/>
                </w:tcPr>
                <w:p w:rsidR="00F9536B" w:rsidRPr="00F9536B" w:rsidP="00CB3E7D">
                  <w:pPr>
                    <w:pStyle w:val="NormalWeb"/>
                    <w:rPr>
                      <w:sz w:val="18"/>
                      <w:szCs w:val="18"/>
                    </w:rPr>
                  </w:pPr>
                  <w:r w:rsidRPr="00F9536B">
                    <w:rPr>
                      <w:sz w:val="18"/>
                      <w:szCs w:val="18"/>
                    </w:rPr>
                    <w:t>Dolný prah hodnotenie</w:t>
                  </w:r>
                </w:p>
              </w:tc>
              <w:tc>
                <w:tcPr>
                  <w:tcW w:w="1365" w:type="dxa"/>
                </w:tcPr>
                <w:p w:rsidR="00F9536B" w:rsidRPr="00F9536B" w:rsidP="00CB3E7D">
                  <w:pPr>
                    <w:pStyle w:val="NormalWeb"/>
                    <w:rPr>
                      <w:sz w:val="18"/>
                      <w:szCs w:val="18"/>
                    </w:rPr>
                  </w:pPr>
                  <w:r w:rsidRPr="00F9536B">
                    <w:rPr>
                      <w:sz w:val="18"/>
                      <w:szCs w:val="18"/>
                    </w:rPr>
                    <w:t>40 % 24-hodinovej limitnej hodnoty (50 µg/m</w:t>
                  </w:r>
                  <w:r w:rsidRPr="00F9536B">
                    <w:rPr>
                      <w:sz w:val="18"/>
                      <w:szCs w:val="18"/>
                      <w:vertAlign w:val="superscript"/>
                    </w:rPr>
                    <w:t>3</w:t>
                  </w:r>
                  <w:r w:rsidRPr="00F9536B">
                    <w:rPr>
                      <w:sz w:val="18"/>
                      <w:szCs w:val="18"/>
                    </w:rPr>
                    <w:t xml:space="preserve"> sa neprekročí viac ako 3-krát za každý kalendárny rok)</w:t>
                  </w:r>
                </w:p>
              </w:tc>
              <w:tc>
                <w:tcPr>
                  <w:tcW w:w="1350" w:type="dxa"/>
                </w:tcPr>
                <w:p w:rsidR="00F9536B" w:rsidRPr="00F9536B" w:rsidP="00CB3E7D">
                  <w:pPr>
                    <w:pStyle w:val="NormalWeb"/>
                    <w:rPr>
                      <w:sz w:val="18"/>
                      <w:szCs w:val="18"/>
                    </w:rPr>
                  </w:pPr>
                  <w:r w:rsidRPr="00F9536B">
                    <w:rPr>
                      <w:sz w:val="18"/>
                      <w:szCs w:val="18"/>
                    </w:rPr>
                    <w:t>40 % zimnej kritickej úrovne (8 µg/m</w:t>
                  </w:r>
                  <w:r w:rsidRPr="00F9536B">
                    <w:rPr>
                      <w:sz w:val="18"/>
                      <w:szCs w:val="18"/>
                      <w:vertAlign w:val="superscript"/>
                    </w:rPr>
                    <w:t>3</w:t>
                  </w:r>
                  <w:r w:rsidRPr="00F9536B">
                    <w:rPr>
                      <w:sz w:val="18"/>
                      <w:szCs w:val="18"/>
                    </w:rPr>
                    <w:t>)</w:t>
                  </w:r>
                </w:p>
              </w:tc>
            </w:tr>
          </w:tbl>
          <w:p w:rsidR="00F9536B" w:rsidRPr="004021A9" w:rsidP="00CB3E7D">
            <w:pPr>
              <w:pStyle w:val="NormalWeb"/>
              <w:rPr>
                <w:sz w:val="20"/>
                <w:szCs w:val="20"/>
              </w:rPr>
            </w:pPr>
          </w:p>
          <w:p w:rsidR="00CB3E7D" w:rsidP="00CB3E7D">
            <w:pPr>
              <w:pStyle w:val="NormalWeb"/>
              <w:rPr>
                <w:sz w:val="20"/>
                <w:szCs w:val="20"/>
              </w:rPr>
            </w:pPr>
            <w:r w:rsidRPr="004021A9">
              <w:rPr>
                <w:sz w:val="20"/>
                <w:szCs w:val="20"/>
              </w:rPr>
              <w:t>2. Oxid dusičitý a oxidy dusíka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980"/>
              <w:gridCol w:w="815"/>
              <w:gridCol w:w="1145"/>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79" w:type="dxa"/>
                  <w:shd w:val="clear" w:color="auto" w:fill="auto"/>
                </w:tcPr>
                <w:p w:rsidR="00F9536B" w:rsidRPr="002E4067" w:rsidP="00CB3E7D">
                  <w:pPr>
                    <w:pStyle w:val="NormalWeb"/>
                    <w:rPr>
                      <w:sz w:val="20"/>
                      <w:szCs w:val="20"/>
                    </w:rPr>
                  </w:pPr>
                </w:p>
              </w:tc>
              <w:tc>
                <w:tcPr>
                  <w:tcW w:w="980" w:type="dxa"/>
                  <w:shd w:val="clear" w:color="auto" w:fill="auto"/>
                </w:tcPr>
                <w:p w:rsidR="00F9536B" w:rsidRPr="002E4067" w:rsidP="00CB3E7D">
                  <w:pPr>
                    <w:pStyle w:val="NormalWeb"/>
                    <w:rPr>
                      <w:sz w:val="18"/>
                      <w:szCs w:val="18"/>
                    </w:rPr>
                  </w:pPr>
                  <w:r w:rsidRPr="002E4067">
                    <w:rPr>
                      <w:sz w:val="18"/>
                      <w:szCs w:val="18"/>
                    </w:rPr>
                    <w:t>Hodinová limitná hodnota na ochranu zdravia ľudí (NO</w:t>
                  </w:r>
                  <w:r w:rsidRPr="002E4067">
                    <w:rPr>
                      <w:sz w:val="18"/>
                      <w:szCs w:val="18"/>
                      <w:vertAlign w:val="subscript"/>
                    </w:rPr>
                    <w:t>2</w:t>
                  </w:r>
                  <w:r w:rsidRPr="002E4067">
                    <w:rPr>
                      <w:sz w:val="18"/>
                      <w:szCs w:val="18"/>
                    </w:rPr>
                    <w:t>)</w:t>
                  </w:r>
                </w:p>
              </w:tc>
              <w:tc>
                <w:tcPr>
                  <w:tcW w:w="815" w:type="dxa"/>
                  <w:shd w:val="clear" w:color="auto" w:fill="auto"/>
                </w:tcPr>
                <w:p w:rsidR="00F9536B" w:rsidRPr="002E4067" w:rsidP="00CB3E7D">
                  <w:pPr>
                    <w:pStyle w:val="NormalWeb"/>
                    <w:rPr>
                      <w:sz w:val="18"/>
                      <w:szCs w:val="18"/>
                    </w:rPr>
                  </w:pPr>
                  <w:r w:rsidRPr="002E4067">
                    <w:rPr>
                      <w:sz w:val="18"/>
                      <w:szCs w:val="18"/>
                    </w:rPr>
                    <w:t>Ročná limitná hodnota na ochranu zdravia ľudí (NO</w:t>
                  </w:r>
                  <w:r w:rsidRPr="002E4067">
                    <w:rPr>
                      <w:sz w:val="18"/>
                      <w:szCs w:val="18"/>
                      <w:vertAlign w:val="subscript"/>
                    </w:rPr>
                    <w:t>2</w:t>
                  </w:r>
                  <w:r w:rsidRPr="002E4067">
                    <w:rPr>
                      <w:sz w:val="18"/>
                      <w:szCs w:val="18"/>
                    </w:rPr>
                    <w:t>)</w:t>
                  </w:r>
                </w:p>
              </w:tc>
              <w:tc>
                <w:tcPr>
                  <w:tcW w:w="1145" w:type="dxa"/>
                  <w:shd w:val="clear" w:color="auto" w:fill="auto"/>
                </w:tcPr>
                <w:p w:rsidR="00F9536B" w:rsidRPr="002E4067" w:rsidP="00CB3E7D">
                  <w:pPr>
                    <w:pStyle w:val="NormalWeb"/>
                    <w:rPr>
                      <w:sz w:val="18"/>
                      <w:szCs w:val="18"/>
                    </w:rPr>
                  </w:pPr>
                  <w:r w:rsidRPr="002E4067">
                    <w:rPr>
                      <w:sz w:val="18"/>
                      <w:szCs w:val="18"/>
                    </w:rPr>
                    <w:t>Ročná kritická úroveň na ochranu vegetácie a prírodných ekosystémov (NO</w:t>
                  </w:r>
                  <w:r w:rsidRPr="002E4067">
                    <w:rPr>
                      <w:sz w:val="18"/>
                      <w:szCs w:val="18"/>
                      <w:vertAlign w:val="subscript"/>
                    </w:rPr>
                    <w:t>x</w:t>
                  </w:r>
                  <w:r w:rsidRPr="002E4067">
                    <w:rPr>
                      <w:sz w:val="18"/>
                      <w:szCs w:val="18"/>
                    </w:rPr>
                    <w:t>)</w:t>
                  </w:r>
                </w:p>
              </w:tc>
            </w:tr>
            <w:tr w:rsidTr="002E4067">
              <w:tblPrEx>
                <w:tblW w:w="0" w:type="auto"/>
                <w:tblLayout w:type="fixed"/>
                <w:tblLook w:val="04A0"/>
              </w:tblPrEx>
              <w:tc>
                <w:tcPr>
                  <w:tcW w:w="979" w:type="dxa"/>
                  <w:shd w:val="clear" w:color="auto" w:fill="auto"/>
                </w:tcPr>
                <w:p w:rsidR="00F9536B" w:rsidRPr="002E4067" w:rsidP="00CB3E7D">
                  <w:pPr>
                    <w:pStyle w:val="NormalWeb"/>
                    <w:rPr>
                      <w:sz w:val="18"/>
                      <w:szCs w:val="18"/>
                    </w:rPr>
                  </w:pPr>
                  <w:r w:rsidRPr="002E4067">
                    <w:rPr>
                      <w:sz w:val="18"/>
                      <w:szCs w:val="18"/>
                    </w:rPr>
                    <w:t>Horný prah na hodnotenie</w:t>
                  </w:r>
                </w:p>
              </w:tc>
              <w:tc>
                <w:tcPr>
                  <w:tcW w:w="980" w:type="dxa"/>
                  <w:shd w:val="clear" w:color="auto" w:fill="auto"/>
                </w:tcPr>
                <w:p w:rsidR="00F9536B" w:rsidRPr="002E4067" w:rsidP="00CB3E7D">
                  <w:pPr>
                    <w:pStyle w:val="NormalWeb"/>
                    <w:rPr>
                      <w:sz w:val="18"/>
                      <w:szCs w:val="18"/>
                    </w:rPr>
                  </w:pPr>
                  <w:r w:rsidRPr="002E4067">
                    <w:rPr>
                      <w:sz w:val="18"/>
                      <w:szCs w:val="18"/>
                    </w:rPr>
                    <w:t>70 % limitnej hodnoty(140 µg/m</w:t>
                  </w:r>
                  <w:r w:rsidRPr="002E4067">
                    <w:rPr>
                      <w:sz w:val="18"/>
                      <w:szCs w:val="18"/>
                      <w:vertAlign w:val="superscript"/>
                    </w:rPr>
                    <w:t>3</w:t>
                  </w:r>
                  <w:r w:rsidRPr="002E4067">
                    <w:rPr>
                      <w:sz w:val="18"/>
                      <w:szCs w:val="18"/>
                    </w:rPr>
                    <w:t xml:space="preserve"> sa neprekročí viac ako 18-krát za každý kalendárny rok)</w:t>
                  </w:r>
                </w:p>
              </w:tc>
              <w:tc>
                <w:tcPr>
                  <w:tcW w:w="815" w:type="dxa"/>
                  <w:shd w:val="clear" w:color="auto" w:fill="auto"/>
                </w:tcPr>
                <w:p w:rsidR="00F9536B" w:rsidRPr="002E4067" w:rsidP="00CB3E7D">
                  <w:pPr>
                    <w:pStyle w:val="NormalWeb"/>
                    <w:rPr>
                      <w:sz w:val="18"/>
                      <w:szCs w:val="18"/>
                    </w:rPr>
                  </w:pPr>
                  <w:r w:rsidRPr="002E4067">
                    <w:rPr>
                      <w:sz w:val="18"/>
                      <w:szCs w:val="18"/>
                    </w:rPr>
                    <w:t>| 80 % limitnej hodnoty (32 µg/m</w:t>
                  </w:r>
                  <w:r w:rsidRPr="002E4067">
                    <w:rPr>
                      <w:sz w:val="18"/>
                      <w:szCs w:val="18"/>
                      <w:vertAlign w:val="superscript"/>
                    </w:rPr>
                    <w:t>3</w:t>
                  </w:r>
                  <w:r w:rsidRPr="002E4067">
                    <w:rPr>
                      <w:sz w:val="18"/>
                      <w:szCs w:val="18"/>
                    </w:rPr>
                    <w:t>)</w:t>
                  </w:r>
                </w:p>
              </w:tc>
              <w:tc>
                <w:tcPr>
                  <w:tcW w:w="1145" w:type="dxa"/>
                  <w:shd w:val="clear" w:color="auto" w:fill="auto"/>
                </w:tcPr>
                <w:p w:rsidR="00F9536B" w:rsidRPr="002E4067" w:rsidP="00CB3E7D">
                  <w:pPr>
                    <w:pStyle w:val="NormalWeb"/>
                    <w:rPr>
                      <w:sz w:val="18"/>
                      <w:szCs w:val="18"/>
                    </w:rPr>
                  </w:pPr>
                  <w:r w:rsidRPr="002E4067">
                    <w:rPr>
                      <w:sz w:val="18"/>
                      <w:szCs w:val="18"/>
                    </w:rPr>
                    <w:t>80 % kritickej úrovne (24 µg/m</w:t>
                  </w:r>
                  <w:r w:rsidRPr="002E4067">
                    <w:rPr>
                      <w:sz w:val="18"/>
                      <w:szCs w:val="18"/>
                      <w:vertAlign w:val="superscript"/>
                    </w:rPr>
                    <w:t>3</w:t>
                  </w:r>
                  <w:r w:rsidRPr="002E4067">
                    <w:rPr>
                      <w:sz w:val="18"/>
                      <w:szCs w:val="18"/>
                    </w:rPr>
                    <w:t>)</w:t>
                  </w:r>
                </w:p>
              </w:tc>
            </w:tr>
            <w:tr w:rsidTr="002E4067">
              <w:tblPrEx>
                <w:tblW w:w="0" w:type="auto"/>
                <w:tblLayout w:type="fixed"/>
                <w:tblLook w:val="04A0"/>
              </w:tblPrEx>
              <w:tc>
                <w:tcPr>
                  <w:tcW w:w="979" w:type="dxa"/>
                  <w:shd w:val="clear" w:color="auto" w:fill="auto"/>
                </w:tcPr>
                <w:p w:rsidR="00F9536B" w:rsidRPr="002E4067" w:rsidP="00CB3E7D">
                  <w:pPr>
                    <w:pStyle w:val="NormalWeb"/>
                    <w:rPr>
                      <w:sz w:val="18"/>
                      <w:szCs w:val="18"/>
                    </w:rPr>
                  </w:pPr>
                  <w:r w:rsidRPr="002E4067">
                    <w:rPr>
                      <w:sz w:val="18"/>
                      <w:szCs w:val="18"/>
                    </w:rPr>
                    <w:t>Dolný prah na hodnotenie</w:t>
                  </w:r>
                </w:p>
              </w:tc>
              <w:tc>
                <w:tcPr>
                  <w:tcW w:w="980" w:type="dxa"/>
                  <w:shd w:val="clear" w:color="auto" w:fill="auto"/>
                </w:tcPr>
                <w:p w:rsidR="00F9536B" w:rsidRPr="002E4067" w:rsidP="00CB3E7D">
                  <w:pPr>
                    <w:pStyle w:val="NormalWeb"/>
                    <w:rPr>
                      <w:sz w:val="18"/>
                      <w:szCs w:val="18"/>
                    </w:rPr>
                  </w:pPr>
                  <w:r w:rsidRPr="002E4067">
                    <w:rPr>
                      <w:sz w:val="18"/>
                      <w:szCs w:val="18"/>
                    </w:rPr>
                    <w:t>50 % limitnej hodnoty (100 µg/m</w:t>
                  </w:r>
                  <w:r w:rsidRPr="002E4067">
                    <w:rPr>
                      <w:sz w:val="18"/>
                      <w:szCs w:val="18"/>
                      <w:vertAlign w:val="superscript"/>
                    </w:rPr>
                    <w:t>3</w:t>
                  </w:r>
                  <w:r w:rsidRPr="002E4067">
                    <w:rPr>
                      <w:sz w:val="18"/>
                      <w:szCs w:val="18"/>
                    </w:rPr>
                    <w:t xml:space="preserve"> sa neprekročí viac ako 18-krát za každý kalendárny rok)</w:t>
                  </w:r>
                </w:p>
              </w:tc>
              <w:tc>
                <w:tcPr>
                  <w:tcW w:w="815" w:type="dxa"/>
                  <w:shd w:val="clear" w:color="auto" w:fill="auto"/>
                </w:tcPr>
                <w:p w:rsidR="00F9536B" w:rsidRPr="002E4067" w:rsidP="00CB3E7D">
                  <w:pPr>
                    <w:pStyle w:val="NormalWeb"/>
                    <w:rPr>
                      <w:sz w:val="18"/>
                      <w:szCs w:val="18"/>
                    </w:rPr>
                  </w:pPr>
                  <w:r w:rsidRPr="002E4067">
                    <w:rPr>
                      <w:sz w:val="18"/>
                      <w:szCs w:val="18"/>
                    </w:rPr>
                    <w:t>65 % limitnej hodnoty (26 µg/m</w:t>
                  </w:r>
                  <w:r w:rsidRPr="002E4067">
                    <w:rPr>
                      <w:sz w:val="18"/>
                      <w:szCs w:val="18"/>
                      <w:vertAlign w:val="superscript"/>
                    </w:rPr>
                    <w:t>3</w:t>
                  </w:r>
                  <w:r w:rsidRPr="002E4067">
                    <w:rPr>
                      <w:sz w:val="18"/>
                      <w:szCs w:val="18"/>
                    </w:rPr>
                    <w:t>)</w:t>
                  </w:r>
                </w:p>
              </w:tc>
              <w:tc>
                <w:tcPr>
                  <w:tcW w:w="1145" w:type="dxa"/>
                  <w:shd w:val="clear" w:color="auto" w:fill="auto"/>
                </w:tcPr>
                <w:p w:rsidR="00F9536B" w:rsidRPr="002E4067" w:rsidP="00CB3E7D">
                  <w:pPr>
                    <w:pStyle w:val="NormalWeb"/>
                    <w:rPr>
                      <w:sz w:val="18"/>
                      <w:szCs w:val="18"/>
                    </w:rPr>
                  </w:pPr>
                  <w:r w:rsidRPr="002E4067">
                    <w:rPr>
                      <w:sz w:val="18"/>
                      <w:szCs w:val="18"/>
                    </w:rPr>
                    <w:t>65 % kritickej úrovne(19,5 µg/m</w:t>
                  </w:r>
                  <w:r w:rsidRPr="002E4067">
                    <w:rPr>
                      <w:sz w:val="18"/>
                      <w:szCs w:val="18"/>
                      <w:vertAlign w:val="superscript"/>
                    </w:rPr>
                    <w:t>3</w:t>
                  </w:r>
                  <w:r w:rsidRPr="002E4067">
                    <w:rPr>
                      <w:sz w:val="18"/>
                      <w:szCs w:val="18"/>
                    </w:rPr>
                    <w:t>)</w:t>
                  </w:r>
                </w:p>
              </w:tc>
            </w:tr>
          </w:tbl>
          <w:p w:rsidR="00CB3E7D" w:rsidP="00CB3E7D">
            <w:pPr>
              <w:pStyle w:val="NormalWeb"/>
              <w:rPr>
                <w:sz w:val="20"/>
                <w:szCs w:val="20"/>
              </w:rPr>
            </w:pPr>
            <w:r w:rsidRPr="004021A9">
              <w:rPr>
                <w:sz w:val="20"/>
                <w:szCs w:val="20"/>
              </w:rPr>
              <w:t>3. Suspendované častice (PM</w:t>
            </w:r>
            <w:r w:rsidRPr="00052249">
              <w:rPr>
                <w:sz w:val="20"/>
                <w:szCs w:val="20"/>
                <w:vertAlign w:val="subscript"/>
              </w:rPr>
              <w:t>10</w:t>
            </w:r>
            <w:r w:rsidRPr="004021A9">
              <w:rPr>
                <w:sz w:val="20"/>
                <w:szCs w:val="20"/>
              </w:rPr>
              <w:t>/PM</w:t>
            </w:r>
            <w:r w:rsidRPr="00052249">
              <w:rPr>
                <w:sz w:val="20"/>
                <w:szCs w:val="20"/>
                <w:vertAlign w:val="subscript"/>
              </w:rPr>
              <w:t>2,5</w:t>
            </w:r>
            <w:r w:rsidRPr="004021A9">
              <w:rPr>
                <w:sz w:val="20"/>
                <w:szCs w:val="20"/>
              </w:rPr>
              <w:t>)</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992"/>
              <w:gridCol w:w="874"/>
              <w:gridCol w:w="980"/>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73" w:type="dxa"/>
                  <w:shd w:val="clear" w:color="auto" w:fill="auto"/>
                </w:tcPr>
                <w:p w:rsidR="0033432E" w:rsidRPr="002E4067" w:rsidP="00CB3E7D">
                  <w:pPr>
                    <w:pStyle w:val="NormalWeb"/>
                    <w:rPr>
                      <w:sz w:val="18"/>
                      <w:szCs w:val="18"/>
                    </w:rPr>
                  </w:pPr>
                </w:p>
              </w:tc>
              <w:tc>
                <w:tcPr>
                  <w:tcW w:w="992" w:type="dxa"/>
                  <w:shd w:val="clear" w:color="auto" w:fill="auto"/>
                </w:tcPr>
                <w:p w:rsidR="0033432E" w:rsidRPr="002E4067" w:rsidP="00CB3E7D">
                  <w:pPr>
                    <w:pStyle w:val="NormalWeb"/>
                    <w:rPr>
                      <w:sz w:val="18"/>
                      <w:szCs w:val="18"/>
                    </w:rPr>
                  </w:pPr>
                  <w:r w:rsidRPr="002E4067">
                    <w:rPr>
                      <w:sz w:val="18"/>
                      <w:szCs w:val="18"/>
                    </w:rPr>
                    <w:t>24 hodinový priemer PM</w:t>
                  </w:r>
                  <w:r w:rsidRPr="002E4067">
                    <w:rPr>
                      <w:sz w:val="18"/>
                      <w:szCs w:val="18"/>
                      <w:vertAlign w:val="subscript"/>
                    </w:rPr>
                    <w:t>10</w:t>
                  </w:r>
                </w:p>
              </w:tc>
              <w:tc>
                <w:tcPr>
                  <w:tcW w:w="874" w:type="dxa"/>
                  <w:shd w:val="clear" w:color="auto" w:fill="auto"/>
                </w:tcPr>
                <w:p w:rsidR="0033432E" w:rsidRPr="002E4067" w:rsidP="00CB3E7D">
                  <w:pPr>
                    <w:pStyle w:val="NormalWeb"/>
                    <w:rPr>
                      <w:sz w:val="18"/>
                      <w:szCs w:val="18"/>
                    </w:rPr>
                  </w:pPr>
                  <w:r w:rsidRPr="002E4067">
                    <w:rPr>
                      <w:sz w:val="18"/>
                      <w:szCs w:val="18"/>
                    </w:rPr>
                    <w:t>Ročný priemer PM</w:t>
                  </w:r>
                  <w:r w:rsidRPr="002E4067">
                    <w:rPr>
                      <w:sz w:val="18"/>
                      <w:szCs w:val="18"/>
                      <w:vertAlign w:val="subscript"/>
                    </w:rPr>
                    <w:t>10</w:t>
                  </w:r>
                </w:p>
              </w:tc>
              <w:tc>
                <w:tcPr>
                  <w:tcW w:w="980" w:type="dxa"/>
                  <w:shd w:val="clear" w:color="auto" w:fill="auto"/>
                </w:tcPr>
                <w:p w:rsidR="0033432E" w:rsidRPr="002E4067" w:rsidP="00CB3E7D">
                  <w:pPr>
                    <w:pStyle w:val="NormalWeb"/>
                    <w:rPr>
                      <w:sz w:val="18"/>
                      <w:szCs w:val="18"/>
                    </w:rPr>
                  </w:pPr>
                  <w:r w:rsidRPr="002E4067">
                    <w:rPr>
                      <w:sz w:val="18"/>
                      <w:szCs w:val="18"/>
                    </w:rPr>
                    <w:t>Ročný priemer PM</w:t>
                  </w:r>
                  <w:r w:rsidRPr="002E4067">
                    <w:rPr>
                      <w:sz w:val="18"/>
                      <w:szCs w:val="18"/>
                      <w:vertAlign w:val="subscript"/>
                    </w:rPr>
                    <w:t xml:space="preserve">2,5  </w:t>
                  </w:r>
                  <w:r w:rsidRPr="002E4067">
                    <w:rPr>
                      <w:sz w:val="18"/>
                      <w:szCs w:val="18"/>
                    </w:rPr>
                    <w:t>(</w:t>
                  </w:r>
                  <w:r w:rsidRPr="002E4067">
                    <w:rPr>
                      <w:sz w:val="18"/>
                      <w:szCs w:val="18"/>
                      <w:vertAlign w:val="superscript"/>
                    </w:rPr>
                    <w:t>1</w:t>
                  </w:r>
                  <w:r w:rsidRPr="002E4067">
                    <w:rPr>
                      <w:sz w:val="18"/>
                      <w:szCs w:val="18"/>
                    </w:rPr>
                    <w:t>)</w:t>
                  </w:r>
                </w:p>
              </w:tc>
            </w:tr>
            <w:tr w:rsidTr="002E4067">
              <w:tblPrEx>
                <w:tblW w:w="0" w:type="auto"/>
                <w:tblLayout w:type="fixed"/>
                <w:tblLook w:val="04A0"/>
              </w:tblPrEx>
              <w:tc>
                <w:tcPr>
                  <w:tcW w:w="1073" w:type="dxa"/>
                  <w:shd w:val="clear" w:color="auto" w:fill="auto"/>
                </w:tcPr>
                <w:p w:rsidR="0033432E" w:rsidRPr="002E4067" w:rsidP="00CB3E7D">
                  <w:pPr>
                    <w:pStyle w:val="NormalWeb"/>
                    <w:rPr>
                      <w:sz w:val="18"/>
                      <w:szCs w:val="18"/>
                    </w:rPr>
                  </w:pPr>
                  <w:r w:rsidRPr="002E4067" w:rsidR="00EC6A49">
                    <w:rPr>
                      <w:sz w:val="18"/>
                      <w:szCs w:val="18"/>
                    </w:rPr>
                    <w:t>Horný prah na hodnotenie</w:t>
                  </w:r>
                </w:p>
              </w:tc>
              <w:tc>
                <w:tcPr>
                  <w:tcW w:w="992" w:type="dxa"/>
                  <w:shd w:val="clear" w:color="auto" w:fill="auto"/>
                </w:tcPr>
                <w:p w:rsidR="0033432E" w:rsidRPr="002E4067" w:rsidP="00CB3E7D">
                  <w:pPr>
                    <w:pStyle w:val="NormalWeb"/>
                    <w:rPr>
                      <w:sz w:val="18"/>
                      <w:szCs w:val="18"/>
                    </w:rPr>
                  </w:pPr>
                  <w:r w:rsidRPr="002E4067" w:rsidR="00EC6A49">
                    <w:rPr>
                      <w:sz w:val="18"/>
                      <w:szCs w:val="18"/>
                    </w:rPr>
                    <w:t>70 % limitnej hodnoty (35 µg/m</w:t>
                  </w:r>
                  <w:r w:rsidRPr="002E4067" w:rsidR="00EC6A49">
                    <w:rPr>
                      <w:sz w:val="18"/>
                      <w:szCs w:val="18"/>
                      <w:vertAlign w:val="superscript"/>
                    </w:rPr>
                    <w:t>3</w:t>
                  </w:r>
                  <w:r w:rsidRPr="002E4067" w:rsidR="00EC6A49">
                    <w:rPr>
                      <w:sz w:val="18"/>
                      <w:szCs w:val="18"/>
                    </w:rPr>
                    <w:t xml:space="preserve"> sa neprekročí viac ako 35-krát za každý kalendárny rok)</w:t>
                  </w:r>
                </w:p>
              </w:tc>
              <w:tc>
                <w:tcPr>
                  <w:tcW w:w="874" w:type="dxa"/>
                  <w:shd w:val="clear" w:color="auto" w:fill="auto"/>
                </w:tcPr>
                <w:p w:rsidR="0033432E" w:rsidRPr="002E4067" w:rsidP="00CB3E7D">
                  <w:pPr>
                    <w:pStyle w:val="NormalWeb"/>
                    <w:rPr>
                      <w:sz w:val="18"/>
                      <w:szCs w:val="18"/>
                    </w:rPr>
                  </w:pPr>
                  <w:r w:rsidRPr="002E4067" w:rsidR="00EC6A49">
                    <w:rPr>
                      <w:sz w:val="18"/>
                      <w:szCs w:val="18"/>
                    </w:rPr>
                    <w:t xml:space="preserve"> 70 % limitnej hodnoty (28 µg/m</w:t>
                  </w:r>
                  <w:r w:rsidRPr="002E4067" w:rsidR="00EC6A49">
                    <w:rPr>
                      <w:sz w:val="18"/>
                      <w:szCs w:val="18"/>
                      <w:vertAlign w:val="superscript"/>
                    </w:rPr>
                    <w:t>3</w:t>
                  </w:r>
                  <w:r w:rsidRPr="002E4067" w:rsidR="00EC6A49">
                    <w:rPr>
                      <w:sz w:val="18"/>
                      <w:szCs w:val="18"/>
                    </w:rPr>
                    <w:t>)</w:t>
                  </w:r>
                </w:p>
              </w:tc>
              <w:tc>
                <w:tcPr>
                  <w:tcW w:w="980" w:type="dxa"/>
                  <w:shd w:val="clear" w:color="auto" w:fill="auto"/>
                </w:tcPr>
                <w:p w:rsidR="0033432E" w:rsidRPr="002E4067" w:rsidP="00CB3E7D">
                  <w:pPr>
                    <w:pStyle w:val="NormalWeb"/>
                    <w:rPr>
                      <w:sz w:val="18"/>
                      <w:szCs w:val="18"/>
                    </w:rPr>
                  </w:pPr>
                  <w:r w:rsidRPr="002E4067" w:rsidR="00EC6A49">
                    <w:rPr>
                      <w:sz w:val="18"/>
                      <w:szCs w:val="18"/>
                    </w:rPr>
                    <w:t>70 % limitnej hodnoty (17 µg/m3)</w:t>
                  </w:r>
                </w:p>
              </w:tc>
            </w:tr>
            <w:tr w:rsidTr="002E4067">
              <w:tblPrEx>
                <w:tblW w:w="0" w:type="auto"/>
                <w:tblLayout w:type="fixed"/>
                <w:tblLook w:val="04A0"/>
              </w:tblPrEx>
              <w:tc>
                <w:tcPr>
                  <w:tcW w:w="1073" w:type="dxa"/>
                  <w:shd w:val="clear" w:color="auto" w:fill="auto"/>
                </w:tcPr>
                <w:p w:rsidR="0033432E" w:rsidRPr="002E4067" w:rsidP="00CB3E7D">
                  <w:pPr>
                    <w:pStyle w:val="NormalWeb"/>
                    <w:rPr>
                      <w:sz w:val="18"/>
                      <w:szCs w:val="18"/>
                    </w:rPr>
                  </w:pPr>
                  <w:r w:rsidRPr="002E4067" w:rsidR="00EC6A49">
                    <w:rPr>
                      <w:sz w:val="18"/>
                      <w:szCs w:val="18"/>
                    </w:rPr>
                    <w:t>Dolný prah na hodnotenie</w:t>
                  </w:r>
                </w:p>
              </w:tc>
              <w:tc>
                <w:tcPr>
                  <w:tcW w:w="992" w:type="dxa"/>
                  <w:shd w:val="clear" w:color="auto" w:fill="auto"/>
                </w:tcPr>
                <w:p w:rsidR="0033432E" w:rsidRPr="002E4067" w:rsidP="00CB3E7D">
                  <w:pPr>
                    <w:pStyle w:val="NormalWeb"/>
                    <w:rPr>
                      <w:sz w:val="18"/>
                      <w:szCs w:val="18"/>
                    </w:rPr>
                  </w:pPr>
                  <w:r w:rsidRPr="002E4067" w:rsidR="00EC6A49">
                    <w:rPr>
                      <w:sz w:val="18"/>
                      <w:szCs w:val="18"/>
                    </w:rPr>
                    <w:t>50 % limitnej hodnoty (25 µg/m</w:t>
                  </w:r>
                  <w:r w:rsidRPr="002E4067" w:rsidR="00EC6A49">
                    <w:rPr>
                      <w:sz w:val="18"/>
                      <w:szCs w:val="18"/>
                      <w:vertAlign w:val="superscript"/>
                    </w:rPr>
                    <w:t xml:space="preserve">3 </w:t>
                  </w:r>
                  <w:r w:rsidRPr="002E4067" w:rsidR="00EC6A49">
                    <w:rPr>
                      <w:sz w:val="18"/>
                      <w:szCs w:val="18"/>
                    </w:rPr>
                    <w:t>sa neprekročí viac ako 35-krát za každý kalendárny rok)</w:t>
                  </w:r>
                </w:p>
              </w:tc>
              <w:tc>
                <w:tcPr>
                  <w:tcW w:w="874" w:type="dxa"/>
                  <w:shd w:val="clear" w:color="auto" w:fill="auto"/>
                </w:tcPr>
                <w:p w:rsidR="0033432E" w:rsidRPr="002E4067" w:rsidP="00CB3E7D">
                  <w:pPr>
                    <w:pStyle w:val="NormalWeb"/>
                    <w:rPr>
                      <w:sz w:val="18"/>
                      <w:szCs w:val="18"/>
                    </w:rPr>
                  </w:pPr>
                  <w:r w:rsidRPr="002E4067" w:rsidR="00EC6A49">
                    <w:rPr>
                      <w:sz w:val="18"/>
                      <w:szCs w:val="18"/>
                    </w:rPr>
                    <w:t>50 % limitnej hodnoty (20 µg/m</w:t>
                  </w:r>
                  <w:r w:rsidRPr="002E4067" w:rsidR="00EC6A49">
                    <w:rPr>
                      <w:sz w:val="18"/>
                      <w:szCs w:val="18"/>
                      <w:vertAlign w:val="superscript"/>
                    </w:rPr>
                    <w:t>3</w:t>
                  </w:r>
                  <w:r w:rsidRPr="002E4067" w:rsidR="00EC6A49">
                    <w:rPr>
                      <w:sz w:val="18"/>
                      <w:szCs w:val="18"/>
                    </w:rPr>
                    <w:t>)</w:t>
                  </w:r>
                </w:p>
              </w:tc>
              <w:tc>
                <w:tcPr>
                  <w:tcW w:w="980" w:type="dxa"/>
                  <w:shd w:val="clear" w:color="auto" w:fill="auto"/>
                </w:tcPr>
                <w:p w:rsidR="0033432E" w:rsidRPr="002E4067" w:rsidP="00CB3E7D">
                  <w:pPr>
                    <w:pStyle w:val="NormalWeb"/>
                    <w:rPr>
                      <w:sz w:val="18"/>
                      <w:szCs w:val="18"/>
                    </w:rPr>
                  </w:pPr>
                  <w:r w:rsidRPr="002E4067" w:rsidR="00EC6A49">
                    <w:rPr>
                      <w:sz w:val="18"/>
                      <w:szCs w:val="18"/>
                    </w:rPr>
                    <w:t>50 % limitnej hodnoty (12 µg/m3)</w:t>
                  </w:r>
                </w:p>
              </w:tc>
            </w:tr>
          </w:tbl>
          <w:p w:rsidR="00CB3E7D" w:rsidP="00CB3E7D">
            <w:pPr>
              <w:pStyle w:val="NormalWeb"/>
              <w:rPr>
                <w:sz w:val="20"/>
                <w:szCs w:val="20"/>
              </w:rPr>
            </w:pPr>
            <w:r w:rsidRPr="004021A9">
              <w:rPr>
                <w:sz w:val="20"/>
                <w:szCs w:val="20"/>
              </w:rPr>
              <w:t>4. Olovo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960"/>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9" w:type="dxa"/>
                  <w:shd w:val="clear" w:color="auto" w:fill="auto"/>
                </w:tcPr>
                <w:p w:rsidR="00812419" w:rsidRPr="002E4067" w:rsidP="00CB3E7D">
                  <w:pPr>
                    <w:pStyle w:val="NormalWeb"/>
                    <w:rPr>
                      <w:sz w:val="18"/>
                      <w:szCs w:val="18"/>
                    </w:rPr>
                  </w:pPr>
                </w:p>
              </w:tc>
              <w:tc>
                <w:tcPr>
                  <w:tcW w:w="1960" w:type="dxa"/>
                  <w:shd w:val="clear" w:color="auto" w:fill="auto"/>
                </w:tcPr>
                <w:p w:rsidR="00812419" w:rsidRPr="002E4067" w:rsidP="00CB3E7D">
                  <w:pPr>
                    <w:pStyle w:val="NormalWeb"/>
                    <w:rPr>
                      <w:sz w:val="18"/>
                      <w:szCs w:val="18"/>
                    </w:rPr>
                  </w:pPr>
                  <w:r w:rsidRPr="002E4067">
                    <w:rPr>
                      <w:sz w:val="18"/>
                      <w:szCs w:val="18"/>
                    </w:rPr>
                    <w:t>Ročný priemer</w:t>
                  </w:r>
                </w:p>
              </w:tc>
            </w:tr>
            <w:tr w:rsidTr="002E4067">
              <w:tblPrEx>
                <w:tblW w:w="0" w:type="auto"/>
                <w:tblLayout w:type="fixed"/>
                <w:tblLook w:val="04A0"/>
              </w:tblPrEx>
              <w:tc>
                <w:tcPr>
                  <w:tcW w:w="1959" w:type="dxa"/>
                  <w:shd w:val="clear" w:color="auto" w:fill="auto"/>
                </w:tcPr>
                <w:p w:rsidR="00812419" w:rsidRPr="002E4067" w:rsidP="00CB3E7D">
                  <w:pPr>
                    <w:pStyle w:val="NormalWeb"/>
                    <w:rPr>
                      <w:sz w:val="18"/>
                      <w:szCs w:val="18"/>
                    </w:rPr>
                  </w:pPr>
                  <w:r w:rsidRPr="002E4067">
                    <w:rPr>
                      <w:sz w:val="18"/>
                      <w:szCs w:val="18"/>
                    </w:rPr>
                    <w:t>Horný prah na hodnotenie</w:t>
                  </w:r>
                </w:p>
              </w:tc>
              <w:tc>
                <w:tcPr>
                  <w:tcW w:w="1960" w:type="dxa"/>
                  <w:shd w:val="clear" w:color="auto" w:fill="auto"/>
                </w:tcPr>
                <w:p w:rsidR="00812419" w:rsidRPr="002E4067" w:rsidP="00CB3E7D">
                  <w:pPr>
                    <w:pStyle w:val="NormalWeb"/>
                    <w:rPr>
                      <w:sz w:val="18"/>
                      <w:szCs w:val="18"/>
                    </w:rPr>
                  </w:pPr>
                  <w:r w:rsidRPr="002E4067">
                    <w:rPr>
                      <w:sz w:val="18"/>
                      <w:szCs w:val="18"/>
                    </w:rPr>
                    <w:t>70 % limitnej hodnoty (0,35 µg/m</w:t>
                  </w:r>
                  <w:r w:rsidRPr="002E4067">
                    <w:rPr>
                      <w:sz w:val="18"/>
                      <w:szCs w:val="18"/>
                      <w:vertAlign w:val="superscript"/>
                    </w:rPr>
                    <w:t>3</w:t>
                  </w:r>
                  <w:r w:rsidRPr="002E4067">
                    <w:rPr>
                      <w:sz w:val="18"/>
                      <w:szCs w:val="18"/>
                    </w:rPr>
                    <w:t>)</w:t>
                  </w:r>
                </w:p>
              </w:tc>
            </w:tr>
            <w:tr w:rsidTr="002E4067">
              <w:tblPrEx>
                <w:tblW w:w="0" w:type="auto"/>
                <w:tblLayout w:type="fixed"/>
                <w:tblLook w:val="04A0"/>
              </w:tblPrEx>
              <w:tc>
                <w:tcPr>
                  <w:tcW w:w="1959" w:type="dxa"/>
                  <w:shd w:val="clear" w:color="auto" w:fill="auto"/>
                </w:tcPr>
                <w:p w:rsidR="00812419" w:rsidRPr="002E4067" w:rsidP="00CB3E7D">
                  <w:pPr>
                    <w:pStyle w:val="NormalWeb"/>
                    <w:rPr>
                      <w:sz w:val="18"/>
                      <w:szCs w:val="18"/>
                    </w:rPr>
                  </w:pPr>
                  <w:r w:rsidRPr="002E4067">
                    <w:rPr>
                      <w:sz w:val="18"/>
                      <w:szCs w:val="18"/>
                    </w:rPr>
                    <w:t>Dolný prah na hodnotenie</w:t>
                  </w:r>
                </w:p>
              </w:tc>
              <w:tc>
                <w:tcPr>
                  <w:tcW w:w="1960" w:type="dxa"/>
                  <w:shd w:val="clear" w:color="auto" w:fill="auto"/>
                </w:tcPr>
                <w:p w:rsidR="00812419" w:rsidRPr="002E4067" w:rsidP="00CB3E7D">
                  <w:pPr>
                    <w:pStyle w:val="NormalWeb"/>
                    <w:rPr>
                      <w:sz w:val="18"/>
                      <w:szCs w:val="18"/>
                    </w:rPr>
                  </w:pPr>
                  <w:r w:rsidRPr="002E4067">
                    <w:rPr>
                      <w:sz w:val="18"/>
                      <w:szCs w:val="18"/>
                    </w:rPr>
                    <w:t>50 % limitnej hodnoty (0,25 µg/m</w:t>
                  </w:r>
                  <w:r w:rsidRPr="002E4067">
                    <w:rPr>
                      <w:sz w:val="18"/>
                      <w:szCs w:val="18"/>
                      <w:vertAlign w:val="superscript"/>
                    </w:rPr>
                    <w:t>3</w:t>
                  </w:r>
                  <w:r w:rsidRPr="002E4067">
                    <w:rPr>
                      <w:sz w:val="18"/>
                      <w:szCs w:val="18"/>
                    </w:rPr>
                    <w:t>)</w:t>
                  </w:r>
                </w:p>
              </w:tc>
            </w:tr>
          </w:tbl>
          <w:p w:rsidR="00CB3E7D" w:rsidP="00CB3E7D">
            <w:pPr>
              <w:pStyle w:val="NormalWeb"/>
              <w:rPr>
                <w:sz w:val="20"/>
                <w:szCs w:val="20"/>
              </w:rPr>
            </w:pPr>
            <w:r w:rsidRPr="004021A9">
              <w:rPr>
                <w:sz w:val="20"/>
                <w:szCs w:val="20"/>
              </w:rPr>
              <w:t>5. Benzén</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960"/>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9" w:type="dxa"/>
                  <w:shd w:val="clear" w:color="auto" w:fill="auto"/>
                </w:tcPr>
                <w:p w:rsidR="00812419" w:rsidRPr="002E4067" w:rsidP="00CB3E7D">
                  <w:pPr>
                    <w:pStyle w:val="NormalWeb"/>
                    <w:rPr>
                      <w:sz w:val="18"/>
                      <w:szCs w:val="18"/>
                    </w:rPr>
                  </w:pPr>
                </w:p>
              </w:tc>
              <w:tc>
                <w:tcPr>
                  <w:tcW w:w="1960" w:type="dxa"/>
                  <w:shd w:val="clear" w:color="auto" w:fill="auto"/>
                </w:tcPr>
                <w:p w:rsidR="00812419" w:rsidRPr="002E4067" w:rsidP="00CB3E7D">
                  <w:pPr>
                    <w:pStyle w:val="NormalWeb"/>
                    <w:rPr>
                      <w:sz w:val="18"/>
                      <w:szCs w:val="18"/>
                    </w:rPr>
                  </w:pPr>
                  <w:r w:rsidRPr="002E4067">
                    <w:rPr>
                      <w:sz w:val="18"/>
                      <w:szCs w:val="18"/>
                    </w:rPr>
                    <w:t>Ročný priemer</w:t>
                  </w:r>
                </w:p>
              </w:tc>
            </w:tr>
            <w:tr w:rsidTr="002E4067">
              <w:tblPrEx>
                <w:tblW w:w="0" w:type="auto"/>
                <w:tblLayout w:type="fixed"/>
                <w:tblLook w:val="04A0"/>
              </w:tblPrEx>
              <w:tc>
                <w:tcPr>
                  <w:tcW w:w="1959" w:type="dxa"/>
                  <w:shd w:val="clear" w:color="auto" w:fill="auto"/>
                </w:tcPr>
                <w:p w:rsidR="00812419" w:rsidRPr="002E4067" w:rsidP="00CB3E7D">
                  <w:pPr>
                    <w:pStyle w:val="NormalWeb"/>
                    <w:rPr>
                      <w:sz w:val="18"/>
                      <w:szCs w:val="18"/>
                    </w:rPr>
                  </w:pPr>
                  <w:r w:rsidRPr="002E4067">
                    <w:rPr>
                      <w:sz w:val="18"/>
                      <w:szCs w:val="18"/>
                    </w:rPr>
                    <w:t>Horný prah na hodnotenie</w:t>
                  </w:r>
                </w:p>
              </w:tc>
              <w:tc>
                <w:tcPr>
                  <w:tcW w:w="1960" w:type="dxa"/>
                  <w:shd w:val="clear" w:color="auto" w:fill="auto"/>
                </w:tcPr>
                <w:p w:rsidR="00812419" w:rsidRPr="002E4067" w:rsidP="00CB3E7D">
                  <w:pPr>
                    <w:pStyle w:val="NormalWeb"/>
                    <w:rPr>
                      <w:sz w:val="18"/>
                      <w:szCs w:val="18"/>
                    </w:rPr>
                  </w:pPr>
                  <w:r w:rsidRPr="002E4067">
                    <w:rPr>
                      <w:sz w:val="18"/>
                      <w:szCs w:val="18"/>
                    </w:rPr>
                    <w:t>70 % limitnej hodnoty (3,5 µg/m</w:t>
                  </w:r>
                  <w:r w:rsidRPr="002E4067">
                    <w:rPr>
                      <w:sz w:val="18"/>
                      <w:szCs w:val="18"/>
                      <w:vertAlign w:val="superscript"/>
                    </w:rPr>
                    <w:t>3</w:t>
                  </w:r>
                  <w:r w:rsidRPr="002E4067">
                    <w:rPr>
                      <w:sz w:val="18"/>
                      <w:szCs w:val="18"/>
                    </w:rPr>
                    <w:t>)</w:t>
                  </w:r>
                </w:p>
              </w:tc>
            </w:tr>
            <w:tr w:rsidTr="002E4067">
              <w:tblPrEx>
                <w:tblW w:w="0" w:type="auto"/>
                <w:tblLayout w:type="fixed"/>
                <w:tblLook w:val="04A0"/>
              </w:tblPrEx>
              <w:tc>
                <w:tcPr>
                  <w:tcW w:w="1959" w:type="dxa"/>
                  <w:shd w:val="clear" w:color="auto" w:fill="auto"/>
                </w:tcPr>
                <w:p w:rsidR="00812419" w:rsidRPr="002E4067" w:rsidP="00CB3E7D">
                  <w:pPr>
                    <w:pStyle w:val="NormalWeb"/>
                    <w:rPr>
                      <w:sz w:val="18"/>
                      <w:szCs w:val="18"/>
                    </w:rPr>
                  </w:pPr>
                  <w:r w:rsidRPr="002E4067">
                    <w:rPr>
                      <w:sz w:val="18"/>
                      <w:szCs w:val="18"/>
                    </w:rPr>
                    <w:t>Dolný prah na hodnotenie</w:t>
                  </w:r>
                </w:p>
              </w:tc>
              <w:tc>
                <w:tcPr>
                  <w:tcW w:w="1960" w:type="dxa"/>
                  <w:shd w:val="clear" w:color="auto" w:fill="auto"/>
                </w:tcPr>
                <w:p w:rsidR="00812419" w:rsidRPr="002E4067" w:rsidP="00CB3E7D">
                  <w:pPr>
                    <w:pStyle w:val="NormalWeb"/>
                    <w:rPr>
                      <w:sz w:val="18"/>
                      <w:szCs w:val="18"/>
                    </w:rPr>
                  </w:pPr>
                  <w:r w:rsidRPr="002E4067">
                    <w:rPr>
                      <w:sz w:val="18"/>
                      <w:szCs w:val="18"/>
                    </w:rPr>
                    <w:t>40 % limitnej hodnoty (2 µg/m</w:t>
                  </w:r>
                  <w:r w:rsidRPr="002E4067">
                    <w:rPr>
                      <w:sz w:val="18"/>
                      <w:szCs w:val="18"/>
                      <w:vertAlign w:val="superscript"/>
                    </w:rPr>
                    <w:t>3</w:t>
                  </w:r>
                  <w:r w:rsidRPr="002E4067">
                    <w:rPr>
                      <w:sz w:val="18"/>
                      <w:szCs w:val="18"/>
                    </w:rPr>
                    <w:t>)</w:t>
                  </w:r>
                </w:p>
              </w:tc>
            </w:tr>
          </w:tbl>
          <w:p w:rsidR="00CB3E7D" w:rsidP="00CB3E7D">
            <w:pPr>
              <w:pStyle w:val="NormalWeb"/>
              <w:rPr>
                <w:sz w:val="20"/>
                <w:szCs w:val="20"/>
              </w:rPr>
            </w:pPr>
            <w:r w:rsidRPr="004021A9">
              <w:rPr>
                <w:sz w:val="20"/>
                <w:szCs w:val="20"/>
              </w:rPr>
              <w:t>6. Oxid uhoľnatý</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960"/>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9" w:type="dxa"/>
                  <w:shd w:val="clear" w:color="auto" w:fill="auto"/>
                </w:tcPr>
                <w:p w:rsidR="00812419" w:rsidRPr="002E4067" w:rsidP="00CB3E7D">
                  <w:pPr>
                    <w:pStyle w:val="NormalWeb"/>
                    <w:rPr>
                      <w:sz w:val="18"/>
                      <w:szCs w:val="18"/>
                    </w:rPr>
                  </w:pPr>
                </w:p>
              </w:tc>
              <w:tc>
                <w:tcPr>
                  <w:tcW w:w="1960" w:type="dxa"/>
                  <w:shd w:val="clear" w:color="auto" w:fill="auto"/>
                </w:tcPr>
                <w:p w:rsidR="00812419" w:rsidRPr="002E4067" w:rsidP="00CB3E7D">
                  <w:pPr>
                    <w:pStyle w:val="NormalWeb"/>
                    <w:rPr>
                      <w:sz w:val="18"/>
                      <w:szCs w:val="18"/>
                    </w:rPr>
                  </w:pPr>
                  <w:r w:rsidRPr="002E4067">
                    <w:rPr>
                      <w:sz w:val="18"/>
                      <w:szCs w:val="18"/>
                    </w:rPr>
                    <w:t>Osemhodinový priemer</w:t>
                  </w:r>
                </w:p>
              </w:tc>
            </w:tr>
            <w:tr w:rsidTr="002E4067">
              <w:tblPrEx>
                <w:tblW w:w="0" w:type="auto"/>
                <w:tblLayout w:type="fixed"/>
                <w:tblLook w:val="04A0"/>
              </w:tblPrEx>
              <w:tc>
                <w:tcPr>
                  <w:tcW w:w="1959" w:type="dxa"/>
                  <w:shd w:val="clear" w:color="auto" w:fill="auto"/>
                </w:tcPr>
                <w:p w:rsidR="00812419" w:rsidRPr="002E4067" w:rsidP="00CB3E7D">
                  <w:pPr>
                    <w:pStyle w:val="NormalWeb"/>
                    <w:rPr>
                      <w:sz w:val="18"/>
                      <w:szCs w:val="18"/>
                    </w:rPr>
                  </w:pPr>
                  <w:r w:rsidRPr="002E4067">
                    <w:rPr>
                      <w:sz w:val="18"/>
                      <w:szCs w:val="18"/>
                    </w:rPr>
                    <w:t>Horný prah na hodnotenie</w:t>
                  </w:r>
                </w:p>
              </w:tc>
              <w:tc>
                <w:tcPr>
                  <w:tcW w:w="1960" w:type="dxa"/>
                  <w:shd w:val="clear" w:color="auto" w:fill="auto"/>
                </w:tcPr>
                <w:p w:rsidR="00812419" w:rsidRPr="002E4067" w:rsidP="00CB3E7D">
                  <w:pPr>
                    <w:pStyle w:val="NormalWeb"/>
                    <w:rPr>
                      <w:sz w:val="18"/>
                      <w:szCs w:val="18"/>
                    </w:rPr>
                  </w:pPr>
                  <w:r w:rsidRPr="002E4067">
                    <w:rPr>
                      <w:sz w:val="18"/>
                      <w:szCs w:val="18"/>
                    </w:rPr>
                    <w:t>70 % limitnej hodnoty (7 mg/m</w:t>
                  </w:r>
                  <w:r w:rsidRPr="002E4067">
                    <w:rPr>
                      <w:sz w:val="18"/>
                      <w:szCs w:val="18"/>
                      <w:vertAlign w:val="superscript"/>
                    </w:rPr>
                    <w:t>3</w:t>
                  </w:r>
                  <w:r w:rsidRPr="002E4067">
                    <w:rPr>
                      <w:sz w:val="18"/>
                      <w:szCs w:val="18"/>
                    </w:rPr>
                    <w:t>)</w:t>
                  </w:r>
                </w:p>
              </w:tc>
            </w:tr>
            <w:tr w:rsidTr="002E4067">
              <w:tblPrEx>
                <w:tblW w:w="0" w:type="auto"/>
                <w:tblLayout w:type="fixed"/>
                <w:tblLook w:val="04A0"/>
              </w:tblPrEx>
              <w:tc>
                <w:tcPr>
                  <w:tcW w:w="1959" w:type="dxa"/>
                  <w:shd w:val="clear" w:color="auto" w:fill="auto"/>
                </w:tcPr>
                <w:p w:rsidR="00812419" w:rsidRPr="002E4067" w:rsidP="00CB3E7D">
                  <w:pPr>
                    <w:pStyle w:val="NormalWeb"/>
                    <w:rPr>
                      <w:sz w:val="18"/>
                      <w:szCs w:val="18"/>
                    </w:rPr>
                  </w:pPr>
                  <w:r w:rsidRPr="002E4067">
                    <w:rPr>
                      <w:sz w:val="18"/>
                      <w:szCs w:val="18"/>
                    </w:rPr>
                    <w:t>Dolný prah na hodnotenie | 50 % limitnej hodnoty (5 mg/m</w:t>
                  </w:r>
                  <w:r w:rsidRPr="002E4067">
                    <w:rPr>
                      <w:sz w:val="18"/>
                      <w:szCs w:val="18"/>
                      <w:vertAlign w:val="superscript"/>
                    </w:rPr>
                    <w:t>3</w:t>
                  </w:r>
                  <w:r w:rsidRPr="002E4067">
                    <w:rPr>
                      <w:sz w:val="18"/>
                      <w:szCs w:val="18"/>
                    </w:rPr>
                    <w:t>)</w:t>
                  </w:r>
                </w:p>
              </w:tc>
              <w:tc>
                <w:tcPr>
                  <w:tcW w:w="1960" w:type="dxa"/>
                  <w:shd w:val="clear" w:color="auto" w:fill="auto"/>
                </w:tcPr>
                <w:p w:rsidR="00812419" w:rsidRPr="002E4067" w:rsidP="00CB3E7D">
                  <w:pPr>
                    <w:pStyle w:val="NormalWeb"/>
                    <w:rPr>
                      <w:sz w:val="18"/>
                      <w:szCs w:val="18"/>
                    </w:rPr>
                  </w:pPr>
                  <w:r w:rsidRPr="002E4067">
                    <w:rPr>
                      <w:sz w:val="18"/>
                      <w:szCs w:val="18"/>
                    </w:rPr>
                    <w:t>50 % limitnej hodnoty (5 mg/m</w:t>
                  </w:r>
                  <w:r w:rsidRPr="002E4067">
                    <w:rPr>
                      <w:sz w:val="18"/>
                      <w:szCs w:val="18"/>
                      <w:vertAlign w:val="superscript"/>
                    </w:rPr>
                    <w:t>3</w:t>
                  </w:r>
                  <w:r w:rsidRPr="002E4067">
                    <w:rPr>
                      <w:sz w:val="18"/>
                      <w:szCs w:val="18"/>
                    </w:rPr>
                    <w:t>)</w:t>
                  </w:r>
                </w:p>
              </w:tc>
            </w:tr>
          </w:tbl>
          <w:p w:rsidR="00812419" w:rsidP="00CB3E7D">
            <w:pPr>
              <w:pStyle w:val="NormalWeb"/>
              <w:rPr>
                <w:sz w:val="20"/>
                <w:szCs w:val="20"/>
              </w:rPr>
            </w:pPr>
            <w:r>
              <w:rPr>
                <w:sz w:val="20"/>
                <w:szCs w:val="20"/>
              </w:rPr>
              <w:t>(</w:t>
            </w:r>
            <w:r w:rsidRPr="00812419">
              <w:rPr>
                <w:sz w:val="20"/>
                <w:szCs w:val="20"/>
                <w:vertAlign w:val="superscript"/>
              </w:rPr>
              <w:t>1</w:t>
            </w:r>
            <w:r>
              <w:rPr>
                <w:sz w:val="20"/>
                <w:szCs w:val="20"/>
              </w:rPr>
              <w:t>)</w:t>
            </w:r>
            <w:r w:rsidRPr="004021A9">
              <w:rPr>
                <w:sz w:val="20"/>
                <w:szCs w:val="20"/>
              </w:rPr>
              <w:t xml:space="preserve"> Horný prah na hodnotenie a dolný prah na hodnotenie pre PM</w:t>
            </w:r>
            <w:r w:rsidRPr="00052249">
              <w:rPr>
                <w:sz w:val="20"/>
                <w:szCs w:val="20"/>
                <w:vertAlign w:val="subscript"/>
              </w:rPr>
              <w:t>2,5</w:t>
            </w:r>
            <w:r w:rsidRPr="004021A9">
              <w:rPr>
                <w:sz w:val="20"/>
                <w:szCs w:val="20"/>
              </w:rPr>
              <w:t xml:space="preserve"> sa nevzťahujú na merania na posúdenie dodržiavania cieľa zníženia expozície pre PM</w:t>
            </w:r>
            <w:r w:rsidRPr="00052249">
              <w:rPr>
                <w:sz w:val="20"/>
                <w:szCs w:val="20"/>
                <w:vertAlign w:val="subscript"/>
              </w:rPr>
              <w:t xml:space="preserve">2,5 </w:t>
            </w:r>
            <w:r w:rsidRPr="004021A9">
              <w:rPr>
                <w:sz w:val="20"/>
                <w:szCs w:val="20"/>
              </w:rPr>
              <w:t>na ochranu zdravia ľudí.</w:t>
            </w:r>
          </w:p>
          <w:p w:rsidR="00CB3E7D" w:rsidRPr="004021A9" w:rsidP="00CB3E7D">
            <w:pPr>
              <w:pStyle w:val="NormalWeb"/>
              <w:rPr>
                <w:sz w:val="20"/>
                <w:szCs w:val="20"/>
              </w:rPr>
            </w:pPr>
            <w:r w:rsidRPr="004021A9">
              <w:rPr>
                <w:sz w:val="20"/>
                <w:szCs w:val="20"/>
              </w:rPr>
              <w:t>B. Určenie prekročení horných a dolných prahov na hodnotenie</w:t>
            </w:r>
          </w:p>
          <w:p w:rsidR="00CB3E7D" w:rsidRPr="004021A9" w:rsidP="00CB3E7D">
            <w:pPr>
              <w:pStyle w:val="NormalWeb"/>
              <w:rPr>
                <w:sz w:val="20"/>
                <w:szCs w:val="20"/>
              </w:rPr>
            </w:pPr>
            <w:r w:rsidRPr="004021A9">
              <w:rPr>
                <w:sz w:val="20"/>
                <w:szCs w:val="20"/>
              </w:rPr>
              <w:t>Prekročenia horných a dolných prahov na hodnotenie sa určujú na základe koncentrácií počas predchádzajúcich piatich rokov, ak sú k dispozícii dostatočné údaje. Prah na hodnotenie sa považuje za prekročený, ak bol v priebehu týchto predchádzajúcich piatich rokov prekročený aspoň v troch jednotlivých rokoch.</w:t>
            </w:r>
          </w:p>
          <w:p w:rsidR="00CB3E7D" w:rsidRPr="004021A9" w:rsidP="00CB3E7D">
            <w:pPr>
              <w:pStyle w:val="NormalWeb"/>
              <w:rPr>
                <w:sz w:val="20"/>
                <w:szCs w:val="20"/>
              </w:rPr>
            </w:pPr>
            <w:r w:rsidRPr="004021A9">
              <w:rPr>
                <w:sz w:val="20"/>
                <w:szCs w:val="20"/>
              </w:rPr>
              <w:t>Ak sú k dispozícii údaje za menej ako päť rokov, členské štáty môžu na určenie prekročení horných a dolných prahov na hodnotenie kombinovať krátkodobé meracie kampane počas roku a na miestach, ktoré sa pravdepodobne vyznačujú najvyššími úrovňami znečistenia, s výsledkami získanými z informácií z emisných inventúr a modelovania.</w:t>
            </w:r>
          </w:p>
          <w:p w:rsidR="00CB3E7D" w:rsidRPr="004021A9" w:rsidP="00CB3E7D">
            <w:pPr>
              <w:pStyle w:val="NormalWeb"/>
              <w:rPr>
                <w:sz w:val="20"/>
                <w:szCs w:val="20"/>
              </w:rPr>
            </w:pP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490A84">
              <w:rPr>
                <w:sz w:val="20"/>
              </w:rPr>
              <w:t>NV</w:t>
            </w:r>
          </w:p>
        </w:tc>
        <w:tc>
          <w:tcPr>
            <w:tcW w:w="701" w:type="dxa"/>
            <w:tcBorders>
              <w:bottom w:val="single" w:sz="4" w:space="0" w:color="auto"/>
            </w:tcBorders>
          </w:tcPr>
          <w:p w:rsidR="00CB3E7D" w:rsidP="00CB3E7D">
            <w:pPr>
              <w:jc w:val="both"/>
              <w:rPr>
                <w:sz w:val="20"/>
              </w:rPr>
            </w:pPr>
            <w:r>
              <w:rPr>
                <w:sz w:val="20"/>
              </w:rPr>
              <w:t>Pril.</w:t>
            </w:r>
            <w:r w:rsidR="00121119">
              <w:rPr>
                <w:sz w:val="20"/>
              </w:rPr>
              <w:t xml:space="preserve"> 7</w:t>
            </w:r>
          </w:p>
          <w:p w:rsidR="0066225B" w:rsidRPr="00390FC1" w:rsidP="00CB3E7D">
            <w:pPr>
              <w:jc w:val="both"/>
              <w:rPr>
                <w:sz w:val="20"/>
              </w:rPr>
            </w:pPr>
            <w:r>
              <w:rPr>
                <w:sz w:val="20"/>
              </w:rPr>
              <w:t>A,B</w:t>
            </w:r>
          </w:p>
        </w:tc>
        <w:tc>
          <w:tcPr>
            <w:tcW w:w="7797" w:type="dxa"/>
            <w:tcBorders>
              <w:bottom w:val="single" w:sz="4" w:space="0" w:color="auto"/>
            </w:tcBorders>
          </w:tcPr>
          <w:p w:rsidR="006B1364" w:rsidRPr="006B1364" w:rsidP="006B1364">
            <w:pPr>
              <w:pStyle w:val="NormalWeb"/>
              <w:keepLines/>
              <w:spacing w:before="0" w:beforeAutospacing="0" w:after="0" w:afterAutospacing="0"/>
              <w:contextualSpacing/>
              <w:rPr>
                <w:sz w:val="20"/>
                <w:szCs w:val="20"/>
              </w:rPr>
            </w:pPr>
            <w:r w:rsidRPr="006B1364">
              <w:rPr>
                <w:sz w:val="20"/>
                <w:szCs w:val="20"/>
              </w:rPr>
              <w:t>A. Horná medza a dolná medza na hodnotenie úrovne znečistenia ovzdušia</w:t>
            </w:r>
          </w:p>
          <w:p w:rsidR="006B1364" w:rsidRPr="006B1364" w:rsidP="006B1364">
            <w:pPr>
              <w:pStyle w:val="NormalWeb"/>
              <w:keepLines/>
              <w:spacing w:before="0" w:beforeAutospacing="0" w:after="120" w:afterAutospacing="0"/>
              <w:rPr>
                <w:sz w:val="20"/>
                <w:szCs w:val="20"/>
              </w:rPr>
            </w:pPr>
            <w:r w:rsidRPr="006B1364">
              <w:rPr>
                <w:sz w:val="20"/>
                <w:szCs w:val="20"/>
              </w:rPr>
              <w:t xml:space="preserve"> Uplatňujú sa tieto horné medze a dolné medze na hodnotenie úrovne znečistenia ovzdušia</w:t>
            </w:r>
          </w:p>
          <w:p w:rsidR="006B1364" w:rsidP="006B1364">
            <w:pPr>
              <w:pStyle w:val="NormalWeb"/>
              <w:keepLines/>
              <w:spacing w:before="0" w:beforeAutospacing="0" w:after="0" w:afterAutospacing="0"/>
              <w:rPr>
                <w:sz w:val="20"/>
                <w:szCs w:val="20"/>
              </w:rPr>
            </w:pPr>
          </w:p>
          <w:p w:rsidR="00EB6D72" w:rsidRPr="006B1364" w:rsidP="006B1364">
            <w:pPr>
              <w:pStyle w:val="NormalWeb"/>
              <w:keepLines/>
              <w:spacing w:before="0" w:beforeAutospacing="0" w:after="0" w:afterAutospacing="0"/>
              <w:rPr>
                <w:sz w:val="20"/>
                <w:szCs w:val="20"/>
              </w:rPr>
            </w:pPr>
          </w:p>
          <w:p w:rsidR="006B1364" w:rsidRPr="006B1364" w:rsidP="006B1364">
            <w:pPr>
              <w:pStyle w:val="NormalWeb"/>
              <w:keepLines/>
              <w:spacing w:before="0" w:beforeAutospacing="0" w:after="0" w:afterAutospacing="0"/>
              <w:rPr>
                <w:sz w:val="20"/>
                <w:szCs w:val="20"/>
              </w:rPr>
            </w:pPr>
            <w:r w:rsidRPr="006B1364">
              <w:rPr>
                <w:sz w:val="20"/>
                <w:szCs w:val="20"/>
              </w:rPr>
              <w:t>1. Oxid siričitý</w:t>
            </w:r>
          </w:p>
          <w:tbl>
            <w:tblPr>
              <w:tblStyle w:val="TableNormal"/>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2949"/>
              <w:gridCol w:w="5593"/>
            </w:tblGrid>
            <w:tr w:rsidTr="006B1364">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956" w:type="dxa"/>
                  <w:vAlign w:val="center"/>
                </w:tcPr>
                <w:p w:rsidR="006B1364" w:rsidRPr="00C66057" w:rsidP="006B1364">
                  <w:pPr>
                    <w:pStyle w:val="NormalWeb"/>
                    <w:keepLines/>
                    <w:spacing w:before="0" w:beforeAutospacing="0" w:after="0" w:afterAutospacing="0"/>
                    <w:contextualSpacing/>
                    <w:rPr>
                      <w:sz w:val="20"/>
                      <w:szCs w:val="20"/>
                    </w:rPr>
                  </w:pPr>
                </w:p>
              </w:tc>
              <w:tc>
                <w:tcPr>
                  <w:tcW w:w="2949"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Ochrana zdravia ľudí</w:t>
                  </w:r>
                </w:p>
              </w:tc>
              <w:tc>
                <w:tcPr>
                  <w:tcW w:w="5593"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Ochrana vegetácie</w:t>
                  </w:r>
                </w:p>
              </w:tc>
            </w:tr>
            <w:tr w:rsidTr="006B1364">
              <w:tblPrEx>
                <w:tblW w:w="9498" w:type="dxa"/>
                <w:tblLayout w:type="fixed"/>
                <w:tblLook w:val="01E0"/>
              </w:tblPrEx>
              <w:trPr>
                <w:trHeight w:val="340"/>
              </w:trPr>
              <w:tc>
                <w:tcPr>
                  <w:tcW w:w="956"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Horná medza</w:t>
                  </w:r>
                </w:p>
              </w:tc>
              <w:tc>
                <w:tcPr>
                  <w:tcW w:w="2949" w:type="dxa"/>
                  <w:vAlign w:val="center"/>
                </w:tcPr>
                <w:p w:rsidR="006B1364" w:rsidP="006B1364">
                  <w:pPr>
                    <w:pStyle w:val="NormalWeb"/>
                    <w:keepLines/>
                    <w:spacing w:before="0" w:beforeAutospacing="0" w:after="0" w:afterAutospacing="0"/>
                    <w:contextualSpacing/>
                    <w:rPr>
                      <w:sz w:val="20"/>
                      <w:szCs w:val="20"/>
                    </w:rPr>
                  </w:pPr>
                  <w:r w:rsidRPr="00C66057">
                    <w:rPr>
                      <w:sz w:val="20"/>
                      <w:szCs w:val="20"/>
                    </w:rPr>
                    <w:t xml:space="preserve">60 % 24-hodinovej limitnej hodnoty </w:t>
                  </w:r>
                </w:p>
                <w:p w:rsidR="006B1364" w:rsidRPr="00C66057" w:rsidP="006B1364">
                  <w:pPr>
                    <w:pStyle w:val="NormalWeb"/>
                    <w:keepLines/>
                    <w:spacing w:before="0" w:beforeAutospacing="0" w:after="0" w:afterAutospacing="0"/>
                    <w:contextualSpacing/>
                    <w:rPr>
                      <w:sz w:val="20"/>
                      <w:szCs w:val="20"/>
                    </w:rPr>
                  </w:pPr>
                  <w:r w:rsidRPr="00C66057">
                    <w:rPr>
                      <w:sz w:val="20"/>
                      <w:szCs w:val="20"/>
                    </w:rPr>
                    <w:t>(75 µg/m</w:t>
                  </w:r>
                  <w:r w:rsidRPr="006B1364">
                    <w:rPr>
                      <w:sz w:val="20"/>
                      <w:szCs w:val="20"/>
                    </w:rPr>
                    <w:t>3</w:t>
                  </w:r>
                  <w:r w:rsidRPr="00C66057">
                    <w:rPr>
                      <w:sz w:val="20"/>
                      <w:szCs w:val="20"/>
                    </w:rPr>
                    <w:t xml:space="preserve"> sa neprekročí viac ako 3-krát za každý kalendárny rok)</w:t>
                  </w:r>
                </w:p>
              </w:tc>
              <w:tc>
                <w:tcPr>
                  <w:tcW w:w="5593"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60 % zimnej kritickej úrovne (12 µg/m</w:t>
                  </w:r>
                  <w:r w:rsidRPr="00EB6D72">
                    <w:rPr>
                      <w:sz w:val="20"/>
                      <w:szCs w:val="20"/>
                      <w:vertAlign w:val="superscript"/>
                    </w:rPr>
                    <w:t>3</w:t>
                  </w:r>
                  <w:r w:rsidRPr="00C66057">
                    <w:rPr>
                      <w:sz w:val="20"/>
                      <w:szCs w:val="20"/>
                    </w:rPr>
                    <w:t>)</w:t>
                  </w:r>
                </w:p>
              </w:tc>
            </w:tr>
            <w:tr w:rsidTr="006B1364">
              <w:tblPrEx>
                <w:tblW w:w="9498" w:type="dxa"/>
                <w:tblLayout w:type="fixed"/>
                <w:tblLook w:val="01E0"/>
              </w:tblPrEx>
              <w:trPr>
                <w:trHeight w:val="340"/>
              </w:trPr>
              <w:tc>
                <w:tcPr>
                  <w:tcW w:w="956"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Dolná medza</w:t>
                  </w:r>
                </w:p>
              </w:tc>
              <w:tc>
                <w:tcPr>
                  <w:tcW w:w="2949" w:type="dxa"/>
                  <w:vAlign w:val="center"/>
                </w:tcPr>
                <w:p w:rsidR="006B1364" w:rsidP="006B1364">
                  <w:pPr>
                    <w:pStyle w:val="NormalWeb"/>
                    <w:keepLines/>
                    <w:spacing w:before="0" w:beforeAutospacing="0" w:after="0" w:afterAutospacing="0"/>
                    <w:contextualSpacing/>
                    <w:rPr>
                      <w:sz w:val="20"/>
                      <w:szCs w:val="20"/>
                    </w:rPr>
                  </w:pPr>
                  <w:r w:rsidRPr="00C66057">
                    <w:rPr>
                      <w:sz w:val="20"/>
                      <w:szCs w:val="20"/>
                    </w:rPr>
                    <w:t xml:space="preserve">40 % 24-hodinovej limitnej hodnoty </w:t>
                  </w:r>
                </w:p>
                <w:p w:rsidR="006B1364" w:rsidRPr="00C66057" w:rsidP="006B1364">
                  <w:pPr>
                    <w:pStyle w:val="NormalWeb"/>
                    <w:keepLines/>
                    <w:spacing w:before="0" w:beforeAutospacing="0" w:after="0" w:afterAutospacing="0"/>
                    <w:contextualSpacing/>
                    <w:rPr>
                      <w:sz w:val="20"/>
                      <w:szCs w:val="20"/>
                    </w:rPr>
                  </w:pPr>
                  <w:r w:rsidRPr="00C66057">
                    <w:rPr>
                      <w:sz w:val="20"/>
                      <w:szCs w:val="20"/>
                    </w:rPr>
                    <w:t>(50 µg/m</w:t>
                  </w:r>
                  <w:r w:rsidRPr="006B1364">
                    <w:rPr>
                      <w:sz w:val="20"/>
                      <w:szCs w:val="20"/>
                    </w:rPr>
                    <w:t>3</w:t>
                  </w:r>
                  <w:r w:rsidRPr="00C66057">
                    <w:rPr>
                      <w:sz w:val="20"/>
                      <w:szCs w:val="20"/>
                    </w:rPr>
                    <w:t xml:space="preserve"> sa neprekročí viac ako 3-krát za každý kalendárny rok)</w:t>
                  </w:r>
                </w:p>
              </w:tc>
              <w:tc>
                <w:tcPr>
                  <w:tcW w:w="5593"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40 % zimnej kritickej úrovne (8 µg/m</w:t>
                  </w:r>
                  <w:r w:rsidRPr="00EB6D72">
                    <w:rPr>
                      <w:sz w:val="20"/>
                      <w:szCs w:val="20"/>
                      <w:vertAlign w:val="superscript"/>
                    </w:rPr>
                    <w:t>3</w:t>
                  </w:r>
                  <w:r w:rsidRPr="00C66057">
                    <w:rPr>
                      <w:sz w:val="20"/>
                      <w:szCs w:val="20"/>
                    </w:rPr>
                    <w:t>)</w:t>
                  </w:r>
                </w:p>
              </w:tc>
            </w:tr>
          </w:tbl>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rPr>
                <w:sz w:val="20"/>
                <w:szCs w:val="20"/>
              </w:rPr>
            </w:pPr>
            <w:r w:rsidRPr="006B1364">
              <w:rPr>
                <w:sz w:val="20"/>
                <w:szCs w:val="20"/>
              </w:rPr>
              <w:t>2. Oxid dusičitý a oxidy dusíka</w:t>
            </w:r>
          </w:p>
          <w:tbl>
            <w:tblPr>
              <w:tblStyle w:val="TableNormal"/>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2807"/>
              <w:gridCol w:w="1275"/>
              <w:gridCol w:w="4459"/>
            </w:tblGrid>
            <w:tr w:rsidTr="006B1364">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957" w:type="dxa"/>
                  <w:vAlign w:val="center"/>
                </w:tcPr>
                <w:p w:rsidR="006B1364" w:rsidRPr="00C66057" w:rsidP="006B1364">
                  <w:pPr>
                    <w:pStyle w:val="NormalWeb"/>
                    <w:keepLines/>
                    <w:spacing w:before="0" w:beforeAutospacing="0" w:after="0" w:afterAutospacing="0"/>
                    <w:contextualSpacing/>
                    <w:rPr>
                      <w:sz w:val="20"/>
                      <w:szCs w:val="20"/>
                    </w:rPr>
                  </w:pPr>
                </w:p>
              </w:tc>
              <w:tc>
                <w:tcPr>
                  <w:tcW w:w="4082" w:type="dxa"/>
                  <w:gridSpan w:val="2"/>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Ochrana zdravia ľudí</w:t>
                  </w:r>
                </w:p>
              </w:tc>
              <w:tc>
                <w:tcPr>
                  <w:tcW w:w="4459" w:type="dxa"/>
                  <w:vAlign w:val="center"/>
                </w:tcPr>
                <w:p w:rsidR="006B1364" w:rsidP="006B1364">
                  <w:pPr>
                    <w:pStyle w:val="NormalWeb"/>
                    <w:keepLines/>
                    <w:spacing w:before="0" w:beforeAutospacing="0" w:after="0" w:afterAutospacing="0"/>
                    <w:contextualSpacing/>
                    <w:rPr>
                      <w:sz w:val="20"/>
                      <w:szCs w:val="20"/>
                    </w:rPr>
                  </w:pPr>
                  <w:r w:rsidRPr="00C66057">
                    <w:rPr>
                      <w:sz w:val="20"/>
                      <w:szCs w:val="20"/>
                    </w:rPr>
                    <w:t>Ochrana vegetácie a</w:t>
                  </w:r>
                  <w:r>
                    <w:rPr>
                      <w:sz w:val="20"/>
                      <w:szCs w:val="20"/>
                    </w:rPr>
                    <w:t> </w:t>
                  </w:r>
                  <w:r w:rsidRPr="00C66057">
                    <w:rPr>
                      <w:sz w:val="20"/>
                      <w:szCs w:val="20"/>
                    </w:rPr>
                    <w:t>prírodných</w:t>
                  </w:r>
                </w:p>
                <w:p w:rsidR="006B1364" w:rsidRPr="00C66057" w:rsidP="006B1364">
                  <w:pPr>
                    <w:pStyle w:val="NormalWeb"/>
                    <w:keepLines/>
                    <w:spacing w:before="0" w:beforeAutospacing="0" w:after="0" w:afterAutospacing="0"/>
                    <w:contextualSpacing/>
                    <w:rPr>
                      <w:sz w:val="20"/>
                      <w:szCs w:val="20"/>
                    </w:rPr>
                  </w:pPr>
                  <w:r w:rsidRPr="00C66057">
                    <w:rPr>
                      <w:sz w:val="20"/>
                      <w:szCs w:val="20"/>
                    </w:rPr>
                    <w:t xml:space="preserve"> ekosystémov</w:t>
                  </w:r>
                </w:p>
              </w:tc>
            </w:tr>
            <w:tr w:rsidTr="006B1364">
              <w:tblPrEx>
                <w:tblW w:w="9498" w:type="dxa"/>
                <w:tblLayout w:type="fixed"/>
                <w:tblLook w:val="01E0"/>
              </w:tblPrEx>
              <w:tc>
                <w:tcPr>
                  <w:tcW w:w="957" w:type="dxa"/>
                  <w:vAlign w:val="center"/>
                </w:tcPr>
                <w:p w:rsidR="006B1364" w:rsidRPr="00C66057" w:rsidP="006B1364">
                  <w:pPr>
                    <w:pStyle w:val="NormalWeb"/>
                    <w:keepLines/>
                    <w:spacing w:before="0" w:beforeAutospacing="0" w:after="0" w:afterAutospacing="0"/>
                    <w:contextualSpacing/>
                    <w:rPr>
                      <w:sz w:val="20"/>
                      <w:szCs w:val="20"/>
                    </w:rPr>
                  </w:pPr>
                </w:p>
              </w:tc>
              <w:tc>
                <w:tcPr>
                  <w:tcW w:w="2807"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Hodinová limitná hodnota NO</w:t>
                  </w:r>
                  <w:r w:rsidRPr="00EB6D72">
                    <w:rPr>
                      <w:sz w:val="20"/>
                      <w:szCs w:val="20"/>
                      <w:vertAlign w:val="subscript"/>
                    </w:rPr>
                    <w:t>2</w:t>
                  </w:r>
                </w:p>
              </w:tc>
              <w:tc>
                <w:tcPr>
                  <w:tcW w:w="1275"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Ročná limitná hodnota NO</w:t>
                  </w:r>
                  <w:r w:rsidRPr="006B1364">
                    <w:rPr>
                      <w:sz w:val="20"/>
                      <w:szCs w:val="20"/>
                    </w:rPr>
                    <w:t>2</w:t>
                  </w:r>
                </w:p>
              </w:tc>
              <w:tc>
                <w:tcPr>
                  <w:tcW w:w="4459" w:type="dxa"/>
                  <w:vAlign w:val="center"/>
                </w:tcPr>
                <w:p w:rsidR="006B1364" w:rsidRPr="00C66057" w:rsidP="006B1364">
                  <w:pPr>
                    <w:pStyle w:val="NormalWeb"/>
                    <w:keepLines/>
                    <w:spacing w:before="0" w:beforeAutospacing="0" w:after="0" w:afterAutospacing="0"/>
                    <w:ind w:right="283"/>
                    <w:contextualSpacing/>
                    <w:rPr>
                      <w:sz w:val="20"/>
                      <w:szCs w:val="20"/>
                    </w:rPr>
                  </w:pPr>
                  <w:r w:rsidRPr="00C66057">
                    <w:rPr>
                      <w:sz w:val="20"/>
                      <w:szCs w:val="20"/>
                    </w:rPr>
                    <w:t>Ročná kritická úroveň NO</w:t>
                  </w:r>
                  <w:r w:rsidRPr="00EB6D72">
                    <w:rPr>
                      <w:sz w:val="20"/>
                      <w:szCs w:val="20"/>
                      <w:vertAlign w:val="subscript"/>
                    </w:rPr>
                    <w:t>x</w:t>
                  </w:r>
                </w:p>
              </w:tc>
            </w:tr>
            <w:tr w:rsidTr="006B1364">
              <w:tblPrEx>
                <w:tblW w:w="9498" w:type="dxa"/>
                <w:tblLayout w:type="fixed"/>
                <w:tblLook w:val="01E0"/>
              </w:tblPrEx>
              <w:tc>
                <w:tcPr>
                  <w:tcW w:w="957"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Horná medza</w:t>
                  </w:r>
                </w:p>
              </w:tc>
              <w:tc>
                <w:tcPr>
                  <w:tcW w:w="2807" w:type="dxa"/>
                  <w:vAlign w:val="center"/>
                </w:tcPr>
                <w:p w:rsidR="006B1364" w:rsidP="006B1364">
                  <w:pPr>
                    <w:pStyle w:val="NormalWeb"/>
                    <w:keepLines/>
                    <w:spacing w:before="0" w:beforeAutospacing="0" w:after="0" w:afterAutospacing="0"/>
                    <w:contextualSpacing/>
                    <w:rPr>
                      <w:sz w:val="20"/>
                      <w:szCs w:val="20"/>
                    </w:rPr>
                  </w:pPr>
                  <w:r w:rsidRPr="00C66057">
                    <w:rPr>
                      <w:sz w:val="20"/>
                      <w:szCs w:val="20"/>
                    </w:rPr>
                    <w:t xml:space="preserve">70 % limitnej hodnoty </w:t>
                  </w:r>
                </w:p>
                <w:p w:rsidR="006B1364" w:rsidP="006B1364">
                  <w:pPr>
                    <w:pStyle w:val="NormalWeb"/>
                    <w:keepLines/>
                    <w:spacing w:before="0" w:beforeAutospacing="0" w:after="0" w:afterAutospacing="0"/>
                    <w:contextualSpacing/>
                    <w:rPr>
                      <w:sz w:val="20"/>
                      <w:szCs w:val="20"/>
                    </w:rPr>
                  </w:pPr>
                  <w:r w:rsidRPr="00C66057">
                    <w:rPr>
                      <w:sz w:val="20"/>
                      <w:szCs w:val="20"/>
                    </w:rPr>
                    <w:t>(140 µg/m</w:t>
                  </w:r>
                  <w:r w:rsidRPr="00EB6D72">
                    <w:rPr>
                      <w:sz w:val="20"/>
                      <w:szCs w:val="20"/>
                      <w:vertAlign w:val="superscript"/>
                    </w:rPr>
                    <w:t>3</w:t>
                  </w:r>
                  <w:r w:rsidRPr="00C66057">
                    <w:rPr>
                      <w:sz w:val="20"/>
                      <w:szCs w:val="20"/>
                    </w:rPr>
                    <w:t xml:space="preserve"> sa neprekročí viac ako </w:t>
                  </w:r>
                </w:p>
                <w:p w:rsidR="006B1364" w:rsidRPr="00C66057" w:rsidP="006B1364">
                  <w:pPr>
                    <w:pStyle w:val="NormalWeb"/>
                    <w:keepLines/>
                    <w:spacing w:before="0" w:beforeAutospacing="0" w:after="0" w:afterAutospacing="0"/>
                    <w:contextualSpacing/>
                    <w:rPr>
                      <w:sz w:val="20"/>
                      <w:szCs w:val="20"/>
                    </w:rPr>
                  </w:pPr>
                  <w:r w:rsidRPr="00C66057">
                    <w:rPr>
                      <w:sz w:val="20"/>
                      <w:szCs w:val="20"/>
                    </w:rPr>
                    <w:t>18-krát za každý kalendárny rok)</w:t>
                  </w:r>
                </w:p>
              </w:tc>
              <w:tc>
                <w:tcPr>
                  <w:tcW w:w="1275"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 xml:space="preserve">80 % limitnej hodnoty </w:t>
                  </w:r>
                </w:p>
                <w:p w:rsidR="006B1364" w:rsidRPr="00C66057" w:rsidP="006B1364">
                  <w:pPr>
                    <w:pStyle w:val="NormalWeb"/>
                    <w:keepLines/>
                    <w:spacing w:before="0" w:beforeAutospacing="0" w:after="0" w:afterAutospacing="0"/>
                    <w:contextualSpacing/>
                    <w:rPr>
                      <w:sz w:val="20"/>
                      <w:szCs w:val="20"/>
                    </w:rPr>
                  </w:pPr>
                  <w:r w:rsidRPr="00C66057">
                    <w:rPr>
                      <w:sz w:val="20"/>
                      <w:szCs w:val="20"/>
                    </w:rPr>
                    <w:t>(32 µg/m</w:t>
                  </w:r>
                  <w:r w:rsidRPr="006B1364">
                    <w:rPr>
                      <w:sz w:val="20"/>
                      <w:szCs w:val="20"/>
                    </w:rPr>
                    <w:t>3</w:t>
                  </w:r>
                  <w:r w:rsidRPr="00C66057">
                    <w:rPr>
                      <w:sz w:val="20"/>
                      <w:szCs w:val="20"/>
                    </w:rPr>
                    <w:t>)</w:t>
                  </w:r>
                </w:p>
              </w:tc>
              <w:tc>
                <w:tcPr>
                  <w:tcW w:w="4459"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 xml:space="preserve">80 % kritickej úrovne </w:t>
                  </w:r>
                </w:p>
                <w:p w:rsidR="006B1364" w:rsidRPr="00C66057" w:rsidP="006B1364">
                  <w:pPr>
                    <w:pStyle w:val="NormalWeb"/>
                    <w:keepLines/>
                    <w:spacing w:before="0" w:beforeAutospacing="0" w:after="0" w:afterAutospacing="0"/>
                    <w:contextualSpacing/>
                    <w:rPr>
                      <w:sz w:val="20"/>
                      <w:szCs w:val="20"/>
                    </w:rPr>
                  </w:pPr>
                  <w:r w:rsidRPr="00C66057">
                    <w:rPr>
                      <w:sz w:val="20"/>
                      <w:szCs w:val="20"/>
                    </w:rPr>
                    <w:t>(24 µg/m</w:t>
                  </w:r>
                  <w:r w:rsidRPr="00EB6D72">
                    <w:rPr>
                      <w:sz w:val="20"/>
                      <w:szCs w:val="20"/>
                      <w:vertAlign w:val="superscript"/>
                    </w:rPr>
                    <w:t>3</w:t>
                  </w:r>
                  <w:r w:rsidRPr="00C66057">
                    <w:rPr>
                      <w:sz w:val="20"/>
                      <w:szCs w:val="20"/>
                    </w:rPr>
                    <w:t>)</w:t>
                  </w:r>
                </w:p>
              </w:tc>
            </w:tr>
            <w:tr w:rsidTr="006B1364">
              <w:tblPrEx>
                <w:tblW w:w="9498" w:type="dxa"/>
                <w:tblLayout w:type="fixed"/>
                <w:tblLook w:val="01E0"/>
              </w:tblPrEx>
              <w:tc>
                <w:tcPr>
                  <w:tcW w:w="957"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Dolná medza</w:t>
                  </w:r>
                </w:p>
              </w:tc>
              <w:tc>
                <w:tcPr>
                  <w:tcW w:w="2807" w:type="dxa"/>
                  <w:vAlign w:val="center"/>
                </w:tcPr>
                <w:p w:rsidR="006B1364" w:rsidP="006B1364">
                  <w:pPr>
                    <w:pStyle w:val="NormalWeb"/>
                    <w:keepLines/>
                    <w:spacing w:before="0" w:beforeAutospacing="0" w:after="0" w:afterAutospacing="0"/>
                    <w:contextualSpacing/>
                    <w:rPr>
                      <w:sz w:val="20"/>
                      <w:szCs w:val="20"/>
                    </w:rPr>
                  </w:pPr>
                  <w:r w:rsidRPr="00C66057">
                    <w:rPr>
                      <w:sz w:val="20"/>
                      <w:szCs w:val="20"/>
                    </w:rPr>
                    <w:t xml:space="preserve">50 % limitnej hodnoty </w:t>
                  </w:r>
                </w:p>
                <w:p w:rsidR="006B1364" w:rsidP="006B1364">
                  <w:pPr>
                    <w:pStyle w:val="NormalWeb"/>
                    <w:keepLines/>
                    <w:spacing w:before="0" w:beforeAutospacing="0" w:after="0" w:afterAutospacing="0"/>
                    <w:contextualSpacing/>
                    <w:rPr>
                      <w:sz w:val="20"/>
                      <w:szCs w:val="20"/>
                    </w:rPr>
                  </w:pPr>
                  <w:r w:rsidRPr="00C66057">
                    <w:rPr>
                      <w:sz w:val="20"/>
                      <w:szCs w:val="20"/>
                    </w:rPr>
                    <w:t>(100 µg/m</w:t>
                  </w:r>
                  <w:r w:rsidRPr="00EB6D72">
                    <w:rPr>
                      <w:sz w:val="20"/>
                      <w:szCs w:val="20"/>
                      <w:vertAlign w:val="superscript"/>
                    </w:rPr>
                    <w:t>3</w:t>
                  </w:r>
                  <w:r w:rsidRPr="00C66057">
                    <w:rPr>
                      <w:sz w:val="20"/>
                      <w:szCs w:val="20"/>
                    </w:rPr>
                    <w:t xml:space="preserve"> sa neprekročí viac ako </w:t>
                  </w:r>
                </w:p>
                <w:p w:rsidR="006B1364" w:rsidRPr="00C66057" w:rsidP="006B1364">
                  <w:pPr>
                    <w:pStyle w:val="NormalWeb"/>
                    <w:keepLines/>
                    <w:spacing w:before="0" w:beforeAutospacing="0" w:after="0" w:afterAutospacing="0"/>
                    <w:contextualSpacing/>
                    <w:rPr>
                      <w:sz w:val="20"/>
                      <w:szCs w:val="20"/>
                    </w:rPr>
                  </w:pPr>
                  <w:r w:rsidRPr="00C66057">
                    <w:rPr>
                      <w:sz w:val="20"/>
                      <w:szCs w:val="20"/>
                    </w:rPr>
                    <w:t>18-krát za každý kalendárny rok)</w:t>
                  </w:r>
                </w:p>
              </w:tc>
              <w:tc>
                <w:tcPr>
                  <w:tcW w:w="1275"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 xml:space="preserve">65 % limitnej hodnoty </w:t>
                  </w:r>
                </w:p>
                <w:p w:rsidR="006B1364" w:rsidRPr="00C66057" w:rsidP="006B1364">
                  <w:pPr>
                    <w:pStyle w:val="NormalWeb"/>
                    <w:keepLines/>
                    <w:spacing w:before="0" w:beforeAutospacing="0" w:after="0" w:afterAutospacing="0"/>
                    <w:contextualSpacing/>
                    <w:rPr>
                      <w:sz w:val="20"/>
                      <w:szCs w:val="20"/>
                    </w:rPr>
                  </w:pPr>
                  <w:r w:rsidRPr="00C66057">
                    <w:rPr>
                      <w:sz w:val="20"/>
                      <w:szCs w:val="20"/>
                    </w:rPr>
                    <w:t>(26 µg/m</w:t>
                  </w:r>
                  <w:r w:rsidRPr="006B1364">
                    <w:rPr>
                      <w:sz w:val="20"/>
                      <w:szCs w:val="20"/>
                    </w:rPr>
                    <w:t>3</w:t>
                  </w:r>
                  <w:r w:rsidRPr="00C66057">
                    <w:rPr>
                      <w:sz w:val="20"/>
                      <w:szCs w:val="20"/>
                    </w:rPr>
                    <w:t>)</w:t>
                  </w:r>
                </w:p>
              </w:tc>
              <w:tc>
                <w:tcPr>
                  <w:tcW w:w="4459" w:type="dxa"/>
                  <w:vAlign w:val="center"/>
                </w:tcPr>
                <w:p w:rsidR="006B1364" w:rsidRPr="00C66057" w:rsidP="006B1364">
                  <w:pPr>
                    <w:pStyle w:val="NormalWeb"/>
                    <w:keepLines/>
                    <w:spacing w:before="0" w:beforeAutospacing="0" w:after="0" w:afterAutospacing="0"/>
                    <w:contextualSpacing/>
                    <w:rPr>
                      <w:sz w:val="20"/>
                      <w:szCs w:val="20"/>
                    </w:rPr>
                  </w:pPr>
                  <w:r w:rsidRPr="00C66057">
                    <w:rPr>
                      <w:sz w:val="20"/>
                      <w:szCs w:val="20"/>
                    </w:rPr>
                    <w:t>65 % kritickej úrovne</w:t>
                  </w:r>
                </w:p>
                <w:p w:rsidR="006B1364" w:rsidRPr="00C66057" w:rsidP="006B1364">
                  <w:pPr>
                    <w:pStyle w:val="NormalWeb"/>
                    <w:keepLines/>
                    <w:spacing w:before="0" w:beforeAutospacing="0" w:after="0" w:afterAutospacing="0"/>
                    <w:contextualSpacing/>
                    <w:rPr>
                      <w:sz w:val="20"/>
                      <w:szCs w:val="20"/>
                    </w:rPr>
                  </w:pPr>
                  <w:r w:rsidRPr="00C66057">
                    <w:rPr>
                      <w:sz w:val="20"/>
                      <w:szCs w:val="20"/>
                    </w:rPr>
                    <w:t>(19,5 µg/m</w:t>
                  </w:r>
                  <w:r w:rsidRPr="00EB6D72">
                    <w:rPr>
                      <w:sz w:val="20"/>
                      <w:szCs w:val="20"/>
                      <w:vertAlign w:val="superscript"/>
                    </w:rPr>
                    <w:t>3</w:t>
                  </w:r>
                  <w:r w:rsidRPr="00C66057">
                    <w:rPr>
                      <w:sz w:val="20"/>
                      <w:szCs w:val="20"/>
                    </w:rPr>
                    <w:t>)</w:t>
                  </w:r>
                </w:p>
              </w:tc>
            </w:tr>
          </w:tbl>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rPr>
                <w:sz w:val="20"/>
                <w:szCs w:val="20"/>
              </w:rPr>
            </w:pPr>
            <w:r w:rsidRPr="006B1364">
              <w:rPr>
                <w:sz w:val="20"/>
                <w:szCs w:val="20"/>
              </w:rPr>
              <w:t>3. PM</w:t>
            </w:r>
            <w:r w:rsidRPr="00EB6D72">
              <w:rPr>
                <w:sz w:val="20"/>
                <w:szCs w:val="20"/>
                <w:vertAlign w:val="subscript"/>
              </w:rPr>
              <w:t>10</w:t>
            </w:r>
            <w:r w:rsidRPr="006B1364">
              <w:rPr>
                <w:sz w:val="20"/>
                <w:szCs w:val="20"/>
              </w:rPr>
              <w:t xml:space="preserve"> a  PM</w:t>
            </w:r>
            <w:r w:rsidRPr="00EB6D72">
              <w:rPr>
                <w:sz w:val="20"/>
                <w:szCs w:val="20"/>
                <w:vertAlign w:val="subscript"/>
              </w:rPr>
              <w:t>2,5</w:t>
            </w:r>
          </w:p>
          <w:tbl>
            <w:tblPr>
              <w:tblStyle w:val="TableNormal"/>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2918"/>
              <w:gridCol w:w="1275"/>
              <w:gridCol w:w="4454"/>
            </w:tblGrid>
            <w:tr w:rsidTr="006B1364">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846" w:type="dxa"/>
                  <w:vAlign w:val="center"/>
                </w:tcPr>
                <w:p w:rsidR="006B1364" w:rsidRPr="006B1364" w:rsidP="006B1364">
                  <w:pPr>
                    <w:keepNext/>
                    <w:keepLines/>
                    <w:contextualSpacing/>
                    <w:rPr>
                      <w:sz w:val="20"/>
                      <w:lang w:eastAsia="sk-SK"/>
                    </w:rPr>
                  </w:pPr>
                </w:p>
              </w:tc>
              <w:tc>
                <w:tcPr>
                  <w:tcW w:w="2918" w:type="dxa"/>
                  <w:vAlign w:val="center"/>
                </w:tcPr>
                <w:p w:rsidR="006B1364" w:rsidRPr="006B1364" w:rsidP="006B1364">
                  <w:pPr>
                    <w:keepNext/>
                    <w:keepLines/>
                    <w:contextualSpacing/>
                    <w:rPr>
                      <w:sz w:val="20"/>
                      <w:lang w:eastAsia="sk-SK"/>
                    </w:rPr>
                  </w:pPr>
                  <w:r w:rsidRPr="006B1364">
                    <w:rPr>
                      <w:sz w:val="20"/>
                      <w:lang w:eastAsia="sk-SK"/>
                    </w:rPr>
                    <w:t>24 hodinový priemer častíc PM</w:t>
                  </w:r>
                  <w:r w:rsidRPr="00EB6D72">
                    <w:rPr>
                      <w:sz w:val="20"/>
                      <w:vertAlign w:val="subscript"/>
                      <w:lang w:eastAsia="sk-SK"/>
                    </w:rPr>
                    <w:t>10</w:t>
                  </w:r>
                </w:p>
              </w:tc>
              <w:tc>
                <w:tcPr>
                  <w:tcW w:w="1275" w:type="dxa"/>
                  <w:vAlign w:val="center"/>
                </w:tcPr>
                <w:p w:rsidR="006B1364" w:rsidRPr="006B1364" w:rsidP="006B1364">
                  <w:pPr>
                    <w:keepNext/>
                    <w:keepLines/>
                    <w:contextualSpacing/>
                    <w:rPr>
                      <w:sz w:val="20"/>
                      <w:lang w:eastAsia="sk-SK"/>
                    </w:rPr>
                  </w:pPr>
                  <w:r w:rsidRPr="006B1364">
                    <w:rPr>
                      <w:sz w:val="20"/>
                      <w:lang w:eastAsia="sk-SK"/>
                    </w:rPr>
                    <w:t>Ročný priemer častíc PM</w:t>
                  </w:r>
                  <w:r w:rsidRPr="00EB6D72">
                    <w:rPr>
                      <w:sz w:val="20"/>
                      <w:vertAlign w:val="subscript"/>
                      <w:lang w:eastAsia="sk-SK"/>
                    </w:rPr>
                    <w:t>10</w:t>
                  </w:r>
                </w:p>
              </w:tc>
              <w:tc>
                <w:tcPr>
                  <w:tcW w:w="4454" w:type="dxa"/>
                  <w:vAlign w:val="center"/>
                </w:tcPr>
                <w:p w:rsidR="006B1364" w:rsidRPr="006B1364" w:rsidP="006B1364">
                  <w:pPr>
                    <w:keepNext/>
                    <w:keepLines/>
                    <w:contextualSpacing/>
                    <w:rPr>
                      <w:sz w:val="20"/>
                      <w:lang w:eastAsia="sk-SK"/>
                    </w:rPr>
                  </w:pPr>
                  <w:r w:rsidRPr="006B1364">
                    <w:rPr>
                      <w:sz w:val="20"/>
                      <w:lang w:eastAsia="sk-SK"/>
                    </w:rPr>
                    <w:t xml:space="preserve">Ročný priemer častíc </w:t>
                  </w:r>
                  <w:r w:rsidRPr="00EB6D72">
                    <w:rPr>
                      <w:sz w:val="18"/>
                      <w:lang w:eastAsia="sk-SK"/>
                    </w:rPr>
                    <w:t>PM</w:t>
                  </w:r>
                  <w:r w:rsidRPr="00EB6D72">
                    <w:rPr>
                      <w:sz w:val="18"/>
                      <w:vertAlign w:val="subscript"/>
                      <w:lang w:eastAsia="sk-SK"/>
                    </w:rPr>
                    <w:t>2,</w:t>
                  </w:r>
                  <w:r w:rsidRPr="00EB6D72">
                    <w:rPr>
                      <w:sz w:val="20"/>
                      <w:vertAlign w:val="subscript"/>
                      <w:lang w:eastAsia="sk-SK"/>
                    </w:rPr>
                    <w:t>5</w:t>
                  </w:r>
                  <w:r w:rsidR="00EB6D72">
                    <w:rPr>
                      <w:sz w:val="20"/>
                      <w:lang w:eastAsia="sk-SK"/>
                    </w:rPr>
                    <w:t xml:space="preserve"> </w:t>
                  </w:r>
                  <w:r w:rsidRPr="00EB6D72" w:rsidR="00EB6D72">
                    <w:rPr>
                      <w:sz w:val="20"/>
                      <w:vertAlign w:val="superscript"/>
                      <w:lang w:eastAsia="sk-SK"/>
                    </w:rPr>
                    <w:t>1</w:t>
                  </w:r>
                  <w:r w:rsidRPr="006B1364">
                    <w:rPr>
                      <w:sz w:val="20"/>
                      <w:lang w:eastAsia="sk-SK"/>
                    </w:rPr>
                    <w:t>)</w:t>
                  </w:r>
                </w:p>
              </w:tc>
            </w:tr>
            <w:tr w:rsidTr="006B1364">
              <w:tblPrEx>
                <w:tblW w:w="9493" w:type="dxa"/>
                <w:tblLayout w:type="fixed"/>
                <w:tblLook w:val="01E0"/>
              </w:tblPrEx>
              <w:tc>
                <w:tcPr>
                  <w:tcW w:w="846" w:type="dxa"/>
                  <w:vAlign w:val="center"/>
                </w:tcPr>
                <w:p w:rsidR="006B1364" w:rsidRPr="006B1364" w:rsidP="006B1364">
                  <w:pPr>
                    <w:keepNext/>
                    <w:keepLines/>
                    <w:contextualSpacing/>
                    <w:rPr>
                      <w:sz w:val="20"/>
                      <w:lang w:eastAsia="sk-SK"/>
                    </w:rPr>
                  </w:pPr>
                  <w:r w:rsidRPr="006B1364">
                    <w:rPr>
                      <w:sz w:val="20"/>
                      <w:lang w:eastAsia="sk-SK"/>
                    </w:rPr>
                    <w:t>Horná medza</w:t>
                  </w:r>
                </w:p>
              </w:tc>
              <w:tc>
                <w:tcPr>
                  <w:tcW w:w="2918" w:type="dxa"/>
                  <w:vAlign w:val="center"/>
                </w:tcPr>
                <w:p w:rsidR="006B1364" w:rsidRPr="006B1364" w:rsidP="006B1364">
                  <w:pPr>
                    <w:keepNext/>
                    <w:keepLines/>
                    <w:contextualSpacing/>
                    <w:rPr>
                      <w:sz w:val="20"/>
                      <w:lang w:eastAsia="sk-SK"/>
                    </w:rPr>
                  </w:pPr>
                  <w:r w:rsidRPr="006B1364">
                    <w:rPr>
                      <w:sz w:val="20"/>
                      <w:lang w:eastAsia="sk-SK"/>
                    </w:rPr>
                    <w:t xml:space="preserve">70 % limitnej hodnoty </w:t>
                  </w:r>
                </w:p>
                <w:p w:rsidR="006B1364" w:rsidRPr="006B1364" w:rsidP="006B1364">
                  <w:pPr>
                    <w:keepNext/>
                    <w:keepLines/>
                    <w:contextualSpacing/>
                    <w:rPr>
                      <w:sz w:val="20"/>
                      <w:lang w:eastAsia="sk-SK"/>
                    </w:rPr>
                  </w:pPr>
                  <w:r w:rsidRPr="006B1364">
                    <w:rPr>
                      <w:sz w:val="20"/>
                      <w:lang w:eastAsia="sk-SK"/>
                    </w:rPr>
                    <w:t xml:space="preserve">(35 µg/m3 sa neprekročí viac ako </w:t>
                  </w:r>
                </w:p>
                <w:p w:rsidR="006B1364" w:rsidRPr="006B1364" w:rsidP="006B1364">
                  <w:pPr>
                    <w:keepNext/>
                    <w:keepLines/>
                    <w:contextualSpacing/>
                    <w:rPr>
                      <w:sz w:val="20"/>
                      <w:lang w:eastAsia="sk-SK"/>
                    </w:rPr>
                  </w:pPr>
                  <w:r w:rsidRPr="006B1364">
                    <w:rPr>
                      <w:sz w:val="20"/>
                      <w:lang w:eastAsia="sk-SK"/>
                    </w:rPr>
                    <w:t>35-krát za každý kalendárny rok)</w:t>
                  </w:r>
                </w:p>
              </w:tc>
              <w:tc>
                <w:tcPr>
                  <w:tcW w:w="1275" w:type="dxa"/>
                  <w:vAlign w:val="center"/>
                </w:tcPr>
                <w:p w:rsidR="006B1364" w:rsidRPr="006B1364" w:rsidP="006B1364">
                  <w:pPr>
                    <w:keepNext/>
                    <w:keepLines/>
                    <w:contextualSpacing/>
                    <w:rPr>
                      <w:sz w:val="20"/>
                      <w:lang w:eastAsia="sk-SK"/>
                    </w:rPr>
                  </w:pPr>
                  <w:r w:rsidRPr="006B1364">
                    <w:rPr>
                      <w:sz w:val="20"/>
                      <w:lang w:eastAsia="sk-SK"/>
                    </w:rPr>
                    <w:t xml:space="preserve">70 % limitnej hodnoty </w:t>
                  </w:r>
                </w:p>
                <w:p w:rsidR="006B1364" w:rsidRPr="006B1364" w:rsidP="006B1364">
                  <w:pPr>
                    <w:keepNext/>
                    <w:keepLines/>
                    <w:contextualSpacing/>
                    <w:rPr>
                      <w:sz w:val="20"/>
                      <w:lang w:eastAsia="sk-SK"/>
                    </w:rPr>
                  </w:pPr>
                  <w:r w:rsidRPr="006B1364">
                    <w:rPr>
                      <w:sz w:val="20"/>
                      <w:lang w:eastAsia="sk-SK"/>
                    </w:rPr>
                    <w:t>(28 µg/m</w:t>
                  </w:r>
                  <w:r w:rsidRPr="00EB6D72">
                    <w:rPr>
                      <w:sz w:val="20"/>
                      <w:vertAlign w:val="superscript"/>
                      <w:lang w:eastAsia="sk-SK"/>
                    </w:rPr>
                    <w:t>3</w:t>
                  </w:r>
                  <w:r w:rsidRPr="006B1364">
                    <w:rPr>
                      <w:sz w:val="20"/>
                      <w:lang w:eastAsia="sk-SK"/>
                    </w:rPr>
                    <w:t>)</w:t>
                  </w:r>
                </w:p>
              </w:tc>
              <w:tc>
                <w:tcPr>
                  <w:tcW w:w="4454" w:type="dxa"/>
                  <w:vAlign w:val="center"/>
                </w:tcPr>
                <w:p w:rsidR="006B1364" w:rsidRPr="006B1364" w:rsidP="006B1364">
                  <w:pPr>
                    <w:keepNext/>
                    <w:keepLines/>
                    <w:contextualSpacing/>
                    <w:rPr>
                      <w:sz w:val="20"/>
                      <w:lang w:eastAsia="sk-SK"/>
                    </w:rPr>
                  </w:pPr>
                  <w:r w:rsidRPr="006B1364">
                    <w:rPr>
                      <w:sz w:val="20"/>
                      <w:lang w:eastAsia="sk-SK"/>
                    </w:rPr>
                    <w:t xml:space="preserve">70 % limitnej hodnoty </w:t>
                  </w:r>
                </w:p>
                <w:p w:rsidR="006B1364" w:rsidRPr="006B1364" w:rsidP="006B1364">
                  <w:pPr>
                    <w:keepNext/>
                    <w:keepLines/>
                    <w:contextualSpacing/>
                    <w:rPr>
                      <w:sz w:val="20"/>
                      <w:lang w:eastAsia="sk-SK"/>
                    </w:rPr>
                  </w:pPr>
                  <w:r w:rsidRPr="006B1364">
                    <w:rPr>
                      <w:sz w:val="20"/>
                      <w:lang w:eastAsia="sk-SK"/>
                    </w:rPr>
                    <w:t>(17 µg/m</w:t>
                  </w:r>
                  <w:r w:rsidRPr="00EB6D72">
                    <w:rPr>
                      <w:sz w:val="20"/>
                      <w:vertAlign w:val="superscript"/>
                      <w:lang w:eastAsia="sk-SK"/>
                    </w:rPr>
                    <w:t>3</w:t>
                  </w:r>
                  <w:r w:rsidRPr="006B1364">
                    <w:rPr>
                      <w:sz w:val="20"/>
                      <w:lang w:eastAsia="sk-SK"/>
                    </w:rPr>
                    <w:t>)</w:t>
                  </w:r>
                </w:p>
              </w:tc>
            </w:tr>
            <w:tr w:rsidTr="006B1364">
              <w:tblPrEx>
                <w:tblW w:w="9493" w:type="dxa"/>
                <w:tblLayout w:type="fixed"/>
                <w:tblLook w:val="01E0"/>
              </w:tblPrEx>
              <w:tc>
                <w:tcPr>
                  <w:tcW w:w="846" w:type="dxa"/>
                  <w:vAlign w:val="center"/>
                </w:tcPr>
                <w:p w:rsidR="006B1364" w:rsidRPr="006B1364" w:rsidP="006B1364">
                  <w:pPr>
                    <w:keepNext/>
                    <w:keepLines/>
                    <w:contextualSpacing/>
                    <w:rPr>
                      <w:sz w:val="20"/>
                      <w:lang w:eastAsia="sk-SK"/>
                    </w:rPr>
                  </w:pPr>
                  <w:r w:rsidRPr="006B1364">
                    <w:rPr>
                      <w:sz w:val="20"/>
                      <w:lang w:eastAsia="sk-SK"/>
                    </w:rPr>
                    <w:t>Dolná medza</w:t>
                  </w:r>
                </w:p>
              </w:tc>
              <w:tc>
                <w:tcPr>
                  <w:tcW w:w="2918" w:type="dxa"/>
                  <w:vAlign w:val="center"/>
                </w:tcPr>
                <w:p w:rsidR="006B1364" w:rsidRPr="006B1364" w:rsidP="006B1364">
                  <w:pPr>
                    <w:keepNext/>
                    <w:keepLines/>
                    <w:contextualSpacing/>
                    <w:rPr>
                      <w:sz w:val="20"/>
                      <w:lang w:eastAsia="sk-SK"/>
                    </w:rPr>
                  </w:pPr>
                  <w:r w:rsidRPr="006B1364">
                    <w:rPr>
                      <w:sz w:val="20"/>
                      <w:lang w:eastAsia="sk-SK"/>
                    </w:rPr>
                    <w:t xml:space="preserve">50 % limitnej hodnoty </w:t>
                  </w:r>
                </w:p>
                <w:p w:rsidR="006B1364" w:rsidRPr="006B1364" w:rsidP="006B1364">
                  <w:pPr>
                    <w:keepNext/>
                    <w:keepLines/>
                    <w:contextualSpacing/>
                    <w:rPr>
                      <w:sz w:val="20"/>
                      <w:lang w:eastAsia="sk-SK"/>
                    </w:rPr>
                  </w:pPr>
                  <w:r w:rsidRPr="006B1364">
                    <w:rPr>
                      <w:sz w:val="20"/>
                      <w:lang w:eastAsia="sk-SK"/>
                    </w:rPr>
                    <w:t xml:space="preserve">(25 µg/m3 sa neprekročí viac ako </w:t>
                  </w:r>
                </w:p>
                <w:p w:rsidR="006B1364" w:rsidRPr="006B1364" w:rsidP="006B1364">
                  <w:pPr>
                    <w:keepNext/>
                    <w:keepLines/>
                    <w:contextualSpacing/>
                    <w:rPr>
                      <w:sz w:val="20"/>
                      <w:lang w:eastAsia="sk-SK"/>
                    </w:rPr>
                  </w:pPr>
                  <w:r w:rsidRPr="006B1364">
                    <w:rPr>
                      <w:sz w:val="20"/>
                      <w:lang w:eastAsia="sk-SK"/>
                    </w:rPr>
                    <w:t>35-krát za každý kalendárny rok)</w:t>
                  </w:r>
                </w:p>
              </w:tc>
              <w:tc>
                <w:tcPr>
                  <w:tcW w:w="1275" w:type="dxa"/>
                  <w:vAlign w:val="center"/>
                </w:tcPr>
                <w:p w:rsidR="006B1364" w:rsidRPr="006B1364" w:rsidP="006B1364">
                  <w:pPr>
                    <w:keepNext/>
                    <w:keepLines/>
                    <w:contextualSpacing/>
                    <w:rPr>
                      <w:sz w:val="20"/>
                      <w:lang w:eastAsia="sk-SK"/>
                    </w:rPr>
                  </w:pPr>
                  <w:r w:rsidRPr="006B1364">
                    <w:rPr>
                      <w:sz w:val="20"/>
                      <w:lang w:eastAsia="sk-SK"/>
                    </w:rPr>
                    <w:t xml:space="preserve">50 % limitnej hodnoty </w:t>
                  </w:r>
                </w:p>
                <w:p w:rsidR="006B1364" w:rsidRPr="006B1364" w:rsidP="006B1364">
                  <w:pPr>
                    <w:keepNext/>
                    <w:keepLines/>
                    <w:contextualSpacing/>
                    <w:rPr>
                      <w:sz w:val="20"/>
                      <w:lang w:eastAsia="sk-SK"/>
                    </w:rPr>
                  </w:pPr>
                  <w:r w:rsidRPr="006B1364">
                    <w:rPr>
                      <w:sz w:val="20"/>
                      <w:lang w:eastAsia="sk-SK"/>
                    </w:rPr>
                    <w:t>(20 µg/m</w:t>
                  </w:r>
                  <w:r w:rsidRPr="00EB6D72">
                    <w:rPr>
                      <w:sz w:val="20"/>
                      <w:vertAlign w:val="superscript"/>
                      <w:lang w:eastAsia="sk-SK"/>
                    </w:rPr>
                    <w:t>3</w:t>
                  </w:r>
                  <w:r w:rsidRPr="006B1364">
                    <w:rPr>
                      <w:sz w:val="20"/>
                      <w:lang w:eastAsia="sk-SK"/>
                    </w:rPr>
                    <w:t>)</w:t>
                  </w:r>
                </w:p>
              </w:tc>
              <w:tc>
                <w:tcPr>
                  <w:tcW w:w="4454" w:type="dxa"/>
                  <w:vAlign w:val="center"/>
                </w:tcPr>
                <w:p w:rsidR="006B1364" w:rsidRPr="006B1364" w:rsidP="006B1364">
                  <w:pPr>
                    <w:keepNext/>
                    <w:keepLines/>
                    <w:contextualSpacing/>
                    <w:rPr>
                      <w:sz w:val="20"/>
                      <w:lang w:eastAsia="sk-SK"/>
                    </w:rPr>
                  </w:pPr>
                  <w:r w:rsidRPr="006B1364">
                    <w:rPr>
                      <w:sz w:val="20"/>
                      <w:lang w:eastAsia="sk-SK"/>
                    </w:rPr>
                    <w:t xml:space="preserve">50 % limitnej hodnoty </w:t>
                  </w:r>
                </w:p>
                <w:p w:rsidR="006B1364" w:rsidRPr="006B1364" w:rsidP="006B1364">
                  <w:pPr>
                    <w:keepNext/>
                    <w:keepLines/>
                    <w:contextualSpacing/>
                    <w:rPr>
                      <w:sz w:val="20"/>
                      <w:lang w:eastAsia="sk-SK"/>
                    </w:rPr>
                  </w:pPr>
                  <w:r w:rsidRPr="006B1364">
                    <w:rPr>
                      <w:sz w:val="20"/>
                      <w:lang w:eastAsia="sk-SK"/>
                    </w:rPr>
                    <w:t>(12 µg/m</w:t>
                  </w:r>
                  <w:r w:rsidRPr="00EB6D72">
                    <w:rPr>
                      <w:sz w:val="20"/>
                      <w:vertAlign w:val="superscript"/>
                      <w:lang w:eastAsia="sk-SK"/>
                    </w:rPr>
                    <w:t>3</w:t>
                  </w:r>
                  <w:r w:rsidRPr="006B1364">
                    <w:rPr>
                      <w:sz w:val="20"/>
                      <w:lang w:eastAsia="sk-SK"/>
                    </w:rPr>
                    <w:t>)</w:t>
                  </w:r>
                </w:p>
              </w:tc>
            </w:tr>
          </w:tbl>
          <w:p w:rsidR="006B1364" w:rsidRPr="00A25E7B" w:rsidP="006B1364">
            <w:pPr>
              <w:pStyle w:val="NormalWeb"/>
              <w:keepLines/>
              <w:spacing w:before="0" w:beforeAutospacing="0" w:after="0" w:afterAutospacing="0"/>
              <w:contextualSpacing/>
              <w:rPr>
                <w:sz w:val="18"/>
                <w:szCs w:val="18"/>
              </w:rPr>
            </w:pPr>
            <w:r w:rsidRPr="00A25E7B">
              <w:rPr>
                <w:sz w:val="18"/>
                <w:szCs w:val="18"/>
              </w:rPr>
              <w:t>Poznámka:</w:t>
            </w:r>
          </w:p>
          <w:p w:rsidR="006B1364" w:rsidRPr="00141D73" w:rsidP="006B1364">
            <w:pPr>
              <w:pStyle w:val="NormalWeb"/>
              <w:keepLines/>
              <w:spacing w:before="0" w:beforeAutospacing="0" w:after="0" w:afterAutospacing="0"/>
              <w:contextualSpacing/>
              <w:rPr>
                <w:sz w:val="20"/>
                <w:szCs w:val="20"/>
              </w:rPr>
            </w:pPr>
            <w:r w:rsidRPr="00E71D89">
              <w:rPr>
                <w:sz w:val="20"/>
                <w:szCs w:val="20"/>
                <w:vertAlign w:val="superscript"/>
              </w:rPr>
              <w:t>1</w:t>
            </w:r>
            <w:r w:rsidRPr="00141D73">
              <w:rPr>
                <w:sz w:val="20"/>
                <w:szCs w:val="20"/>
              </w:rPr>
              <w:t xml:space="preserve">) </w:t>
            </w:r>
            <w:r w:rsidRPr="00EB6D72">
              <w:rPr>
                <w:sz w:val="18"/>
                <w:szCs w:val="18"/>
              </w:rPr>
              <w:t>Horná medza a dolná medza pre PM</w:t>
            </w:r>
            <w:r w:rsidRPr="00EB6D72">
              <w:rPr>
                <w:sz w:val="18"/>
                <w:szCs w:val="18"/>
                <w:vertAlign w:val="subscript"/>
              </w:rPr>
              <w:t xml:space="preserve">2,5 </w:t>
            </w:r>
            <w:r w:rsidRPr="00EB6D72">
              <w:rPr>
                <w:sz w:val="18"/>
                <w:szCs w:val="18"/>
              </w:rPr>
              <w:t>sa nevzťahuje na merania vykonávané na posúdenie dodržiavania cieľa zníženia expozície pre PM</w:t>
            </w:r>
            <w:r w:rsidRPr="00EB6D72">
              <w:rPr>
                <w:sz w:val="18"/>
                <w:szCs w:val="18"/>
                <w:vertAlign w:val="subscript"/>
              </w:rPr>
              <w:t>2,5</w:t>
            </w:r>
            <w:r w:rsidRPr="00EB6D72">
              <w:rPr>
                <w:sz w:val="18"/>
                <w:szCs w:val="18"/>
              </w:rPr>
              <w:t xml:space="preserve"> na ochranu zdravia ľudí.</w:t>
            </w: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rPr>
                <w:sz w:val="20"/>
                <w:szCs w:val="20"/>
              </w:rPr>
            </w:pPr>
            <w:r w:rsidRPr="006B1364">
              <w:rPr>
                <w:sz w:val="20"/>
                <w:szCs w:val="20"/>
              </w:rPr>
              <w:t>4. Olovo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8"/>
              <w:gridCol w:w="5511"/>
            </w:tblGrid>
            <w:tr w:rsidTr="000506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1288" w:type="dxa"/>
                  <w:vAlign w:val="center"/>
                </w:tcPr>
                <w:p w:rsidR="006B1364" w:rsidRPr="006B1364" w:rsidP="006B1364">
                  <w:pPr>
                    <w:keepNext/>
                    <w:keepLines/>
                    <w:contextualSpacing/>
                    <w:rPr>
                      <w:sz w:val="20"/>
                      <w:lang w:eastAsia="sk-SK"/>
                    </w:rPr>
                  </w:pPr>
                </w:p>
              </w:tc>
              <w:tc>
                <w:tcPr>
                  <w:tcW w:w="5511" w:type="dxa"/>
                  <w:vAlign w:val="center"/>
                </w:tcPr>
                <w:p w:rsidR="006B1364" w:rsidRPr="006B1364" w:rsidP="006B1364">
                  <w:pPr>
                    <w:keepNext/>
                    <w:keepLines/>
                    <w:contextualSpacing/>
                    <w:rPr>
                      <w:sz w:val="20"/>
                      <w:lang w:eastAsia="sk-SK"/>
                    </w:rPr>
                  </w:pPr>
                  <w:r w:rsidRPr="006B1364">
                    <w:rPr>
                      <w:sz w:val="20"/>
                      <w:lang w:eastAsia="sk-SK"/>
                    </w:rPr>
                    <w:t>Ročný priemer</w:t>
                  </w:r>
                </w:p>
              </w:tc>
            </w:tr>
            <w:tr w:rsidTr="00050624">
              <w:tblPrEx>
                <w:tblW w:w="0" w:type="auto"/>
                <w:tblLayout w:type="fixed"/>
                <w:tblLook w:val="01E0"/>
              </w:tblPrEx>
              <w:trPr>
                <w:trHeight w:val="340"/>
              </w:trPr>
              <w:tc>
                <w:tcPr>
                  <w:tcW w:w="1288" w:type="dxa"/>
                  <w:vAlign w:val="center"/>
                </w:tcPr>
                <w:p w:rsidR="006B1364" w:rsidRPr="006B1364" w:rsidP="006B1364">
                  <w:pPr>
                    <w:keepNext/>
                    <w:keepLines/>
                    <w:contextualSpacing/>
                    <w:rPr>
                      <w:sz w:val="20"/>
                      <w:lang w:eastAsia="sk-SK"/>
                    </w:rPr>
                  </w:pPr>
                  <w:r w:rsidRPr="006B1364">
                    <w:rPr>
                      <w:sz w:val="20"/>
                      <w:lang w:eastAsia="sk-SK"/>
                    </w:rPr>
                    <w:t>Horná medza</w:t>
                  </w:r>
                </w:p>
              </w:tc>
              <w:tc>
                <w:tcPr>
                  <w:tcW w:w="5511" w:type="dxa"/>
                  <w:vAlign w:val="center"/>
                </w:tcPr>
                <w:p w:rsidR="006B1364" w:rsidRPr="006B1364" w:rsidP="006B1364">
                  <w:pPr>
                    <w:keepNext/>
                    <w:keepLines/>
                    <w:contextualSpacing/>
                    <w:rPr>
                      <w:sz w:val="20"/>
                      <w:lang w:eastAsia="sk-SK"/>
                    </w:rPr>
                  </w:pPr>
                  <w:r w:rsidRPr="006B1364">
                    <w:rPr>
                      <w:sz w:val="20"/>
                      <w:lang w:eastAsia="sk-SK"/>
                    </w:rPr>
                    <w:t>70 % limitnej hodnoty (0,35 µg/m</w:t>
                  </w:r>
                  <w:r w:rsidRPr="00A25E7B">
                    <w:rPr>
                      <w:sz w:val="20"/>
                      <w:vertAlign w:val="superscript"/>
                      <w:lang w:eastAsia="sk-SK"/>
                    </w:rPr>
                    <w:t>3</w:t>
                  </w:r>
                  <w:r w:rsidRPr="006B1364">
                    <w:rPr>
                      <w:sz w:val="20"/>
                      <w:lang w:eastAsia="sk-SK"/>
                    </w:rPr>
                    <w:t>)</w:t>
                  </w:r>
                </w:p>
              </w:tc>
            </w:tr>
            <w:tr w:rsidTr="00050624">
              <w:tblPrEx>
                <w:tblW w:w="0" w:type="auto"/>
                <w:tblLayout w:type="fixed"/>
                <w:tblLook w:val="01E0"/>
              </w:tblPrEx>
              <w:trPr>
                <w:trHeight w:val="340"/>
              </w:trPr>
              <w:tc>
                <w:tcPr>
                  <w:tcW w:w="1288" w:type="dxa"/>
                  <w:vAlign w:val="center"/>
                </w:tcPr>
                <w:p w:rsidR="006B1364" w:rsidRPr="006B1364" w:rsidP="006B1364">
                  <w:pPr>
                    <w:keepNext/>
                    <w:keepLines/>
                    <w:contextualSpacing/>
                    <w:rPr>
                      <w:sz w:val="20"/>
                      <w:lang w:eastAsia="sk-SK"/>
                    </w:rPr>
                  </w:pPr>
                  <w:r w:rsidRPr="006B1364">
                    <w:rPr>
                      <w:sz w:val="20"/>
                      <w:lang w:eastAsia="sk-SK"/>
                    </w:rPr>
                    <w:t>Dolná medza</w:t>
                  </w:r>
                </w:p>
              </w:tc>
              <w:tc>
                <w:tcPr>
                  <w:tcW w:w="5511" w:type="dxa"/>
                  <w:vAlign w:val="center"/>
                </w:tcPr>
                <w:p w:rsidR="006B1364" w:rsidRPr="006B1364" w:rsidP="006B1364">
                  <w:pPr>
                    <w:keepNext/>
                    <w:keepLines/>
                    <w:contextualSpacing/>
                    <w:rPr>
                      <w:sz w:val="20"/>
                      <w:lang w:eastAsia="sk-SK"/>
                    </w:rPr>
                  </w:pPr>
                  <w:r w:rsidRPr="006B1364">
                    <w:rPr>
                      <w:sz w:val="20"/>
                      <w:lang w:eastAsia="sk-SK"/>
                    </w:rPr>
                    <w:t>50 % limitnej hodnoty (0,25 µg/m</w:t>
                  </w:r>
                  <w:r w:rsidRPr="00A25E7B">
                    <w:rPr>
                      <w:sz w:val="20"/>
                      <w:vertAlign w:val="superscript"/>
                      <w:lang w:eastAsia="sk-SK"/>
                    </w:rPr>
                    <w:t>3</w:t>
                  </w:r>
                  <w:r w:rsidRPr="006B1364">
                    <w:rPr>
                      <w:sz w:val="20"/>
                      <w:lang w:eastAsia="sk-SK"/>
                    </w:rPr>
                    <w:t xml:space="preserve">) </w:t>
                  </w:r>
                </w:p>
              </w:tc>
            </w:tr>
          </w:tbl>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r w:rsidRPr="006B1364">
              <w:rPr>
                <w:sz w:val="20"/>
                <w:szCs w:val="20"/>
              </w:rPr>
              <w:t>5. Benzén</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8"/>
              <w:gridCol w:w="5452"/>
            </w:tblGrid>
            <w:tr w:rsidTr="006B13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1288" w:type="dxa"/>
                  <w:vAlign w:val="center"/>
                </w:tcPr>
                <w:p w:rsidR="006B1364" w:rsidRPr="006B1364" w:rsidP="006B1364">
                  <w:pPr>
                    <w:keepNext/>
                    <w:keepLines/>
                    <w:contextualSpacing/>
                    <w:rPr>
                      <w:sz w:val="20"/>
                      <w:lang w:eastAsia="sk-SK"/>
                    </w:rPr>
                  </w:pPr>
                </w:p>
              </w:tc>
              <w:tc>
                <w:tcPr>
                  <w:tcW w:w="5452" w:type="dxa"/>
                  <w:vAlign w:val="center"/>
                </w:tcPr>
                <w:p w:rsidR="006B1364" w:rsidRPr="006B1364" w:rsidP="006B1364">
                  <w:pPr>
                    <w:keepNext/>
                    <w:keepLines/>
                    <w:contextualSpacing/>
                    <w:rPr>
                      <w:sz w:val="20"/>
                      <w:lang w:eastAsia="sk-SK"/>
                    </w:rPr>
                  </w:pPr>
                  <w:r w:rsidRPr="006B1364">
                    <w:rPr>
                      <w:sz w:val="20"/>
                      <w:lang w:eastAsia="sk-SK"/>
                    </w:rPr>
                    <w:t>Ročný priemer</w:t>
                  </w:r>
                </w:p>
              </w:tc>
            </w:tr>
            <w:tr w:rsidTr="006B1364">
              <w:tblPrEx>
                <w:tblW w:w="0" w:type="auto"/>
                <w:tblLayout w:type="fixed"/>
                <w:tblLook w:val="01E0"/>
              </w:tblPrEx>
              <w:trPr>
                <w:trHeight w:val="340"/>
              </w:trPr>
              <w:tc>
                <w:tcPr>
                  <w:tcW w:w="1288" w:type="dxa"/>
                  <w:vAlign w:val="center"/>
                </w:tcPr>
                <w:p w:rsidR="006B1364" w:rsidRPr="006B1364" w:rsidP="006B1364">
                  <w:pPr>
                    <w:keepNext/>
                    <w:keepLines/>
                    <w:contextualSpacing/>
                    <w:rPr>
                      <w:sz w:val="20"/>
                      <w:lang w:eastAsia="sk-SK"/>
                    </w:rPr>
                  </w:pPr>
                  <w:r w:rsidRPr="006B1364">
                    <w:rPr>
                      <w:sz w:val="20"/>
                      <w:lang w:eastAsia="sk-SK"/>
                    </w:rPr>
                    <w:t>Horná medza</w:t>
                  </w:r>
                </w:p>
              </w:tc>
              <w:tc>
                <w:tcPr>
                  <w:tcW w:w="5452" w:type="dxa"/>
                  <w:vAlign w:val="center"/>
                </w:tcPr>
                <w:p w:rsidR="006B1364" w:rsidRPr="006B1364" w:rsidP="006B1364">
                  <w:pPr>
                    <w:keepNext/>
                    <w:keepLines/>
                    <w:contextualSpacing/>
                    <w:rPr>
                      <w:sz w:val="20"/>
                      <w:lang w:eastAsia="sk-SK"/>
                    </w:rPr>
                  </w:pPr>
                  <w:r w:rsidRPr="006B1364">
                    <w:rPr>
                      <w:sz w:val="20"/>
                      <w:lang w:eastAsia="sk-SK"/>
                    </w:rPr>
                    <w:t>70 % limitnej hodnoty (3,5 µg/m</w:t>
                  </w:r>
                  <w:r w:rsidRPr="00A25E7B">
                    <w:rPr>
                      <w:sz w:val="20"/>
                      <w:vertAlign w:val="superscript"/>
                      <w:lang w:eastAsia="sk-SK"/>
                    </w:rPr>
                    <w:t>3</w:t>
                  </w:r>
                  <w:r w:rsidRPr="006B1364">
                    <w:rPr>
                      <w:sz w:val="20"/>
                      <w:lang w:eastAsia="sk-SK"/>
                    </w:rPr>
                    <w:t>)</w:t>
                  </w:r>
                </w:p>
              </w:tc>
            </w:tr>
            <w:tr w:rsidTr="006B1364">
              <w:tblPrEx>
                <w:tblW w:w="0" w:type="auto"/>
                <w:tblLayout w:type="fixed"/>
                <w:tblLook w:val="01E0"/>
              </w:tblPrEx>
              <w:trPr>
                <w:trHeight w:val="340"/>
              </w:trPr>
              <w:tc>
                <w:tcPr>
                  <w:tcW w:w="1288" w:type="dxa"/>
                  <w:vAlign w:val="center"/>
                </w:tcPr>
                <w:p w:rsidR="006B1364" w:rsidRPr="006B1364" w:rsidP="006B1364">
                  <w:pPr>
                    <w:keepNext/>
                    <w:keepLines/>
                    <w:contextualSpacing/>
                    <w:rPr>
                      <w:sz w:val="20"/>
                      <w:lang w:eastAsia="sk-SK"/>
                    </w:rPr>
                  </w:pPr>
                  <w:r w:rsidRPr="006B1364">
                    <w:rPr>
                      <w:sz w:val="20"/>
                      <w:lang w:eastAsia="sk-SK"/>
                    </w:rPr>
                    <w:t>Dolná medza</w:t>
                  </w:r>
                </w:p>
              </w:tc>
              <w:tc>
                <w:tcPr>
                  <w:tcW w:w="5452" w:type="dxa"/>
                  <w:vAlign w:val="center"/>
                </w:tcPr>
                <w:p w:rsidR="006B1364" w:rsidRPr="006B1364" w:rsidP="006B1364">
                  <w:pPr>
                    <w:keepNext/>
                    <w:keepLines/>
                    <w:contextualSpacing/>
                    <w:rPr>
                      <w:sz w:val="20"/>
                      <w:lang w:eastAsia="sk-SK"/>
                    </w:rPr>
                  </w:pPr>
                  <w:r w:rsidRPr="006B1364">
                    <w:rPr>
                      <w:sz w:val="20"/>
                      <w:lang w:eastAsia="sk-SK"/>
                    </w:rPr>
                    <w:t>40 % limitnej hodnoty (2 µg/m</w:t>
                  </w:r>
                  <w:r w:rsidRPr="00A25E7B">
                    <w:rPr>
                      <w:sz w:val="20"/>
                      <w:vertAlign w:val="superscript"/>
                      <w:lang w:eastAsia="sk-SK"/>
                    </w:rPr>
                    <w:t>3</w:t>
                  </w:r>
                  <w:r w:rsidRPr="006B1364">
                    <w:rPr>
                      <w:sz w:val="20"/>
                      <w:lang w:eastAsia="sk-SK"/>
                    </w:rPr>
                    <w:t>)</w:t>
                  </w:r>
                </w:p>
              </w:tc>
            </w:tr>
            <w:tr w:rsidTr="006B1364">
              <w:tblPrEx>
                <w:tblW w:w="0" w:type="auto"/>
                <w:tblLayout w:type="fixed"/>
                <w:tblLook w:val="01E0"/>
              </w:tblPrEx>
              <w:trPr>
                <w:trHeight w:val="340"/>
              </w:trPr>
              <w:tc>
                <w:tcPr>
                  <w:tcW w:w="1288" w:type="dxa"/>
                  <w:vAlign w:val="center"/>
                </w:tcPr>
                <w:p w:rsidR="0072085B" w:rsidP="006B1364">
                  <w:pPr>
                    <w:keepNext/>
                    <w:keepLines/>
                    <w:contextualSpacing/>
                    <w:rPr>
                      <w:sz w:val="20"/>
                      <w:lang w:eastAsia="sk-SK"/>
                    </w:rPr>
                  </w:pPr>
                </w:p>
                <w:p w:rsidR="0072085B" w:rsidRPr="006B1364" w:rsidP="006B1364">
                  <w:pPr>
                    <w:keepNext/>
                    <w:keepLines/>
                    <w:contextualSpacing/>
                    <w:rPr>
                      <w:sz w:val="20"/>
                      <w:lang w:eastAsia="sk-SK"/>
                    </w:rPr>
                  </w:pPr>
                </w:p>
              </w:tc>
              <w:tc>
                <w:tcPr>
                  <w:tcW w:w="5452" w:type="dxa"/>
                  <w:vAlign w:val="center"/>
                </w:tcPr>
                <w:p w:rsidR="0072085B" w:rsidRPr="006B1364" w:rsidP="006B1364">
                  <w:pPr>
                    <w:keepNext/>
                    <w:keepLines/>
                    <w:contextualSpacing/>
                    <w:rPr>
                      <w:sz w:val="20"/>
                      <w:lang w:eastAsia="sk-SK"/>
                    </w:rPr>
                  </w:pPr>
                </w:p>
              </w:tc>
            </w:tr>
          </w:tbl>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p>
          <w:p w:rsidR="006B1364" w:rsidRPr="006B1364" w:rsidP="006B1364">
            <w:pPr>
              <w:pStyle w:val="NormalWeb"/>
              <w:keepLines/>
              <w:spacing w:before="0" w:beforeAutospacing="0" w:after="0" w:afterAutospacing="0"/>
              <w:contextualSpacing/>
              <w:rPr>
                <w:sz w:val="20"/>
                <w:szCs w:val="20"/>
              </w:rPr>
            </w:pPr>
            <w:r w:rsidRPr="006B1364">
              <w:rPr>
                <w:sz w:val="20"/>
                <w:szCs w:val="20"/>
              </w:rPr>
              <w:t>6. Oxid uhoľnatý</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8"/>
              <w:gridCol w:w="5370"/>
            </w:tblGrid>
            <w:tr w:rsidTr="000506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1288" w:type="dxa"/>
                </w:tcPr>
                <w:p w:rsidR="006B1364" w:rsidRPr="006B1364" w:rsidP="006B1364">
                  <w:pPr>
                    <w:keepNext/>
                    <w:keepLines/>
                    <w:contextualSpacing/>
                    <w:rPr>
                      <w:sz w:val="20"/>
                      <w:lang w:eastAsia="sk-SK"/>
                    </w:rPr>
                  </w:pPr>
                </w:p>
              </w:tc>
              <w:tc>
                <w:tcPr>
                  <w:tcW w:w="5370" w:type="dxa"/>
                </w:tcPr>
                <w:p w:rsidR="006B1364" w:rsidRPr="006B1364" w:rsidP="006B1364">
                  <w:pPr>
                    <w:keepNext/>
                    <w:keepLines/>
                    <w:contextualSpacing/>
                    <w:rPr>
                      <w:sz w:val="20"/>
                      <w:lang w:eastAsia="sk-SK"/>
                    </w:rPr>
                  </w:pPr>
                  <w:r w:rsidRPr="006B1364">
                    <w:rPr>
                      <w:sz w:val="20"/>
                      <w:lang w:eastAsia="sk-SK"/>
                    </w:rPr>
                    <w:t>Osemhodinový priemer</w:t>
                  </w:r>
                </w:p>
              </w:tc>
            </w:tr>
            <w:tr w:rsidTr="00050624">
              <w:tblPrEx>
                <w:tblW w:w="0" w:type="auto"/>
                <w:tblLayout w:type="fixed"/>
                <w:tblLook w:val="01E0"/>
              </w:tblPrEx>
              <w:trPr>
                <w:trHeight w:val="340"/>
              </w:trPr>
              <w:tc>
                <w:tcPr>
                  <w:tcW w:w="1288" w:type="dxa"/>
                </w:tcPr>
                <w:p w:rsidR="006B1364" w:rsidRPr="006B1364" w:rsidP="006B1364">
                  <w:pPr>
                    <w:keepNext/>
                    <w:keepLines/>
                    <w:contextualSpacing/>
                    <w:rPr>
                      <w:sz w:val="20"/>
                      <w:lang w:eastAsia="sk-SK"/>
                    </w:rPr>
                  </w:pPr>
                  <w:r w:rsidRPr="006B1364">
                    <w:rPr>
                      <w:sz w:val="20"/>
                      <w:lang w:eastAsia="sk-SK"/>
                    </w:rPr>
                    <w:t>Horná medza</w:t>
                  </w:r>
                </w:p>
              </w:tc>
              <w:tc>
                <w:tcPr>
                  <w:tcW w:w="5370" w:type="dxa"/>
                </w:tcPr>
                <w:p w:rsidR="006B1364" w:rsidRPr="006B1364" w:rsidP="006B1364">
                  <w:pPr>
                    <w:keepNext/>
                    <w:keepLines/>
                    <w:contextualSpacing/>
                    <w:rPr>
                      <w:sz w:val="20"/>
                      <w:lang w:eastAsia="sk-SK"/>
                    </w:rPr>
                  </w:pPr>
                  <w:r w:rsidRPr="006B1364">
                    <w:rPr>
                      <w:sz w:val="20"/>
                      <w:lang w:eastAsia="sk-SK"/>
                    </w:rPr>
                    <w:t>70 % limitnej hodnoty (7 mg/m</w:t>
                  </w:r>
                  <w:r w:rsidRPr="00A25E7B">
                    <w:rPr>
                      <w:sz w:val="20"/>
                      <w:vertAlign w:val="superscript"/>
                      <w:lang w:eastAsia="sk-SK"/>
                    </w:rPr>
                    <w:t>3</w:t>
                  </w:r>
                  <w:r w:rsidRPr="006B1364">
                    <w:rPr>
                      <w:sz w:val="20"/>
                      <w:lang w:eastAsia="sk-SK"/>
                    </w:rPr>
                    <w:t>)</w:t>
                  </w:r>
                </w:p>
              </w:tc>
            </w:tr>
            <w:tr w:rsidTr="00050624">
              <w:tblPrEx>
                <w:tblW w:w="0" w:type="auto"/>
                <w:tblLayout w:type="fixed"/>
                <w:tblLook w:val="01E0"/>
              </w:tblPrEx>
              <w:trPr>
                <w:trHeight w:val="340"/>
              </w:trPr>
              <w:tc>
                <w:tcPr>
                  <w:tcW w:w="1288" w:type="dxa"/>
                </w:tcPr>
                <w:p w:rsidR="006B1364" w:rsidRPr="006B1364" w:rsidP="006B1364">
                  <w:pPr>
                    <w:keepNext/>
                    <w:keepLines/>
                    <w:contextualSpacing/>
                    <w:rPr>
                      <w:sz w:val="20"/>
                      <w:lang w:eastAsia="sk-SK"/>
                    </w:rPr>
                  </w:pPr>
                  <w:r w:rsidRPr="006B1364">
                    <w:rPr>
                      <w:sz w:val="20"/>
                      <w:lang w:eastAsia="sk-SK"/>
                    </w:rPr>
                    <w:t>Dolná medza</w:t>
                  </w:r>
                </w:p>
              </w:tc>
              <w:tc>
                <w:tcPr>
                  <w:tcW w:w="5370" w:type="dxa"/>
                </w:tcPr>
                <w:p w:rsidR="006B1364" w:rsidRPr="006B1364" w:rsidP="006B1364">
                  <w:pPr>
                    <w:keepNext/>
                    <w:keepLines/>
                    <w:contextualSpacing/>
                    <w:rPr>
                      <w:sz w:val="20"/>
                      <w:lang w:eastAsia="sk-SK"/>
                    </w:rPr>
                  </w:pPr>
                  <w:r w:rsidRPr="006B1364">
                    <w:rPr>
                      <w:sz w:val="20"/>
                      <w:lang w:eastAsia="sk-SK"/>
                    </w:rPr>
                    <w:t>50 % limitnej hodnoty (5 mg/m</w:t>
                  </w:r>
                  <w:r w:rsidRPr="00A25E7B">
                    <w:rPr>
                      <w:sz w:val="20"/>
                      <w:vertAlign w:val="superscript"/>
                      <w:lang w:eastAsia="sk-SK"/>
                    </w:rPr>
                    <w:t>3</w:t>
                  </w:r>
                  <w:r w:rsidRPr="006B1364">
                    <w:rPr>
                      <w:sz w:val="20"/>
                      <w:lang w:eastAsia="sk-SK"/>
                    </w:rPr>
                    <w:t>)</w:t>
                  </w:r>
                </w:p>
              </w:tc>
            </w:tr>
          </w:tbl>
          <w:p w:rsidR="006B1364" w:rsidRPr="006B1364" w:rsidP="006B1364">
            <w:pPr>
              <w:keepNext/>
              <w:keepLines/>
              <w:tabs>
                <w:tab w:val="left" w:pos="-1560"/>
              </w:tabs>
              <w:contextualSpacing/>
              <w:rPr>
                <w:sz w:val="20"/>
                <w:lang w:eastAsia="sk-SK"/>
              </w:rPr>
            </w:pPr>
          </w:p>
          <w:p w:rsidR="006B1364" w:rsidRPr="006B1364" w:rsidP="006B1364">
            <w:pPr>
              <w:pStyle w:val="NormalWeb"/>
              <w:keepLines/>
              <w:spacing w:before="0" w:beforeAutospacing="0" w:after="0" w:afterAutospacing="0"/>
              <w:contextualSpacing/>
              <w:rPr>
                <w:sz w:val="20"/>
                <w:szCs w:val="20"/>
              </w:rPr>
            </w:pPr>
            <w:r w:rsidRPr="006B1364">
              <w:rPr>
                <w:sz w:val="20"/>
                <w:szCs w:val="20"/>
              </w:rPr>
              <w:t>7. Arzén</w:t>
            </w:r>
          </w:p>
          <w:tbl>
            <w:tblPr>
              <w:tblStyle w:val="TableNorm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12"/>
              <w:gridCol w:w="5443"/>
            </w:tblGrid>
            <w:tr w:rsidTr="00050624">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trHeight w:val="340"/>
              </w:trPr>
              <w:tc>
                <w:tcPr>
                  <w:tcW w:w="1212" w:type="dxa"/>
                </w:tcPr>
                <w:p w:rsidR="006B1364" w:rsidRPr="006B1364" w:rsidP="006B1364">
                  <w:pPr>
                    <w:keepNext/>
                    <w:keepLines/>
                    <w:contextualSpacing/>
                    <w:rPr>
                      <w:sz w:val="20"/>
                      <w:lang w:eastAsia="sk-SK"/>
                    </w:rPr>
                  </w:pPr>
                </w:p>
              </w:tc>
              <w:tc>
                <w:tcPr>
                  <w:tcW w:w="5443" w:type="dxa"/>
                </w:tcPr>
                <w:p w:rsidR="006B1364" w:rsidRPr="006B1364" w:rsidP="006B1364">
                  <w:pPr>
                    <w:keepNext/>
                    <w:keepLines/>
                    <w:contextualSpacing/>
                    <w:rPr>
                      <w:sz w:val="20"/>
                      <w:lang w:eastAsia="sk-SK"/>
                    </w:rPr>
                  </w:pPr>
                  <w:r w:rsidRPr="006B1364">
                    <w:rPr>
                      <w:sz w:val="20"/>
                      <w:lang w:eastAsia="sk-SK"/>
                    </w:rPr>
                    <w:t>Ročný priemer</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Horná medza</w:t>
                  </w:r>
                </w:p>
              </w:tc>
              <w:tc>
                <w:tcPr>
                  <w:tcW w:w="5443" w:type="dxa"/>
                  <w:vAlign w:val="center"/>
                </w:tcPr>
                <w:p w:rsidR="006B1364" w:rsidRPr="006B1364" w:rsidP="006B1364">
                  <w:pPr>
                    <w:keepNext/>
                    <w:keepLines/>
                    <w:contextualSpacing/>
                    <w:rPr>
                      <w:sz w:val="20"/>
                      <w:lang w:eastAsia="sk-SK"/>
                    </w:rPr>
                  </w:pPr>
                  <w:r w:rsidRPr="006B1364">
                    <w:rPr>
                      <w:sz w:val="20"/>
                      <w:lang w:eastAsia="sk-SK"/>
                    </w:rPr>
                    <w:t>60 % z cieľovej hodnoty (3,6 ng/m</w:t>
                  </w:r>
                  <w:r w:rsidRPr="00A25E7B">
                    <w:rPr>
                      <w:sz w:val="20"/>
                      <w:vertAlign w:val="superscript"/>
                      <w:lang w:eastAsia="sk-SK"/>
                    </w:rPr>
                    <w:t>3</w:t>
                  </w:r>
                  <w:r w:rsidRPr="006B1364">
                    <w:rPr>
                      <w:sz w:val="20"/>
                      <w:lang w:eastAsia="sk-SK"/>
                    </w:rPr>
                    <w:t>)</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 xml:space="preserve">Dolná medza </w:t>
                  </w:r>
                </w:p>
              </w:tc>
              <w:tc>
                <w:tcPr>
                  <w:tcW w:w="5443" w:type="dxa"/>
                  <w:vAlign w:val="center"/>
                </w:tcPr>
                <w:p w:rsidR="006B1364" w:rsidRPr="006B1364" w:rsidP="006B1364">
                  <w:pPr>
                    <w:keepNext/>
                    <w:keepLines/>
                    <w:contextualSpacing/>
                    <w:rPr>
                      <w:sz w:val="20"/>
                      <w:lang w:eastAsia="sk-SK"/>
                    </w:rPr>
                  </w:pPr>
                  <w:r w:rsidRPr="006B1364">
                    <w:rPr>
                      <w:sz w:val="20"/>
                      <w:lang w:eastAsia="sk-SK"/>
                    </w:rPr>
                    <w:t>40 % z cieľovej hodnoty (2,4 ng/m</w:t>
                  </w:r>
                  <w:r w:rsidRPr="00A25E7B">
                    <w:rPr>
                      <w:sz w:val="20"/>
                      <w:vertAlign w:val="superscript"/>
                      <w:lang w:eastAsia="sk-SK"/>
                    </w:rPr>
                    <w:t>3</w:t>
                  </w:r>
                  <w:r w:rsidRPr="006B1364">
                    <w:rPr>
                      <w:sz w:val="20"/>
                      <w:lang w:eastAsia="sk-SK"/>
                    </w:rPr>
                    <w:t>)</w:t>
                  </w:r>
                </w:p>
              </w:tc>
            </w:tr>
          </w:tbl>
          <w:p w:rsidR="006B1364" w:rsidRPr="006B1364" w:rsidP="006B1364">
            <w:pPr>
              <w:keepNext/>
              <w:keepLines/>
              <w:tabs>
                <w:tab w:val="left" w:pos="0"/>
              </w:tabs>
              <w:contextualSpacing/>
              <w:rPr>
                <w:sz w:val="20"/>
                <w:lang w:eastAsia="sk-SK"/>
              </w:rPr>
            </w:pPr>
          </w:p>
          <w:p w:rsidR="006B1364" w:rsidRPr="006B1364" w:rsidP="006B1364">
            <w:pPr>
              <w:keepNext/>
              <w:keepLines/>
              <w:tabs>
                <w:tab w:val="left" w:pos="0"/>
              </w:tabs>
              <w:contextualSpacing/>
              <w:rPr>
                <w:sz w:val="20"/>
                <w:lang w:eastAsia="sk-SK"/>
              </w:rPr>
            </w:pPr>
            <w:r w:rsidRPr="006B1364">
              <w:rPr>
                <w:sz w:val="20"/>
                <w:lang w:eastAsia="sk-SK"/>
              </w:rPr>
              <w:t>8. Kadmium</w:t>
            </w:r>
          </w:p>
          <w:tbl>
            <w:tblPr>
              <w:tblStyle w:val="TableNorm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12"/>
              <w:gridCol w:w="5443"/>
            </w:tblGrid>
            <w:tr w:rsidTr="00050624">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trHeight w:val="340"/>
              </w:trPr>
              <w:tc>
                <w:tcPr>
                  <w:tcW w:w="1212" w:type="dxa"/>
                  <w:vAlign w:val="center"/>
                </w:tcPr>
                <w:p w:rsidR="006B1364" w:rsidRPr="006B1364" w:rsidP="006B1364">
                  <w:pPr>
                    <w:keepNext/>
                    <w:keepLines/>
                    <w:tabs>
                      <w:tab w:val="left" w:pos="8364"/>
                    </w:tabs>
                    <w:contextualSpacing/>
                    <w:rPr>
                      <w:sz w:val="20"/>
                      <w:lang w:eastAsia="sk-SK"/>
                    </w:rPr>
                  </w:pP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Ročný priemer</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 xml:space="preserve">Horná medza </w:t>
                  </w: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60 % z cieľovej hodnoty (3 ng/m</w:t>
                  </w:r>
                  <w:r w:rsidRPr="00A25E7B">
                    <w:rPr>
                      <w:sz w:val="20"/>
                      <w:vertAlign w:val="superscript"/>
                      <w:lang w:eastAsia="sk-SK"/>
                    </w:rPr>
                    <w:t>3</w:t>
                  </w:r>
                  <w:r w:rsidRPr="006B1364">
                    <w:rPr>
                      <w:sz w:val="20"/>
                      <w:lang w:eastAsia="sk-SK"/>
                    </w:rPr>
                    <w:t>)</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 xml:space="preserve">Dolná medza </w:t>
                  </w: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40 % z cieľovej hodnoty (2 ng/m</w:t>
                  </w:r>
                  <w:r w:rsidRPr="00A25E7B">
                    <w:rPr>
                      <w:sz w:val="20"/>
                      <w:vertAlign w:val="superscript"/>
                      <w:lang w:eastAsia="sk-SK"/>
                    </w:rPr>
                    <w:t>3</w:t>
                  </w:r>
                  <w:r w:rsidRPr="006B1364">
                    <w:rPr>
                      <w:sz w:val="20"/>
                      <w:lang w:eastAsia="sk-SK"/>
                    </w:rPr>
                    <w:t>)</w:t>
                  </w:r>
                </w:p>
              </w:tc>
            </w:tr>
          </w:tbl>
          <w:p w:rsidR="006B1364" w:rsidP="006B1364">
            <w:pPr>
              <w:keepNext/>
              <w:keepLines/>
              <w:tabs>
                <w:tab w:val="left" w:pos="360"/>
              </w:tabs>
              <w:contextualSpacing/>
              <w:rPr>
                <w:sz w:val="20"/>
                <w:lang w:eastAsia="sk-SK"/>
              </w:rPr>
            </w:pPr>
          </w:p>
          <w:p w:rsidR="007279DF" w:rsidRPr="006B1364" w:rsidP="006B1364">
            <w:pPr>
              <w:keepNext/>
              <w:keepLines/>
              <w:tabs>
                <w:tab w:val="left" w:pos="360"/>
              </w:tabs>
              <w:contextualSpacing/>
              <w:rPr>
                <w:sz w:val="20"/>
                <w:lang w:eastAsia="sk-SK"/>
              </w:rPr>
            </w:pPr>
          </w:p>
          <w:p w:rsidR="006B1364" w:rsidRPr="006B1364" w:rsidP="006B1364">
            <w:pPr>
              <w:keepNext/>
              <w:keepLines/>
              <w:tabs>
                <w:tab w:val="left" w:pos="360"/>
              </w:tabs>
              <w:contextualSpacing/>
              <w:rPr>
                <w:sz w:val="20"/>
                <w:lang w:eastAsia="sk-SK"/>
              </w:rPr>
            </w:pPr>
            <w:r w:rsidRPr="006B1364">
              <w:rPr>
                <w:sz w:val="20"/>
                <w:lang w:eastAsia="sk-SK"/>
              </w:rPr>
              <w:t>9. Nikel</w:t>
            </w:r>
          </w:p>
          <w:tbl>
            <w:tblPr>
              <w:tblStyle w:val="TableNorm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12"/>
              <w:gridCol w:w="5443"/>
            </w:tblGrid>
            <w:tr w:rsidTr="00050624">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trHeight w:val="340"/>
              </w:trPr>
              <w:tc>
                <w:tcPr>
                  <w:tcW w:w="1212" w:type="dxa"/>
                  <w:vAlign w:val="center"/>
                </w:tcPr>
                <w:p w:rsidR="006B1364" w:rsidRPr="006B1364" w:rsidP="006B1364">
                  <w:pPr>
                    <w:keepNext/>
                    <w:keepLines/>
                    <w:tabs>
                      <w:tab w:val="left" w:pos="8364"/>
                    </w:tabs>
                    <w:contextualSpacing/>
                    <w:rPr>
                      <w:sz w:val="20"/>
                      <w:lang w:eastAsia="sk-SK"/>
                    </w:rPr>
                  </w:pP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Ročný priemer</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Horná medza</w:t>
                  </w: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70 % z cieľovej hodnoty (14 ng/m</w:t>
                  </w:r>
                  <w:r w:rsidRPr="007279DF">
                    <w:rPr>
                      <w:sz w:val="20"/>
                      <w:vertAlign w:val="superscript"/>
                      <w:lang w:eastAsia="sk-SK"/>
                    </w:rPr>
                    <w:t>3</w:t>
                  </w:r>
                  <w:r w:rsidRPr="006B1364">
                    <w:rPr>
                      <w:sz w:val="20"/>
                      <w:lang w:eastAsia="sk-SK"/>
                    </w:rPr>
                    <w:t>)</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Dolná medza</w:t>
                  </w: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50 % z cieľovej hodnoty (10 ng/m</w:t>
                  </w:r>
                  <w:r w:rsidRPr="007279DF">
                    <w:rPr>
                      <w:sz w:val="20"/>
                      <w:vertAlign w:val="superscript"/>
                      <w:lang w:eastAsia="sk-SK"/>
                    </w:rPr>
                    <w:t>3</w:t>
                  </w:r>
                  <w:r w:rsidRPr="006B1364">
                    <w:rPr>
                      <w:sz w:val="20"/>
                      <w:lang w:eastAsia="sk-SK"/>
                    </w:rPr>
                    <w:t>)</w:t>
                  </w:r>
                </w:p>
              </w:tc>
            </w:tr>
          </w:tbl>
          <w:p w:rsidR="006B1364" w:rsidRPr="006B1364" w:rsidP="006B1364">
            <w:pPr>
              <w:keepNext/>
              <w:keepLines/>
              <w:tabs>
                <w:tab w:val="left" w:pos="360"/>
              </w:tabs>
              <w:contextualSpacing/>
              <w:rPr>
                <w:sz w:val="20"/>
                <w:lang w:eastAsia="sk-SK"/>
              </w:rPr>
            </w:pPr>
          </w:p>
          <w:p w:rsidR="006B1364" w:rsidRPr="006B1364" w:rsidP="006B1364">
            <w:pPr>
              <w:keepNext/>
              <w:keepLines/>
              <w:tabs>
                <w:tab w:val="left" w:pos="360"/>
              </w:tabs>
              <w:contextualSpacing/>
              <w:rPr>
                <w:sz w:val="20"/>
                <w:lang w:eastAsia="sk-SK"/>
              </w:rPr>
            </w:pPr>
            <w:r w:rsidRPr="006B1364">
              <w:rPr>
                <w:sz w:val="20"/>
                <w:lang w:eastAsia="sk-SK"/>
              </w:rPr>
              <w:t>10. Benzo(a)pyrén</w:t>
            </w:r>
          </w:p>
          <w:tbl>
            <w:tblPr>
              <w:tblStyle w:val="TableNorm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12"/>
              <w:gridCol w:w="5443"/>
            </w:tblGrid>
            <w:tr w:rsidTr="00050624">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trHeight w:val="340"/>
              </w:trPr>
              <w:tc>
                <w:tcPr>
                  <w:tcW w:w="1212" w:type="dxa"/>
                  <w:vAlign w:val="center"/>
                </w:tcPr>
                <w:p w:rsidR="006B1364" w:rsidRPr="006B1364" w:rsidP="006B1364">
                  <w:pPr>
                    <w:keepNext/>
                    <w:keepLines/>
                    <w:tabs>
                      <w:tab w:val="left" w:pos="8364"/>
                    </w:tabs>
                    <w:contextualSpacing/>
                    <w:rPr>
                      <w:sz w:val="20"/>
                      <w:lang w:eastAsia="sk-SK"/>
                    </w:rPr>
                  </w:pP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Ročný priemer</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Horná medza</w:t>
                  </w: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60 % z cieľovej hodnoty (0,6 ng/m</w:t>
                  </w:r>
                  <w:r w:rsidRPr="007279DF">
                    <w:rPr>
                      <w:sz w:val="20"/>
                      <w:vertAlign w:val="superscript"/>
                      <w:lang w:eastAsia="sk-SK"/>
                    </w:rPr>
                    <w:t>3</w:t>
                  </w:r>
                  <w:r w:rsidRPr="006B1364">
                    <w:rPr>
                      <w:sz w:val="20"/>
                      <w:lang w:eastAsia="sk-SK"/>
                    </w:rPr>
                    <w:t>)</w:t>
                  </w:r>
                </w:p>
              </w:tc>
            </w:tr>
            <w:tr w:rsidTr="00050624">
              <w:tblPrEx>
                <w:tblW w:w="0" w:type="auto"/>
                <w:tblLayout w:type="fixed"/>
                <w:tblCellMar>
                  <w:left w:w="70" w:type="dxa"/>
                  <w:right w:w="70" w:type="dxa"/>
                </w:tblCellMar>
                <w:tblLook w:val="0000"/>
              </w:tblPrEx>
              <w:trPr>
                <w:trHeight w:val="340"/>
              </w:trPr>
              <w:tc>
                <w:tcPr>
                  <w:tcW w:w="1212" w:type="dxa"/>
                  <w:vAlign w:val="center"/>
                </w:tcPr>
                <w:p w:rsidR="006B1364" w:rsidRPr="006B1364" w:rsidP="006B1364">
                  <w:pPr>
                    <w:keepNext/>
                    <w:keepLines/>
                    <w:contextualSpacing/>
                    <w:rPr>
                      <w:sz w:val="20"/>
                      <w:lang w:eastAsia="sk-SK"/>
                    </w:rPr>
                  </w:pPr>
                  <w:r w:rsidRPr="006B1364">
                    <w:rPr>
                      <w:sz w:val="20"/>
                      <w:lang w:eastAsia="sk-SK"/>
                    </w:rPr>
                    <w:t>Dolná medza</w:t>
                  </w:r>
                </w:p>
              </w:tc>
              <w:tc>
                <w:tcPr>
                  <w:tcW w:w="5443" w:type="dxa"/>
                  <w:vAlign w:val="center"/>
                </w:tcPr>
                <w:p w:rsidR="006B1364" w:rsidRPr="006B1364" w:rsidP="006B1364">
                  <w:pPr>
                    <w:keepNext/>
                    <w:keepLines/>
                    <w:tabs>
                      <w:tab w:val="left" w:pos="8364"/>
                    </w:tabs>
                    <w:contextualSpacing/>
                    <w:rPr>
                      <w:sz w:val="20"/>
                      <w:lang w:eastAsia="sk-SK"/>
                    </w:rPr>
                  </w:pPr>
                  <w:r w:rsidRPr="006B1364">
                    <w:rPr>
                      <w:sz w:val="20"/>
                      <w:lang w:eastAsia="sk-SK"/>
                    </w:rPr>
                    <w:t>40 % z cieľovej hodnoty (0,4 ng/m</w:t>
                  </w:r>
                  <w:r w:rsidRPr="00644E78">
                    <w:rPr>
                      <w:sz w:val="20"/>
                      <w:vertAlign w:val="superscript"/>
                      <w:lang w:eastAsia="sk-SK"/>
                    </w:rPr>
                    <w:t>3</w:t>
                  </w:r>
                  <w:r w:rsidRPr="006B1364">
                    <w:rPr>
                      <w:sz w:val="20"/>
                      <w:lang w:eastAsia="sk-SK"/>
                    </w:rPr>
                    <w:t>)</w:t>
                  </w:r>
                </w:p>
              </w:tc>
            </w:tr>
          </w:tbl>
          <w:p w:rsidR="006B1364" w:rsidRPr="006B1364" w:rsidP="006B1364">
            <w:pPr>
              <w:pStyle w:val="NormalWeb"/>
              <w:keepLines/>
              <w:spacing w:before="0" w:beforeAutospacing="0" w:after="0" w:afterAutospacing="0"/>
              <w:ind w:left="284" w:hanging="284"/>
              <w:contextualSpacing/>
              <w:rPr>
                <w:sz w:val="20"/>
                <w:szCs w:val="20"/>
              </w:rPr>
            </w:pPr>
          </w:p>
          <w:p w:rsidR="006B1364" w:rsidRPr="006B1364" w:rsidP="006B1364">
            <w:pPr>
              <w:pStyle w:val="NormalWeb"/>
              <w:keepLines/>
              <w:spacing w:before="0" w:beforeAutospacing="0" w:after="0" w:afterAutospacing="0"/>
              <w:ind w:left="284" w:hanging="284"/>
              <w:contextualSpacing/>
              <w:rPr>
                <w:sz w:val="20"/>
                <w:szCs w:val="20"/>
              </w:rPr>
            </w:pPr>
            <w:r w:rsidRPr="006B1364">
              <w:rPr>
                <w:sz w:val="20"/>
                <w:szCs w:val="20"/>
              </w:rPr>
              <w:t>B. Určenie prekročení horných medzí a dolných medzí na hodnotenie úrovne znečistenia ovzdušia</w:t>
            </w:r>
          </w:p>
          <w:p w:rsidR="0072085B" w:rsidP="0072085B">
            <w:pPr>
              <w:pStyle w:val="NormalWeb"/>
              <w:keepNext/>
              <w:keepLines/>
              <w:numPr>
                <w:ilvl w:val="0"/>
                <w:numId w:val="16"/>
              </w:numPr>
              <w:spacing w:before="120" w:beforeAutospacing="0" w:after="120" w:afterAutospacing="0"/>
              <w:ind w:left="357" w:hanging="357"/>
              <w:jc w:val="both"/>
              <w:rPr>
                <w:sz w:val="20"/>
                <w:szCs w:val="20"/>
              </w:rPr>
            </w:pPr>
            <w:r w:rsidRPr="006B1364" w:rsidR="006B1364">
              <w:rPr>
                <w:sz w:val="20"/>
                <w:szCs w:val="20"/>
              </w:rPr>
              <w:t>Ak je k dispozícii dostatok údajov, musia sa prekročenia horných medzí a dolných medzí na hodnotenie úrovne znečistenia ovzdušia zistiť na základe koncentrácií nameraných za posledných päť rokov. Medza na hodnotenie úrovne znečistenia ovzdušia sa považuje za prekročenú, ak je prekročená najmenej v troch jednotlivých rokoch z týchto posledných piatich rokov.</w:t>
            </w:r>
          </w:p>
          <w:p w:rsidR="005416C3" w:rsidRPr="005416C3" w:rsidP="005416C3">
            <w:pPr>
              <w:pStyle w:val="NormalWeb"/>
              <w:keepNext/>
              <w:keepLines/>
              <w:spacing w:before="120" w:beforeAutospacing="0" w:after="120" w:afterAutospacing="0"/>
              <w:ind w:left="357"/>
              <w:jc w:val="both"/>
              <w:rPr>
                <w:sz w:val="20"/>
                <w:szCs w:val="20"/>
              </w:rPr>
            </w:pPr>
          </w:p>
          <w:p w:rsidR="006B1364" w:rsidRPr="006B1364" w:rsidP="00557828">
            <w:pPr>
              <w:pStyle w:val="NormalWeb"/>
              <w:keepNext/>
              <w:keepLines/>
              <w:numPr>
                <w:ilvl w:val="0"/>
                <w:numId w:val="16"/>
              </w:numPr>
              <w:spacing w:before="120" w:beforeAutospacing="0" w:after="120" w:afterAutospacing="0"/>
              <w:ind w:left="357" w:hanging="357"/>
              <w:jc w:val="both"/>
              <w:rPr>
                <w:sz w:val="20"/>
                <w:szCs w:val="20"/>
              </w:rPr>
            </w:pPr>
            <w:r w:rsidRPr="006B1364">
              <w:rPr>
                <w:sz w:val="20"/>
                <w:szCs w:val="20"/>
              </w:rPr>
              <w:t>Ak je k dispozícii menej údajov ako údajov za päť rokov, prekročenia horných medzí a dolných medzí na hodnotenie úrovne znečistenia ovzdušia možno zistiť kombináciou výsledkov z meracích kampaní kratšieho trvania vykonaných počas jedného roka v lokalitách s pravdepodobne najvyššími úrovňami znečistenia ovzdušia s výsledkami, ktoré sa získali z emisných inventúr a modelovania.</w:t>
            </w:r>
          </w:p>
          <w:p w:rsidR="006B1364" w:rsidRPr="006B1364" w:rsidP="006B1364">
            <w:pPr>
              <w:rPr>
                <w:sz w:val="20"/>
                <w:lang w:eastAsia="sk-SK"/>
              </w:rPr>
            </w:pPr>
            <w:r w:rsidRPr="006B1364">
              <w:rPr>
                <w:sz w:val="20"/>
                <w:lang w:eastAsia="sk-SK"/>
              </w:rPr>
              <w:br w:type="page"/>
            </w:r>
          </w:p>
          <w:p w:rsidR="00CB3E7D" w:rsidRPr="006B1364" w:rsidP="006B1364">
            <w:pPr>
              <w:pStyle w:val="NormalWeb"/>
              <w:spacing w:before="0" w:beforeAutospacing="0" w:after="0" w:afterAutospacing="0"/>
              <w:jc w:val="both"/>
              <w:rPr>
                <w:sz w:val="20"/>
                <w:szCs w:val="20"/>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3</w:t>
            </w:r>
          </w:p>
        </w:tc>
        <w:tc>
          <w:tcPr>
            <w:tcW w:w="4074" w:type="dxa"/>
            <w:tcBorders>
              <w:bottom w:val="single" w:sz="4" w:space="0" w:color="auto"/>
            </w:tcBorders>
          </w:tcPr>
          <w:p w:rsidR="00CB3E7D" w:rsidRPr="00DA6587" w:rsidP="00CB3E7D">
            <w:pPr>
              <w:pStyle w:val="NormalWeb"/>
              <w:rPr>
                <w:sz w:val="20"/>
                <w:szCs w:val="20"/>
              </w:rPr>
            </w:pPr>
            <w:r w:rsidRPr="00DA6587">
              <w:rPr>
                <w:sz w:val="20"/>
                <w:szCs w:val="20"/>
              </w:rPr>
              <w:t>Hodnotenie kvality okolitého ovzdušia a umiestňovanie vzorkovacích miest na meranie oxidu siričitého, oxidu dusičitého, oxidov dusíka, suspendovaných častíc (PM</w:t>
            </w:r>
            <w:r w:rsidRPr="00052249">
              <w:rPr>
                <w:sz w:val="20"/>
                <w:szCs w:val="20"/>
                <w:vertAlign w:val="subscript"/>
              </w:rPr>
              <w:t xml:space="preserve">10 </w:t>
            </w:r>
            <w:r w:rsidRPr="00DA6587">
              <w:rPr>
                <w:sz w:val="20"/>
                <w:szCs w:val="20"/>
              </w:rPr>
              <w:t>a PM</w:t>
            </w:r>
            <w:r w:rsidRPr="00052249">
              <w:rPr>
                <w:sz w:val="20"/>
                <w:szCs w:val="20"/>
                <w:vertAlign w:val="subscript"/>
              </w:rPr>
              <w:t>2,5</w:t>
            </w:r>
            <w:r w:rsidRPr="00DA6587">
              <w:rPr>
                <w:sz w:val="20"/>
                <w:szCs w:val="20"/>
              </w:rPr>
              <w:t>), olova, benzénu a oxidu uhoľnatého v okolitom ovzduší</w:t>
            </w:r>
          </w:p>
          <w:p w:rsidR="00CB3E7D" w:rsidRPr="00DA6587" w:rsidP="00CB3E7D">
            <w:pPr>
              <w:pStyle w:val="NormalWeb"/>
              <w:rPr>
                <w:sz w:val="20"/>
                <w:szCs w:val="20"/>
              </w:rPr>
            </w:pPr>
            <w:r w:rsidRPr="00DA6587">
              <w:rPr>
                <w:sz w:val="20"/>
                <w:szCs w:val="20"/>
              </w:rPr>
              <w:t>A. Všeobecne</w:t>
            </w:r>
          </w:p>
          <w:p w:rsidR="00CB3E7D" w:rsidRPr="00DA6587" w:rsidP="00CB3E7D">
            <w:pPr>
              <w:pStyle w:val="NormalWeb"/>
              <w:rPr>
                <w:sz w:val="20"/>
                <w:szCs w:val="20"/>
              </w:rPr>
            </w:pPr>
            <w:r w:rsidRPr="00DA6587">
              <w:rPr>
                <w:sz w:val="20"/>
                <w:szCs w:val="20"/>
              </w:rPr>
              <w:t>Kvalita okolitého ovzdušia sa hodnotí vo všetkých zónach a aglomeráciách v súlade s týmito kritériami:</w:t>
            </w:r>
          </w:p>
          <w:p w:rsidR="00CB3E7D" w:rsidRPr="00DA6587" w:rsidP="00CB3E7D">
            <w:pPr>
              <w:pStyle w:val="NormalWeb"/>
              <w:rPr>
                <w:sz w:val="20"/>
                <w:szCs w:val="20"/>
              </w:rPr>
            </w:pPr>
            <w:r w:rsidRPr="00DA6587">
              <w:rPr>
                <w:sz w:val="20"/>
                <w:szCs w:val="20"/>
              </w:rPr>
              <w:t>1. Kvalita okolitého ovzdušia sa hodnotí v súlade s kritériami na umiestňovanie vzorkovacích miest pre stále merania stanovenými v oddieloch B a C na všetkých miestach okrem tých, ktoré sú uvedené v odseku 2. Zásady stanovené v oddieloch B a C sa uplatňujú aj vtedy, ak sú relevantné vzhľadom na určenie špecifických miest, na ktorých sa stanovujú koncentrácie príslušných znečisťujúcich látok, pričom sa kvalita okolitého ovzdušia hodnotí indikatívnym meraním alebo modelovaním.</w:t>
            </w:r>
          </w:p>
          <w:p w:rsidR="00CB3E7D" w:rsidRPr="00DA6587" w:rsidP="00CB3E7D">
            <w:pPr>
              <w:pStyle w:val="NormalWeb"/>
              <w:rPr>
                <w:sz w:val="20"/>
                <w:szCs w:val="20"/>
              </w:rPr>
            </w:pPr>
            <w:r w:rsidRPr="00DA6587">
              <w:rPr>
                <w:sz w:val="20"/>
                <w:szCs w:val="20"/>
              </w:rPr>
              <w:t>2. Dodržiavanie limitných hodnôt zameraných na ochranu zdravia ľudí sa neposudzuje na týchto miestach:</w:t>
            </w:r>
          </w:p>
          <w:p w:rsidR="00CB3E7D" w:rsidRPr="00DA6587" w:rsidP="00CB3E7D">
            <w:pPr>
              <w:pStyle w:val="NormalWeb"/>
              <w:rPr>
                <w:sz w:val="20"/>
                <w:szCs w:val="20"/>
              </w:rPr>
            </w:pPr>
            <w:r w:rsidRPr="00DA6587">
              <w:rPr>
                <w:sz w:val="20"/>
                <w:szCs w:val="20"/>
              </w:rPr>
              <w:t>a) miesta v rámci oblastí, do ktorých nemá verejnosť prístup a v ktorých nie sú stále obytné plochy;</w:t>
            </w:r>
          </w:p>
          <w:p w:rsidR="00CB3E7D" w:rsidRPr="00DA6587" w:rsidP="00CB3E7D">
            <w:pPr>
              <w:pStyle w:val="NormalWeb"/>
              <w:rPr>
                <w:sz w:val="20"/>
                <w:szCs w:val="20"/>
              </w:rPr>
            </w:pPr>
            <w:r w:rsidRPr="00DA6587">
              <w:rPr>
                <w:sz w:val="20"/>
                <w:szCs w:val="20"/>
              </w:rPr>
              <w:t>b) v súlade s článkom 2 ods. 1 v priestoroch tovární alebo v okolí priemyselných zariadení, na ktoré sa uplatňujú všetky relevantné ustanovenia týkajúce sa ochrany zdravia a bezpečnosti pri práci;</w:t>
            </w:r>
          </w:p>
          <w:p w:rsidR="00CB3E7D" w:rsidRPr="00DA6587" w:rsidP="00CB3E7D">
            <w:pPr>
              <w:pStyle w:val="NormalWeb"/>
              <w:rPr>
                <w:sz w:val="20"/>
                <w:szCs w:val="20"/>
              </w:rPr>
            </w:pPr>
            <w:r w:rsidRPr="00DA6587">
              <w:rPr>
                <w:sz w:val="20"/>
                <w:szCs w:val="20"/>
              </w:rPr>
              <w:t>c) vozovky a stredné oddeľujúce pásy ciest, okrem miest, kde majú chodci bežný prístup na stredný oddeľujúci pás.</w:t>
            </w:r>
          </w:p>
          <w:p w:rsidR="00CB3E7D" w:rsidRPr="00DA6587" w:rsidP="00CB3E7D">
            <w:pPr>
              <w:pStyle w:val="NormalWeb"/>
              <w:rPr>
                <w:sz w:val="20"/>
                <w:szCs w:val="20"/>
              </w:rPr>
            </w:pPr>
            <w:r w:rsidRPr="00DA6587">
              <w:rPr>
                <w:sz w:val="20"/>
                <w:szCs w:val="20"/>
              </w:rPr>
              <w:t>B. Umiestnenie vzorkovacích miest na makroúrovni</w:t>
            </w:r>
          </w:p>
          <w:p w:rsidR="00CB3E7D" w:rsidRPr="00DA6587" w:rsidP="00CB3E7D">
            <w:pPr>
              <w:pStyle w:val="NormalWeb"/>
              <w:rPr>
                <w:sz w:val="20"/>
                <w:szCs w:val="20"/>
              </w:rPr>
            </w:pPr>
            <w:r w:rsidRPr="00DA6587">
              <w:rPr>
                <w:sz w:val="20"/>
                <w:szCs w:val="20"/>
              </w:rPr>
              <w:t>1. Ochrana zdravia ľudí</w:t>
            </w:r>
          </w:p>
          <w:p w:rsidR="00CB3E7D" w:rsidRPr="00DA6587" w:rsidP="00CB3E7D">
            <w:pPr>
              <w:pStyle w:val="NormalWeb"/>
              <w:rPr>
                <w:sz w:val="20"/>
                <w:szCs w:val="20"/>
              </w:rPr>
            </w:pPr>
            <w:r w:rsidRPr="00DA6587">
              <w:rPr>
                <w:sz w:val="20"/>
                <w:szCs w:val="20"/>
              </w:rPr>
              <w:t>a) Vzorkovacie miesta zamerané na ochranu zdravia ľudí sa umiestnia tak, aby poskytovali údaje o:</w:t>
            </w:r>
          </w:p>
          <w:p w:rsidR="00CB3E7D" w:rsidRPr="00DA6587" w:rsidP="00CB3E7D">
            <w:pPr>
              <w:pStyle w:val="NormalWeb"/>
              <w:rPr>
                <w:sz w:val="20"/>
                <w:szCs w:val="20"/>
              </w:rPr>
            </w:pPr>
            <w:r w:rsidRPr="00DA6587">
              <w:rPr>
                <w:sz w:val="20"/>
                <w:szCs w:val="20"/>
              </w:rPr>
              <w:t>- oblastiach v zónach a aglomeráciách, kde sa vyskytujú najvyššie koncentrácie, ktorým môže byť obyvateľstvo priamo alebo nepriamo vystavené po dobu, ktorá je závažná v súvislosti so spriemerovaným obdobím limitných hodnôt,</w:t>
            </w:r>
          </w:p>
          <w:p w:rsidR="00CB3E7D" w:rsidRPr="00DA6587" w:rsidP="00CB3E7D">
            <w:pPr>
              <w:pStyle w:val="NormalWeb"/>
              <w:rPr>
                <w:sz w:val="20"/>
                <w:szCs w:val="20"/>
              </w:rPr>
            </w:pPr>
            <w:r w:rsidRPr="00DA6587">
              <w:rPr>
                <w:sz w:val="20"/>
                <w:szCs w:val="20"/>
              </w:rPr>
              <w:t>- úrovniach v iných oblastiach v zónach a aglomeráciách, ktoré sú reprezentatívne z hľadiska expozície bežného obyvateľstva.</w:t>
            </w:r>
          </w:p>
          <w:p w:rsidR="00CB3E7D" w:rsidRPr="00DA6587" w:rsidP="00CB3E7D">
            <w:pPr>
              <w:pStyle w:val="NormalWeb"/>
              <w:rPr>
                <w:sz w:val="20"/>
                <w:szCs w:val="20"/>
              </w:rPr>
            </w:pPr>
            <w:r w:rsidRPr="00DA6587">
              <w:rPr>
                <w:sz w:val="20"/>
                <w:szCs w:val="20"/>
              </w:rPr>
              <w:t xml:space="preserve">b) Vzorkovacie miesta sa vo všeobecnosti umiestňujú tak, aby sa predišlo meraniu malých mikropriestorov v ich bezprostrednej blízkosti, čo znamená, že vzorkovacie miesto sa musí umiestniť tak, aby odoberaná vzorka vzduchu reprezentovala kvalitu ovzdušia na úseku ulice s dĺžkou aspoň </w:t>
            </w:r>
            <w:smartTag w:uri="urn:schemas-microsoft-com:office:smarttags" w:element="metricconverter">
              <w:smartTagPr>
                <w:attr w:name="ProductID" w:val="100 m"/>
              </w:smartTagPr>
              <w:r w:rsidRPr="00DA6587">
                <w:rPr>
                  <w:sz w:val="20"/>
                  <w:szCs w:val="20"/>
                </w:rPr>
                <w:t>100 m</w:t>
              </w:r>
            </w:smartTag>
            <w:r w:rsidRPr="00DA6587">
              <w:rPr>
                <w:sz w:val="20"/>
                <w:szCs w:val="20"/>
              </w:rPr>
              <w:t xml:space="preserve"> na miestach zameraných na dopravu a s rozlohou aspoň </w:t>
            </w:r>
            <w:smartTag w:uri="urn:schemas-microsoft-com:office:smarttags" w:element="metricconverter">
              <w:smartTagPr>
                <w:attr w:name="ProductID" w:val="250 m"/>
              </w:smartTagPr>
              <w:r w:rsidRPr="00DA6587">
                <w:rPr>
                  <w:sz w:val="20"/>
                  <w:szCs w:val="20"/>
                </w:rPr>
                <w:t>250 m</w:t>
              </w:r>
            </w:smartTag>
            <w:r w:rsidRPr="00DA6587">
              <w:rPr>
                <w:sz w:val="20"/>
                <w:szCs w:val="20"/>
              </w:rPr>
              <w:t xml:space="preserve"> × </w:t>
            </w:r>
            <w:smartTag w:uri="urn:schemas-microsoft-com:office:smarttags" w:element="metricconverter">
              <w:smartTagPr>
                <w:attr w:name="ProductID" w:val="250 m"/>
              </w:smartTagPr>
              <w:r w:rsidRPr="00DA6587">
                <w:rPr>
                  <w:sz w:val="20"/>
                  <w:szCs w:val="20"/>
                </w:rPr>
                <w:t>250 m</w:t>
              </w:r>
            </w:smartTag>
            <w:r w:rsidRPr="00DA6587">
              <w:rPr>
                <w:sz w:val="20"/>
                <w:szCs w:val="20"/>
              </w:rPr>
              <w:t xml:space="preserve"> v priemyselných oblastiach, ak je to možné.</w:t>
            </w:r>
          </w:p>
          <w:p w:rsidR="00CB3E7D" w:rsidRPr="00DA6587" w:rsidP="00CB3E7D">
            <w:pPr>
              <w:pStyle w:val="NormalWeb"/>
              <w:rPr>
                <w:sz w:val="20"/>
                <w:szCs w:val="20"/>
              </w:rPr>
            </w:pPr>
            <w:r w:rsidRPr="00DA6587">
              <w:rPr>
                <w:sz w:val="20"/>
                <w:szCs w:val="20"/>
              </w:rPr>
              <w:t>c) Mestské pozaďové miesta sa umiestnia tak, aby bola ich úroveň znečistenia ovplyvnená integrovaným príspevkom zo všetkých zdrojov, ktoré sa nachádzajú proti smeru vetra od stanice. Úrovni znečistenia by nemal dominovať jediný zdroj, pokiaľ nie je táto situácia typická pre väčšiu mestskú oblasť. Vzorkovacie miesta by mali byť spravidla reprezentatívne pre niekoľko kilometrov štvorcových.</w:t>
            </w:r>
          </w:p>
          <w:p w:rsidR="00CB3E7D" w:rsidRPr="00DA6587" w:rsidP="00CB3E7D">
            <w:pPr>
              <w:pStyle w:val="NormalWeb"/>
              <w:rPr>
                <w:sz w:val="20"/>
                <w:szCs w:val="20"/>
              </w:rPr>
            </w:pPr>
            <w:r w:rsidRPr="00DA6587">
              <w:rPr>
                <w:sz w:val="20"/>
                <w:szCs w:val="20"/>
              </w:rPr>
              <w:t>d) Ak je cieľom hodnotenie vidieckych pozaďových úrovní, vzorkovacie miesto nemôžu ovplyvňovať aglomerácie alebo priemyselné objekty v jeho blízkosti, t. j. miesta bližšie ako päť kilometrov.</w:t>
            </w:r>
          </w:p>
          <w:p w:rsidR="00CB3E7D" w:rsidRPr="00DA6587" w:rsidP="00CB3E7D">
            <w:pPr>
              <w:pStyle w:val="NormalWeb"/>
              <w:rPr>
                <w:sz w:val="20"/>
                <w:szCs w:val="20"/>
              </w:rPr>
            </w:pPr>
            <w:r w:rsidRPr="00DA6587">
              <w:rPr>
                <w:sz w:val="20"/>
                <w:szCs w:val="20"/>
              </w:rPr>
              <w:t>e) Ak sa majú hodnotiť príspevky z priemyselných zdrojov, aspoň jedno vzorkovacie miesto sa umiestni v najbližšej obytnej oblasti v smere vetra od zdroja. Keď nie je známa pozaďová koncentrácia, dodatočné vzorkovacie miesto sa umiestni v smere prevládajúceho vetra.</w:t>
            </w:r>
          </w:p>
          <w:p w:rsidR="00CB3E7D" w:rsidRPr="00DA6587" w:rsidP="00CB3E7D">
            <w:pPr>
              <w:pStyle w:val="NormalWeb"/>
              <w:rPr>
                <w:sz w:val="20"/>
                <w:szCs w:val="20"/>
              </w:rPr>
            </w:pPr>
            <w:r w:rsidRPr="00DA6587">
              <w:rPr>
                <w:sz w:val="20"/>
                <w:szCs w:val="20"/>
              </w:rPr>
              <w:t>f) Vzorkovacie miesta majú byť podľa možnosti tiež reprezentatívne pre podobné miesta, ktoré nie sú v ich bezprostrednej blízkosti.</w:t>
            </w:r>
          </w:p>
          <w:p w:rsidR="00CB3E7D" w:rsidRPr="00DA6587" w:rsidP="00CB3E7D">
            <w:pPr>
              <w:pStyle w:val="NormalWeb"/>
              <w:rPr>
                <w:sz w:val="20"/>
                <w:szCs w:val="20"/>
              </w:rPr>
            </w:pPr>
            <w:r w:rsidRPr="00DA6587">
              <w:rPr>
                <w:sz w:val="20"/>
                <w:szCs w:val="20"/>
              </w:rPr>
              <w:t>g) V prípade potreby ochrany zdravia ľudí sa berie do úvahy potreba umiestňovať vzorkovacie miesta na ostrovy.</w:t>
            </w:r>
          </w:p>
          <w:p w:rsidR="00CB3E7D" w:rsidRPr="00DA6587" w:rsidP="00CB3E7D">
            <w:pPr>
              <w:pStyle w:val="NormalWeb"/>
              <w:rPr>
                <w:sz w:val="20"/>
                <w:szCs w:val="20"/>
              </w:rPr>
            </w:pPr>
            <w:r w:rsidRPr="00DA6587">
              <w:rPr>
                <w:sz w:val="20"/>
                <w:szCs w:val="20"/>
              </w:rPr>
              <w:t>2. Ochrana vegetácie a prírodných ekosystémov</w:t>
            </w:r>
          </w:p>
          <w:p w:rsidR="00CB3E7D" w:rsidRPr="00DA6587" w:rsidP="00CB3E7D">
            <w:pPr>
              <w:pStyle w:val="NormalWeb"/>
              <w:rPr>
                <w:sz w:val="20"/>
                <w:szCs w:val="20"/>
              </w:rPr>
            </w:pPr>
            <w:r w:rsidRPr="00DA6587">
              <w:rPr>
                <w:sz w:val="20"/>
                <w:szCs w:val="20"/>
              </w:rPr>
              <w:t xml:space="preserve">Vzorkovacie miesta zamerané na ochranu vegetácie a prírodných ekosystémov sa umiestnia viac ako </w:t>
            </w:r>
            <w:smartTag w:uri="urn:schemas-microsoft-com:office:smarttags" w:element="metricconverter">
              <w:smartTagPr>
                <w:attr w:name="ProductID" w:val="20 km"/>
              </w:smartTagPr>
              <w:r w:rsidRPr="00DA6587">
                <w:rPr>
                  <w:sz w:val="20"/>
                  <w:szCs w:val="20"/>
                </w:rPr>
                <w:t>20 km</w:t>
              </w:r>
            </w:smartTag>
            <w:r w:rsidRPr="00DA6587">
              <w:rPr>
                <w:sz w:val="20"/>
                <w:szCs w:val="20"/>
              </w:rPr>
              <w:t xml:space="preserve"> od aglomerácií alebo viac ako </w:t>
            </w:r>
            <w:smartTag w:uri="urn:schemas-microsoft-com:office:smarttags" w:element="metricconverter">
              <w:smartTagPr>
                <w:attr w:name="ProductID" w:val="5 km"/>
              </w:smartTagPr>
              <w:r w:rsidRPr="00DA6587">
                <w:rPr>
                  <w:sz w:val="20"/>
                  <w:szCs w:val="20"/>
                </w:rPr>
                <w:t>5 km</w:t>
              </w:r>
            </w:smartTag>
            <w:r w:rsidRPr="00DA6587">
              <w:rPr>
                <w:sz w:val="20"/>
                <w:szCs w:val="20"/>
              </w:rPr>
              <w:t xml:space="preserve"> od ostatných zastavaných oblastí, priemyselných zariadení alebo diaľnic alebo hlavných ciest s dopravným sčítaním vyšším ako 50000 vozidiel za deň, čo znamená, že vzorkovacie miesto sa musí umiestniť tak, aby odoberaný vzduch reprezentoval kvalitu ovzdušia v okolitej oblasti s rozlohou aspoň 1000 km</w:t>
            </w:r>
            <w:r w:rsidRPr="00052249">
              <w:rPr>
                <w:sz w:val="20"/>
                <w:szCs w:val="20"/>
                <w:vertAlign w:val="superscript"/>
              </w:rPr>
              <w:t>2</w:t>
            </w:r>
            <w:r w:rsidRPr="00DA6587">
              <w:rPr>
                <w:sz w:val="20"/>
                <w:szCs w:val="20"/>
              </w:rPr>
              <w:t>. Členský štát môže po zohľadnení geografických podmienok alebo možností na ochranu mimoriadne zraniteľných oblastí umiestniť vzorkovacie miesto v menšej vzdialenosti alebo tak, aby reprezentovalo kvalitu ovzdušia v menšej oblasti.</w:t>
            </w:r>
          </w:p>
          <w:p w:rsidR="00CB3E7D" w:rsidRPr="00DA6587" w:rsidP="00CB3E7D">
            <w:pPr>
              <w:pStyle w:val="NormalWeb"/>
              <w:rPr>
                <w:sz w:val="20"/>
                <w:szCs w:val="20"/>
              </w:rPr>
            </w:pPr>
            <w:r w:rsidRPr="00DA6587">
              <w:rPr>
                <w:sz w:val="20"/>
                <w:szCs w:val="20"/>
              </w:rPr>
              <w:t>Zohľadňuje sa aj potreba hodnotenia kvality ovzdušia na ostrovoch.</w:t>
            </w:r>
          </w:p>
          <w:p w:rsidR="00CB3E7D" w:rsidRPr="00DA6587" w:rsidP="00CB3E7D">
            <w:pPr>
              <w:pStyle w:val="NormalWeb"/>
              <w:rPr>
                <w:sz w:val="20"/>
                <w:szCs w:val="20"/>
              </w:rPr>
            </w:pPr>
            <w:r w:rsidRPr="00DA6587">
              <w:rPr>
                <w:sz w:val="20"/>
                <w:szCs w:val="20"/>
              </w:rPr>
              <w:t>C. Umiestnenie vzorkovacích miest na mikroúrovni</w:t>
            </w:r>
          </w:p>
          <w:p w:rsidR="00CB3E7D" w:rsidRPr="00DA6587" w:rsidP="00CB3E7D">
            <w:pPr>
              <w:pStyle w:val="NormalWeb"/>
              <w:rPr>
                <w:sz w:val="20"/>
                <w:szCs w:val="20"/>
              </w:rPr>
            </w:pPr>
            <w:r w:rsidRPr="00DA6587">
              <w:rPr>
                <w:sz w:val="20"/>
                <w:szCs w:val="20"/>
              </w:rPr>
              <w:t>Pokiaľ je to možné, uplatňuje sa nasledujúce:</w:t>
            </w:r>
          </w:p>
          <w:p w:rsidR="004953FB" w:rsidRPr="004953FB" w:rsidP="004953FB">
            <w:pPr>
              <w:pStyle w:val="NormalWeb"/>
              <w:rPr>
                <w:sz w:val="20"/>
                <w:szCs w:val="20"/>
              </w:rPr>
            </w:pPr>
            <w:r w:rsidRPr="004953FB">
              <w:rPr>
                <w:sz w:val="20"/>
                <w:szCs w:val="20"/>
              </w:rPr>
              <w:t>— prúdenie okolo vzorkovacej sondy vo vstupnom otvore musí byť neobmedzené (vo všeobecnosti voľné v uhle aspoň 270° alebo 180° v prípade vzorkovacích miest v línii zástavby) bez akejkoľvek prekážky ovplyvňujúcej prúdenie vzduchu v okolí vstupného otvoru (zvyčajne vzdialené niekoľko metrov od budov, balkónov, stromov a iných prekážok a aspoň 0,5 m od najbližšej budovy v prípade vzorkovacích miest, ktoré reprezentujú kval</w:t>
            </w:r>
            <w:r>
              <w:rPr>
                <w:sz w:val="20"/>
                <w:szCs w:val="20"/>
              </w:rPr>
              <w:t>itu ovzdušia v línii zástavby),</w:t>
            </w:r>
          </w:p>
          <w:p w:rsidR="004953FB" w:rsidP="004953FB">
            <w:pPr>
              <w:pStyle w:val="NormalWeb"/>
              <w:rPr>
                <w:sz w:val="20"/>
                <w:szCs w:val="20"/>
              </w:rPr>
            </w:pPr>
            <w:r w:rsidRPr="004953FB">
              <w:rPr>
                <w:sz w:val="20"/>
                <w:szCs w:val="20"/>
              </w:rPr>
              <w:t>— vo všeobecnosti by mal byť vstupný otvor vzorkovacieho zariadenia umiestnený 1,5 m (dýchacia zóna) až 4 m nad zemou. Vhodné by mohlo byť aj vyššie umiestnenie, ak stanica reprezentuje väčšiu oblasť, pričom by sa mali úplne zdokumentovať všetky odchýlky,</w:t>
            </w:r>
          </w:p>
          <w:p w:rsidR="00CB3E7D" w:rsidRPr="00DA6587" w:rsidP="00CB3E7D">
            <w:pPr>
              <w:pStyle w:val="NormalWeb"/>
              <w:rPr>
                <w:sz w:val="20"/>
                <w:szCs w:val="20"/>
              </w:rPr>
            </w:pPr>
            <w:r w:rsidRPr="00DA6587">
              <w:rPr>
                <w:sz w:val="20"/>
                <w:szCs w:val="20"/>
              </w:rPr>
              <w:t>- sonda vo vstupnom otvore nesmie byť umiestnená v bezprostrednej blízkosti zdrojov, aby sa predišlo priamemu odberu emisií, ktoré nie sú zmiešané s okolitým ovzduším,</w:t>
            </w:r>
          </w:p>
          <w:p w:rsidR="00CB3E7D" w:rsidRPr="00DA6587" w:rsidP="00CB3E7D">
            <w:pPr>
              <w:pStyle w:val="NormalWeb"/>
              <w:rPr>
                <w:sz w:val="20"/>
                <w:szCs w:val="20"/>
              </w:rPr>
            </w:pPr>
            <w:r w:rsidRPr="00DA6587">
              <w:rPr>
                <w:sz w:val="20"/>
                <w:szCs w:val="20"/>
              </w:rPr>
              <w:t>- výstupný otvor vzorkovacieho zariadenia sa umiestni tak, aby sa predišlo recirkulácii vypúšťaného vzduchu do vstupného otvoru vzorkovacieho zariadenia,</w:t>
            </w:r>
          </w:p>
          <w:p w:rsidR="00CB3E7D" w:rsidRPr="00DA6587" w:rsidP="00CB3E7D">
            <w:pPr>
              <w:pStyle w:val="NormalWeb"/>
              <w:rPr>
                <w:sz w:val="20"/>
                <w:szCs w:val="20"/>
              </w:rPr>
            </w:pPr>
            <w:r w:rsidRPr="004953FB" w:rsidR="004953FB">
              <w:rPr>
                <w:sz w:val="20"/>
                <w:szCs w:val="20"/>
              </w:rPr>
              <w:t>— pre všetky znečisťujúce látky musia byť vzorkovacie sondy, ktoré sú orientované na dopravu, umiestnené aspoň 25 m od okraja veľkej križovatky a najviac 10 m od obrubníka. Pod „veľkou križovatkou“ sa v tomto kontexte rozumie križovatka, ktorá prerušuje tok dopravy, čo spôsobuje odlišné emisie ako na ostatných úsekoch cesty (spôsob jazdy „brzda – plyn“).</w:t>
            </w:r>
          </w:p>
          <w:p w:rsidR="00CB3E7D" w:rsidRPr="00DA6587" w:rsidP="00CB3E7D">
            <w:pPr>
              <w:pStyle w:val="NormalWeb"/>
              <w:rPr>
                <w:sz w:val="20"/>
                <w:szCs w:val="20"/>
              </w:rPr>
            </w:pPr>
            <w:r w:rsidRPr="00DA6587">
              <w:rPr>
                <w:sz w:val="20"/>
                <w:szCs w:val="20"/>
              </w:rPr>
              <w:t>Do úvahy možno brať aj tieto faktory:</w:t>
            </w:r>
          </w:p>
          <w:p w:rsidR="00CB3E7D" w:rsidRPr="00DA6587" w:rsidP="00CB3E7D">
            <w:pPr>
              <w:pStyle w:val="NormalWeb"/>
              <w:rPr>
                <w:sz w:val="20"/>
                <w:szCs w:val="20"/>
              </w:rPr>
            </w:pPr>
            <w:r w:rsidRPr="00DA6587">
              <w:rPr>
                <w:sz w:val="20"/>
                <w:szCs w:val="20"/>
              </w:rPr>
              <w:t>- rušivé zdroje,</w:t>
            </w:r>
          </w:p>
          <w:p w:rsidR="00CB3E7D" w:rsidRPr="00DA6587" w:rsidP="00CB3E7D">
            <w:pPr>
              <w:pStyle w:val="NormalWeb"/>
              <w:rPr>
                <w:sz w:val="20"/>
                <w:szCs w:val="20"/>
              </w:rPr>
            </w:pPr>
            <w:r w:rsidRPr="00DA6587">
              <w:rPr>
                <w:sz w:val="20"/>
                <w:szCs w:val="20"/>
              </w:rPr>
              <w:t>- bezpečnosť,</w:t>
            </w:r>
          </w:p>
          <w:p w:rsidR="00CB3E7D" w:rsidRPr="00DA6587" w:rsidP="00CB3E7D">
            <w:pPr>
              <w:pStyle w:val="NormalWeb"/>
              <w:rPr>
                <w:sz w:val="20"/>
                <w:szCs w:val="20"/>
              </w:rPr>
            </w:pPr>
            <w:r w:rsidRPr="00DA6587">
              <w:rPr>
                <w:sz w:val="20"/>
                <w:szCs w:val="20"/>
              </w:rPr>
              <w:t>- prístup,</w:t>
            </w:r>
          </w:p>
          <w:p w:rsidR="00CB3E7D" w:rsidRPr="00DA6587" w:rsidP="00CB3E7D">
            <w:pPr>
              <w:pStyle w:val="NormalWeb"/>
              <w:rPr>
                <w:sz w:val="20"/>
                <w:szCs w:val="20"/>
              </w:rPr>
            </w:pPr>
            <w:r w:rsidRPr="00DA6587">
              <w:rPr>
                <w:sz w:val="20"/>
                <w:szCs w:val="20"/>
              </w:rPr>
              <w:t>- dostupnosť elektrickej energie a telefonického spojenia,</w:t>
            </w:r>
          </w:p>
          <w:p w:rsidR="00CB3E7D" w:rsidRPr="00DA6587" w:rsidP="00CB3E7D">
            <w:pPr>
              <w:pStyle w:val="NormalWeb"/>
              <w:rPr>
                <w:sz w:val="20"/>
                <w:szCs w:val="20"/>
              </w:rPr>
            </w:pPr>
            <w:r w:rsidRPr="00DA6587">
              <w:rPr>
                <w:sz w:val="20"/>
                <w:szCs w:val="20"/>
              </w:rPr>
              <w:t>- viditeľnosť miesta vzhľadom na okolie,</w:t>
            </w:r>
          </w:p>
          <w:p w:rsidR="00CB3E7D" w:rsidRPr="00DA6587" w:rsidP="00CB3E7D">
            <w:pPr>
              <w:pStyle w:val="NormalWeb"/>
              <w:rPr>
                <w:sz w:val="20"/>
                <w:szCs w:val="20"/>
              </w:rPr>
            </w:pPr>
            <w:r w:rsidRPr="00DA6587">
              <w:rPr>
                <w:sz w:val="20"/>
                <w:szCs w:val="20"/>
              </w:rPr>
              <w:t>- bezpečnosť verejnosti a obsluhy,</w:t>
            </w:r>
          </w:p>
          <w:p w:rsidR="00CB3E7D" w:rsidRPr="00DA6587" w:rsidP="00CB3E7D">
            <w:pPr>
              <w:pStyle w:val="NormalWeb"/>
              <w:rPr>
                <w:sz w:val="20"/>
                <w:szCs w:val="20"/>
              </w:rPr>
            </w:pPr>
            <w:r w:rsidRPr="00DA6587">
              <w:rPr>
                <w:sz w:val="20"/>
                <w:szCs w:val="20"/>
              </w:rPr>
              <w:t>- vhodnosť súčasného umiestnenia vzorkovacích miest pre rozličné znečisťujúce látky,</w:t>
            </w:r>
          </w:p>
          <w:p w:rsidR="00CB3E7D" w:rsidP="00CB3E7D">
            <w:pPr>
              <w:pStyle w:val="NormalWeb"/>
              <w:rPr>
                <w:sz w:val="20"/>
                <w:szCs w:val="20"/>
              </w:rPr>
            </w:pPr>
            <w:r w:rsidRPr="00DA6587">
              <w:rPr>
                <w:sz w:val="20"/>
                <w:szCs w:val="20"/>
              </w:rPr>
              <w:t>- požiadavky plánovania.</w:t>
            </w:r>
          </w:p>
          <w:p w:rsidR="004953FB" w:rsidRPr="00DA6587" w:rsidP="00CB3E7D">
            <w:pPr>
              <w:pStyle w:val="NormalWeb"/>
              <w:rPr>
                <w:sz w:val="20"/>
                <w:szCs w:val="20"/>
              </w:rPr>
            </w:pPr>
            <w:r w:rsidRPr="004953FB">
              <w:rPr>
                <w:sz w:val="20"/>
                <w:szCs w:val="20"/>
              </w:rPr>
              <w:t>Akákoľvek odchýlka od kritérií uvedených v tomto oddiele sa musí riadne zdokumentovať na základe postupov opísaných v oddiele D.</w:t>
            </w:r>
          </w:p>
          <w:p w:rsidR="00CB3E7D" w:rsidRPr="00341B72" w:rsidP="00CB3E7D">
            <w:pPr>
              <w:pStyle w:val="NormalWeb"/>
              <w:rPr>
                <w:sz w:val="20"/>
                <w:szCs w:val="20"/>
              </w:rPr>
            </w:pPr>
            <w:r w:rsidRPr="00341B72">
              <w:rPr>
                <w:sz w:val="20"/>
                <w:szCs w:val="20"/>
              </w:rPr>
              <w:t>D. Dokumentácia a preskúmanie výberu miesta</w:t>
            </w:r>
          </w:p>
          <w:p w:rsidR="00CB3E7D" w:rsidRPr="00390FC1" w:rsidP="00052249">
            <w:pPr>
              <w:pStyle w:val="NormalWeb"/>
              <w:rPr>
                <w:sz w:val="20"/>
                <w:szCs w:val="20"/>
              </w:rPr>
            </w:pPr>
            <w:r w:rsidRPr="00052249" w:rsidR="00052249">
              <w:rPr>
                <w:sz w:val="20"/>
                <w:szCs w:val="20"/>
              </w:rPr>
              <w:t>V prípade všetkých zón a aglomerácií musia</w:t>
            </w:r>
            <w:r w:rsidR="00052249">
              <w:rPr>
                <w:sz w:val="20"/>
                <w:szCs w:val="20"/>
              </w:rPr>
              <w:t xml:space="preserve"> príslušné orgány zodpovedné za </w:t>
            </w:r>
            <w:r w:rsidRPr="00052249" w:rsidR="00052249">
              <w:rPr>
                <w:sz w:val="20"/>
                <w:szCs w:val="20"/>
              </w:rPr>
              <w:t>hodnotenie kvality ovzdušia riadne dokumentovať postupy týkajúce sa</w:t>
            </w:r>
            <w:r w:rsidR="00052249">
              <w:rPr>
                <w:sz w:val="20"/>
                <w:szCs w:val="20"/>
              </w:rPr>
              <w:t xml:space="preserve"> </w:t>
            </w:r>
            <w:r w:rsidRPr="00052249" w:rsidR="00052249">
              <w:rPr>
                <w:sz w:val="20"/>
                <w:szCs w:val="20"/>
              </w:rPr>
              <w:t>výberu miesta a zaznamenávať informácie slúžiace na podporu projektu</w:t>
            </w:r>
            <w:r w:rsidR="00052249">
              <w:rPr>
                <w:sz w:val="20"/>
                <w:szCs w:val="20"/>
              </w:rPr>
              <w:t xml:space="preserve"> </w:t>
            </w:r>
            <w:r w:rsidRPr="00052249" w:rsidR="00052249">
              <w:rPr>
                <w:sz w:val="20"/>
                <w:szCs w:val="20"/>
              </w:rPr>
              <w:t>siete a výberu umiestnenia pre všetky monitorovacie miesta. Dokumentácia</w:t>
            </w:r>
            <w:r w:rsidR="00052249">
              <w:rPr>
                <w:sz w:val="20"/>
                <w:szCs w:val="20"/>
              </w:rPr>
              <w:t xml:space="preserve"> </w:t>
            </w:r>
            <w:r w:rsidRPr="00052249" w:rsidR="00052249">
              <w:rPr>
                <w:sz w:val="20"/>
                <w:szCs w:val="20"/>
              </w:rPr>
              <w:t>musí obsahovať fotografie okolia monitorovacích miest s</w:t>
            </w:r>
            <w:r w:rsidR="00052249">
              <w:rPr>
                <w:sz w:val="20"/>
                <w:szCs w:val="20"/>
              </w:rPr>
              <w:t> </w:t>
            </w:r>
            <w:r w:rsidRPr="00052249" w:rsidR="00052249">
              <w:rPr>
                <w:sz w:val="20"/>
                <w:szCs w:val="20"/>
              </w:rPr>
              <w:t>vyznačenými</w:t>
            </w:r>
            <w:r w:rsidR="00052249">
              <w:rPr>
                <w:sz w:val="20"/>
                <w:szCs w:val="20"/>
              </w:rPr>
              <w:t xml:space="preserve"> </w:t>
            </w:r>
            <w:r w:rsidRPr="00052249" w:rsidR="00052249">
              <w:rPr>
                <w:sz w:val="20"/>
                <w:szCs w:val="20"/>
              </w:rPr>
              <w:t>svetovými stranami a podrobné mapy. V prípade uplatňovania doplnkových</w:t>
            </w:r>
            <w:r w:rsidR="00052249">
              <w:rPr>
                <w:sz w:val="20"/>
                <w:szCs w:val="20"/>
              </w:rPr>
              <w:t xml:space="preserve"> </w:t>
            </w:r>
            <w:r w:rsidRPr="00052249" w:rsidR="00052249">
              <w:rPr>
                <w:sz w:val="20"/>
                <w:szCs w:val="20"/>
              </w:rPr>
              <w:t>metód v rámci zóny alebo aglomerácie musí dokumentácia obsahovať</w:t>
            </w:r>
            <w:r w:rsidR="00052249">
              <w:rPr>
                <w:sz w:val="20"/>
                <w:szCs w:val="20"/>
              </w:rPr>
              <w:t xml:space="preserve"> </w:t>
            </w:r>
            <w:r w:rsidRPr="00052249" w:rsidR="00052249">
              <w:rPr>
                <w:sz w:val="20"/>
                <w:szCs w:val="20"/>
              </w:rPr>
              <w:t>podrobnosti o týchto metódach a informácie o splnení kritérií uvedených</w:t>
            </w:r>
            <w:r w:rsidR="00052249">
              <w:rPr>
                <w:sz w:val="20"/>
                <w:szCs w:val="20"/>
              </w:rPr>
              <w:t xml:space="preserve"> </w:t>
            </w:r>
            <w:r w:rsidRPr="00052249" w:rsidR="00052249">
              <w:rPr>
                <w:sz w:val="20"/>
                <w:szCs w:val="20"/>
              </w:rPr>
              <w:t>v článku 7 ods. 3 Dokumentácia sa podľa potreby aktualizuje a aspoň raz</w:t>
            </w:r>
            <w:r w:rsidR="00052249">
              <w:rPr>
                <w:sz w:val="20"/>
                <w:szCs w:val="20"/>
              </w:rPr>
              <w:t xml:space="preserve"> </w:t>
            </w:r>
            <w:r w:rsidRPr="00052249" w:rsidR="00052249">
              <w:rPr>
                <w:sz w:val="20"/>
                <w:szCs w:val="20"/>
              </w:rPr>
              <w:t>za päť rokov sa preskúma s cieľom zabezpečiť trvalú platnosť a</w:t>
            </w:r>
            <w:r w:rsidR="00052249">
              <w:rPr>
                <w:sz w:val="20"/>
                <w:szCs w:val="20"/>
              </w:rPr>
              <w:t> </w:t>
            </w:r>
            <w:r w:rsidRPr="00052249" w:rsidR="00052249">
              <w:rPr>
                <w:sz w:val="20"/>
                <w:szCs w:val="20"/>
              </w:rPr>
              <w:t>optimálnosť</w:t>
            </w:r>
            <w:r w:rsidR="00052249">
              <w:rPr>
                <w:sz w:val="20"/>
                <w:szCs w:val="20"/>
              </w:rPr>
              <w:t xml:space="preserve"> </w:t>
            </w:r>
            <w:r w:rsidRPr="00052249" w:rsidR="00052249">
              <w:rPr>
                <w:sz w:val="20"/>
                <w:szCs w:val="20"/>
              </w:rPr>
              <w:t>výberových kritérií, projektu siete a umiestnenia monitorovacích miest.</w:t>
            </w:r>
            <w:r w:rsidR="00052249">
              <w:rPr>
                <w:sz w:val="20"/>
                <w:szCs w:val="20"/>
              </w:rPr>
              <w:t xml:space="preserve"> </w:t>
            </w:r>
            <w:r w:rsidRPr="00052249" w:rsidR="00052249">
              <w:rPr>
                <w:sz w:val="20"/>
                <w:szCs w:val="20"/>
              </w:rPr>
              <w:t>Dokumentácia sa Komisii poskytne do 3 mesiacov od vyžiadania.</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490A84">
              <w:rPr>
                <w:sz w:val="20"/>
              </w:rPr>
              <w:t>NV</w:t>
            </w:r>
          </w:p>
        </w:tc>
        <w:tc>
          <w:tcPr>
            <w:tcW w:w="701" w:type="dxa"/>
            <w:tcBorders>
              <w:bottom w:val="single" w:sz="4" w:space="0" w:color="auto"/>
            </w:tcBorders>
          </w:tcPr>
          <w:p w:rsidR="00CB3E7D" w:rsidP="00CB3E7D">
            <w:pPr>
              <w:jc w:val="both"/>
              <w:rPr>
                <w:sz w:val="20"/>
              </w:rPr>
            </w:pPr>
            <w:r>
              <w:rPr>
                <w:sz w:val="20"/>
              </w:rPr>
              <w:t>Príl.</w:t>
            </w:r>
            <w:r w:rsidR="00490A84">
              <w:rPr>
                <w:sz w:val="20"/>
              </w:rPr>
              <w:t>8</w:t>
            </w:r>
          </w:p>
          <w:p w:rsidR="0066225B" w:rsidP="00CB3E7D">
            <w:pPr>
              <w:jc w:val="both"/>
              <w:rPr>
                <w:sz w:val="20"/>
              </w:rPr>
            </w:pPr>
            <w:r w:rsidR="0072085B">
              <w:rPr>
                <w:sz w:val="20"/>
              </w:rPr>
              <w:t>Časť I.</w:t>
            </w:r>
          </w:p>
          <w:p w:rsidR="0072085B" w:rsidRPr="00390FC1" w:rsidP="00CB3E7D">
            <w:pPr>
              <w:jc w:val="both"/>
              <w:rPr>
                <w:sz w:val="20"/>
              </w:rPr>
            </w:pPr>
            <w:r w:rsidR="0066225B">
              <w:rPr>
                <w:sz w:val="20"/>
              </w:rPr>
              <w:t>A,B,C,D,E</w:t>
            </w:r>
            <w:r>
              <w:rPr>
                <w:sz w:val="20"/>
              </w:rPr>
              <w:t xml:space="preserve"> </w:t>
            </w:r>
          </w:p>
        </w:tc>
        <w:tc>
          <w:tcPr>
            <w:tcW w:w="7797" w:type="dxa"/>
            <w:tcBorders>
              <w:bottom w:val="single" w:sz="4" w:space="0" w:color="auto"/>
            </w:tcBorders>
          </w:tcPr>
          <w:p w:rsidR="00991727" w:rsidRPr="00991727" w:rsidP="00991727">
            <w:pPr>
              <w:pStyle w:val="Heading1"/>
              <w:contextualSpacing/>
              <w:jc w:val="both"/>
              <w:rPr>
                <w:b w:val="0"/>
                <w:sz w:val="20"/>
                <w:lang w:eastAsia="sk-SK"/>
              </w:rPr>
            </w:pPr>
            <w:r w:rsidRPr="00991727">
              <w:rPr>
                <w:b w:val="0"/>
                <w:sz w:val="20"/>
                <w:lang w:eastAsia="sk-SK"/>
              </w:rPr>
              <w:t>Požiadavky na umiestňovanie vzorkovacích miest na stále meranie koncentrácií oxidu siričitého, oxidu dusičitého, oxidov dusíka, častíc PM</w:t>
            </w:r>
            <w:r w:rsidRPr="00E71D89">
              <w:rPr>
                <w:b w:val="0"/>
                <w:sz w:val="20"/>
                <w:vertAlign w:val="subscript"/>
                <w:lang w:eastAsia="sk-SK"/>
              </w:rPr>
              <w:t>10</w:t>
            </w:r>
            <w:r w:rsidRPr="00991727">
              <w:rPr>
                <w:b w:val="0"/>
                <w:sz w:val="20"/>
                <w:lang w:eastAsia="sk-SK"/>
              </w:rPr>
              <w:t>, častíc PM</w:t>
            </w:r>
            <w:r w:rsidRPr="00E71D89">
              <w:rPr>
                <w:b w:val="0"/>
                <w:sz w:val="20"/>
                <w:vertAlign w:val="subscript"/>
                <w:lang w:eastAsia="sk-SK"/>
              </w:rPr>
              <w:t>2,5</w:t>
            </w:r>
            <w:r w:rsidRPr="00991727">
              <w:rPr>
                <w:b w:val="0"/>
                <w:sz w:val="20"/>
                <w:lang w:eastAsia="sk-SK"/>
              </w:rPr>
              <w:t>, olova, benzénu, oxidu uhoľnatého, arzénu, kadmia, niklu a benzo(a)pyrénu vm ovzduší</w:t>
            </w:r>
          </w:p>
          <w:p w:rsidR="00991727" w:rsidRPr="00991727" w:rsidP="00991727">
            <w:pPr>
              <w:pStyle w:val="NormalWeb"/>
              <w:keepLines/>
              <w:spacing w:before="0" w:beforeAutospacing="0" w:after="0" w:afterAutospacing="0"/>
              <w:contextualSpacing/>
              <w:rPr>
                <w:sz w:val="20"/>
                <w:szCs w:val="20"/>
              </w:rPr>
            </w:pPr>
          </w:p>
          <w:p w:rsidR="00991727" w:rsidRPr="00991727" w:rsidP="00991727">
            <w:pPr>
              <w:pStyle w:val="NormalWeb"/>
              <w:keepLines/>
              <w:spacing w:before="0" w:beforeAutospacing="0" w:after="120" w:afterAutospacing="0"/>
              <w:rPr>
                <w:sz w:val="20"/>
                <w:szCs w:val="20"/>
              </w:rPr>
            </w:pPr>
            <w:r w:rsidRPr="00991727">
              <w:rPr>
                <w:sz w:val="20"/>
                <w:szCs w:val="20"/>
              </w:rPr>
              <w:t>A. Všeobecné požiadavky na umiestňovanie</w:t>
            </w:r>
          </w:p>
          <w:p w:rsidR="00991727" w:rsidRPr="00991727" w:rsidP="00C010DF">
            <w:pPr>
              <w:pStyle w:val="NormalWeb"/>
              <w:keepLines/>
              <w:spacing w:before="0" w:beforeAutospacing="0" w:after="120" w:afterAutospacing="0"/>
              <w:rPr>
                <w:sz w:val="20"/>
                <w:szCs w:val="20"/>
              </w:rPr>
            </w:pPr>
            <w:r w:rsidRPr="00991727">
              <w:rPr>
                <w:sz w:val="20"/>
                <w:szCs w:val="20"/>
              </w:rPr>
              <w:t>1. Kvalita ovzdušia sa hodnotí vo všetkých zónach a aglomeráciách podľa kritérií na umiestnenie vzorkovacích miest pre stále merania ustanovených v písmenách B a C na všetkých miestach okrem tých, ktoré sú uvedené v 2. bode. Zásady ustanovené v písmenách B a C sa uplatňujú aj vtedy, ak sú relevantné vzhľadom na určenie špecifických miest, na ktorých sa stanovujú koncentrácie príslušných znečisťujúcich látok, pričom sa kvalita ovzdušia hodnotí indikatívnym meraním alebo modelovaním.</w:t>
            </w:r>
          </w:p>
          <w:p w:rsidR="00991727" w:rsidRPr="00991727" w:rsidP="00C010DF">
            <w:pPr>
              <w:pStyle w:val="NormalWeb"/>
              <w:keepLines/>
              <w:spacing w:before="0" w:beforeAutospacing="0" w:after="120" w:afterAutospacing="0"/>
              <w:rPr>
                <w:sz w:val="20"/>
                <w:szCs w:val="20"/>
              </w:rPr>
            </w:pPr>
            <w:r w:rsidRPr="00991727">
              <w:rPr>
                <w:sz w:val="20"/>
                <w:szCs w:val="20"/>
              </w:rPr>
              <w:t xml:space="preserve">2. Dodržiavanie limitných hodnôt ustanovených na ochranu zdravia ľudí sa neposudzuje na </w:t>
            </w:r>
          </w:p>
          <w:p w:rsidR="00991727" w:rsidRPr="00991727" w:rsidP="00991727">
            <w:pPr>
              <w:pStyle w:val="NormalWeb"/>
              <w:keepNext/>
              <w:keepLines/>
              <w:numPr>
                <w:ilvl w:val="0"/>
                <w:numId w:val="4"/>
              </w:numPr>
              <w:tabs>
                <w:tab w:val="clear" w:pos="360"/>
              </w:tabs>
              <w:spacing w:before="0" w:beforeAutospacing="0" w:after="120" w:afterAutospacing="0"/>
              <w:ind w:left="851" w:hanging="284"/>
              <w:jc w:val="both"/>
              <w:rPr>
                <w:sz w:val="20"/>
                <w:szCs w:val="20"/>
              </w:rPr>
            </w:pPr>
            <w:r w:rsidRPr="00991727">
              <w:rPr>
                <w:sz w:val="20"/>
                <w:szCs w:val="20"/>
              </w:rPr>
              <w:t>miestach, do ktorých nemá verejnosť prístup a v ktorých nie sú stále obytné plochy,</w:t>
            </w:r>
          </w:p>
          <w:p w:rsidR="00991727" w:rsidRPr="00991727" w:rsidP="00991727">
            <w:pPr>
              <w:pStyle w:val="NormalWeb"/>
              <w:keepNext/>
              <w:keepLines/>
              <w:numPr>
                <w:ilvl w:val="0"/>
                <w:numId w:val="4"/>
              </w:numPr>
              <w:tabs>
                <w:tab w:val="clear" w:pos="360"/>
              </w:tabs>
              <w:spacing w:before="0" w:beforeAutospacing="0" w:after="120" w:afterAutospacing="0"/>
              <w:ind w:left="851" w:hanging="284"/>
              <w:jc w:val="both"/>
              <w:rPr>
                <w:sz w:val="20"/>
                <w:szCs w:val="20"/>
              </w:rPr>
            </w:pPr>
            <w:r w:rsidRPr="00991727">
              <w:rPr>
                <w:sz w:val="20"/>
                <w:szCs w:val="20"/>
              </w:rPr>
              <w:t>miestach v priestoroch tovární alebo v okolí priemyselných zariadení, na ktoré sa uplatňujú všetky relevantné ustanovenia týkajúce sa ochrany zdravia a bezpečnosti pri práci,</w:t>
            </w:r>
          </w:p>
          <w:p w:rsidR="00991727" w:rsidRPr="00991727" w:rsidP="00991727">
            <w:pPr>
              <w:pStyle w:val="NormalWeb"/>
              <w:keepNext/>
              <w:keepLines/>
              <w:numPr>
                <w:ilvl w:val="0"/>
                <w:numId w:val="4"/>
              </w:numPr>
              <w:tabs>
                <w:tab w:val="clear" w:pos="360"/>
              </w:tabs>
              <w:spacing w:before="0" w:beforeAutospacing="0" w:after="0" w:afterAutospacing="0"/>
              <w:ind w:left="851" w:hanging="284"/>
              <w:contextualSpacing/>
              <w:jc w:val="both"/>
              <w:rPr>
                <w:sz w:val="20"/>
                <w:szCs w:val="20"/>
              </w:rPr>
            </w:pPr>
            <w:r w:rsidRPr="00991727">
              <w:rPr>
                <w:sz w:val="20"/>
                <w:szCs w:val="20"/>
              </w:rPr>
              <w:t>vozovkách a stredných oddeľujúcich pásoch ciest, okrem miest, kde majú chodci bežný prístup na stredný oddeľujúci pás.</w:t>
            </w:r>
          </w:p>
          <w:p w:rsidR="00991727" w:rsidRPr="00991727" w:rsidP="00991727">
            <w:pPr>
              <w:pStyle w:val="NormalWeb"/>
              <w:keepLines/>
              <w:spacing w:before="0" w:beforeAutospacing="0" w:after="0" w:afterAutospacing="0"/>
              <w:ind w:left="284"/>
              <w:contextualSpacing/>
              <w:rPr>
                <w:sz w:val="20"/>
                <w:szCs w:val="20"/>
              </w:rPr>
            </w:pPr>
          </w:p>
          <w:p w:rsidR="00991727" w:rsidRPr="00991727" w:rsidP="00991727">
            <w:pPr>
              <w:pStyle w:val="NormalWeb"/>
              <w:keepLines/>
              <w:spacing w:before="0" w:beforeAutospacing="0" w:after="120" w:afterAutospacing="0"/>
              <w:rPr>
                <w:sz w:val="20"/>
                <w:szCs w:val="20"/>
              </w:rPr>
            </w:pPr>
            <w:r w:rsidRPr="00991727">
              <w:rPr>
                <w:sz w:val="20"/>
                <w:szCs w:val="20"/>
              </w:rPr>
              <w:t>B. Umiestnenie vzorkovacích miest na makroúrovni</w:t>
            </w:r>
          </w:p>
          <w:p w:rsidR="00991727" w:rsidRPr="00991727" w:rsidP="00991727">
            <w:pPr>
              <w:pStyle w:val="NormalWeb"/>
              <w:keepLines/>
              <w:spacing w:before="0" w:beforeAutospacing="0" w:after="120" w:afterAutospacing="0"/>
              <w:ind w:left="284"/>
              <w:rPr>
                <w:sz w:val="20"/>
                <w:szCs w:val="20"/>
              </w:rPr>
            </w:pPr>
            <w:r w:rsidRPr="00991727">
              <w:rPr>
                <w:sz w:val="20"/>
                <w:szCs w:val="20"/>
              </w:rPr>
              <w:t>1. Ochrana zdravia ľudí</w:t>
            </w:r>
          </w:p>
          <w:p w:rsidR="00991727" w:rsidRPr="00991727" w:rsidP="00991727">
            <w:pPr>
              <w:pStyle w:val="NormalWeb"/>
              <w:keepLines/>
              <w:spacing w:before="0" w:beforeAutospacing="0" w:after="0" w:afterAutospacing="0"/>
              <w:ind w:left="709" w:hanging="425"/>
              <w:contextualSpacing/>
              <w:rPr>
                <w:sz w:val="20"/>
                <w:szCs w:val="20"/>
              </w:rPr>
            </w:pPr>
            <w:r w:rsidRPr="00991727">
              <w:rPr>
                <w:sz w:val="20"/>
                <w:szCs w:val="20"/>
              </w:rPr>
              <w:t>1.1 Vzorkovacie miesta zamerané na hodnotenie kvality ovzdušia vo vzťahu k ochrane zdravia ľudí sa umiestňujú tak, aby poskytovali údaje</w:t>
            </w:r>
          </w:p>
          <w:p w:rsidR="00991727" w:rsidRPr="00991727" w:rsidP="00991727">
            <w:pPr>
              <w:pStyle w:val="NormalWeb"/>
              <w:keepNext/>
              <w:keepLines/>
              <w:numPr>
                <w:ilvl w:val="0"/>
                <w:numId w:val="5"/>
              </w:numPr>
              <w:tabs>
                <w:tab w:val="clear" w:pos="360"/>
              </w:tabs>
              <w:spacing w:before="0" w:beforeAutospacing="0" w:after="0" w:afterAutospacing="0"/>
              <w:ind w:left="993" w:hanging="284"/>
              <w:contextualSpacing/>
              <w:jc w:val="both"/>
              <w:rPr>
                <w:sz w:val="20"/>
                <w:szCs w:val="20"/>
              </w:rPr>
            </w:pPr>
            <w:r w:rsidRPr="00991727">
              <w:rPr>
                <w:sz w:val="20"/>
                <w:szCs w:val="20"/>
              </w:rPr>
              <w:t>o oblastiach v zónach a v aglomeráciách, kde sa vyskytujú najvyššie koncentrácie, ktorým môže byť obyvateľstvo priamo alebo nepriamo vystavené po dobu, ktorá je závažná v súvislosti so spriemerovaným obdobím limitných hodnôt,</w:t>
            </w:r>
          </w:p>
          <w:p w:rsidR="00991727" w:rsidRPr="00991727" w:rsidP="00991727">
            <w:pPr>
              <w:pStyle w:val="NormalWeb"/>
              <w:keepNext/>
              <w:keepLines/>
              <w:numPr>
                <w:ilvl w:val="0"/>
                <w:numId w:val="5"/>
              </w:numPr>
              <w:tabs>
                <w:tab w:val="clear" w:pos="360"/>
              </w:tabs>
              <w:spacing w:before="0" w:beforeAutospacing="0" w:after="120" w:afterAutospacing="0"/>
              <w:ind w:left="993" w:hanging="284"/>
              <w:jc w:val="both"/>
              <w:rPr>
                <w:sz w:val="20"/>
                <w:szCs w:val="20"/>
              </w:rPr>
            </w:pPr>
            <w:r w:rsidRPr="00991727">
              <w:rPr>
                <w:sz w:val="20"/>
                <w:szCs w:val="20"/>
              </w:rPr>
              <w:t>o úrovniach znečistenia ovzdušia v iných oblastiach zón a aglomerácií, ktoré sú reprezentatívne z hľadiska expozície bývajúceho obyvateľstva.</w:t>
            </w:r>
          </w:p>
          <w:p w:rsidR="00991727" w:rsidRPr="00991727" w:rsidP="00991727">
            <w:pPr>
              <w:keepNext/>
              <w:keepLines/>
              <w:spacing w:after="120"/>
              <w:ind w:left="709" w:hanging="425"/>
              <w:jc w:val="both"/>
              <w:rPr>
                <w:sz w:val="20"/>
                <w:lang w:eastAsia="sk-SK"/>
              </w:rPr>
            </w:pPr>
            <w:r w:rsidRPr="00991727">
              <w:rPr>
                <w:sz w:val="20"/>
                <w:lang w:eastAsia="sk-SK"/>
              </w:rPr>
              <w:t xml:space="preserve">1.2 Vzorkovacie miesta sa vo všeobecnosti umiestňujú tak, aby sa predišlo meraniu v mikropriestoroch a v ich bezprostrednej blízkosti, čo znamená, že vzorkovacie miesto sa umiestňuje tak, aby odoberaná vzorka vzduchu reprezentovala kvalitu ovzdušia na úseku ulice s dĺžkou aspoň 100 m na miestach zameraných na dopravu, a oblasti s rozlohou aspoň 250 m × 250 m v priemyselných oblastiach, ak je to možné. </w:t>
            </w:r>
          </w:p>
          <w:p w:rsidR="00991727" w:rsidRPr="00991727" w:rsidP="00991727">
            <w:pPr>
              <w:keepNext/>
              <w:keepLines/>
              <w:spacing w:after="120"/>
              <w:ind w:left="709" w:hanging="425"/>
              <w:jc w:val="both"/>
              <w:rPr>
                <w:sz w:val="20"/>
                <w:lang w:eastAsia="sk-SK"/>
              </w:rPr>
            </w:pPr>
            <w:r w:rsidRPr="00991727">
              <w:rPr>
                <w:sz w:val="20"/>
                <w:lang w:eastAsia="sk-SK"/>
              </w:rPr>
              <w:t xml:space="preserve">       Vzorkovacie miesto pre arzén, kadmium, nikel a benzo(a)pyrén, sa vyberá tak, aby bolo reprezentatívne pre kvalitu ovzdušia v okolitých oblastiach nie menších ako 200 m2 v miestach zameraných na dopravu, oblasti s rozlohou aspoň 250 m × 250 m v priemyselných oblastiach a niekoľko km2 v mestských pozaďových miestach, ak je to realizovateľné. </w:t>
            </w:r>
          </w:p>
          <w:p w:rsidR="00991727" w:rsidRPr="00991727" w:rsidP="00991727">
            <w:pPr>
              <w:pStyle w:val="NormalWeb"/>
              <w:keepLines/>
              <w:spacing w:before="0" w:beforeAutospacing="0" w:after="120" w:afterAutospacing="0"/>
              <w:ind w:left="709" w:hanging="425"/>
              <w:rPr>
                <w:sz w:val="20"/>
                <w:szCs w:val="20"/>
              </w:rPr>
            </w:pPr>
            <w:r w:rsidRPr="00991727">
              <w:rPr>
                <w:sz w:val="20"/>
                <w:szCs w:val="20"/>
              </w:rPr>
              <w:t>1.3 Mestské pozaďové miesta sa umiestňujú tak, aby bola ich úroveň znečistenia ovzdušia ovplyvnená integrovaným príspevkom zo všetkých zdrojov, ktoré sa nachádzajú proti smeru vetra od stanice. Úrovni znečistenia ovzdušia by nemal dominovať jediný zdroj, ak nie je táto situácia typická pre väčšiu mestskú oblasť. Vzorkovacie miesta by mali byť spravidla reprezentatívne pre niekoľko km2.</w:t>
            </w:r>
          </w:p>
          <w:p w:rsidR="00991727" w:rsidRPr="00991727" w:rsidP="00991727">
            <w:pPr>
              <w:pStyle w:val="NormalWeb"/>
              <w:keepLines/>
              <w:spacing w:before="0" w:beforeAutospacing="0" w:after="120" w:afterAutospacing="0"/>
              <w:ind w:left="709" w:hanging="425"/>
              <w:rPr>
                <w:sz w:val="20"/>
                <w:szCs w:val="20"/>
              </w:rPr>
            </w:pPr>
            <w:r w:rsidRPr="00991727">
              <w:rPr>
                <w:sz w:val="20"/>
                <w:szCs w:val="20"/>
              </w:rPr>
              <w:t>1.4 Ak je cieľom hodnotenie vidieckych pozaďových úrovní znečistenia ovzdušia, vzorkovacie miesto nemôžu ovplyvňovať aglomerácie alebo priemyselné objekty v jeho blízkosti, t. j. vo vzdialenosti  bližšiej ako 5 km.</w:t>
            </w:r>
          </w:p>
          <w:p w:rsidR="00991727" w:rsidRPr="00991727" w:rsidP="00991727">
            <w:pPr>
              <w:pStyle w:val="NormalWeb"/>
              <w:keepLines/>
              <w:spacing w:before="0" w:beforeAutospacing="0" w:after="120" w:afterAutospacing="0"/>
              <w:ind w:left="709" w:hanging="425"/>
              <w:rPr>
                <w:sz w:val="20"/>
                <w:szCs w:val="20"/>
              </w:rPr>
            </w:pPr>
            <w:r w:rsidRPr="00991727">
              <w:rPr>
                <w:sz w:val="20"/>
                <w:szCs w:val="20"/>
              </w:rPr>
              <w:t>1.5 Ak sa hodnotia príspevky z priemyselných zdrojov, aspoň jedno vzorkovacie miesto sa umiestni v najbližšej obytnej oblasti v smere vetra od zdroja. Keď nie je známa pozaďová koncentrácia, dodatočné vzorkovacie miesto sa umiestni v smere prevládajúceho vetra.</w:t>
            </w:r>
          </w:p>
          <w:p w:rsidR="00991727" w:rsidRPr="00991727" w:rsidP="00991727">
            <w:pPr>
              <w:pStyle w:val="NormalWeb"/>
              <w:keepLines/>
              <w:spacing w:before="0" w:beforeAutospacing="0" w:after="120" w:afterAutospacing="0"/>
              <w:ind w:left="709" w:hanging="425"/>
              <w:rPr>
                <w:sz w:val="20"/>
                <w:szCs w:val="20"/>
              </w:rPr>
            </w:pPr>
            <w:r w:rsidRPr="00991727">
              <w:rPr>
                <w:sz w:val="20"/>
                <w:szCs w:val="20"/>
              </w:rPr>
              <w:t>1.6 Vzorkovacie miesta sa umiestňujú tak, aby podľa možnosti reprezentovali aj obdobné miesta, ktoré nie sú v ich bezprostrednej blízkosti.</w:t>
            </w:r>
          </w:p>
          <w:p w:rsidR="00991727" w:rsidRPr="00991727" w:rsidP="00991727">
            <w:pPr>
              <w:keepNext/>
              <w:keepLines/>
              <w:autoSpaceDE w:val="0"/>
              <w:autoSpaceDN w:val="0"/>
              <w:adjustRightInd w:val="0"/>
              <w:ind w:left="709" w:hanging="425"/>
              <w:contextualSpacing/>
              <w:rPr>
                <w:sz w:val="20"/>
                <w:lang w:eastAsia="sk-SK"/>
              </w:rPr>
            </w:pPr>
            <w:r w:rsidRPr="00991727">
              <w:rPr>
                <w:sz w:val="20"/>
                <w:lang w:eastAsia="sk-SK"/>
              </w:rPr>
              <w:t>1.7 Vzorkovacie miesta pre arzén, kadmium, nikel a benzo(a)pyrén sa uplatňujú  aj tieto požiadavky</w:t>
            </w:r>
          </w:p>
          <w:p w:rsidR="00991727" w:rsidRPr="00991727" w:rsidP="00991727">
            <w:pPr>
              <w:pStyle w:val="NormalWeb"/>
              <w:keepNext/>
              <w:keepLines/>
              <w:numPr>
                <w:ilvl w:val="0"/>
                <w:numId w:val="6"/>
              </w:numPr>
              <w:tabs>
                <w:tab w:val="clear" w:pos="360"/>
              </w:tabs>
              <w:spacing w:before="0" w:beforeAutospacing="0" w:after="120" w:afterAutospacing="0"/>
              <w:ind w:left="993" w:hanging="284"/>
              <w:jc w:val="both"/>
              <w:rPr>
                <w:sz w:val="20"/>
                <w:szCs w:val="20"/>
              </w:rPr>
            </w:pPr>
            <w:r w:rsidRPr="00991727">
              <w:rPr>
                <w:sz w:val="20"/>
                <w:szCs w:val="20"/>
              </w:rPr>
              <w:t xml:space="preserve">výber vzorkovacích miest zabezpečí dostatočné údaje o rýchlosti depozície, ktoré predstavujú nepriamu expozíciu prostredníctvom potravinového reťazca, </w:t>
            </w:r>
          </w:p>
          <w:p w:rsidR="00991727" w:rsidRPr="00991727" w:rsidP="00991727">
            <w:pPr>
              <w:pStyle w:val="NormalWeb"/>
              <w:keepNext/>
              <w:keepLines/>
              <w:numPr>
                <w:ilvl w:val="0"/>
                <w:numId w:val="6"/>
              </w:numPr>
              <w:tabs>
                <w:tab w:val="clear" w:pos="360"/>
              </w:tabs>
              <w:spacing w:before="0" w:beforeAutospacing="0" w:after="120" w:afterAutospacing="0"/>
              <w:ind w:left="993" w:hanging="284"/>
              <w:jc w:val="both"/>
              <w:rPr>
                <w:sz w:val="20"/>
                <w:szCs w:val="20"/>
              </w:rPr>
            </w:pPr>
            <w:r w:rsidRPr="00991727">
              <w:rPr>
                <w:sz w:val="20"/>
                <w:szCs w:val="20"/>
              </w:rPr>
              <w:t xml:space="preserve">vzorkovacie miesta sa umiestnia tak, aby mohli zabezpečiť monitorovanie uplatňovania najlepších dostupných techník, </w:t>
            </w:r>
          </w:p>
          <w:p w:rsidR="00991727" w:rsidRPr="00991727" w:rsidP="00991727">
            <w:pPr>
              <w:pStyle w:val="NormalWeb"/>
              <w:keepNext/>
              <w:keepLines/>
              <w:numPr>
                <w:ilvl w:val="0"/>
                <w:numId w:val="6"/>
              </w:numPr>
              <w:tabs>
                <w:tab w:val="clear" w:pos="360"/>
              </w:tabs>
              <w:spacing w:before="0" w:beforeAutospacing="0" w:after="120" w:afterAutospacing="0"/>
              <w:ind w:left="993" w:hanging="284"/>
              <w:jc w:val="both"/>
              <w:rPr>
                <w:sz w:val="20"/>
                <w:szCs w:val="20"/>
              </w:rPr>
            </w:pPr>
            <w:r w:rsidRPr="00991727">
              <w:rPr>
                <w:sz w:val="20"/>
                <w:szCs w:val="20"/>
              </w:rPr>
              <w:t>vzorkovacie miesta sa umiestniatak, aby podľa možnosti reprezentovali aj iné obdobné lokality, ktoré sa nenachádzajú v bezprostrednej blízkosti, pričom sa umiestnia spolu so vzorkovacími miestami na PM</w:t>
            </w:r>
            <w:r w:rsidRPr="00E71D89">
              <w:rPr>
                <w:sz w:val="20"/>
                <w:szCs w:val="20"/>
                <w:vertAlign w:val="subscript"/>
              </w:rPr>
              <w:t>10</w:t>
            </w:r>
            <w:r w:rsidRPr="00991727">
              <w:rPr>
                <w:sz w:val="20"/>
                <w:szCs w:val="20"/>
              </w:rPr>
              <w:t>,</w:t>
            </w:r>
          </w:p>
          <w:p w:rsidR="00991727" w:rsidRPr="00991727" w:rsidP="00991727">
            <w:pPr>
              <w:pStyle w:val="NormalWeb"/>
              <w:keepNext/>
              <w:keepLines/>
              <w:numPr>
                <w:ilvl w:val="0"/>
                <w:numId w:val="6"/>
              </w:numPr>
              <w:tabs>
                <w:tab w:val="clear" w:pos="360"/>
              </w:tabs>
              <w:spacing w:before="0" w:beforeAutospacing="0" w:after="0" w:afterAutospacing="0"/>
              <w:ind w:left="993" w:hanging="284"/>
              <w:contextualSpacing/>
              <w:jc w:val="both"/>
              <w:rPr>
                <w:sz w:val="20"/>
                <w:szCs w:val="20"/>
              </w:rPr>
            </w:pPr>
            <w:r w:rsidRPr="00991727">
              <w:rPr>
                <w:sz w:val="20"/>
                <w:szCs w:val="20"/>
              </w:rPr>
              <w:t xml:space="preserve">na meranie depozície vo vidieckych pozaďových oblastiach možno uplatniť návody a kritériá programu spolupráce pre monitorovanie a vyhodnocovanie diaľkového šírenia látok znečisťujúcich ovzdušie v Európe. </w:t>
            </w:r>
          </w:p>
          <w:p w:rsidR="00991727" w:rsidRPr="00991727" w:rsidP="00991727">
            <w:pPr>
              <w:pStyle w:val="NormalWeb"/>
              <w:keepLines/>
              <w:spacing w:before="0" w:beforeAutospacing="0" w:after="0" w:afterAutospacing="0"/>
              <w:contextualSpacing/>
              <w:rPr>
                <w:sz w:val="20"/>
                <w:szCs w:val="20"/>
              </w:rPr>
            </w:pPr>
          </w:p>
          <w:p w:rsidR="00991727" w:rsidRPr="00991727" w:rsidP="00C010DF">
            <w:pPr>
              <w:pStyle w:val="NormalWeb"/>
              <w:keepLines/>
              <w:spacing w:before="0" w:beforeAutospacing="0" w:after="120" w:afterAutospacing="0"/>
              <w:rPr>
                <w:sz w:val="20"/>
                <w:szCs w:val="20"/>
              </w:rPr>
            </w:pPr>
            <w:r w:rsidRPr="00991727">
              <w:rPr>
                <w:sz w:val="20"/>
                <w:szCs w:val="20"/>
              </w:rPr>
              <w:t>2. Ochrana vegetácie a prírodných ekosystémov</w:t>
            </w:r>
          </w:p>
          <w:p w:rsidR="00991727" w:rsidRPr="00991727" w:rsidP="00C010DF">
            <w:pPr>
              <w:pStyle w:val="NormalWeb"/>
              <w:keepLines/>
              <w:spacing w:before="0" w:beforeAutospacing="0" w:after="0" w:afterAutospacing="0"/>
              <w:contextualSpacing/>
              <w:rPr>
                <w:sz w:val="20"/>
                <w:szCs w:val="20"/>
              </w:rPr>
            </w:pPr>
            <w:r w:rsidRPr="00991727">
              <w:rPr>
                <w:sz w:val="20"/>
                <w:szCs w:val="20"/>
              </w:rPr>
              <w:t xml:space="preserve">Vzorkovacie miesta zamerané na hodnotenie kvality ovzdušia vo vzťahu k ochrane vegetácie a prírodných ekosystémov sa umiestňujú viac ako 20 km od aglomerácií alebo viac ako 5 km od ostatných zastavaných oblastí, priemyselných zariadení alebo diaľnic alebo dôležitých ciest s frekvenciou vozidiel vyššou ako 50 000 vozidiel za deň, čo znamená, že vzorkovacie miesto sa umiestňuje tak, aby odoberaný vzduch reprezentoval kvalitu ovzdušia v okolitej oblasti s rozlohou aspoň 1 000 km2. Po zohľadnení geografických podmienok alebo možností na ochranu mimoriadne zraniteľných oblastí sa môže umiestniť vzorkovacie miesto v menšej vzdialenosti alebo tak, aby reprezentovalo kvalitu ovzdušia v menšej oblasti. </w:t>
            </w:r>
          </w:p>
          <w:p w:rsidR="00991727" w:rsidRPr="00991727" w:rsidP="00991727">
            <w:pPr>
              <w:pStyle w:val="NormalWeb"/>
              <w:keepLines/>
              <w:spacing w:before="0" w:beforeAutospacing="0" w:after="0" w:afterAutospacing="0"/>
              <w:contextualSpacing/>
              <w:rPr>
                <w:sz w:val="20"/>
                <w:szCs w:val="20"/>
              </w:rPr>
            </w:pPr>
          </w:p>
          <w:p w:rsidR="00991727" w:rsidRPr="00991727" w:rsidP="00991727">
            <w:pPr>
              <w:pStyle w:val="NormalWeb"/>
              <w:keepLines/>
              <w:spacing w:before="0" w:beforeAutospacing="0" w:after="120" w:afterAutospacing="0"/>
              <w:rPr>
                <w:sz w:val="20"/>
                <w:szCs w:val="20"/>
              </w:rPr>
            </w:pPr>
            <w:r w:rsidRPr="00991727">
              <w:rPr>
                <w:sz w:val="20"/>
                <w:szCs w:val="20"/>
              </w:rPr>
              <w:t>C. Umiestnenie vzorkovacích miest na mikroúrovni</w:t>
            </w:r>
          </w:p>
          <w:p w:rsidR="00991727" w:rsidRPr="00991727" w:rsidP="00991727">
            <w:pPr>
              <w:pStyle w:val="NormalWeb"/>
              <w:keepLines/>
              <w:spacing w:before="0" w:beforeAutospacing="0" w:after="0" w:afterAutospacing="0"/>
              <w:ind w:left="567" w:hanging="283"/>
              <w:contextualSpacing/>
              <w:rPr>
                <w:sz w:val="20"/>
                <w:szCs w:val="20"/>
              </w:rPr>
            </w:pPr>
            <w:r w:rsidRPr="00991727">
              <w:rPr>
                <w:sz w:val="20"/>
                <w:szCs w:val="20"/>
              </w:rPr>
              <w:t>Pre umiestnenie vzorkovacích miest na mikroúrovni, ak je to možné, platia tieto požiadavky,</w:t>
            </w:r>
          </w:p>
          <w:p w:rsidR="00991727" w:rsidRPr="00991727" w:rsidP="00991727">
            <w:pPr>
              <w:pStyle w:val="NormalWeb"/>
              <w:keepNext/>
              <w:keepLines/>
              <w:numPr>
                <w:ilvl w:val="0"/>
                <w:numId w:val="7"/>
              </w:numPr>
              <w:spacing w:before="0" w:beforeAutospacing="0" w:after="120" w:afterAutospacing="0"/>
              <w:ind w:left="568" w:hanging="284"/>
              <w:jc w:val="both"/>
              <w:rPr>
                <w:sz w:val="20"/>
                <w:szCs w:val="20"/>
              </w:rPr>
            </w:pPr>
            <w:r w:rsidRPr="00991727">
              <w:rPr>
                <w:sz w:val="20"/>
                <w:szCs w:val="20"/>
              </w:rPr>
              <w:t>zabezpečenie voľného prúdenia v okolí vstupného otvoru vzorkovacej sondy v uhle aspoň 270° alebo 180° a pri vzorkovacích miestach v línii zástavby bez akejkoľvek prekážky ovplyvňujúcej prúdenie vzduchu v okolí vzorkovacieho zariadenia; zvyčajne je vzorkovacie miesto vzdialené niekoľko metrov od budov, balkónov, stromov a iných prekážok a aspoň 0,5 m od najbližšej budovy pri vzorkovacích miestach, ktoré reprezentujú kvalitu ovzdušia v línii zástavby,</w:t>
            </w:r>
          </w:p>
          <w:p w:rsidR="00991727" w:rsidRPr="00991727" w:rsidP="00991727">
            <w:pPr>
              <w:pStyle w:val="NormalWeb"/>
              <w:keepNext/>
              <w:keepLines/>
              <w:numPr>
                <w:ilvl w:val="0"/>
                <w:numId w:val="7"/>
              </w:numPr>
              <w:spacing w:before="0" w:beforeAutospacing="0" w:after="120" w:afterAutospacing="0"/>
              <w:ind w:left="568" w:hanging="284"/>
              <w:jc w:val="both"/>
              <w:rPr>
                <w:sz w:val="20"/>
                <w:szCs w:val="20"/>
              </w:rPr>
            </w:pPr>
            <w:r w:rsidRPr="00991727">
              <w:rPr>
                <w:sz w:val="20"/>
                <w:szCs w:val="20"/>
              </w:rPr>
              <w:t>vo všeobecnosti by mal byť vstupný otvor vzorkovacieho zariadenia umiestnený 1,5 m (dýchacia zóna) až 4 m nad zemou; v špecifických podmienkach môžu byť potrebné aj vyššie stanovištia, ktoré možno uplatniť, ak stanica reprezentuje veľkú oblasť, pričom je potrebné  úplne zdokumentovať všetky odchýlky,</w:t>
            </w:r>
          </w:p>
          <w:p w:rsidR="00991727" w:rsidRPr="00991727" w:rsidP="00991727">
            <w:pPr>
              <w:pStyle w:val="NormalWeb"/>
              <w:keepNext/>
              <w:keepLines/>
              <w:numPr>
                <w:ilvl w:val="0"/>
                <w:numId w:val="7"/>
              </w:numPr>
              <w:spacing w:before="0" w:beforeAutospacing="0" w:after="120" w:afterAutospacing="0"/>
              <w:ind w:left="568" w:hanging="284"/>
              <w:jc w:val="both"/>
              <w:rPr>
                <w:sz w:val="20"/>
                <w:szCs w:val="20"/>
              </w:rPr>
            </w:pPr>
            <w:r w:rsidRPr="00991727">
              <w:rPr>
                <w:sz w:val="20"/>
                <w:szCs w:val="20"/>
              </w:rPr>
              <w:t>sonda vo vstupnom otvore nesmie byť umiestnená v bezprostrednej blízkosti zdrojov znečisťovania ovzdušia, aby sa predišlo priamemu odberu emisií, ktoré nie sú zmiešané s ovzduším,</w:t>
            </w:r>
          </w:p>
          <w:p w:rsidR="00991727" w:rsidRPr="00991727" w:rsidP="00991727">
            <w:pPr>
              <w:pStyle w:val="NormalWeb"/>
              <w:keepNext/>
              <w:keepLines/>
              <w:numPr>
                <w:ilvl w:val="0"/>
                <w:numId w:val="7"/>
              </w:numPr>
              <w:spacing w:before="0" w:beforeAutospacing="0" w:after="120" w:afterAutospacing="0"/>
              <w:ind w:left="568" w:hanging="284"/>
              <w:jc w:val="both"/>
              <w:rPr>
                <w:sz w:val="20"/>
                <w:szCs w:val="20"/>
              </w:rPr>
            </w:pPr>
            <w:r w:rsidRPr="00991727">
              <w:rPr>
                <w:sz w:val="20"/>
                <w:szCs w:val="20"/>
              </w:rPr>
              <w:t>výstupný otvor vzorkovacieho zariadenia sa umiestni tak, aby sa predišlo recirkulácii vypúšťaného vzduchu do vstupného otvoru vzorkovacieho zariadenia,</w:t>
            </w:r>
          </w:p>
          <w:p w:rsidR="00991727" w:rsidRPr="00991727" w:rsidP="00991727">
            <w:pPr>
              <w:keepNext/>
              <w:keepLines/>
              <w:numPr>
                <w:ilvl w:val="0"/>
                <w:numId w:val="7"/>
              </w:numPr>
              <w:spacing w:after="120"/>
              <w:ind w:left="568" w:hanging="284"/>
              <w:jc w:val="both"/>
              <w:rPr>
                <w:sz w:val="20"/>
                <w:lang w:eastAsia="sk-SK"/>
              </w:rPr>
            </w:pPr>
            <w:r w:rsidRPr="00991727">
              <w:rPr>
                <w:sz w:val="20"/>
                <w:lang w:eastAsia="sk-SK"/>
              </w:rPr>
              <w:t>vzorkovacie sondy orientované na dopravu sa umiestnia aspoň 25 m od okraja veľkej križovatky pre všetky znečisťujúce látky a najviac 10 m od obrubníka a pre arzén, kadmium, nikel a benzo(a)pyrén sa vzorkovacie miesta umiestniť aspoň 4 m od stredu najbližšieho dopravného pásu; pod veľkou križovatkou sa rozumie križovatka, ktorá prerušuje tok dopravy, čo spôsobuje odlišné emisie ako na ostatných úsekoch cesty (spôsob jazdy „brzda-plyn“),</w:t>
            </w:r>
          </w:p>
          <w:p w:rsidR="00991727" w:rsidRPr="00991727" w:rsidP="00991727">
            <w:pPr>
              <w:pStyle w:val="NormalWeb"/>
              <w:keepNext/>
              <w:keepLines/>
              <w:numPr>
                <w:ilvl w:val="0"/>
                <w:numId w:val="7"/>
              </w:numPr>
              <w:tabs>
                <w:tab w:val="clear" w:pos="360"/>
              </w:tabs>
              <w:spacing w:before="0" w:beforeAutospacing="0" w:after="120" w:afterAutospacing="0"/>
              <w:ind w:left="568" w:hanging="284"/>
              <w:jc w:val="both"/>
              <w:rPr>
                <w:sz w:val="20"/>
                <w:szCs w:val="20"/>
              </w:rPr>
            </w:pPr>
            <w:r w:rsidRPr="00991727">
              <w:rPr>
                <w:sz w:val="20"/>
                <w:szCs w:val="20"/>
              </w:rPr>
              <w:t>pri rozhodovaní o vzorkovacích miestach, do úvahy možno brať faktory, ktorými sú rušivé zdroje, bezpečnosť, prístup, dostupnosť elektrickej energie a telefonického spojenia, viditeľnosť miesta vzhľadom na okolie, bezpečnosť verejnosti a obsluhy, vhodnosť súčasného umiestnenia vzorkovacích miest pre rozličné znečisťujúce látky a požiadavky plánovania; akákoľvek odchýlka od požiadaviek uvedených v písmene C sa riadne zdokumentuje podľa postupov opísaných v písmene D.</w:t>
            </w:r>
          </w:p>
          <w:p w:rsidR="00991727" w:rsidRPr="00991727" w:rsidP="00991727">
            <w:pPr>
              <w:pStyle w:val="NormalWeb"/>
              <w:keepLines/>
              <w:spacing w:before="0" w:beforeAutospacing="0" w:after="0" w:afterAutospacing="0"/>
              <w:ind w:left="567" w:hanging="283"/>
              <w:contextualSpacing/>
              <w:rPr>
                <w:sz w:val="20"/>
                <w:szCs w:val="20"/>
              </w:rPr>
            </w:pPr>
          </w:p>
          <w:p w:rsidR="00991727" w:rsidRPr="00991727" w:rsidP="00991727">
            <w:pPr>
              <w:pStyle w:val="NormalWeb"/>
              <w:keepLines/>
              <w:spacing w:before="0" w:beforeAutospacing="0" w:after="120" w:afterAutospacing="0"/>
              <w:rPr>
                <w:sz w:val="20"/>
                <w:szCs w:val="20"/>
              </w:rPr>
            </w:pPr>
            <w:r w:rsidRPr="00991727">
              <w:rPr>
                <w:sz w:val="20"/>
                <w:szCs w:val="20"/>
              </w:rPr>
              <w:t>D. Dokumentácia a preskúmanie výberu vzorkovacieho miesta</w:t>
            </w:r>
          </w:p>
          <w:p w:rsidR="00991727" w:rsidRPr="00991727" w:rsidP="00991727">
            <w:pPr>
              <w:pStyle w:val="NormalWeb"/>
              <w:tabs>
                <w:tab w:val="left" w:pos="284"/>
              </w:tabs>
              <w:spacing w:before="0" w:beforeAutospacing="0" w:after="120" w:afterAutospacing="0"/>
              <w:ind w:left="284"/>
              <w:rPr>
                <w:sz w:val="20"/>
                <w:szCs w:val="20"/>
              </w:rPr>
            </w:pPr>
            <w:r w:rsidRPr="00991727">
              <w:rPr>
                <w:sz w:val="20"/>
                <w:szCs w:val="20"/>
              </w:rPr>
              <w:t>Pri všetkých zónach a aglomeráciách ministerstvom poverená organizácia vykonávajúca hodnotenie kvality ovzdušia riadne zdokumentuje postupy týkajúce sa výberu miesta a zaznamenávať informácie slúžiace na podporu projektu siete a výberu umiestnenia pre všetky monitorovacie miesta. Dokumentácia obsahuje fotografie okolia monitorovacích miest s vyznačenými svetovými stranami a podrobné mapy. Ak sa uplatňujú doplnkové metódy v rámci zóny alebo aglomerácie, dokumentácia obsahuje podrobnosti o týchto metódach a informácie o splnení podmienok podľa písmena E.</w:t>
            </w:r>
          </w:p>
          <w:p w:rsidR="00991727" w:rsidRPr="00991727" w:rsidP="00991727">
            <w:pPr>
              <w:spacing w:after="120"/>
              <w:ind w:left="284"/>
              <w:jc w:val="both"/>
              <w:rPr>
                <w:sz w:val="20"/>
                <w:lang w:eastAsia="sk-SK"/>
              </w:rPr>
            </w:pPr>
            <w:r w:rsidRPr="00991727">
              <w:rPr>
                <w:sz w:val="20"/>
                <w:lang w:eastAsia="sk-SK"/>
              </w:rPr>
              <w:t>Dokumentácia sa podľa potreby preskúma a aktualizuje aspoň raz za päť rokov s cieľom zabezpečiť trvalú platnosť a optimálnosť výberových kritérií, projektu siete a umiestnenia monitorovacích miest. Dokumentácia sa Európskej komisii poskytne do 3 mesiacov od vyžiadania.</w:t>
            </w:r>
          </w:p>
          <w:p w:rsidR="00991727" w:rsidRPr="00991727" w:rsidP="00991727">
            <w:pPr>
              <w:pStyle w:val="NormalWeb"/>
              <w:spacing w:before="0" w:beforeAutospacing="0" w:after="0" w:afterAutospacing="0"/>
              <w:contextualSpacing/>
              <w:rPr>
                <w:sz w:val="20"/>
                <w:szCs w:val="20"/>
              </w:rPr>
            </w:pPr>
          </w:p>
          <w:p w:rsidR="00991727" w:rsidRPr="00991727" w:rsidP="00991727">
            <w:pPr>
              <w:pStyle w:val="NormalWeb"/>
              <w:tabs>
                <w:tab w:val="left" w:pos="284"/>
              </w:tabs>
              <w:spacing w:before="0" w:beforeAutospacing="0" w:after="120" w:afterAutospacing="0"/>
              <w:rPr>
                <w:sz w:val="20"/>
                <w:szCs w:val="20"/>
              </w:rPr>
            </w:pPr>
            <w:r w:rsidRPr="00991727">
              <w:rPr>
                <w:sz w:val="20"/>
                <w:szCs w:val="20"/>
              </w:rPr>
              <w:t xml:space="preserve">E. Podmienky na zníženie počtu vzorkovacích miest </w:t>
            </w:r>
          </w:p>
          <w:p w:rsidR="00991727" w:rsidRPr="00991727" w:rsidP="00991727">
            <w:pPr>
              <w:autoSpaceDE w:val="0"/>
              <w:autoSpaceDN w:val="0"/>
              <w:adjustRightInd w:val="0"/>
              <w:spacing w:after="120"/>
              <w:ind w:left="284"/>
              <w:jc w:val="both"/>
              <w:rPr>
                <w:sz w:val="20"/>
                <w:lang w:eastAsia="sk-SK"/>
              </w:rPr>
            </w:pPr>
            <w:r w:rsidRPr="00991727">
              <w:rPr>
                <w:sz w:val="20"/>
                <w:lang w:eastAsia="sk-SK"/>
              </w:rPr>
              <w:t>Pre zóny a aglomerácie, v rámci ktorých sú informácie zo vzorkovacích miest na stále meranie doplnené informáciami z modelovania a/alebo indikatívnymi meraniami, sa však môže celkový počet vzorkovacích miest uvedený v prílohe č. 9 písm. A znížiť až o 50 % za predpokladu, že sú splnené tieto podmienky:</w:t>
            </w:r>
          </w:p>
          <w:p w:rsidR="00991727" w:rsidRPr="00991727" w:rsidP="00991727">
            <w:pPr>
              <w:autoSpaceDE w:val="0"/>
              <w:autoSpaceDN w:val="0"/>
              <w:adjustRightInd w:val="0"/>
              <w:spacing w:after="120"/>
              <w:ind w:left="568" w:hanging="284"/>
              <w:jc w:val="both"/>
              <w:rPr>
                <w:sz w:val="20"/>
                <w:lang w:eastAsia="sk-SK"/>
              </w:rPr>
            </w:pPr>
            <w:r w:rsidRPr="00991727">
              <w:rPr>
                <w:sz w:val="20"/>
                <w:lang w:eastAsia="sk-SK"/>
              </w:rPr>
              <w:t>a) doplnkové metódy poskytujú dostatočné informácie na hodnotenie kvality ovzdušia vzhľadom na limitné hodnoty alebo výstražné prahy, ako aj primerané informácie pre verejnosť,</w:t>
            </w:r>
          </w:p>
          <w:p w:rsidR="00991727" w:rsidRPr="00991727" w:rsidP="00991727">
            <w:pPr>
              <w:tabs>
                <w:tab w:val="left" w:pos="284"/>
              </w:tabs>
              <w:autoSpaceDE w:val="0"/>
              <w:autoSpaceDN w:val="0"/>
              <w:adjustRightInd w:val="0"/>
              <w:spacing w:after="120"/>
              <w:ind w:left="568" w:hanging="284"/>
              <w:jc w:val="both"/>
              <w:rPr>
                <w:sz w:val="20"/>
                <w:lang w:eastAsia="sk-SK"/>
              </w:rPr>
            </w:pPr>
            <w:r w:rsidRPr="00991727">
              <w:rPr>
                <w:sz w:val="20"/>
                <w:lang w:eastAsia="sk-SK"/>
              </w:rPr>
              <w:t>b) počet vzorkovacích miest, ktoré sa majú zriadiť, a priestorové rozlíšenie ostatných techník sú dostatočné na stanovenie koncentrácie príslušnej znečisťujúcej látky v súlade s cieľmi kvality údajov uvedenými v prílohe č. 6 písm. A a vedú k výsledkom hodnotenia, ktoré spĺňajú kritériá uvedené v prílohe č. 6 písm. B.</w:t>
            </w:r>
          </w:p>
          <w:p w:rsidR="0072085B" w:rsidP="00991727">
            <w:pPr>
              <w:pStyle w:val="NormalWeb"/>
              <w:keepNext/>
              <w:keepLines/>
              <w:spacing w:before="0" w:beforeAutospacing="0" w:after="0" w:afterAutospacing="0"/>
              <w:contextualSpacing/>
              <w:jc w:val="both"/>
              <w:rPr>
                <w:sz w:val="20"/>
                <w:szCs w:val="20"/>
              </w:rPr>
            </w:pPr>
            <w:r w:rsidRPr="00991727" w:rsidR="00991727">
              <w:rPr>
                <w:sz w:val="20"/>
                <w:szCs w:val="20"/>
              </w:rPr>
              <w:t>Výsledky modelovania a/alebo indikatívneho merania sa zohľadňujú pri hodnotení kvality ovzdušia vzhľadom na limitné hodnoty.</w:t>
            </w:r>
          </w:p>
          <w:p w:rsidR="0072085B" w:rsidP="0072085B">
            <w:pPr>
              <w:pStyle w:val="NormalWeb"/>
              <w:keepNext/>
              <w:keepLines/>
              <w:spacing w:before="0" w:beforeAutospacing="0" w:after="0" w:afterAutospacing="0"/>
              <w:contextualSpacing/>
              <w:jc w:val="both"/>
              <w:rPr>
                <w:sz w:val="20"/>
                <w:szCs w:val="20"/>
              </w:rPr>
            </w:pPr>
          </w:p>
          <w:p w:rsidR="0072085B" w:rsidP="0072085B">
            <w:pPr>
              <w:pStyle w:val="NormalWeb"/>
              <w:keepNext/>
              <w:keepLines/>
              <w:spacing w:before="0" w:beforeAutospacing="0" w:after="0" w:afterAutospacing="0"/>
              <w:contextualSpacing/>
              <w:jc w:val="both"/>
              <w:rPr>
                <w:sz w:val="20"/>
                <w:szCs w:val="20"/>
              </w:rPr>
            </w:pPr>
          </w:p>
          <w:p w:rsidR="0072085B" w:rsidP="0072085B">
            <w:pPr>
              <w:pStyle w:val="NormalWeb"/>
              <w:keepNext/>
              <w:keepLines/>
              <w:spacing w:before="0" w:beforeAutospacing="0" w:after="0" w:afterAutospacing="0"/>
              <w:contextualSpacing/>
              <w:jc w:val="both"/>
              <w:rPr>
                <w:sz w:val="20"/>
                <w:szCs w:val="20"/>
              </w:rPr>
            </w:pPr>
          </w:p>
          <w:p w:rsidR="0072085B" w:rsidP="0072085B">
            <w:pPr>
              <w:pStyle w:val="NormalWeb"/>
              <w:keepNext/>
              <w:keepLines/>
              <w:spacing w:before="0" w:beforeAutospacing="0" w:after="0" w:afterAutospacing="0"/>
              <w:contextualSpacing/>
              <w:jc w:val="both"/>
              <w:rPr>
                <w:sz w:val="20"/>
                <w:szCs w:val="20"/>
              </w:rPr>
            </w:pPr>
          </w:p>
          <w:p w:rsidR="0072085B" w:rsidRPr="00490A84" w:rsidP="0072085B">
            <w:pPr>
              <w:pStyle w:val="NormalWeb"/>
              <w:keepNext/>
              <w:keepLines/>
              <w:spacing w:before="0" w:beforeAutospacing="0" w:after="0" w:afterAutospacing="0"/>
              <w:contextualSpacing/>
              <w:jc w:val="both"/>
              <w:rPr>
                <w:sz w:val="20"/>
                <w:szCs w:val="20"/>
              </w:rPr>
            </w:pPr>
          </w:p>
          <w:p w:rsidR="00CB3E7D" w:rsidRPr="003977FB" w:rsidP="00490A84">
            <w:pPr>
              <w:pStyle w:val="Textpsmene"/>
              <w:numPr>
                <w:ilvl w:val="0"/>
                <w:numId w:val="0"/>
              </w:numPr>
              <w:rPr>
                <w:sz w:val="20"/>
                <w:lang w:val="sk-SK" w:eastAsia="sk-SK"/>
              </w:rPr>
            </w:pPr>
            <w:r w:rsidRPr="00490A84" w:rsidR="00490A84">
              <w:rPr>
                <w:sz w:val="20"/>
                <w:lang w:val="sk-SK" w:eastAsia="sk-SK"/>
              </w:rPr>
              <w:br w:type="page"/>
            </w: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4</w:t>
            </w:r>
          </w:p>
        </w:tc>
        <w:tc>
          <w:tcPr>
            <w:tcW w:w="4074" w:type="dxa"/>
            <w:tcBorders>
              <w:bottom w:val="single" w:sz="4" w:space="0" w:color="auto"/>
            </w:tcBorders>
          </w:tcPr>
          <w:p w:rsidR="00CB3E7D" w:rsidRPr="00DA6587" w:rsidP="00CB3E7D">
            <w:pPr>
              <w:pStyle w:val="NormalWeb"/>
              <w:rPr>
                <w:sz w:val="20"/>
                <w:szCs w:val="20"/>
              </w:rPr>
            </w:pPr>
            <w:r w:rsidRPr="00DA6587">
              <w:rPr>
                <w:sz w:val="20"/>
                <w:szCs w:val="20"/>
              </w:rPr>
              <w:t>MERANIA NA VIDIECKYCH POZAĎOVÝCH MIESTACH BEZ OHĽADU NA KONCENTRÁCIE</w:t>
            </w:r>
          </w:p>
          <w:p w:rsidR="00CB3E7D" w:rsidRPr="00DA6587" w:rsidP="00CB3E7D">
            <w:pPr>
              <w:pStyle w:val="NormalWeb"/>
              <w:rPr>
                <w:sz w:val="20"/>
                <w:szCs w:val="20"/>
              </w:rPr>
            </w:pPr>
            <w:r w:rsidRPr="00DA6587">
              <w:rPr>
                <w:sz w:val="20"/>
                <w:szCs w:val="20"/>
              </w:rPr>
              <w:t>A. Ciele</w:t>
            </w:r>
          </w:p>
          <w:p w:rsidR="00CB3E7D" w:rsidP="00CB3E7D">
            <w:pPr>
              <w:pStyle w:val="NormalWeb"/>
              <w:rPr>
                <w:sz w:val="20"/>
                <w:szCs w:val="20"/>
              </w:rPr>
            </w:pPr>
            <w:r w:rsidRPr="00DA6587">
              <w:rPr>
                <w:sz w:val="20"/>
                <w:szCs w:val="20"/>
              </w:rPr>
              <w:t>Hlavným cieľom týchto meraní je zabezpečiť, aby boli k dispozícii primerané informácie o úrovniach v pozadí. Tieto informácie majú zásadný význam pri posúdení zvýšených úrovní v znečistenejších oblastiach (ako sú mestské pozaďové lokality, priemyselné lokality, dopravné lokality), pri hodnotení možného príspevku diaľkového prenosu látok znečisťujúcich ovzdušie, pri podpore analýzy rozčlenenia zdrojov a pri získavaní vedomostí o špecifických znečisťujúcich látkach, ako sú suspendované častice. Sú tiež dôležité pre zvýšené využívanie modelovania aj v mestských oblastiach.</w:t>
            </w:r>
          </w:p>
          <w:p w:rsidR="00D41B39" w:rsidRPr="00DA6587" w:rsidP="00CB3E7D">
            <w:pPr>
              <w:pStyle w:val="NormalWeb"/>
              <w:rPr>
                <w:sz w:val="20"/>
                <w:szCs w:val="20"/>
              </w:rPr>
            </w:pPr>
          </w:p>
          <w:p w:rsidR="00CB3E7D" w:rsidRPr="00DA6587" w:rsidP="00CB3E7D">
            <w:pPr>
              <w:pStyle w:val="NormalWeb"/>
              <w:rPr>
                <w:sz w:val="20"/>
                <w:szCs w:val="20"/>
              </w:rPr>
            </w:pPr>
            <w:r w:rsidRPr="00DA6587">
              <w:rPr>
                <w:sz w:val="20"/>
                <w:szCs w:val="20"/>
              </w:rPr>
              <w:t>B. Látky</w:t>
            </w:r>
          </w:p>
          <w:p w:rsidR="00CB3E7D" w:rsidP="00CB3E7D">
            <w:pPr>
              <w:pStyle w:val="NormalWeb"/>
              <w:rPr>
                <w:sz w:val="20"/>
                <w:szCs w:val="20"/>
              </w:rPr>
            </w:pPr>
            <w:r w:rsidRPr="00DA6587">
              <w:rPr>
                <w:sz w:val="20"/>
                <w:szCs w:val="20"/>
              </w:rPr>
              <w:t>Meranie PM</w:t>
            </w:r>
            <w:r w:rsidRPr="00E46DD8">
              <w:rPr>
                <w:sz w:val="20"/>
                <w:szCs w:val="20"/>
                <w:vertAlign w:val="subscript"/>
              </w:rPr>
              <w:t xml:space="preserve">2,5 </w:t>
            </w:r>
            <w:r w:rsidRPr="00DA6587">
              <w:rPr>
                <w:sz w:val="20"/>
                <w:szCs w:val="20"/>
              </w:rPr>
              <w:t>musí zahŕňať aspoň celkovú hmotnostnú koncentráciu a koncentrácie príslušných zlúčenín na určenie ich chemického zloženia. Je potrebné zahrnúť aspoň tento zoznam chemických látok:</w:t>
            </w:r>
          </w:p>
          <w:p w:rsidR="00D41B39" w:rsidP="00CB3E7D">
            <w:pPr>
              <w:pStyle w:val="NormalWeb"/>
              <w:rPr>
                <w:sz w:val="20"/>
                <w:szCs w:val="20"/>
              </w:rPr>
            </w:pPr>
          </w:p>
          <w:p w:rsidR="00D41B39" w:rsidP="00CB3E7D">
            <w:pPr>
              <w:pStyle w:val="NormalWeb"/>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784"/>
              <w:gridCol w:w="784"/>
              <w:gridCol w:w="784"/>
              <w:gridCol w:w="784"/>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83" w:type="dxa"/>
                  <w:shd w:val="clear" w:color="auto" w:fill="auto"/>
                </w:tcPr>
                <w:p w:rsidR="00D41B39" w:rsidRPr="002E4067" w:rsidP="00CB3E7D">
                  <w:pPr>
                    <w:pStyle w:val="NormalWeb"/>
                    <w:rPr>
                      <w:sz w:val="18"/>
                      <w:szCs w:val="18"/>
                    </w:rPr>
                  </w:pPr>
                  <w:r w:rsidRPr="002E4067">
                    <w:rPr>
                      <w:sz w:val="18"/>
                      <w:szCs w:val="18"/>
                    </w:rPr>
                    <w:t>SO4</w:t>
                  </w:r>
                  <w:r w:rsidRPr="002E4067">
                    <w:rPr>
                      <w:sz w:val="18"/>
                      <w:szCs w:val="18"/>
                      <w:vertAlign w:val="superscript"/>
                    </w:rPr>
                    <w:t>2–</w:t>
                  </w:r>
                </w:p>
              </w:tc>
              <w:tc>
                <w:tcPr>
                  <w:tcW w:w="784" w:type="dxa"/>
                  <w:shd w:val="clear" w:color="auto" w:fill="auto"/>
                </w:tcPr>
                <w:p w:rsidR="00D41B39" w:rsidRPr="002E4067" w:rsidP="00CB3E7D">
                  <w:pPr>
                    <w:pStyle w:val="NormalWeb"/>
                    <w:rPr>
                      <w:sz w:val="18"/>
                      <w:szCs w:val="18"/>
                    </w:rPr>
                  </w:pPr>
                  <w:r w:rsidRPr="002E4067">
                    <w:rPr>
                      <w:sz w:val="18"/>
                      <w:szCs w:val="18"/>
                    </w:rPr>
                    <w:t>Na</w:t>
                  </w:r>
                  <w:r w:rsidRPr="002E4067">
                    <w:rPr>
                      <w:sz w:val="18"/>
                      <w:szCs w:val="18"/>
                      <w:vertAlign w:val="superscript"/>
                    </w:rPr>
                    <w:t>+</w:t>
                  </w:r>
                </w:p>
              </w:tc>
              <w:tc>
                <w:tcPr>
                  <w:tcW w:w="784" w:type="dxa"/>
                  <w:shd w:val="clear" w:color="auto" w:fill="auto"/>
                </w:tcPr>
                <w:p w:rsidR="00D41B39" w:rsidRPr="002E4067" w:rsidP="00CB3E7D">
                  <w:pPr>
                    <w:pStyle w:val="NormalWeb"/>
                    <w:rPr>
                      <w:sz w:val="18"/>
                      <w:szCs w:val="18"/>
                    </w:rPr>
                  </w:pPr>
                  <w:r w:rsidRPr="002E4067">
                    <w:rPr>
                      <w:sz w:val="18"/>
                      <w:szCs w:val="18"/>
                    </w:rPr>
                    <w:t>NH</w:t>
                  </w:r>
                  <w:r w:rsidRPr="002E4067">
                    <w:rPr>
                      <w:sz w:val="18"/>
                      <w:szCs w:val="18"/>
                      <w:vertAlign w:val="subscript"/>
                    </w:rPr>
                    <w:t>4</w:t>
                  </w:r>
                  <w:r w:rsidRPr="002E4067">
                    <w:rPr>
                      <w:sz w:val="18"/>
                      <w:szCs w:val="18"/>
                      <w:vertAlign w:val="superscript"/>
                    </w:rPr>
                    <w:t>+</w:t>
                  </w:r>
                </w:p>
              </w:tc>
              <w:tc>
                <w:tcPr>
                  <w:tcW w:w="784" w:type="dxa"/>
                  <w:shd w:val="clear" w:color="auto" w:fill="auto"/>
                </w:tcPr>
                <w:p w:rsidR="00D41B39" w:rsidRPr="002E4067" w:rsidP="00CB3E7D">
                  <w:pPr>
                    <w:pStyle w:val="NormalWeb"/>
                    <w:rPr>
                      <w:sz w:val="18"/>
                      <w:szCs w:val="18"/>
                    </w:rPr>
                  </w:pPr>
                  <w:r w:rsidRPr="002E4067">
                    <w:rPr>
                      <w:sz w:val="18"/>
                      <w:szCs w:val="18"/>
                    </w:rPr>
                    <w:t>Ca</w:t>
                  </w:r>
                  <w:r w:rsidRPr="002E4067">
                    <w:rPr>
                      <w:sz w:val="18"/>
                      <w:szCs w:val="18"/>
                      <w:vertAlign w:val="superscript"/>
                    </w:rPr>
                    <w:t>2+</w:t>
                  </w:r>
                </w:p>
              </w:tc>
              <w:tc>
                <w:tcPr>
                  <w:tcW w:w="784" w:type="dxa"/>
                  <w:shd w:val="clear" w:color="auto" w:fill="auto"/>
                </w:tcPr>
                <w:p w:rsidR="00D41B39" w:rsidRPr="002E4067" w:rsidP="00CB3E7D">
                  <w:pPr>
                    <w:pStyle w:val="NormalWeb"/>
                    <w:rPr>
                      <w:sz w:val="18"/>
                      <w:szCs w:val="18"/>
                    </w:rPr>
                  </w:pPr>
                  <w:r w:rsidRPr="002E4067">
                    <w:rPr>
                      <w:sz w:val="18"/>
                      <w:szCs w:val="18"/>
                    </w:rPr>
                    <w:t>Elementárny uhlík (EU</w:t>
                  </w:r>
                </w:p>
              </w:tc>
            </w:tr>
            <w:tr w:rsidTr="002E4067">
              <w:tblPrEx>
                <w:tblW w:w="0" w:type="auto"/>
                <w:tblLayout w:type="fixed"/>
                <w:tblLook w:val="04A0"/>
              </w:tblPrEx>
              <w:tc>
                <w:tcPr>
                  <w:tcW w:w="783" w:type="dxa"/>
                  <w:shd w:val="clear" w:color="auto" w:fill="auto"/>
                </w:tcPr>
                <w:p w:rsidR="00D41B39" w:rsidRPr="002E4067" w:rsidP="00CB3E7D">
                  <w:pPr>
                    <w:pStyle w:val="NormalWeb"/>
                    <w:rPr>
                      <w:sz w:val="18"/>
                      <w:szCs w:val="18"/>
                    </w:rPr>
                  </w:pPr>
                  <w:r w:rsidRPr="002E4067">
                    <w:rPr>
                      <w:sz w:val="18"/>
                      <w:szCs w:val="18"/>
                    </w:rPr>
                    <w:t>NO</w:t>
                  </w:r>
                  <w:r w:rsidRPr="002E4067">
                    <w:rPr>
                      <w:sz w:val="18"/>
                      <w:szCs w:val="18"/>
                      <w:vertAlign w:val="subscript"/>
                    </w:rPr>
                    <w:t>3</w:t>
                  </w:r>
                  <w:r w:rsidRPr="002E4067">
                    <w:rPr>
                      <w:sz w:val="18"/>
                      <w:szCs w:val="18"/>
                      <w:vertAlign w:val="superscript"/>
                    </w:rPr>
                    <w:t>–</w:t>
                  </w:r>
                </w:p>
              </w:tc>
              <w:tc>
                <w:tcPr>
                  <w:tcW w:w="784" w:type="dxa"/>
                  <w:shd w:val="clear" w:color="auto" w:fill="auto"/>
                </w:tcPr>
                <w:p w:rsidR="00D41B39" w:rsidRPr="002E4067" w:rsidP="00CB3E7D">
                  <w:pPr>
                    <w:pStyle w:val="NormalWeb"/>
                    <w:rPr>
                      <w:sz w:val="18"/>
                      <w:szCs w:val="18"/>
                    </w:rPr>
                  </w:pPr>
                  <w:r w:rsidRPr="002E4067">
                    <w:rPr>
                      <w:sz w:val="18"/>
                      <w:szCs w:val="18"/>
                    </w:rPr>
                    <w:t>K</w:t>
                  </w:r>
                  <w:r w:rsidRPr="002E4067">
                    <w:rPr>
                      <w:sz w:val="18"/>
                      <w:szCs w:val="18"/>
                      <w:vertAlign w:val="superscript"/>
                    </w:rPr>
                    <w:t>+</w:t>
                  </w:r>
                </w:p>
              </w:tc>
              <w:tc>
                <w:tcPr>
                  <w:tcW w:w="784" w:type="dxa"/>
                  <w:shd w:val="clear" w:color="auto" w:fill="auto"/>
                </w:tcPr>
                <w:p w:rsidR="00D41B39" w:rsidRPr="002E4067" w:rsidP="00CB3E7D">
                  <w:pPr>
                    <w:pStyle w:val="NormalWeb"/>
                    <w:rPr>
                      <w:sz w:val="18"/>
                      <w:szCs w:val="18"/>
                    </w:rPr>
                  </w:pPr>
                  <w:r w:rsidRPr="002E4067">
                    <w:rPr>
                      <w:sz w:val="18"/>
                      <w:szCs w:val="18"/>
                    </w:rPr>
                    <w:t>Cl</w:t>
                  </w:r>
                  <w:r w:rsidRPr="002E4067">
                    <w:rPr>
                      <w:sz w:val="18"/>
                      <w:szCs w:val="18"/>
                      <w:vertAlign w:val="superscript"/>
                    </w:rPr>
                    <w:t>–</w:t>
                  </w:r>
                </w:p>
              </w:tc>
              <w:tc>
                <w:tcPr>
                  <w:tcW w:w="784" w:type="dxa"/>
                  <w:shd w:val="clear" w:color="auto" w:fill="auto"/>
                </w:tcPr>
                <w:p w:rsidR="00D41B39" w:rsidRPr="002E4067" w:rsidP="00CB3E7D">
                  <w:pPr>
                    <w:pStyle w:val="NormalWeb"/>
                    <w:rPr>
                      <w:sz w:val="18"/>
                      <w:szCs w:val="18"/>
                    </w:rPr>
                  </w:pPr>
                  <w:r w:rsidRPr="002E4067">
                    <w:rPr>
                      <w:sz w:val="18"/>
                      <w:szCs w:val="18"/>
                    </w:rPr>
                    <w:t>Mg</w:t>
                  </w:r>
                  <w:r w:rsidRPr="002E4067">
                    <w:rPr>
                      <w:sz w:val="18"/>
                      <w:szCs w:val="18"/>
                      <w:vertAlign w:val="superscript"/>
                    </w:rPr>
                    <w:t>2+</w:t>
                  </w:r>
                </w:p>
              </w:tc>
              <w:tc>
                <w:tcPr>
                  <w:tcW w:w="784" w:type="dxa"/>
                  <w:shd w:val="clear" w:color="auto" w:fill="auto"/>
                </w:tcPr>
                <w:p w:rsidR="00D41B39" w:rsidRPr="002E4067" w:rsidP="00CB3E7D">
                  <w:pPr>
                    <w:pStyle w:val="NormalWeb"/>
                    <w:rPr>
                      <w:sz w:val="18"/>
                      <w:szCs w:val="18"/>
                    </w:rPr>
                  </w:pPr>
                  <w:r w:rsidRPr="002E4067">
                    <w:rPr>
                      <w:sz w:val="18"/>
                      <w:szCs w:val="18"/>
                    </w:rPr>
                    <w:t>Organický uhlík (OU)</w:t>
                  </w:r>
                </w:p>
              </w:tc>
            </w:tr>
          </w:tbl>
          <w:p w:rsidR="00CB3E7D" w:rsidRPr="00DA6587" w:rsidP="00CB3E7D">
            <w:pPr>
              <w:pStyle w:val="NormalWeb"/>
              <w:rPr>
                <w:sz w:val="20"/>
                <w:szCs w:val="20"/>
              </w:rPr>
            </w:pPr>
            <w:r w:rsidRPr="00DA6587">
              <w:rPr>
                <w:sz w:val="20"/>
                <w:szCs w:val="20"/>
              </w:rPr>
              <w:t>C. Umiestnenie</w:t>
            </w:r>
          </w:p>
          <w:p w:rsidR="00CB3E7D" w:rsidP="000B7DAB">
            <w:pPr>
              <w:pStyle w:val="NormalWeb"/>
              <w:jc w:val="both"/>
              <w:rPr>
                <w:sz w:val="20"/>
                <w:szCs w:val="20"/>
              </w:rPr>
            </w:pPr>
            <w:r w:rsidRPr="00DA6587">
              <w:rPr>
                <w:sz w:val="20"/>
                <w:szCs w:val="20"/>
              </w:rPr>
              <w:t>Merania by sa mali vykonať najmä vo vidieckych pozaďových oblastiach v súlade s časťami A, B a C prílohy III.</w:t>
            </w:r>
          </w:p>
          <w:p w:rsidR="0070455C" w:rsidRPr="00DA6587" w:rsidP="00CB3E7D">
            <w:pPr>
              <w:pStyle w:val="NormalWeb"/>
            </w:pP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72085B">
              <w:rPr>
                <w:sz w:val="20"/>
              </w:rPr>
              <w:t>NV</w:t>
            </w:r>
          </w:p>
        </w:tc>
        <w:tc>
          <w:tcPr>
            <w:tcW w:w="701" w:type="dxa"/>
            <w:tcBorders>
              <w:bottom w:val="single" w:sz="4" w:space="0" w:color="auto"/>
            </w:tcBorders>
          </w:tcPr>
          <w:p w:rsidR="00CB3E7D" w:rsidP="00CB3E7D">
            <w:pPr>
              <w:jc w:val="both"/>
              <w:rPr>
                <w:sz w:val="20"/>
              </w:rPr>
            </w:pPr>
            <w:r>
              <w:rPr>
                <w:sz w:val="20"/>
              </w:rPr>
              <w:t>Príl.</w:t>
            </w:r>
            <w:r w:rsidR="0072085B">
              <w:rPr>
                <w:sz w:val="20"/>
              </w:rPr>
              <w:t>8</w:t>
            </w:r>
          </w:p>
          <w:p w:rsidR="0072085B" w:rsidP="00CB3E7D">
            <w:pPr>
              <w:jc w:val="both"/>
              <w:rPr>
                <w:sz w:val="20"/>
              </w:rPr>
            </w:pPr>
            <w:r>
              <w:rPr>
                <w:sz w:val="20"/>
              </w:rPr>
              <w:t>Časť II.</w:t>
            </w:r>
          </w:p>
          <w:p w:rsidR="0066225B" w:rsidRPr="00390FC1" w:rsidP="00CB3E7D">
            <w:pPr>
              <w:jc w:val="both"/>
              <w:rPr>
                <w:sz w:val="20"/>
              </w:rPr>
            </w:pPr>
            <w:r>
              <w:rPr>
                <w:sz w:val="20"/>
              </w:rPr>
              <w:t>A,B,C</w:t>
            </w:r>
          </w:p>
        </w:tc>
        <w:tc>
          <w:tcPr>
            <w:tcW w:w="7797" w:type="dxa"/>
            <w:tcBorders>
              <w:bottom w:val="single" w:sz="4" w:space="0" w:color="auto"/>
            </w:tcBorders>
          </w:tcPr>
          <w:p w:rsidR="00991727" w:rsidRPr="00991727" w:rsidP="00991727">
            <w:pPr>
              <w:pStyle w:val="Heading1"/>
              <w:keepNext w:val="0"/>
              <w:widowControl w:val="0"/>
              <w:rPr>
                <w:b w:val="0"/>
                <w:sz w:val="20"/>
                <w:lang w:eastAsia="sk-SK"/>
              </w:rPr>
            </w:pPr>
            <w:r w:rsidRPr="00991727">
              <w:rPr>
                <w:b w:val="0"/>
                <w:sz w:val="20"/>
                <w:lang w:eastAsia="sk-SK"/>
              </w:rPr>
              <w:t>Časť II</w:t>
            </w:r>
          </w:p>
          <w:p w:rsidR="00991727" w:rsidRPr="00991727" w:rsidP="00991727">
            <w:pPr>
              <w:pStyle w:val="Heading1"/>
              <w:keepNext w:val="0"/>
              <w:widowControl w:val="0"/>
              <w:rPr>
                <w:b w:val="0"/>
                <w:sz w:val="20"/>
                <w:lang w:eastAsia="sk-SK"/>
              </w:rPr>
            </w:pPr>
            <w:r w:rsidRPr="00991727">
              <w:rPr>
                <w:b w:val="0"/>
                <w:sz w:val="20"/>
                <w:lang w:eastAsia="sk-SK"/>
              </w:rPr>
              <w:t xml:space="preserve">Požiadavky na merania na vidieckych pozaďových miestach </w:t>
            </w:r>
          </w:p>
          <w:p w:rsidR="00991727" w:rsidRPr="00991727" w:rsidP="00991727">
            <w:pPr>
              <w:pStyle w:val="NormalWeb"/>
              <w:widowControl w:val="0"/>
              <w:spacing w:before="0" w:beforeAutospacing="0" w:after="120" w:afterAutospacing="0"/>
              <w:rPr>
                <w:sz w:val="20"/>
                <w:szCs w:val="20"/>
              </w:rPr>
            </w:pPr>
            <w:r w:rsidRPr="00991727">
              <w:rPr>
                <w:sz w:val="20"/>
                <w:szCs w:val="20"/>
              </w:rPr>
              <w:t>A. Ciele</w:t>
            </w:r>
          </w:p>
          <w:p w:rsidR="00991727" w:rsidRPr="00991727" w:rsidP="00991727">
            <w:pPr>
              <w:pStyle w:val="NormalWeb"/>
              <w:widowControl w:val="0"/>
              <w:spacing w:before="0" w:beforeAutospacing="0" w:after="120" w:afterAutospacing="0"/>
              <w:ind w:left="284"/>
              <w:rPr>
                <w:sz w:val="20"/>
                <w:szCs w:val="20"/>
              </w:rPr>
            </w:pPr>
            <w:r w:rsidRPr="00991727">
              <w:rPr>
                <w:sz w:val="20"/>
                <w:szCs w:val="20"/>
              </w:rPr>
              <w:t>Hlavným cieľom týchto meraní je zabezpečiť, aby boli k dispozícii primerané informácie o úrovniach znečistenia ovzdušia v pozadí. Tieto informácie majú zásadný význam pri posúdení zvýšených úrovní znečistenia ovzdušia v znečistenejších oblastiach ako sú mestské pozaďové lokality, priemyselné lokality a dopravné lokality, pri hodnotení možného príspevku diaľkového prenosu látok znečisťujúcich ovzdušie, pri podpore analýzy rozčlenenia zdrojov a pri získavaní vedomostí o špecifických znečisťujúcich látkach, ako sú suspendované častice. Sú tiež dôležité pre zvýšené využívanie modelovania aj v mestských oblastiach.</w:t>
            </w:r>
          </w:p>
          <w:p w:rsidR="00991727" w:rsidRPr="00991727" w:rsidP="00991727">
            <w:pPr>
              <w:pStyle w:val="NormalWeb"/>
              <w:widowControl w:val="0"/>
              <w:spacing w:before="0" w:beforeAutospacing="0" w:after="120" w:afterAutospacing="0"/>
              <w:rPr>
                <w:sz w:val="20"/>
                <w:szCs w:val="20"/>
              </w:rPr>
            </w:pPr>
            <w:r w:rsidRPr="00991727">
              <w:rPr>
                <w:sz w:val="20"/>
                <w:szCs w:val="20"/>
              </w:rPr>
              <w:t>B. Látky</w:t>
            </w:r>
          </w:p>
          <w:p w:rsidR="00991727" w:rsidRPr="00991727" w:rsidP="00991727">
            <w:pPr>
              <w:pStyle w:val="NormalWeb"/>
              <w:widowControl w:val="0"/>
              <w:spacing w:before="0" w:beforeAutospacing="0" w:after="120" w:afterAutospacing="0"/>
              <w:ind w:left="284"/>
              <w:rPr>
                <w:sz w:val="20"/>
                <w:szCs w:val="20"/>
              </w:rPr>
            </w:pPr>
            <w:r w:rsidRPr="00991727">
              <w:rPr>
                <w:sz w:val="20"/>
                <w:szCs w:val="20"/>
              </w:rPr>
              <w:t>Meranie častíc PM</w:t>
            </w:r>
            <w:r w:rsidRPr="00E71D89">
              <w:rPr>
                <w:sz w:val="20"/>
                <w:szCs w:val="20"/>
                <w:vertAlign w:val="subscript"/>
              </w:rPr>
              <w:t xml:space="preserve">2,5 </w:t>
            </w:r>
            <w:r w:rsidRPr="00991727">
              <w:rPr>
                <w:sz w:val="20"/>
                <w:szCs w:val="20"/>
              </w:rPr>
              <w:t>zahŕňa aspoň celkovú hmotnostnú koncentráciu a koncentrácie príslušných zlúčenín na určenie ich chemického zloženia. Je potrebné zahrnúť aspoň tento zoznam chemických látok</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523"/>
              <w:gridCol w:w="644"/>
              <w:gridCol w:w="633"/>
              <w:gridCol w:w="4144"/>
            </w:tblGrid>
            <w:tr w:rsidTr="00C8623C">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964"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SO</w:t>
                  </w:r>
                  <w:r w:rsidRPr="00C010DF">
                    <w:rPr>
                      <w:sz w:val="20"/>
                      <w:szCs w:val="20"/>
                      <w:vertAlign w:val="subscript"/>
                    </w:rPr>
                    <w:t>4</w:t>
                  </w:r>
                  <w:r w:rsidRPr="00C010DF">
                    <w:rPr>
                      <w:sz w:val="20"/>
                      <w:szCs w:val="20"/>
                      <w:vertAlign w:val="superscript"/>
                    </w:rPr>
                    <w:t>2–</w:t>
                  </w:r>
                </w:p>
              </w:tc>
              <w:tc>
                <w:tcPr>
                  <w:tcW w:w="523"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Na</w:t>
                  </w:r>
                  <w:r w:rsidRPr="00C010DF">
                    <w:rPr>
                      <w:sz w:val="20"/>
                      <w:szCs w:val="20"/>
                      <w:vertAlign w:val="superscript"/>
                    </w:rPr>
                    <w:t>+</w:t>
                  </w:r>
                </w:p>
              </w:tc>
              <w:tc>
                <w:tcPr>
                  <w:tcW w:w="644"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NH</w:t>
                  </w:r>
                  <w:r w:rsidRPr="00C010DF">
                    <w:rPr>
                      <w:sz w:val="20"/>
                      <w:szCs w:val="20"/>
                      <w:vertAlign w:val="subscript"/>
                    </w:rPr>
                    <w:t>4</w:t>
                  </w:r>
                  <w:r w:rsidRPr="00C010DF">
                    <w:rPr>
                      <w:sz w:val="20"/>
                      <w:szCs w:val="20"/>
                      <w:vertAlign w:val="superscript"/>
                    </w:rPr>
                    <w:t>+</w:t>
                  </w:r>
                </w:p>
              </w:tc>
              <w:tc>
                <w:tcPr>
                  <w:tcW w:w="633"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Ca</w:t>
                  </w:r>
                  <w:r w:rsidRPr="00C010DF">
                    <w:rPr>
                      <w:sz w:val="20"/>
                      <w:szCs w:val="20"/>
                      <w:vertAlign w:val="superscript"/>
                    </w:rPr>
                    <w:t>2+</w:t>
                  </w:r>
                </w:p>
              </w:tc>
              <w:tc>
                <w:tcPr>
                  <w:tcW w:w="4144"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elementárny uhlík</w:t>
                  </w:r>
                </w:p>
              </w:tc>
            </w:tr>
            <w:tr w:rsidTr="00C8623C">
              <w:tblPrEx>
                <w:tblW w:w="0" w:type="auto"/>
                <w:tblInd w:w="392" w:type="dxa"/>
                <w:tblLayout w:type="fixed"/>
                <w:tblLook w:val="01E0"/>
              </w:tblPrEx>
              <w:trPr>
                <w:trHeight w:val="340"/>
              </w:trPr>
              <w:tc>
                <w:tcPr>
                  <w:tcW w:w="964"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NO</w:t>
                  </w:r>
                  <w:r w:rsidRPr="00C010DF">
                    <w:rPr>
                      <w:sz w:val="20"/>
                      <w:szCs w:val="20"/>
                      <w:vertAlign w:val="subscript"/>
                    </w:rPr>
                    <w:t>3</w:t>
                  </w:r>
                  <w:r w:rsidRPr="00C010DF">
                    <w:rPr>
                      <w:sz w:val="20"/>
                      <w:szCs w:val="20"/>
                      <w:vertAlign w:val="superscript"/>
                    </w:rPr>
                    <w:t>–</w:t>
                  </w:r>
                </w:p>
              </w:tc>
              <w:tc>
                <w:tcPr>
                  <w:tcW w:w="523"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K</w:t>
                  </w:r>
                  <w:r w:rsidRPr="00C010DF">
                    <w:rPr>
                      <w:sz w:val="20"/>
                      <w:szCs w:val="20"/>
                      <w:vertAlign w:val="superscript"/>
                    </w:rPr>
                    <w:t>+</w:t>
                  </w:r>
                </w:p>
              </w:tc>
              <w:tc>
                <w:tcPr>
                  <w:tcW w:w="644"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Cl</w:t>
                  </w:r>
                  <w:r w:rsidRPr="00C010DF">
                    <w:rPr>
                      <w:sz w:val="20"/>
                      <w:szCs w:val="20"/>
                      <w:vertAlign w:val="superscript"/>
                    </w:rPr>
                    <w:t>–</w:t>
                  </w:r>
                </w:p>
              </w:tc>
              <w:tc>
                <w:tcPr>
                  <w:tcW w:w="633"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Mg</w:t>
                  </w:r>
                  <w:r w:rsidRPr="00C010DF">
                    <w:rPr>
                      <w:sz w:val="20"/>
                      <w:szCs w:val="20"/>
                      <w:vertAlign w:val="superscript"/>
                    </w:rPr>
                    <w:t>2+</w:t>
                  </w:r>
                </w:p>
              </w:tc>
              <w:tc>
                <w:tcPr>
                  <w:tcW w:w="4144" w:type="dxa"/>
                  <w:vAlign w:val="center"/>
                </w:tcPr>
                <w:p w:rsidR="00991727" w:rsidRPr="007B57C0" w:rsidP="00991727">
                  <w:pPr>
                    <w:pStyle w:val="NormalWeb"/>
                    <w:widowControl w:val="0"/>
                    <w:spacing w:before="0" w:beforeAutospacing="0" w:after="120" w:afterAutospacing="0"/>
                    <w:rPr>
                      <w:sz w:val="20"/>
                      <w:szCs w:val="20"/>
                    </w:rPr>
                  </w:pPr>
                  <w:r w:rsidRPr="007B57C0">
                    <w:rPr>
                      <w:sz w:val="20"/>
                      <w:szCs w:val="20"/>
                    </w:rPr>
                    <w:t>organický uhlík</w:t>
                  </w:r>
                </w:p>
              </w:tc>
            </w:tr>
          </w:tbl>
          <w:p w:rsidR="00991727" w:rsidRPr="00991727" w:rsidP="00991727">
            <w:pPr>
              <w:pStyle w:val="NormalWeb"/>
              <w:widowControl w:val="0"/>
              <w:spacing w:before="0" w:beforeAutospacing="0" w:after="120" w:afterAutospacing="0"/>
              <w:rPr>
                <w:sz w:val="20"/>
                <w:szCs w:val="20"/>
              </w:rPr>
            </w:pPr>
          </w:p>
          <w:p w:rsidR="00991727" w:rsidRPr="00991727" w:rsidP="00991727">
            <w:pPr>
              <w:pStyle w:val="NormalWeb"/>
              <w:widowControl w:val="0"/>
              <w:spacing w:before="0" w:beforeAutospacing="0" w:after="120" w:afterAutospacing="0"/>
              <w:rPr>
                <w:sz w:val="20"/>
                <w:szCs w:val="20"/>
              </w:rPr>
            </w:pPr>
            <w:r w:rsidRPr="00991727">
              <w:rPr>
                <w:sz w:val="20"/>
                <w:szCs w:val="20"/>
              </w:rPr>
              <w:t>C. Umiestnenie</w:t>
            </w:r>
          </w:p>
          <w:p w:rsidR="00991727" w:rsidRPr="00991727" w:rsidP="00991727">
            <w:pPr>
              <w:pStyle w:val="NormalWeb"/>
              <w:widowControl w:val="0"/>
              <w:spacing w:before="0" w:beforeAutospacing="0" w:after="120" w:afterAutospacing="0"/>
              <w:ind w:left="284"/>
              <w:rPr>
                <w:sz w:val="20"/>
                <w:szCs w:val="20"/>
              </w:rPr>
            </w:pPr>
            <w:r w:rsidRPr="00991727">
              <w:rPr>
                <w:sz w:val="20"/>
                <w:szCs w:val="20"/>
              </w:rPr>
              <w:t>Merania by sa mali vykonať najmä vo vidieckych pozaďových oblastiach podľa časti I písm. A až C.</w:t>
            </w:r>
          </w:p>
          <w:p w:rsidR="00991727" w:rsidRPr="00991727" w:rsidP="00991727">
            <w:pPr>
              <w:widowControl w:val="0"/>
              <w:spacing w:after="120"/>
              <w:ind w:left="284"/>
              <w:jc w:val="both"/>
              <w:rPr>
                <w:sz w:val="20"/>
                <w:lang w:eastAsia="sk-SK"/>
              </w:rPr>
            </w:pPr>
            <w:r w:rsidRPr="00991727">
              <w:rPr>
                <w:sz w:val="20"/>
                <w:lang w:eastAsia="sk-SK"/>
              </w:rPr>
              <w:t>Poverená organizácia koordinuje monitorovanie znečisťujúcich látok podľa odseku 12 so stratégiou monitorovania a v súlade s meraniami Programu spolupráce pre monitorovanie a vyhodnocovanie diaľkového šírenia látok znečisťujúcich ovzdušie v Európe (EMEP), ak je to vhodné. Jedno vzorkovacie miesto sa umiestni na 100 000 km</w:t>
            </w:r>
            <w:r w:rsidRPr="00E46DD8">
              <w:rPr>
                <w:sz w:val="20"/>
                <w:vertAlign w:val="superscript"/>
                <w:lang w:eastAsia="sk-SK"/>
              </w:rPr>
              <w:t>2</w:t>
            </w:r>
            <w:r w:rsidRPr="00991727">
              <w:rPr>
                <w:sz w:val="20"/>
                <w:lang w:eastAsia="sk-SK"/>
              </w:rPr>
              <w:t xml:space="preserve">.Vzorkovacie miesta pre uvedené znečisťujúce látky sa vyberajú takým spôsobom, aby sa mohli identifikovať geografické variácie a dlhodobé trendy. V záujme dosiahnutia potrebného priestorového rozlíšenia môže poverená organizácia po dohode s príslušnými organizáciami v susedných členských štátoch Európskej únie zriadiť aj spoločné meracie stanice, ktoré pokryjú susediace zóny v susedných členských štátoch Európskej únie. </w:t>
            </w:r>
          </w:p>
          <w:p w:rsidR="00CB3E7D" w:rsidRPr="006F3CE1" w:rsidP="00991727">
            <w:pPr>
              <w:pStyle w:val="NormalWeb"/>
              <w:rPr>
                <w:sz w:val="20"/>
                <w:szCs w:val="20"/>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5</w:t>
            </w:r>
          </w:p>
        </w:tc>
        <w:tc>
          <w:tcPr>
            <w:tcW w:w="4074" w:type="dxa"/>
            <w:tcBorders>
              <w:bottom w:val="single" w:sz="4" w:space="0" w:color="auto"/>
            </w:tcBorders>
          </w:tcPr>
          <w:p w:rsidR="00CB3E7D" w:rsidP="000B7DAB">
            <w:pPr>
              <w:pStyle w:val="NormalWeb"/>
              <w:jc w:val="both"/>
              <w:rPr>
                <w:sz w:val="20"/>
                <w:szCs w:val="20"/>
              </w:rPr>
            </w:pPr>
            <w:r w:rsidRPr="00390FC1">
              <w:rPr>
                <w:sz w:val="20"/>
                <w:szCs w:val="20"/>
              </w:rPr>
              <w:t>Kritériá na určenie minimálneho počtu vzorkovacích miest pre stále merania koncentrácií oxidu siričitého, oxidu dusičitého, oxidov dusíka, suspendovaných častíc (PM</w:t>
            </w:r>
            <w:r w:rsidRPr="00E46DD8">
              <w:rPr>
                <w:sz w:val="20"/>
                <w:szCs w:val="20"/>
                <w:vertAlign w:val="subscript"/>
              </w:rPr>
              <w:t>10</w:t>
            </w:r>
            <w:r w:rsidRPr="00390FC1">
              <w:rPr>
                <w:sz w:val="20"/>
                <w:szCs w:val="20"/>
              </w:rPr>
              <w:t xml:space="preserve"> a PM</w:t>
            </w:r>
            <w:r w:rsidRPr="00E46DD8">
              <w:rPr>
                <w:sz w:val="20"/>
                <w:szCs w:val="20"/>
                <w:vertAlign w:val="subscript"/>
              </w:rPr>
              <w:t>2,5</w:t>
            </w:r>
            <w:r w:rsidRPr="00390FC1">
              <w:rPr>
                <w:sz w:val="20"/>
                <w:szCs w:val="20"/>
              </w:rPr>
              <w:t>), olova, benzénu a oxidu uhoľnatého v</w:t>
            </w:r>
            <w:r w:rsidRPr="008D3BF6">
              <w:rPr>
                <w:sz w:val="20"/>
                <w:szCs w:val="20"/>
              </w:rPr>
              <w:t xml:space="preserve"> okolitom ovzduší</w:t>
            </w:r>
          </w:p>
          <w:p w:rsidR="008A2817" w:rsidRPr="008D3BF6" w:rsidP="000B7DAB">
            <w:pPr>
              <w:pStyle w:val="NormalWeb"/>
              <w:jc w:val="both"/>
              <w:rPr>
                <w:sz w:val="20"/>
                <w:szCs w:val="20"/>
              </w:rPr>
            </w:pPr>
          </w:p>
          <w:p w:rsidR="00CB3E7D" w:rsidP="000B7DAB">
            <w:pPr>
              <w:pStyle w:val="NormalWeb"/>
              <w:jc w:val="both"/>
              <w:rPr>
                <w:sz w:val="20"/>
                <w:szCs w:val="20"/>
              </w:rPr>
            </w:pPr>
            <w:r w:rsidRPr="008D3BF6">
              <w:rPr>
                <w:sz w:val="20"/>
                <w:szCs w:val="20"/>
              </w:rPr>
              <w:t>A. Minimálny počet vzorkovacích miest pre stále merania na posúdenie dodržiavania limitných hodnôt na ochranu zdravia ľudí a výstražných prahov v zónach a aglomeráciách, v ktorých sú stále merania jediným zdrojom informácií</w:t>
            </w:r>
          </w:p>
          <w:p w:rsidR="008A2817" w:rsidP="00CB3E7D">
            <w:pPr>
              <w:pStyle w:val="NormalWeb"/>
              <w:rPr>
                <w:sz w:val="20"/>
                <w:szCs w:val="20"/>
              </w:rPr>
            </w:pPr>
          </w:p>
          <w:p w:rsidR="008A2817" w:rsidP="00CB3E7D">
            <w:pPr>
              <w:pStyle w:val="NormalWeb"/>
              <w:rPr>
                <w:sz w:val="20"/>
                <w:szCs w:val="20"/>
              </w:rPr>
            </w:pPr>
          </w:p>
          <w:p w:rsidR="008A2817" w:rsidP="00CB3E7D">
            <w:pPr>
              <w:pStyle w:val="NormalWeb"/>
              <w:rPr>
                <w:sz w:val="20"/>
                <w:szCs w:val="20"/>
              </w:rPr>
            </w:pPr>
          </w:p>
          <w:p w:rsidR="008A2817" w:rsidP="00CB3E7D">
            <w:pPr>
              <w:pStyle w:val="NormalWeb"/>
              <w:rPr>
                <w:sz w:val="20"/>
                <w:szCs w:val="20"/>
              </w:rPr>
            </w:pPr>
          </w:p>
          <w:p w:rsidR="008A2817" w:rsidRPr="008D3BF6" w:rsidP="00CB3E7D">
            <w:pPr>
              <w:pStyle w:val="NormalWeb"/>
              <w:rPr>
                <w:sz w:val="20"/>
                <w:szCs w:val="20"/>
              </w:rPr>
            </w:pPr>
          </w:p>
          <w:p w:rsidR="00CB3E7D" w:rsidP="00CB3E7D">
            <w:pPr>
              <w:pStyle w:val="NormalWeb"/>
              <w:rPr>
                <w:sz w:val="20"/>
                <w:szCs w:val="20"/>
              </w:rPr>
            </w:pPr>
            <w:r w:rsidRPr="008D3BF6">
              <w:rPr>
                <w:sz w:val="20"/>
                <w:szCs w:val="20"/>
              </w:rPr>
              <w:t>1. Plošné zdroje</w:t>
            </w:r>
          </w:p>
          <w:tbl>
            <w:tblPr>
              <w:tblStyle w:val="TableNormal"/>
              <w:tblpPr w:leftFromText="141" w:rightFromText="141" w:vertAnchor="text" w:horzAnchor="page" w:tblpX="61"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
              <w:gridCol w:w="600"/>
              <w:gridCol w:w="701"/>
              <w:gridCol w:w="759"/>
              <w:gridCol w:w="745"/>
            </w:tblGrid>
            <w:tr w:rsidTr="000B7DA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28"/>
              </w:trPr>
              <w:tc>
                <w:tcPr>
                  <w:tcW w:w="961" w:type="dxa"/>
                  <w:vMerge w:val="restart"/>
                </w:tcPr>
                <w:p w:rsidR="00CD07A2" w:rsidRPr="008A2817" w:rsidP="00CB3E7D">
                  <w:pPr>
                    <w:pStyle w:val="NormalWeb"/>
                    <w:rPr>
                      <w:sz w:val="18"/>
                      <w:szCs w:val="18"/>
                    </w:rPr>
                  </w:pPr>
                  <w:r w:rsidRPr="008A2817" w:rsidR="008A2817">
                    <w:rPr>
                      <w:sz w:val="18"/>
                      <w:szCs w:val="18"/>
                    </w:rPr>
                    <w:t>Obyvateľstvo aglomerácie alebo zóny (v tisícoch)</w:t>
                  </w:r>
                </w:p>
              </w:tc>
              <w:tc>
                <w:tcPr>
                  <w:tcW w:w="1301" w:type="dxa"/>
                  <w:gridSpan w:val="2"/>
                </w:tcPr>
                <w:p w:rsidR="00CD07A2" w:rsidRPr="008A2817" w:rsidP="00CB3E7D">
                  <w:pPr>
                    <w:pStyle w:val="NormalWeb"/>
                    <w:rPr>
                      <w:sz w:val="18"/>
                      <w:szCs w:val="18"/>
                    </w:rPr>
                  </w:pPr>
                  <w:r w:rsidRPr="008A2817" w:rsidR="008A2817">
                    <w:rPr>
                      <w:sz w:val="18"/>
                      <w:szCs w:val="18"/>
                    </w:rPr>
                    <w:t>Ak maximálne koncentrácie prekračujú horný prah na hodnotenie (</w:t>
                  </w:r>
                  <w:r w:rsidRPr="008A2817" w:rsidR="008A2817">
                    <w:rPr>
                      <w:sz w:val="18"/>
                      <w:szCs w:val="18"/>
                      <w:vertAlign w:val="superscript"/>
                    </w:rPr>
                    <w:t>1</w:t>
                  </w:r>
                  <w:r w:rsidRPr="008A2817" w:rsidR="008A2817">
                    <w:rPr>
                      <w:sz w:val="18"/>
                      <w:szCs w:val="18"/>
                    </w:rPr>
                    <w:t>)</w:t>
                  </w:r>
                </w:p>
              </w:tc>
              <w:tc>
                <w:tcPr>
                  <w:tcW w:w="1504" w:type="dxa"/>
                  <w:gridSpan w:val="2"/>
                </w:tcPr>
                <w:p w:rsidR="00CD07A2" w:rsidRPr="008A2817" w:rsidP="00CB3E7D">
                  <w:pPr>
                    <w:pStyle w:val="NormalWeb"/>
                    <w:rPr>
                      <w:sz w:val="18"/>
                      <w:szCs w:val="18"/>
                    </w:rPr>
                  </w:pPr>
                  <w:r w:rsidRPr="008A2817" w:rsidR="008A2817">
                    <w:rPr>
                      <w:sz w:val="18"/>
                      <w:szCs w:val="18"/>
                    </w:rPr>
                    <w:t>Ak sú maximálne koncentrácie medzi horným a dolným prahom na hodnotenie</w:t>
                  </w:r>
                </w:p>
              </w:tc>
            </w:tr>
            <w:tr w:rsidTr="000B7DAB">
              <w:tblPrEx>
                <w:tblW w:w="0" w:type="auto"/>
                <w:tblLayout w:type="fixed"/>
                <w:tblCellMar>
                  <w:left w:w="70" w:type="dxa"/>
                  <w:right w:w="70" w:type="dxa"/>
                </w:tblCellMar>
                <w:tblLook w:val="0000"/>
              </w:tblPrEx>
              <w:trPr>
                <w:trHeight w:val="440"/>
              </w:trPr>
              <w:tc>
                <w:tcPr>
                  <w:tcW w:w="961" w:type="dxa"/>
                  <w:vMerge/>
                </w:tcPr>
                <w:p w:rsidR="00CD07A2" w:rsidRPr="008A2817" w:rsidP="00CB3E7D">
                  <w:pPr>
                    <w:pStyle w:val="NormalWeb"/>
                    <w:rPr>
                      <w:sz w:val="18"/>
                      <w:szCs w:val="18"/>
                    </w:rPr>
                  </w:pPr>
                </w:p>
              </w:tc>
              <w:tc>
                <w:tcPr>
                  <w:tcW w:w="600" w:type="dxa"/>
                </w:tcPr>
                <w:p w:rsidR="00CD07A2" w:rsidRPr="008A2817" w:rsidP="00CB3E7D">
                  <w:pPr>
                    <w:pStyle w:val="NormalWeb"/>
                    <w:rPr>
                      <w:sz w:val="18"/>
                      <w:szCs w:val="18"/>
                    </w:rPr>
                  </w:pPr>
                  <w:r w:rsidRPr="008A2817" w:rsidR="008A2817">
                    <w:rPr>
                      <w:sz w:val="18"/>
                      <w:szCs w:val="18"/>
                    </w:rPr>
                    <w:t>Znečisťujúce látky okrem PM</w:t>
                  </w:r>
                </w:p>
              </w:tc>
              <w:tc>
                <w:tcPr>
                  <w:tcW w:w="700" w:type="dxa"/>
                </w:tcPr>
                <w:p w:rsidR="00CD07A2" w:rsidRPr="008A2817" w:rsidP="008A2817">
                  <w:pPr>
                    <w:pStyle w:val="NormalWeb"/>
                    <w:rPr>
                      <w:sz w:val="18"/>
                      <w:szCs w:val="18"/>
                    </w:rPr>
                  </w:pPr>
                  <w:r w:rsidRPr="008A2817" w:rsidR="008A2817">
                    <w:rPr>
                      <w:sz w:val="18"/>
                      <w:szCs w:val="18"/>
                    </w:rPr>
                    <w:t>PM (</w:t>
                  </w:r>
                  <w:r w:rsidRPr="008A2817" w:rsidR="008A2817">
                    <w:rPr>
                      <w:sz w:val="18"/>
                      <w:szCs w:val="18"/>
                      <w:vertAlign w:val="superscript"/>
                    </w:rPr>
                    <w:t>2</w:t>
                  </w:r>
                  <w:r w:rsidRPr="008A2817" w:rsidR="008A2817">
                    <w:rPr>
                      <w:sz w:val="18"/>
                      <w:szCs w:val="18"/>
                    </w:rPr>
                    <w:t>) (súčet PM</w:t>
                  </w:r>
                  <w:r w:rsidRPr="008A2817" w:rsidR="008A2817">
                    <w:rPr>
                      <w:sz w:val="18"/>
                      <w:szCs w:val="18"/>
                      <w:vertAlign w:val="subscript"/>
                    </w:rPr>
                    <w:t>10</w:t>
                  </w:r>
                  <w:r w:rsidRPr="008A2817" w:rsidR="008A2817">
                    <w:rPr>
                      <w:sz w:val="18"/>
                      <w:szCs w:val="18"/>
                    </w:rPr>
                    <w:t xml:space="preserve"> a PM</w:t>
                  </w:r>
                  <w:r w:rsidRPr="008A2817" w:rsidR="008A2817">
                    <w:rPr>
                      <w:sz w:val="18"/>
                      <w:szCs w:val="18"/>
                      <w:vertAlign w:val="subscript"/>
                    </w:rPr>
                    <w:t>2,5</w:t>
                  </w:r>
                  <w:r w:rsidRPr="008A2817" w:rsidR="008A2817">
                    <w:rPr>
                      <w:sz w:val="18"/>
                      <w:szCs w:val="18"/>
                    </w:rPr>
                    <w:t>) (súčet PM</w:t>
                  </w:r>
                  <w:r w:rsidRPr="008A2817" w:rsidR="008A2817">
                    <w:rPr>
                      <w:sz w:val="18"/>
                      <w:szCs w:val="18"/>
                      <w:vertAlign w:val="subscript"/>
                    </w:rPr>
                    <w:t>10</w:t>
                  </w:r>
                  <w:r w:rsidRPr="008A2817" w:rsidR="008A2817">
                    <w:rPr>
                      <w:sz w:val="18"/>
                      <w:szCs w:val="18"/>
                    </w:rPr>
                    <w:t xml:space="preserve"> a PM</w:t>
                  </w:r>
                  <w:r w:rsidRPr="008A2817" w:rsidR="008A2817">
                    <w:rPr>
                      <w:sz w:val="18"/>
                      <w:szCs w:val="18"/>
                      <w:vertAlign w:val="subscript"/>
                    </w:rPr>
                    <w:t>2,5</w:t>
                  </w:r>
                  <w:r w:rsidRPr="008A2817" w:rsidR="008A2817">
                    <w:rPr>
                      <w:sz w:val="18"/>
                      <w:szCs w:val="18"/>
                    </w:rPr>
                    <w:t>)</w:t>
                  </w:r>
                </w:p>
              </w:tc>
              <w:tc>
                <w:tcPr>
                  <w:tcW w:w="759" w:type="dxa"/>
                </w:tcPr>
                <w:p w:rsidR="00CD07A2" w:rsidRPr="008A2817" w:rsidP="008A2817">
                  <w:pPr>
                    <w:pStyle w:val="NormalWeb"/>
                    <w:rPr>
                      <w:sz w:val="18"/>
                      <w:szCs w:val="18"/>
                    </w:rPr>
                  </w:pPr>
                  <w:r w:rsidRPr="008A2817" w:rsidR="008A2817">
                    <w:rPr>
                      <w:sz w:val="18"/>
                      <w:szCs w:val="18"/>
                    </w:rPr>
                    <w:t xml:space="preserve">Znečisťujúce látky okrem PM </w:t>
                  </w:r>
                </w:p>
              </w:tc>
              <w:tc>
                <w:tcPr>
                  <w:tcW w:w="744" w:type="dxa"/>
                </w:tcPr>
                <w:p w:rsidR="00CD07A2" w:rsidRPr="008A2817" w:rsidP="00CB3E7D">
                  <w:pPr>
                    <w:pStyle w:val="NormalWeb"/>
                    <w:rPr>
                      <w:sz w:val="18"/>
                      <w:szCs w:val="18"/>
                    </w:rPr>
                  </w:pPr>
                  <w:r w:rsidRPr="008A2817" w:rsidR="008A2817">
                    <w:rPr>
                      <w:sz w:val="18"/>
                      <w:szCs w:val="18"/>
                    </w:rPr>
                    <w:t>PM (</w:t>
                  </w:r>
                  <w:r w:rsidRPr="008A2817" w:rsidR="008A2817">
                    <w:rPr>
                      <w:sz w:val="18"/>
                      <w:szCs w:val="18"/>
                      <w:vertAlign w:val="superscript"/>
                    </w:rPr>
                    <w:t>2</w:t>
                  </w:r>
                  <w:r w:rsidRPr="008A2817" w:rsidR="008A2817">
                    <w:rPr>
                      <w:sz w:val="18"/>
                      <w:szCs w:val="18"/>
                    </w:rPr>
                    <w:t>) (súčet PM</w:t>
                  </w:r>
                  <w:r w:rsidRPr="008A2817" w:rsidR="008A2817">
                    <w:rPr>
                      <w:sz w:val="18"/>
                      <w:szCs w:val="18"/>
                      <w:vertAlign w:val="subscript"/>
                    </w:rPr>
                    <w:t>10</w:t>
                  </w:r>
                  <w:r w:rsidRPr="008A2817" w:rsidR="008A2817">
                    <w:rPr>
                      <w:sz w:val="18"/>
                      <w:szCs w:val="18"/>
                    </w:rPr>
                    <w:t xml:space="preserve"> a PM</w:t>
                  </w:r>
                  <w:r w:rsidRPr="008A2817" w:rsidR="008A2817">
                    <w:rPr>
                      <w:sz w:val="18"/>
                      <w:szCs w:val="18"/>
                      <w:vertAlign w:val="subscript"/>
                    </w:rPr>
                    <w:t>2,5</w:t>
                  </w:r>
                  <w:r w:rsidRPr="008A2817" w:rsidR="008A2817">
                    <w:rPr>
                      <w:sz w:val="18"/>
                      <w:szCs w:val="18"/>
                    </w:rPr>
                    <w:t>)</w:t>
                  </w:r>
                </w:p>
              </w:tc>
            </w:tr>
            <w:tr w:rsidTr="000B7DAB">
              <w:tblPrEx>
                <w:tblW w:w="0" w:type="auto"/>
                <w:tblLayout w:type="fixed"/>
                <w:tblCellMar>
                  <w:left w:w="70" w:type="dxa"/>
                  <w:right w:w="70" w:type="dxa"/>
                </w:tblCellMar>
                <w:tblLook w:val="0000"/>
              </w:tblPrEx>
              <w:trPr>
                <w:trHeight w:val="381"/>
              </w:trPr>
              <w:tc>
                <w:tcPr>
                  <w:tcW w:w="961" w:type="dxa"/>
                </w:tcPr>
                <w:p w:rsidR="00CD07A2" w:rsidRPr="000B7DAB" w:rsidP="000B7DAB">
                  <w:pPr>
                    <w:pStyle w:val="NormalWeb"/>
                    <w:jc w:val="center"/>
                    <w:rPr>
                      <w:sz w:val="18"/>
                      <w:szCs w:val="18"/>
                    </w:rPr>
                  </w:pPr>
                  <w:r w:rsidRPr="000B7DAB" w:rsidR="008A2817">
                    <w:rPr>
                      <w:sz w:val="18"/>
                      <w:szCs w:val="18"/>
                    </w:rPr>
                    <w:t>0 – 249</w:t>
                  </w:r>
                </w:p>
              </w:tc>
              <w:tc>
                <w:tcPr>
                  <w:tcW w:w="600" w:type="dxa"/>
                </w:tcPr>
                <w:p w:rsidR="00CD07A2" w:rsidRPr="000B7DAB" w:rsidP="000B7DAB">
                  <w:pPr>
                    <w:pStyle w:val="NormalWeb"/>
                    <w:jc w:val="center"/>
                    <w:rPr>
                      <w:sz w:val="18"/>
                      <w:szCs w:val="18"/>
                    </w:rPr>
                  </w:pPr>
                  <w:r w:rsidRPr="000B7DAB" w:rsidR="000B7DAB">
                    <w:rPr>
                      <w:sz w:val="18"/>
                      <w:szCs w:val="18"/>
                    </w:rPr>
                    <w:t>1</w:t>
                  </w:r>
                </w:p>
              </w:tc>
              <w:tc>
                <w:tcPr>
                  <w:tcW w:w="700" w:type="dxa"/>
                </w:tcPr>
                <w:p w:rsidR="00CD07A2" w:rsidRPr="000B7DAB" w:rsidP="000B7DAB">
                  <w:pPr>
                    <w:pStyle w:val="NormalWeb"/>
                    <w:jc w:val="center"/>
                    <w:rPr>
                      <w:sz w:val="18"/>
                      <w:szCs w:val="18"/>
                    </w:rPr>
                  </w:pPr>
                  <w:r w:rsidRPr="000B7DAB" w:rsidR="000B7DAB">
                    <w:rPr>
                      <w:sz w:val="18"/>
                      <w:szCs w:val="18"/>
                    </w:rPr>
                    <w:t>2</w:t>
                  </w:r>
                </w:p>
              </w:tc>
              <w:tc>
                <w:tcPr>
                  <w:tcW w:w="759" w:type="dxa"/>
                </w:tcPr>
                <w:p w:rsidR="00CD07A2" w:rsidRPr="000B7DAB" w:rsidP="000B7DAB">
                  <w:pPr>
                    <w:pStyle w:val="NormalWeb"/>
                    <w:jc w:val="center"/>
                    <w:rPr>
                      <w:sz w:val="18"/>
                      <w:szCs w:val="18"/>
                    </w:rPr>
                  </w:pPr>
                  <w:r w:rsidRPr="000B7DAB" w:rsidR="000B7DAB">
                    <w:rPr>
                      <w:sz w:val="18"/>
                      <w:szCs w:val="18"/>
                    </w:rPr>
                    <w:t>1</w:t>
                  </w:r>
                </w:p>
              </w:tc>
              <w:tc>
                <w:tcPr>
                  <w:tcW w:w="744" w:type="dxa"/>
                </w:tcPr>
                <w:p w:rsidR="00CD07A2" w:rsidRPr="000B7DAB" w:rsidP="000B7DAB">
                  <w:pPr>
                    <w:pStyle w:val="NormalWeb"/>
                    <w:jc w:val="center"/>
                    <w:rPr>
                      <w:sz w:val="18"/>
                      <w:szCs w:val="18"/>
                    </w:rPr>
                  </w:pPr>
                  <w:r w:rsidRPr="000B7DAB" w:rsidR="000B7DAB">
                    <w:rPr>
                      <w:sz w:val="18"/>
                      <w:szCs w:val="18"/>
                    </w:rPr>
                    <w:t>1</w:t>
                  </w:r>
                </w:p>
              </w:tc>
            </w:tr>
            <w:tr w:rsidTr="000B7DAB">
              <w:tblPrEx>
                <w:tblW w:w="0" w:type="auto"/>
                <w:tblLayout w:type="fixed"/>
                <w:tblCellMar>
                  <w:left w:w="70" w:type="dxa"/>
                  <w:right w:w="70" w:type="dxa"/>
                </w:tblCellMar>
                <w:tblLook w:val="0000"/>
              </w:tblPrEx>
              <w:trPr>
                <w:trHeight w:val="278"/>
              </w:trPr>
              <w:tc>
                <w:tcPr>
                  <w:tcW w:w="961" w:type="dxa"/>
                </w:tcPr>
                <w:p w:rsidR="00CD07A2" w:rsidRPr="000B7DAB" w:rsidP="000B7DAB">
                  <w:pPr>
                    <w:pStyle w:val="NormalWeb"/>
                    <w:jc w:val="center"/>
                    <w:rPr>
                      <w:sz w:val="18"/>
                      <w:szCs w:val="18"/>
                    </w:rPr>
                  </w:pPr>
                  <w:r w:rsidRPr="000B7DAB" w:rsidR="008A2817">
                    <w:rPr>
                      <w:sz w:val="18"/>
                      <w:szCs w:val="18"/>
                    </w:rPr>
                    <w:t>250 – 499</w:t>
                  </w:r>
                </w:p>
              </w:tc>
              <w:tc>
                <w:tcPr>
                  <w:tcW w:w="600" w:type="dxa"/>
                </w:tcPr>
                <w:p w:rsidR="00CD07A2" w:rsidRPr="000B7DAB" w:rsidP="000B7DAB">
                  <w:pPr>
                    <w:pStyle w:val="NormalWeb"/>
                    <w:jc w:val="center"/>
                    <w:rPr>
                      <w:sz w:val="18"/>
                      <w:szCs w:val="18"/>
                    </w:rPr>
                  </w:pPr>
                  <w:r w:rsidRPr="000B7DAB" w:rsidR="000B7DAB">
                    <w:rPr>
                      <w:sz w:val="18"/>
                      <w:szCs w:val="18"/>
                    </w:rPr>
                    <w:t>2</w:t>
                  </w:r>
                </w:p>
              </w:tc>
              <w:tc>
                <w:tcPr>
                  <w:tcW w:w="700" w:type="dxa"/>
                </w:tcPr>
                <w:p w:rsidR="00CD07A2" w:rsidRPr="000B7DAB" w:rsidP="000B7DAB">
                  <w:pPr>
                    <w:pStyle w:val="NormalWeb"/>
                    <w:jc w:val="center"/>
                    <w:rPr>
                      <w:sz w:val="18"/>
                      <w:szCs w:val="18"/>
                    </w:rPr>
                  </w:pPr>
                  <w:r w:rsidRPr="000B7DAB" w:rsidR="000B7DAB">
                    <w:rPr>
                      <w:sz w:val="18"/>
                      <w:szCs w:val="18"/>
                    </w:rPr>
                    <w:t>3</w:t>
                  </w:r>
                </w:p>
              </w:tc>
              <w:tc>
                <w:tcPr>
                  <w:tcW w:w="759" w:type="dxa"/>
                </w:tcPr>
                <w:p w:rsidR="00CD07A2" w:rsidRPr="000B7DAB" w:rsidP="000B7DAB">
                  <w:pPr>
                    <w:pStyle w:val="NormalWeb"/>
                    <w:jc w:val="center"/>
                    <w:rPr>
                      <w:sz w:val="18"/>
                      <w:szCs w:val="18"/>
                    </w:rPr>
                  </w:pPr>
                  <w:r w:rsidRPr="000B7DAB" w:rsidR="000B7DAB">
                    <w:rPr>
                      <w:sz w:val="18"/>
                      <w:szCs w:val="18"/>
                    </w:rPr>
                    <w:t>1</w:t>
                  </w:r>
                </w:p>
              </w:tc>
              <w:tc>
                <w:tcPr>
                  <w:tcW w:w="744" w:type="dxa"/>
                </w:tcPr>
                <w:p w:rsidR="00CD07A2" w:rsidRPr="000B7DAB" w:rsidP="000B7DAB">
                  <w:pPr>
                    <w:pStyle w:val="NormalWeb"/>
                    <w:jc w:val="center"/>
                    <w:rPr>
                      <w:sz w:val="18"/>
                      <w:szCs w:val="18"/>
                    </w:rPr>
                  </w:pPr>
                  <w:r w:rsidRPr="000B7DAB" w:rsidR="000B7DAB">
                    <w:rPr>
                      <w:sz w:val="18"/>
                      <w:szCs w:val="18"/>
                    </w:rPr>
                    <w:t>2</w:t>
                  </w:r>
                </w:p>
              </w:tc>
            </w:tr>
            <w:tr w:rsidTr="000B7DAB">
              <w:tblPrEx>
                <w:tblW w:w="0" w:type="auto"/>
                <w:tblLayout w:type="fixed"/>
                <w:tblCellMar>
                  <w:left w:w="70" w:type="dxa"/>
                  <w:right w:w="70" w:type="dxa"/>
                </w:tblCellMar>
                <w:tblLook w:val="0000"/>
              </w:tblPrEx>
              <w:trPr>
                <w:trHeight w:val="234"/>
              </w:trPr>
              <w:tc>
                <w:tcPr>
                  <w:tcW w:w="961" w:type="dxa"/>
                </w:tcPr>
                <w:p w:rsidR="00CD07A2" w:rsidRPr="000B7DAB" w:rsidP="000B7DAB">
                  <w:pPr>
                    <w:pStyle w:val="NormalWeb"/>
                    <w:jc w:val="center"/>
                    <w:rPr>
                      <w:sz w:val="18"/>
                      <w:szCs w:val="18"/>
                    </w:rPr>
                  </w:pPr>
                  <w:r w:rsidRPr="000B7DAB" w:rsidR="008A2817">
                    <w:rPr>
                      <w:sz w:val="18"/>
                      <w:szCs w:val="18"/>
                    </w:rPr>
                    <w:t>500 – 749</w:t>
                  </w:r>
                </w:p>
              </w:tc>
              <w:tc>
                <w:tcPr>
                  <w:tcW w:w="600" w:type="dxa"/>
                </w:tcPr>
                <w:p w:rsidR="00CD07A2" w:rsidRPr="000B7DAB" w:rsidP="000B7DAB">
                  <w:pPr>
                    <w:pStyle w:val="NormalWeb"/>
                    <w:jc w:val="center"/>
                    <w:rPr>
                      <w:sz w:val="18"/>
                      <w:szCs w:val="18"/>
                    </w:rPr>
                  </w:pPr>
                  <w:r w:rsidRPr="000B7DAB" w:rsidR="000B7DAB">
                    <w:rPr>
                      <w:sz w:val="18"/>
                      <w:szCs w:val="18"/>
                    </w:rPr>
                    <w:t>2</w:t>
                  </w:r>
                </w:p>
              </w:tc>
              <w:tc>
                <w:tcPr>
                  <w:tcW w:w="700" w:type="dxa"/>
                </w:tcPr>
                <w:p w:rsidR="00CD07A2" w:rsidRPr="000B7DAB" w:rsidP="000B7DAB">
                  <w:pPr>
                    <w:pStyle w:val="NormalWeb"/>
                    <w:jc w:val="center"/>
                    <w:rPr>
                      <w:sz w:val="18"/>
                      <w:szCs w:val="18"/>
                    </w:rPr>
                  </w:pPr>
                  <w:r w:rsidRPr="000B7DAB" w:rsidR="000B7DAB">
                    <w:rPr>
                      <w:sz w:val="18"/>
                      <w:szCs w:val="18"/>
                    </w:rPr>
                    <w:t>3</w:t>
                  </w:r>
                </w:p>
              </w:tc>
              <w:tc>
                <w:tcPr>
                  <w:tcW w:w="759" w:type="dxa"/>
                </w:tcPr>
                <w:p w:rsidR="00CD07A2" w:rsidRPr="000B7DAB" w:rsidP="000B7DAB">
                  <w:pPr>
                    <w:pStyle w:val="NormalWeb"/>
                    <w:jc w:val="center"/>
                    <w:rPr>
                      <w:sz w:val="18"/>
                      <w:szCs w:val="18"/>
                    </w:rPr>
                  </w:pPr>
                  <w:r w:rsidRPr="000B7DAB" w:rsidR="000B7DAB">
                    <w:rPr>
                      <w:sz w:val="18"/>
                      <w:szCs w:val="18"/>
                    </w:rPr>
                    <w:t>1</w:t>
                  </w:r>
                </w:p>
              </w:tc>
              <w:tc>
                <w:tcPr>
                  <w:tcW w:w="744" w:type="dxa"/>
                </w:tcPr>
                <w:p w:rsidR="00CD07A2" w:rsidRPr="000B7DAB" w:rsidP="000B7DAB">
                  <w:pPr>
                    <w:pStyle w:val="NormalWeb"/>
                    <w:jc w:val="center"/>
                    <w:rPr>
                      <w:sz w:val="18"/>
                      <w:szCs w:val="18"/>
                    </w:rPr>
                  </w:pPr>
                  <w:r w:rsidRPr="000B7DAB" w:rsidR="000B7DAB">
                    <w:rPr>
                      <w:sz w:val="18"/>
                      <w:szCs w:val="18"/>
                    </w:rPr>
                    <w:t>2</w:t>
                  </w:r>
                </w:p>
              </w:tc>
            </w:tr>
            <w:tr w:rsidTr="000B7DAB">
              <w:tblPrEx>
                <w:tblW w:w="0" w:type="auto"/>
                <w:tblLayout w:type="fixed"/>
                <w:tblCellMar>
                  <w:left w:w="70" w:type="dxa"/>
                  <w:right w:w="70" w:type="dxa"/>
                </w:tblCellMar>
                <w:tblLook w:val="0000"/>
              </w:tblPrEx>
              <w:trPr>
                <w:trHeight w:val="357"/>
              </w:trPr>
              <w:tc>
                <w:tcPr>
                  <w:tcW w:w="961" w:type="dxa"/>
                </w:tcPr>
                <w:p w:rsidR="008A2817" w:rsidRPr="000B7DAB" w:rsidP="000B7DAB">
                  <w:pPr>
                    <w:pStyle w:val="NormalWeb"/>
                    <w:jc w:val="center"/>
                    <w:rPr>
                      <w:sz w:val="18"/>
                      <w:szCs w:val="18"/>
                    </w:rPr>
                  </w:pPr>
                  <w:r w:rsidRPr="000B7DAB">
                    <w:rPr>
                      <w:sz w:val="18"/>
                      <w:szCs w:val="18"/>
                    </w:rPr>
                    <w:t>750 – 999</w:t>
                  </w:r>
                </w:p>
              </w:tc>
              <w:tc>
                <w:tcPr>
                  <w:tcW w:w="600" w:type="dxa"/>
                </w:tcPr>
                <w:p w:rsidR="008A2817" w:rsidRPr="000B7DAB" w:rsidP="000B7DAB">
                  <w:pPr>
                    <w:pStyle w:val="NormalWeb"/>
                    <w:jc w:val="center"/>
                    <w:rPr>
                      <w:sz w:val="18"/>
                      <w:szCs w:val="18"/>
                    </w:rPr>
                  </w:pPr>
                  <w:r w:rsidRPr="000B7DAB" w:rsidR="000B7DAB">
                    <w:rPr>
                      <w:sz w:val="18"/>
                      <w:szCs w:val="18"/>
                    </w:rPr>
                    <w:t>3</w:t>
                  </w:r>
                </w:p>
              </w:tc>
              <w:tc>
                <w:tcPr>
                  <w:tcW w:w="700" w:type="dxa"/>
                </w:tcPr>
                <w:p w:rsidR="008A2817" w:rsidRPr="000B7DAB" w:rsidP="000B7DAB">
                  <w:pPr>
                    <w:pStyle w:val="NormalWeb"/>
                    <w:jc w:val="center"/>
                    <w:rPr>
                      <w:sz w:val="18"/>
                      <w:szCs w:val="18"/>
                    </w:rPr>
                  </w:pPr>
                  <w:r w:rsidRPr="000B7DAB" w:rsidR="000B7DAB">
                    <w:rPr>
                      <w:sz w:val="18"/>
                      <w:szCs w:val="18"/>
                    </w:rPr>
                    <w:t>4</w:t>
                  </w:r>
                </w:p>
              </w:tc>
              <w:tc>
                <w:tcPr>
                  <w:tcW w:w="759" w:type="dxa"/>
                </w:tcPr>
                <w:p w:rsidR="008A2817" w:rsidRPr="000B7DAB" w:rsidP="000B7DAB">
                  <w:pPr>
                    <w:pStyle w:val="NormalWeb"/>
                    <w:jc w:val="center"/>
                    <w:rPr>
                      <w:sz w:val="18"/>
                      <w:szCs w:val="18"/>
                    </w:rPr>
                  </w:pPr>
                  <w:r w:rsidRPr="000B7DAB" w:rsidR="000B7DAB">
                    <w:rPr>
                      <w:sz w:val="18"/>
                      <w:szCs w:val="18"/>
                    </w:rPr>
                    <w:t>1</w:t>
                  </w:r>
                </w:p>
              </w:tc>
              <w:tc>
                <w:tcPr>
                  <w:tcW w:w="744" w:type="dxa"/>
                </w:tcPr>
                <w:p w:rsidR="008A2817" w:rsidRPr="000B7DAB" w:rsidP="000B7DAB">
                  <w:pPr>
                    <w:pStyle w:val="NormalWeb"/>
                    <w:jc w:val="center"/>
                    <w:rPr>
                      <w:sz w:val="18"/>
                      <w:szCs w:val="18"/>
                    </w:rPr>
                  </w:pPr>
                  <w:r w:rsidRPr="000B7DAB" w:rsidR="000B7DAB">
                    <w:rPr>
                      <w:sz w:val="18"/>
                      <w:szCs w:val="18"/>
                    </w:rPr>
                    <w:t>2</w:t>
                  </w:r>
                </w:p>
              </w:tc>
            </w:tr>
            <w:tr w:rsidTr="000B7DAB">
              <w:tblPrEx>
                <w:tblW w:w="0" w:type="auto"/>
                <w:tblLayout w:type="fixed"/>
                <w:tblCellMar>
                  <w:left w:w="70" w:type="dxa"/>
                  <w:right w:w="70" w:type="dxa"/>
                </w:tblCellMar>
                <w:tblLook w:val="0000"/>
              </w:tblPrEx>
              <w:trPr>
                <w:trHeight w:val="410"/>
              </w:trPr>
              <w:tc>
                <w:tcPr>
                  <w:tcW w:w="961" w:type="dxa"/>
                </w:tcPr>
                <w:p w:rsidR="008A2817" w:rsidRPr="000B7DAB" w:rsidP="000B7DAB">
                  <w:pPr>
                    <w:pStyle w:val="NormalWeb"/>
                    <w:jc w:val="center"/>
                    <w:rPr>
                      <w:sz w:val="18"/>
                      <w:szCs w:val="18"/>
                    </w:rPr>
                  </w:pPr>
                  <w:r w:rsidRPr="000B7DAB">
                    <w:rPr>
                      <w:sz w:val="18"/>
                      <w:szCs w:val="18"/>
                    </w:rPr>
                    <w:t>1000 – 1499</w:t>
                  </w:r>
                </w:p>
              </w:tc>
              <w:tc>
                <w:tcPr>
                  <w:tcW w:w="600" w:type="dxa"/>
                </w:tcPr>
                <w:p w:rsidR="008A2817" w:rsidRPr="000B7DAB" w:rsidP="000B7DAB">
                  <w:pPr>
                    <w:pStyle w:val="NormalWeb"/>
                    <w:jc w:val="center"/>
                    <w:rPr>
                      <w:sz w:val="18"/>
                      <w:szCs w:val="18"/>
                    </w:rPr>
                  </w:pPr>
                  <w:r w:rsidRPr="000B7DAB" w:rsidR="000B7DAB">
                    <w:rPr>
                      <w:sz w:val="18"/>
                      <w:szCs w:val="18"/>
                    </w:rPr>
                    <w:t>4</w:t>
                  </w:r>
                </w:p>
              </w:tc>
              <w:tc>
                <w:tcPr>
                  <w:tcW w:w="700" w:type="dxa"/>
                </w:tcPr>
                <w:p w:rsidR="008A2817" w:rsidRPr="000B7DAB" w:rsidP="000B7DAB">
                  <w:pPr>
                    <w:pStyle w:val="NormalWeb"/>
                    <w:jc w:val="center"/>
                    <w:rPr>
                      <w:sz w:val="18"/>
                      <w:szCs w:val="18"/>
                    </w:rPr>
                  </w:pPr>
                  <w:r w:rsidRPr="000B7DAB" w:rsidR="000B7DAB">
                    <w:rPr>
                      <w:sz w:val="18"/>
                      <w:szCs w:val="18"/>
                    </w:rPr>
                    <w:t>6</w:t>
                  </w:r>
                </w:p>
              </w:tc>
              <w:tc>
                <w:tcPr>
                  <w:tcW w:w="759" w:type="dxa"/>
                </w:tcPr>
                <w:p w:rsidR="008A2817" w:rsidRPr="000B7DAB" w:rsidP="000B7DAB">
                  <w:pPr>
                    <w:pStyle w:val="NormalWeb"/>
                    <w:jc w:val="center"/>
                    <w:rPr>
                      <w:sz w:val="18"/>
                      <w:szCs w:val="18"/>
                    </w:rPr>
                  </w:pPr>
                  <w:r w:rsidRPr="000B7DAB" w:rsidR="000B7DAB">
                    <w:rPr>
                      <w:sz w:val="18"/>
                      <w:szCs w:val="18"/>
                    </w:rPr>
                    <w:t>2</w:t>
                  </w:r>
                </w:p>
              </w:tc>
              <w:tc>
                <w:tcPr>
                  <w:tcW w:w="744" w:type="dxa"/>
                </w:tcPr>
                <w:p w:rsidR="008A2817" w:rsidRPr="000B7DAB" w:rsidP="000B7DAB">
                  <w:pPr>
                    <w:pStyle w:val="NormalWeb"/>
                    <w:jc w:val="center"/>
                    <w:rPr>
                      <w:sz w:val="18"/>
                      <w:szCs w:val="18"/>
                    </w:rPr>
                  </w:pPr>
                  <w:r w:rsidRPr="000B7DAB" w:rsidR="000B7DAB">
                    <w:rPr>
                      <w:sz w:val="18"/>
                      <w:szCs w:val="18"/>
                    </w:rPr>
                    <w:t>3</w:t>
                  </w:r>
                </w:p>
              </w:tc>
            </w:tr>
            <w:tr w:rsidTr="000B7DAB">
              <w:tblPrEx>
                <w:tblW w:w="0" w:type="auto"/>
                <w:tblLayout w:type="fixed"/>
                <w:tblCellMar>
                  <w:left w:w="70" w:type="dxa"/>
                  <w:right w:w="70" w:type="dxa"/>
                </w:tblCellMar>
                <w:tblLook w:val="0000"/>
              </w:tblPrEx>
              <w:trPr>
                <w:trHeight w:val="410"/>
              </w:trPr>
              <w:tc>
                <w:tcPr>
                  <w:tcW w:w="961" w:type="dxa"/>
                </w:tcPr>
                <w:p w:rsidR="008A2817" w:rsidRPr="000B7DAB" w:rsidP="000B7DAB">
                  <w:pPr>
                    <w:pStyle w:val="NormalWeb"/>
                    <w:jc w:val="center"/>
                    <w:rPr>
                      <w:sz w:val="18"/>
                      <w:szCs w:val="18"/>
                    </w:rPr>
                  </w:pPr>
                  <w:r w:rsidRPr="000B7DAB">
                    <w:rPr>
                      <w:sz w:val="18"/>
                      <w:szCs w:val="18"/>
                    </w:rPr>
                    <w:t>1500 – 1999</w:t>
                  </w:r>
                </w:p>
              </w:tc>
              <w:tc>
                <w:tcPr>
                  <w:tcW w:w="600" w:type="dxa"/>
                </w:tcPr>
                <w:p w:rsidR="008A2817" w:rsidRPr="000B7DAB" w:rsidP="000B7DAB">
                  <w:pPr>
                    <w:pStyle w:val="NormalWeb"/>
                    <w:jc w:val="center"/>
                    <w:rPr>
                      <w:sz w:val="18"/>
                      <w:szCs w:val="18"/>
                    </w:rPr>
                  </w:pPr>
                  <w:r w:rsidRPr="000B7DAB" w:rsidR="000B7DAB">
                    <w:rPr>
                      <w:sz w:val="18"/>
                      <w:szCs w:val="18"/>
                    </w:rPr>
                    <w:t>5</w:t>
                  </w:r>
                </w:p>
              </w:tc>
              <w:tc>
                <w:tcPr>
                  <w:tcW w:w="700" w:type="dxa"/>
                </w:tcPr>
                <w:p w:rsidR="008A2817" w:rsidRPr="000B7DAB" w:rsidP="000B7DAB">
                  <w:pPr>
                    <w:pStyle w:val="NormalWeb"/>
                    <w:jc w:val="center"/>
                    <w:rPr>
                      <w:sz w:val="18"/>
                      <w:szCs w:val="18"/>
                    </w:rPr>
                  </w:pPr>
                  <w:r w:rsidRPr="000B7DAB" w:rsidR="000B7DAB">
                    <w:rPr>
                      <w:sz w:val="18"/>
                      <w:szCs w:val="18"/>
                    </w:rPr>
                    <w:t>7</w:t>
                  </w:r>
                </w:p>
              </w:tc>
              <w:tc>
                <w:tcPr>
                  <w:tcW w:w="759" w:type="dxa"/>
                </w:tcPr>
                <w:p w:rsidR="008A2817" w:rsidRPr="000B7DAB" w:rsidP="000B7DAB">
                  <w:pPr>
                    <w:pStyle w:val="NormalWeb"/>
                    <w:jc w:val="center"/>
                    <w:rPr>
                      <w:sz w:val="18"/>
                      <w:szCs w:val="18"/>
                    </w:rPr>
                  </w:pPr>
                  <w:r w:rsidRPr="000B7DAB" w:rsidR="000B7DAB">
                    <w:rPr>
                      <w:sz w:val="18"/>
                      <w:szCs w:val="18"/>
                    </w:rPr>
                    <w:t>2</w:t>
                  </w:r>
                </w:p>
              </w:tc>
              <w:tc>
                <w:tcPr>
                  <w:tcW w:w="744" w:type="dxa"/>
                </w:tcPr>
                <w:p w:rsidR="008A2817" w:rsidRPr="000B7DAB" w:rsidP="000B7DAB">
                  <w:pPr>
                    <w:pStyle w:val="NormalWeb"/>
                    <w:jc w:val="center"/>
                    <w:rPr>
                      <w:sz w:val="18"/>
                      <w:szCs w:val="18"/>
                    </w:rPr>
                  </w:pPr>
                  <w:r w:rsidRPr="000B7DAB" w:rsidR="000B7DAB">
                    <w:rPr>
                      <w:sz w:val="18"/>
                      <w:szCs w:val="18"/>
                    </w:rPr>
                    <w:t>3</w:t>
                  </w:r>
                </w:p>
              </w:tc>
            </w:tr>
            <w:tr w:rsidTr="000B7DAB">
              <w:tblPrEx>
                <w:tblW w:w="0" w:type="auto"/>
                <w:tblLayout w:type="fixed"/>
                <w:tblCellMar>
                  <w:left w:w="70" w:type="dxa"/>
                  <w:right w:w="70" w:type="dxa"/>
                </w:tblCellMar>
                <w:tblLook w:val="0000"/>
              </w:tblPrEx>
              <w:trPr>
                <w:trHeight w:val="415"/>
              </w:trPr>
              <w:tc>
                <w:tcPr>
                  <w:tcW w:w="961" w:type="dxa"/>
                </w:tcPr>
                <w:p w:rsidR="008A2817" w:rsidRPr="000B7DAB" w:rsidP="000B7DAB">
                  <w:pPr>
                    <w:pStyle w:val="NormalWeb"/>
                    <w:jc w:val="center"/>
                    <w:rPr>
                      <w:sz w:val="18"/>
                      <w:szCs w:val="18"/>
                    </w:rPr>
                  </w:pPr>
                  <w:r w:rsidRPr="000B7DAB" w:rsidR="000B7DAB">
                    <w:rPr>
                      <w:sz w:val="18"/>
                      <w:szCs w:val="18"/>
                    </w:rPr>
                    <w:t>2 000 – 2 749</w:t>
                  </w:r>
                </w:p>
              </w:tc>
              <w:tc>
                <w:tcPr>
                  <w:tcW w:w="600" w:type="dxa"/>
                </w:tcPr>
                <w:p w:rsidR="008A2817" w:rsidRPr="000B7DAB" w:rsidP="000B7DAB">
                  <w:pPr>
                    <w:pStyle w:val="NormalWeb"/>
                    <w:jc w:val="center"/>
                    <w:rPr>
                      <w:sz w:val="18"/>
                      <w:szCs w:val="18"/>
                    </w:rPr>
                  </w:pPr>
                  <w:r w:rsidRPr="000B7DAB" w:rsidR="000B7DAB">
                    <w:rPr>
                      <w:sz w:val="18"/>
                      <w:szCs w:val="18"/>
                    </w:rPr>
                    <w:t>6</w:t>
                  </w:r>
                </w:p>
              </w:tc>
              <w:tc>
                <w:tcPr>
                  <w:tcW w:w="700" w:type="dxa"/>
                </w:tcPr>
                <w:p w:rsidR="008A2817" w:rsidRPr="000B7DAB" w:rsidP="000B7DAB">
                  <w:pPr>
                    <w:pStyle w:val="NormalWeb"/>
                    <w:jc w:val="center"/>
                    <w:rPr>
                      <w:sz w:val="18"/>
                      <w:szCs w:val="18"/>
                    </w:rPr>
                  </w:pPr>
                  <w:r w:rsidRPr="000B7DAB" w:rsidR="000B7DAB">
                    <w:rPr>
                      <w:sz w:val="18"/>
                      <w:szCs w:val="18"/>
                    </w:rPr>
                    <w:t>8</w:t>
                  </w:r>
                </w:p>
              </w:tc>
              <w:tc>
                <w:tcPr>
                  <w:tcW w:w="759" w:type="dxa"/>
                </w:tcPr>
                <w:p w:rsidR="008A2817" w:rsidRPr="000B7DAB" w:rsidP="000B7DAB">
                  <w:pPr>
                    <w:pStyle w:val="NormalWeb"/>
                    <w:jc w:val="center"/>
                    <w:rPr>
                      <w:sz w:val="18"/>
                      <w:szCs w:val="18"/>
                    </w:rPr>
                  </w:pPr>
                  <w:r w:rsidRPr="000B7DAB" w:rsidR="000B7DAB">
                    <w:rPr>
                      <w:sz w:val="18"/>
                      <w:szCs w:val="18"/>
                    </w:rPr>
                    <w:t>3</w:t>
                  </w:r>
                </w:p>
              </w:tc>
              <w:tc>
                <w:tcPr>
                  <w:tcW w:w="744" w:type="dxa"/>
                </w:tcPr>
                <w:p w:rsidR="008A2817" w:rsidRPr="000B7DAB" w:rsidP="000B7DAB">
                  <w:pPr>
                    <w:pStyle w:val="NormalWeb"/>
                    <w:jc w:val="center"/>
                    <w:rPr>
                      <w:sz w:val="18"/>
                      <w:szCs w:val="18"/>
                    </w:rPr>
                  </w:pPr>
                  <w:r w:rsidRPr="000B7DAB" w:rsidR="000B7DAB">
                    <w:rPr>
                      <w:sz w:val="18"/>
                      <w:szCs w:val="18"/>
                    </w:rPr>
                    <w:t>4</w:t>
                  </w:r>
                </w:p>
              </w:tc>
            </w:tr>
            <w:tr w:rsidTr="000B7DAB">
              <w:tblPrEx>
                <w:tblW w:w="0" w:type="auto"/>
                <w:tblLayout w:type="fixed"/>
                <w:tblCellMar>
                  <w:left w:w="70" w:type="dxa"/>
                  <w:right w:w="70" w:type="dxa"/>
                </w:tblCellMar>
                <w:tblLook w:val="0000"/>
              </w:tblPrEx>
              <w:trPr>
                <w:trHeight w:val="366"/>
              </w:trPr>
              <w:tc>
                <w:tcPr>
                  <w:tcW w:w="961" w:type="dxa"/>
                </w:tcPr>
                <w:p w:rsidR="008A2817" w:rsidRPr="000B7DAB" w:rsidP="000B7DAB">
                  <w:pPr>
                    <w:pStyle w:val="NormalWeb"/>
                    <w:jc w:val="center"/>
                    <w:rPr>
                      <w:sz w:val="18"/>
                      <w:szCs w:val="18"/>
                    </w:rPr>
                  </w:pPr>
                  <w:r w:rsidRPr="000B7DAB" w:rsidR="000B7DAB">
                    <w:rPr>
                      <w:sz w:val="18"/>
                      <w:szCs w:val="18"/>
                    </w:rPr>
                    <w:t>2 750 – 3 749</w:t>
                  </w:r>
                </w:p>
              </w:tc>
              <w:tc>
                <w:tcPr>
                  <w:tcW w:w="600" w:type="dxa"/>
                </w:tcPr>
                <w:p w:rsidR="008A2817" w:rsidRPr="000B7DAB" w:rsidP="000B7DAB">
                  <w:pPr>
                    <w:pStyle w:val="NormalWeb"/>
                    <w:jc w:val="center"/>
                    <w:rPr>
                      <w:sz w:val="18"/>
                      <w:szCs w:val="18"/>
                    </w:rPr>
                  </w:pPr>
                  <w:r w:rsidRPr="000B7DAB" w:rsidR="000B7DAB">
                    <w:rPr>
                      <w:sz w:val="18"/>
                      <w:szCs w:val="18"/>
                    </w:rPr>
                    <w:t>7</w:t>
                  </w:r>
                </w:p>
              </w:tc>
              <w:tc>
                <w:tcPr>
                  <w:tcW w:w="700" w:type="dxa"/>
                </w:tcPr>
                <w:p w:rsidR="008A2817" w:rsidRPr="000B7DAB" w:rsidP="000B7DAB">
                  <w:pPr>
                    <w:pStyle w:val="NormalWeb"/>
                    <w:jc w:val="center"/>
                    <w:rPr>
                      <w:sz w:val="18"/>
                      <w:szCs w:val="18"/>
                    </w:rPr>
                  </w:pPr>
                  <w:r w:rsidRPr="000B7DAB" w:rsidR="000B7DAB">
                    <w:rPr>
                      <w:sz w:val="18"/>
                      <w:szCs w:val="18"/>
                    </w:rPr>
                    <w:t>10</w:t>
                  </w:r>
                </w:p>
              </w:tc>
              <w:tc>
                <w:tcPr>
                  <w:tcW w:w="759" w:type="dxa"/>
                </w:tcPr>
                <w:p w:rsidR="008A2817" w:rsidRPr="000B7DAB" w:rsidP="000B7DAB">
                  <w:pPr>
                    <w:pStyle w:val="NormalWeb"/>
                    <w:jc w:val="center"/>
                    <w:rPr>
                      <w:sz w:val="18"/>
                      <w:szCs w:val="18"/>
                    </w:rPr>
                  </w:pPr>
                  <w:r w:rsidRPr="000B7DAB" w:rsidR="000B7DAB">
                    <w:rPr>
                      <w:sz w:val="18"/>
                      <w:szCs w:val="18"/>
                    </w:rPr>
                    <w:t>3</w:t>
                  </w:r>
                </w:p>
              </w:tc>
              <w:tc>
                <w:tcPr>
                  <w:tcW w:w="744" w:type="dxa"/>
                </w:tcPr>
                <w:p w:rsidR="008A2817" w:rsidRPr="000B7DAB" w:rsidP="000B7DAB">
                  <w:pPr>
                    <w:pStyle w:val="NormalWeb"/>
                    <w:jc w:val="center"/>
                    <w:rPr>
                      <w:sz w:val="18"/>
                      <w:szCs w:val="18"/>
                    </w:rPr>
                  </w:pPr>
                  <w:r w:rsidRPr="000B7DAB" w:rsidR="000B7DAB">
                    <w:rPr>
                      <w:sz w:val="18"/>
                      <w:szCs w:val="18"/>
                    </w:rPr>
                    <w:t>4</w:t>
                  </w:r>
                </w:p>
              </w:tc>
            </w:tr>
            <w:tr w:rsidTr="000B7DAB">
              <w:tblPrEx>
                <w:tblW w:w="0" w:type="auto"/>
                <w:tblLayout w:type="fixed"/>
                <w:tblCellMar>
                  <w:left w:w="70" w:type="dxa"/>
                  <w:right w:w="70" w:type="dxa"/>
                </w:tblCellMar>
                <w:tblLook w:val="0000"/>
              </w:tblPrEx>
              <w:trPr>
                <w:trHeight w:val="308"/>
              </w:trPr>
              <w:tc>
                <w:tcPr>
                  <w:tcW w:w="961" w:type="dxa"/>
                </w:tcPr>
                <w:p w:rsidR="008A2817" w:rsidRPr="000B7DAB" w:rsidP="000B7DAB">
                  <w:pPr>
                    <w:pStyle w:val="NormalWeb"/>
                    <w:jc w:val="center"/>
                    <w:rPr>
                      <w:sz w:val="18"/>
                      <w:szCs w:val="18"/>
                    </w:rPr>
                  </w:pPr>
                  <w:r w:rsidRPr="000B7DAB" w:rsidR="000B7DAB">
                    <w:rPr>
                      <w:sz w:val="18"/>
                      <w:szCs w:val="18"/>
                    </w:rPr>
                    <w:t>3 750 – 4 749</w:t>
                  </w:r>
                </w:p>
              </w:tc>
              <w:tc>
                <w:tcPr>
                  <w:tcW w:w="600" w:type="dxa"/>
                </w:tcPr>
                <w:p w:rsidR="008A2817" w:rsidRPr="000B7DAB" w:rsidP="000B7DAB">
                  <w:pPr>
                    <w:pStyle w:val="NormalWeb"/>
                    <w:jc w:val="center"/>
                    <w:rPr>
                      <w:sz w:val="18"/>
                      <w:szCs w:val="18"/>
                    </w:rPr>
                  </w:pPr>
                  <w:r w:rsidRPr="000B7DAB" w:rsidR="000B7DAB">
                    <w:rPr>
                      <w:sz w:val="18"/>
                      <w:szCs w:val="18"/>
                    </w:rPr>
                    <w:t>8</w:t>
                  </w:r>
                </w:p>
              </w:tc>
              <w:tc>
                <w:tcPr>
                  <w:tcW w:w="700" w:type="dxa"/>
                </w:tcPr>
                <w:p w:rsidR="008A2817" w:rsidRPr="000B7DAB" w:rsidP="000B7DAB">
                  <w:pPr>
                    <w:pStyle w:val="NormalWeb"/>
                    <w:jc w:val="center"/>
                    <w:rPr>
                      <w:sz w:val="18"/>
                      <w:szCs w:val="18"/>
                    </w:rPr>
                  </w:pPr>
                  <w:r w:rsidRPr="000B7DAB" w:rsidR="000B7DAB">
                    <w:rPr>
                      <w:sz w:val="18"/>
                      <w:szCs w:val="18"/>
                    </w:rPr>
                    <w:t>11</w:t>
                  </w:r>
                </w:p>
              </w:tc>
              <w:tc>
                <w:tcPr>
                  <w:tcW w:w="759" w:type="dxa"/>
                </w:tcPr>
                <w:p w:rsidR="008A2817" w:rsidRPr="000B7DAB" w:rsidP="000B7DAB">
                  <w:pPr>
                    <w:pStyle w:val="NormalWeb"/>
                    <w:jc w:val="center"/>
                    <w:rPr>
                      <w:sz w:val="18"/>
                      <w:szCs w:val="18"/>
                    </w:rPr>
                  </w:pPr>
                  <w:r w:rsidRPr="000B7DAB" w:rsidR="000B7DAB">
                    <w:rPr>
                      <w:sz w:val="18"/>
                      <w:szCs w:val="18"/>
                    </w:rPr>
                    <w:t>3</w:t>
                  </w:r>
                </w:p>
              </w:tc>
              <w:tc>
                <w:tcPr>
                  <w:tcW w:w="744" w:type="dxa"/>
                </w:tcPr>
                <w:p w:rsidR="008A2817" w:rsidRPr="000B7DAB" w:rsidP="000B7DAB">
                  <w:pPr>
                    <w:pStyle w:val="NormalWeb"/>
                    <w:jc w:val="center"/>
                    <w:rPr>
                      <w:sz w:val="18"/>
                      <w:szCs w:val="18"/>
                    </w:rPr>
                  </w:pPr>
                  <w:r w:rsidRPr="000B7DAB" w:rsidR="000B7DAB">
                    <w:rPr>
                      <w:sz w:val="18"/>
                      <w:szCs w:val="18"/>
                    </w:rPr>
                    <w:t>6</w:t>
                  </w:r>
                </w:p>
              </w:tc>
            </w:tr>
            <w:tr w:rsidTr="000B7DAB">
              <w:tblPrEx>
                <w:tblW w:w="0" w:type="auto"/>
                <w:tblLayout w:type="fixed"/>
                <w:tblCellMar>
                  <w:left w:w="70" w:type="dxa"/>
                  <w:right w:w="70" w:type="dxa"/>
                </w:tblCellMar>
                <w:tblLook w:val="0000"/>
              </w:tblPrEx>
              <w:trPr>
                <w:trHeight w:val="264"/>
              </w:trPr>
              <w:tc>
                <w:tcPr>
                  <w:tcW w:w="961" w:type="dxa"/>
                </w:tcPr>
                <w:p w:rsidR="008A2817" w:rsidRPr="000B7DAB" w:rsidP="000B7DAB">
                  <w:pPr>
                    <w:pStyle w:val="NormalWeb"/>
                    <w:jc w:val="center"/>
                    <w:rPr>
                      <w:sz w:val="18"/>
                      <w:szCs w:val="18"/>
                    </w:rPr>
                  </w:pPr>
                  <w:r w:rsidRPr="000B7DAB" w:rsidR="000B7DAB">
                    <w:rPr>
                      <w:sz w:val="18"/>
                      <w:szCs w:val="18"/>
                    </w:rPr>
                    <w:t>4 750 – 5 999</w:t>
                  </w:r>
                </w:p>
              </w:tc>
              <w:tc>
                <w:tcPr>
                  <w:tcW w:w="600" w:type="dxa"/>
                </w:tcPr>
                <w:p w:rsidR="008A2817" w:rsidRPr="000B7DAB" w:rsidP="000B7DAB">
                  <w:pPr>
                    <w:pStyle w:val="NormalWeb"/>
                    <w:jc w:val="center"/>
                    <w:rPr>
                      <w:sz w:val="18"/>
                      <w:szCs w:val="18"/>
                    </w:rPr>
                  </w:pPr>
                  <w:r w:rsidRPr="000B7DAB" w:rsidR="000B7DAB">
                    <w:rPr>
                      <w:sz w:val="18"/>
                      <w:szCs w:val="18"/>
                    </w:rPr>
                    <w:t>9</w:t>
                  </w:r>
                </w:p>
              </w:tc>
              <w:tc>
                <w:tcPr>
                  <w:tcW w:w="700" w:type="dxa"/>
                </w:tcPr>
                <w:p w:rsidR="008A2817" w:rsidRPr="000B7DAB" w:rsidP="000B7DAB">
                  <w:pPr>
                    <w:pStyle w:val="NormalWeb"/>
                    <w:jc w:val="center"/>
                    <w:rPr>
                      <w:sz w:val="18"/>
                      <w:szCs w:val="18"/>
                    </w:rPr>
                  </w:pPr>
                  <w:r w:rsidRPr="000B7DAB" w:rsidR="000B7DAB">
                    <w:rPr>
                      <w:sz w:val="18"/>
                      <w:szCs w:val="18"/>
                    </w:rPr>
                    <w:t>13</w:t>
                  </w:r>
                </w:p>
              </w:tc>
              <w:tc>
                <w:tcPr>
                  <w:tcW w:w="759" w:type="dxa"/>
                </w:tcPr>
                <w:p w:rsidR="008A2817" w:rsidRPr="000B7DAB" w:rsidP="000B7DAB">
                  <w:pPr>
                    <w:pStyle w:val="NormalWeb"/>
                    <w:jc w:val="center"/>
                    <w:rPr>
                      <w:sz w:val="18"/>
                      <w:szCs w:val="18"/>
                    </w:rPr>
                  </w:pPr>
                  <w:r w:rsidRPr="000B7DAB" w:rsidR="000B7DAB">
                    <w:rPr>
                      <w:sz w:val="18"/>
                      <w:szCs w:val="18"/>
                    </w:rPr>
                    <w:t>4</w:t>
                  </w:r>
                </w:p>
              </w:tc>
              <w:tc>
                <w:tcPr>
                  <w:tcW w:w="744" w:type="dxa"/>
                </w:tcPr>
                <w:p w:rsidR="008A2817" w:rsidRPr="000B7DAB" w:rsidP="000B7DAB">
                  <w:pPr>
                    <w:pStyle w:val="NormalWeb"/>
                    <w:jc w:val="center"/>
                    <w:rPr>
                      <w:sz w:val="18"/>
                      <w:szCs w:val="18"/>
                    </w:rPr>
                  </w:pPr>
                  <w:r w:rsidRPr="000B7DAB" w:rsidR="000B7DAB">
                    <w:rPr>
                      <w:sz w:val="18"/>
                      <w:szCs w:val="18"/>
                    </w:rPr>
                    <w:t>6</w:t>
                  </w:r>
                </w:p>
              </w:tc>
            </w:tr>
            <w:tr w:rsidTr="000B7DAB">
              <w:tblPrEx>
                <w:tblW w:w="0" w:type="auto"/>
                <w:tblLayout w:type="fixed"/>
                <w:tblCellMar>
                  <w:left w:w="70" w:type="dxa"/>
                  <w:right w:w="70" w:type="dxa"/>
                </w:tblCellMar>
                <w:tblLook w:val="0000"/>
              </w:tblPrEx>
              <w:trPr>
                <w:trHeight w:val="264"/>
              </w:trPr>
              <w:tc>
                <w:tcPr>
                  <w:tcW w:w="961" w:type="dxa"/>
                </w:tcPr>
                <w:p w:rsidR="008A2817" w:rsidRPr="000B7DAB" w:rsidP="000B7DAB">
                  <w:pPr>
                    <w:pStyle w:val="NormalWeb"/>
                    <w:jc w:val="center"/>
                    <w:rPr>
                      <w:sz w:val="18"/>
                      <w:szCs w:val="18"/>
                    </w:rPr>
                  </w:pPr>
                  <w:r w:rsidRPr="000B7DAB" w:rsidR="000B7DAB">
                    <w:rPr>
                      <w:sz w:val="18"/>
                      <w:szCs w:val="18"/>
                    </w:rPr>
                    <w:t>≥ 6 000</w:t>
                  </w:r>
                </w:p>
              </w:tc>
              <w:tc>
                <w:tcPr>
                  <w:tcW w:w="600" w:type="dxa"/>
                </w:tcPr>
                <w:p w:rsidR="008A2817" w:rsidRPr="000B7DAB" w:rsidP="000B7DAB">
                  <w:pPr>
                    <w:pStyle w:val="NormalWeb"/>
                    <w:jc w:val="center"/>
                    <w:rPr>
                      <w:sz w:val="18"/>
                      <w:szCs w:val="18"/>
                    </w:rPr>
                  </w:pPr>
                  <w:r w:rsidRPr="000B7DAB" w:rsidR="000B7DAB">
                    <w:rPr>
                      <w:sz w:val="18"/>
                      <w:szCs w:val="18"/>
                    </w:rPr>
                    <w:t>10</w:t>
                  </w:r>
                </w:p>
              </w:tc>
              <w:tc>
                <w:tcPr>
                  <w:tcW w:w="700" w:type="dxa"/>
                </w:tcPr>
                <w:p w:rsidR="008A2817" w:rsidRPr="000B7DAB" w:rsidP="000B7DAB">
                  <w:pPr>
                    <w:pStyle w:val="NormalWeb"/>
                    <w:jc w:val="center"/>
                    <w:rPr>
                      <w:sz w:val="18"/>
                      <w:szCs w:val="18"/>
                    </w:rPr>
                  </w:pPr>
                  <w:r w:rsidRPr="000B7DAB" w:rsidR="000B7DAB">
                    <w:rPr>
                      <w:sz w:val="18"/>
                      <w:szCs w:val="18"/>
                    </w:rPr>
                    <w:t>15</w:t>
                  </w:r>
                </w:p>
              </w:tc>
              <w:tc>
                <w:tcPr>
                  <w:tcW w:w="759" w:type="dxa"/>
                </w:tcPr>
                <w:p w:rsidR="008A2817" w:rsidRPr="000B7DAB" w:rsidP="000B7DAB">
                  <w:pPr>
                    <w:pStyle w:val="NormalWeb"/>
                    <w:jc w:val="center"/>
                    <w:rPr>
                      <w:sz w:val="18"/>
                      <w:szCs w:val="18"/>
                    </w:rPr>
                  </w:pPr>
                  <w:r w:rsidRPr="000B7DAB" w:rsidR="000B7DAB">
                    <w:rPr>
                      <w:sz w:val="18"/>
                      <w:szCs w:val="18"/>
                    </w:rPr>
                    <w:t>4</w:t>
                  </w:r>
                </w:p>
              </w:tc>
              <w:tc>
                <w:tcPr>
                  <w:tcW w:w="744" w:type="dxa"/>
                </w:tcPr>
                <w:p w:rsidR="008A2817" w:rsidRPr="000B7DAB" w:rsidP="000B7DAB">
                  <w:pPr>
                    <w:pStyle w:val="NormalWeb"/>
                    <w:jc w:val="center"/>
                    <w:rPr>
                      <w:sz w:val="18"/>
                      <w:szCs w:val="18"/>
                    </w:rPr>
                  </w:pPr>
                  <w:r w:rsidRPr="000B7DAB" w:rsidR="000B7DAB">
                    <w:rPr>
                      <w:sz w:val="18"/>
                      <w:szCs w:val="18"/>
                    </w:rPr>
                    <w:t>7</w:t>
                  </w:r>
                </w:p>
              </w:tc>
            </w:tr>
            <w:tr w:rsidTr="000B7DAB">
              <w:tblPrEx>
                <w:tblW w:w="0" w:type="auto"/>
                <w:tblLayout w:type="fixed"/>
                <w:tblCellMar>
                  <w:left w:w="70" w:type="dxa"/>
                  <w:right w:w="70" w:type="dxa"/>
                </w:tblCellMar>
                <w:tblLook w:val="0000"/>
              </w:tblPrEx>
              <w:trPr>
                <w:trHeight w:val="370"/>
              </w:trPr>
              <w:tc>
                <w:tcPr>
                  <w:tcW w:w="961" w:type="dxa"/>
                </w:tcPr>
                <w:p w:rsidR="008A2817" w:rsidP="00CB3E7D">
                  <w:pPr>
                    <w:pStyle w:val="NormalWeb"/>
                    <w:rPr>
                      <w:sz w:val="20"/>
                      <w:szCs w:val="20"/>
                    </w:rPr>
                  </w:pPr>
                </w:p>
              </w:tc>
              <w:tc>
                <w:tcPr>
                  <w:tcW w:w="600" w:type="dxa"/>
                </w:tcPr>
                <w:p w:rsidR="008A2817" w:rsidP="00CB3E7D">
                  <w:pPr>
                    <w:pStyle w:val="NormalWeb"/>
                    <w:rPr>
                      <w:sz w:val="20"/>
                      <w:szCs w:val="20"/>
                    </w:rPr>
                  </w:pPr>
                </w:p>
              </w:tc>
              <w:tc>
                <w:tcPr>
                  <w:tcW w:w="700" w:type="dxa"/>
                </w:tcPr>
                <w:p w:rsidR="008A2817" w:rsidP="00CB3E7D">
                  <w:pPr>
                    <w:pStyle w:val="NormalWeb"/>
                    <w:rPr>
                      <w:sz w:val="20"/>
                      <w:szCs w:val="20"/>
                    </w:rPr>
                  </w:pPr>
                </w:p>
              </w:tc>
              <w:tc>
                <w:tcPr>
                  <w:tcW w:w="759" w:type="dxa"/>
                </w:tcPr>
                <w:p w:rsidR="008A2817" w:rsidP="00CB3E7D">
                  <w:pPr>
                    <w:pStyle w:val="NormalWeb"/>
                    <w:rPr>
                      <w:sz w:val="20"/>
                      <w:szCs w:val="20"/>
                    </w:rPr>
                  </w:pPr>
                </w:p>
              </w:tc>
              <w:tc>
                <w:tcPr>
                  <w:tcW w:w="744" w:type="dxa"/>
                </w:tcPr>
                <w:p w:rsidR="008A2817" w:rsidP="00CB3E7D">
                  <w:pPr>
                    <w:pStyle w:val="NormalWeb"/>
                    <w:rPr>
                      <w:sz w:val="20"/>
                      <w:szCs w:val="20"/>
                    </w:rPr>
                  </w:pPr>
                </w:p>
              </w:tc>
            </w:tr>
          </w:tbl>
          <w:p w:rsidR="000B7DAB" w:rsidP="000B7DAB">
            <w:pPr>
              <w:pStyle w:val="NormalWeb"/>
              <w:jc w:val="both"/>
              <w:rPr>
                <w:sz w:val="20"/>
                <w:szCs w:val="20"/>
              </w:rPr>
            </w:pPr>
          </w:p>
          <w:p w:rsidR="000B7DAB" w:rsidRPr="008D3BF6" w:rsidP="000B7DAB">
            <w:pPr>
              <w:pStyle w:val="NormalWeb"/>
              <w:jc w:val="both"/>
              <w:rPr>
                <w:sz w:val="20"/>
                <w:szCs w:val="20"/>
              </w:rPr>
            </w:pPr>
            <w:r>
              <w:rPr>
                <w:sz w:val="20"/>
                <w:szCs w:val="20"/>
              </w:rPr>
              <w:t>(</w:t>
            </w:r>
            <w:r w:rsidRPr="000B7DAB">
              <w:rPr>
                <w:sz w:val="20"/>
                <w:szCs w:val="20"/>
                <w:vertAlign w:val="superscript"/>
              </w:rPr>
              <w:t>1</w:t>
            </w:r>
            <w:r>
              <w:rPr>
                <w:sz w:val="20"/>
                <w:szCs w:val="20"/>
              </w:rPr>
              <w:t>)</w:t>
            </w:r>
            <w:r w:rsidRPr="008D3BF6">
              <w:rPr>
                <w:sz w:val="20"/>
                <w:szCs w:val="20"/>
              </w:rPr>
              <w:t xml:space="preserve"> </w:t>
            </w:r>
            <w:r w:rsidRPr="000B7DAB">
              <w:rPr>
                <w:sz w:val="18"/>
                <w:szCs w:val="18"/>
              </w:rPr>
              <w:t>Pre oxid siričitý, suspendované častice, benzén a oxid uhoľnatý: zahrnúť aspoň jednu monitorovaciu stanicu na mestskom pozadí a jednu stanicu orientovanú na dopravu pod podmienkou, že to nezvýši počet vzorkovacích miest. Pre tieto znečisťujúce látky sa celkový počet mestských pozaďových staníc a celkový počet staníc orientovaných na dopravu v členskom štáte požadovaný podľa oddielu A bodu 1 nesmie líšiť o viac ako dvojnásobok. Vzorkovacie miesta, na ktorých sa za posledné tri roky limitná hodnota pre PM</w:t>
            </w:r>
            <w:r w:rsidRPr="000B7DAB">
              <w:rPr>
                <w:sz w:val="18"/>
                <w:szCs w:val="18"/>
                <w:vertAlign w:val="subscript"/>
              </w:rPr>
              <w:t>10</w:t>
            </w:r>
            <w:r w:rsidRPr="000B7DAB">
              <w:rPr>
                <w:sz w:val="18"/>
                <w:szCs w:val="18"/>
              </w:rPr>
              <w:t xml:space="preserve"> prekročila, sa zachovajú, pokiaľ nie je potrebné premiestnenie v dôsledku osobitných okolností, najmä územného rozvoja.</w:t>
            </w:r>
          </w:p>
          <w:p w:rsidR="00CD07A2" w:rsidP="000B7DAB">
            <w:pPr>
              <w:pStyle w:val="NormalWeb"/>
              <w:jc w:val="both"/>
              <w:rPr>
                <w:sz w:val="20"/>
                <w:szCs w:val="20"/>
              </w:rPr>
            </w:pPr>
            <w:r w:rsidR="000B7DAB">
              <w:rPr>
                <w:sz w:val="20"/>
                <w:szCs w:val="20"/>
              </w:rPr>
              <w:t>(</w:t>
            </w:r>
            <w:r w:rsidRPr="000B7DAB" w:rsidR="000B7DAB">
              <w:rPr>
                <w:sz w:val="20"/>
                <w:szCs w:val="20"/>
                <w:vertAlign w:val="superscript"/>
              </w:rPr>
              <w:t>2</w:t>
            </w:r>
            <w:r w:rsidR="000B7DAB">
              <w:rPr>
                <w:sz w:val="20"/>
                <w:szCs w:val="20"/>
              </w:rPr>
              <w:t>)</w:t>
            </w:r>
            <w:r w:rsidRPr="008D3BF6" w:rsidR="000B7DAB">
              <w:rPr>
                <w:sz w:val="20"/>
                <w:szCs w:val="20"/>
              </w:rPr>
              <w:t xml:space="preserve"> </w:t>
            </w:r>
            <w:r w:rsidRPr="000B7DAB" w:rsidR="000B7DAB">
              <w:rPr>
                <w:sz w:val="18"/>
                <w:szCs w:val="18"/>
              </w:rPr>
              <w:t>Ak sa PM</w:t>
            </w:r>
            <w:r w:rsidRPr="000B7DAB" w:rsidR="000B7DAB">
              <w:rPr>
                <w:sz w:val="18"/>
                <w:szCs w:val="18"/>
                <w:vertAlign w:val="subscript"/>
              </w:rPr>
              <w:t xml:space="preserve">2,5 </w:t>
            </w:r>
            <w:r w:rsidRPr="000B7DAB" w:rsidR="000B7DAB">
              <w:rPr>
                <w:sz w:val="18"/>
                <w:szCs w:val="18"/>
              </w:rPr>
              <w:t>a PM</w:t>
            </w:r>
            <w:r w:rsidRPr="000B7DAB" w:rsidR="000B7DAB">
              <w:rPr>
                <w:sz w:val="18"/>
                <w:szCs w:val="18"/>
                <w:vertAlign w:val="subscript"/>
              </w:rPr>
              <w:t>10</w:t>
            </w:r>
            <w:r w:rsidRPr="000B7DAB" w:rsidR="000B7DAB">
              <w:rPr>
                <w:sz w:val="18"/>
                <w:szCs w:val="18"/>
              </w:rPr>
              <w:t xml:space="preserve"> merajú v súlade s článkom 8 na tej istej monitorovacej stanici, počítajú sa za dve rozdielne vzorkovacie miesta. Celkový počet vzorkovacích miest pre PM</w:t>
            </w:r>
            <w:r w:rsidRPr="000B7DAB" w:rsidR="000B7DAB">
              <w:rPr>
                <w:sz w:val="18"/>
                <w:szCs w:val="18"/>
                <w:vertAlign w:val="subscript"/>
              </w:rPr>
              <w:t xml:space="preserve">2,5 </w:t>
            </w:r>
            <w:r w:rsidRPr="000B7DAB" w:rsidR="000B7DAB">
              <w:rPr>
                <w:sz w:val="18"/>
                <w:szCs w:val="18"/>
              </w:rPr>
              <w:t>a PM</w:t>
            </w:r>
            <w:r w:rsidRPr="000B7DAB" w:rsidR="000B7DAB">
              <w:rPr>
                <w:sz w:val="18"/>
                <w:szCs w:val="18"/>
                <w:vertAlign w:val="subscript"/>
              </w:rPr>
              <w:t>10</w:t>
            </w:r>
            <w:r w:rsidRPr="000B7DAB" w:rsidR="000B7DAB">
              <w:rPr>
                <w:sz w:val="18"/>
                <w:szCs w:val="18"/>
              </w:rPr>
              <w:t xml:space="preserve"> v členskom štáte, ktorý sa požaduje podľa oddielu A bodu 1, sa nesmie líšiť o viac ako dvojnásobok a počet vzorkovacích miest pre PM</w:t>
            </w:r>
            <w:r w:rsidRPr="000B7DAB" w:rsidR="000B7DAB">
              <w:rPr>
                <w:sz w:val="18"/>
                <w:szCs w:val="18"/>
                <w:vertAlign w:val="subscript"/>
              </w:rPr>
              <w:t>2,5</w:t>
            </w:r>
            <w:r w:rsidRPr="000B7DAB" w:rsidR="000B7DAB">
              <w:rPr>
                <w:sz w:val="18"/>
                <w:szCs w:val="18"/>
              </w:rPr>
              <w:t xml:space="preserve"> v mestskom pozadí aglomerácií a mestských oblastí musí spĺňať požiadavky podľa oddielu B prílohy V.</w:t>
            </w:r>
          </w:p>
          <w:p w:rsidR="00CB3E7D" w:rsidRPr="008D3BF6" w:rsidP="00CB3E7D">
            <w:pPr>
              <w:pStyle w:val="NormalWeb"/>
              <w:rPr>
                <w:sz w:val="20"/>
                <w:szCs w:val="20"/>
              </w:rPr>
            </w:pPr>
            <w:r w:rsidRPr="008D3BF6">
              <w:rPr>
                <w:sz w:val="20"/>
                <w:szCs w:val="20"/>
              </w:rPr>
              <w:t>2. Bodové zdroje</w:t>
            </w:r>
          </w:p>
          <w:p w:rsidR="00CB3E7D" w:rsidRPr="008D3BF6" w:rsidP="00CB3E7D">
            <w:pPr>
              <w:pStyle w:val="NormalWeb"/>
              <w:rPr>
                <w:sz w:val="20"/>
                <w:szCs w:val="20"/>
              </w:rPr>
            </w:pPr>
            <w:r w:rsidRPr="008D3BF6">
              <w:rPr>
                <w:sz w:val="20"/>
                <w:szCs w:val="20"/>
              </w:rPr>
              <w:t>Na hodnotenie znečistenia v blízkosti bodových zdrojov sa počet vzorkovacích miest pre stále merania vypočíta po zohľadnení hustoty emisií, pravdepodobných distribučných modelov znečistenia okolitého ovzdušia a možnej expozície obyvateľstva.</w:t>
            </w:r>
          </w:p>
          <w:p w:rsidR="00CB3E7D" w:rsidRPr="008D3BF6" w:rsidP="00A36EF2">
            <w:pPr>
              <w:pStyle w:val="NormalWeb"/>
              <w:jc w:val="both"/>
              <w:rPr>
                <w:sz w:val="20"/>
                <w:szCs w:val="20"/>
              </w:rPr>
            </w:pPr>
            <w:r w:rsidRPr="008D3BF6">
              <w:rPr>
                <w:sz w:val="20"/>
                <w:szCs w:val="20"/>
              </w:rPr>
              <w:t>B. Minimálny počet vzorkovacích miest pre stále merania na posúdenie dodržiavania cieľa zníženia expozície pre PM</w:t>
            </w:r>
            <w:r w:rsidRPr="00E46DD8">
              <w:rPr>
                <w:sz w:val="20"/>
                <w:szCs w:val="20"/>
                <w:vertAlign w:val="subscript"/>
              </w:rPr>
              <w:t xml:space="preserve">2,5 </w:t>
            </w:r>
            <w:r w:rsidRPr="008D3BF6">
              <w:rPr>
                <w:sz w:val="20"/>
                <w:szCs w:val="20"/>
              </w:rPr>
              <w:t>na ochranu zdravia ľudí.</w:t>
            </w:r>
          </w:p>
          <w:p w:rsidR="00CB3E7D" w:rsidRPr="008D3BF6" w:rsidP="00A36EF2">
            <w:pPr>
              <w:pStyle w:val="NormalWeb"/>
              <w:jc w:val="both"/>
              <w:rPr>
                <w:sz w:val="20"/>
                <w:szCs w:val="20"/>
              </w:rPr>
            </w:pPr>
            <w:r w:rsidRPr="008D3BF6">
              <w:rPr>
                <w:sz w:val="20"/>
                <w:szCs w:val="20"/>
              </w:rPr>
              <w:t>Na tento účel sa prevádzkuje jedno vzorkovacie miesto na milión obyvateľov spočítaných v aglomeráciách a ďalších mestských oblastiach s viac ako 100000 obyvateľmi. Tieto vzorkovacie miesta sa môžu prelínať so vzorkovacími miestami podľa oddielu A.</w:t>
            </w:r>
          </w:p>
          <w:p w:rsidR="00CB3E7D" w:rsidP="00A36EF2">
            <w:pPr>
              <w:pStyle w:val="NormalWeb"/>
              <w:jc w:val="both"/>
              <w:rPr>
                <w:sz w:val="20"/>
                <w:szCs w:val="20"/>
              </w:rPr>
            </w:pPr>
            <w:r w:rsidRPr="008D3BF6">
              <w:rPr>
                <w:sz w:val="20"/>
                <w:szCs w:val="20"/>
              </w:rPr>
              <w:t>C. Minimálny počet vzorkovacích miest pre stále merania na posúdenie dodržiavania kritických úrovní na ochranu vegetácie v iných zónach ako sú aglomerácie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960"/>
            </w:tblGrid>
            <w:tr w:rsidTr="002E40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9" w:type="dxa"/>
                  <w:shd w:val="clear" w:color="auto" w:fill="auto"/>
                </w:tcPr>
                <w:p w:rsidR="002A382A" w:rsidRPr="002E4067" w:rsidP="002E4067">
                  <w:pPr>
                    <w:pStyle w:val="NormalWeb"/>
                    <w:jc w:val="both"/>
                    <w:rPr>
                      <w:sz w:val="20"/>
                      <w:szCs w:val="20"/>
                    </w:rPr>
                  </w:pPr>
                  <w:r w:rsidRPr="002E4067">
                    <w:rPr>
                      <w:sz w:val="20"/>
                      <w:szCs w:val="20"/>
                    </w:rPr>
                    <w:t>Ak maximálne koncentrácie prekračujú horný prah na hodnotenie</w:t>
                  </w:r>
                </w:p>
              </w:tc>
              <w:tc>
                <w:tcPr>
                  <w:tcW w:w="1960" w:type="dxa"/>
                  <w:shd w:val="clear" w:color="auto" w:fill="auto"/>
                </w:tcPr>
                <w:p w:rsidR="002A382A" w:rsidRPr="002E4067" w:rsidP="002E4067">
                  <w:pPr>
                    <w:pStyle w:val="NormalWeb"/>
                    <w:jc w:val="both"/>
                    <w:rPr>
                      <w:sz w:val="20"/>
                      <w:szCs w:val="20"/>
                    </w:rPr>
                  </w:pPr>
                  <w:r w:rsidRPr="002E4067">
                    <w:rPr>
                      <w:sz w:val="20"/>
                      <w:szCs w:val="20"/>
                    </w:rPr>
                    <w:t>Ak sú maximálne koncentrácie medzi horným a dolným prahom na hodnotenie</w:t>
                  </w:r>
                </w:p>
              </w:tc>
            </w:tr>
            <w:tr w:rsidTr="002E4067">
              <w:tblPrEx>
                <w:tblW w:w="0" w:type="auto"/>
                <w:tblLayout w:type="fixed"/>
                <w:tblLook w:val="04A0"/>
              </w:tblPrEx>
              <w:tc>
                <w:tcPr>
                  <w:tcW w:w="1959" w:type="dxa"/>
                  <w:shd w:val="clear" w:color="auto" w:fill="auto"/>
                </w:tcPr>
                <w:p w:rsidR="002A382A" w:rsidRPr="002E4067" w:rsidP="002E4067">
                  <w:pPr>
                    <w:pStyle w:val="NormalWeb"/>
                    <w:jc w:val="both"/>
                    <w:rPr>
                      <w:sz w:val="20"/>
                      <w:szCs w:val="20"/>
                    </w:rPr>
                  </w:pPr>
                  <w:r w:rsidRPr="002E4067">
                    <w:rPr>
                      <w:sz w:val="20"/>
                      <w:szCs w:val="20"/>
                    </w:rPr>
                    <w:t>1 stanica na každých 20000 km</w:t>
                  </w:r>
                  <w:r w:rsidRPr="002E4067">
                    <w:rPr>
                      <w:sz w:val="20"/>
                      <w:szCs w:val="20"/>
                      <w:vertAlign w:val="superscript"/>
                    </w:rPr>
                    <w:t>2</w:t>
                  </w:r>
                </w:p>
              </w:tc>
              <w:tc>
                <w:tcPr>
                  <w:tcW w:w="1960" w:type="dxa"/>
                  <w:shd w:val="clear" w:color="auto" w:fill="auto"/>
                </w:tcPr>
                <w:p w:rsidR="002A382A" w:rsidRPr="002E4067" w:rsidP="002E4067">
                  <w:pPr>
                    <w:pStyle w:val="NormalWeb"/>
                    <w:jc w:val="both"/>
                    <w:rPr>
                      <w:sz w:val="20"/>
                      <w:szCs w:val="20"/>
                    </w:rPr>
                  </w:pPr>
                  <w:r w:rsidRPr="002E4067">
                    <w:rPr>
                      <w:sz w:val="20"/>
                      <w:szCs w:val="20"/>
                    </w:rPr>
                    <w:t>1 stanica na každých 40000 km</w:t>
                  </w:r>
                  <w:r w:rsidRPr="002E4067">
                    <w:rPr>
                      <w:sz w:val="20"/>
                      <w:szCs w:val="20"/>
                      <w:vertAlign w:val="superscript"/>
                    </w:rPr>
                    <w:t>2</w:t>
                  </w:r>
                </w:p>
              </w:tc>
            </w:tr>
          </w:tbl>
          <w:p w:rsidR="002A382A" w:rsidP="00A36EF2">
            <w:pPr>
              <w:pStyle w:val="NormalWeb"/>
              <w:jc w:val="both"/>
              <w:rPr>
                <w:sz w:val="20"/>
                <w:szCs w:val="20"/>
              </w:rPr>
            </w:pPr>
          </w:p>
          <w:p w:rsidR="00CB3E7D" w:rsidRPr="008D3BF6" w:rsidP="00A36EF2">
            <w:pPr>
              <w:pStyle w:val="NormalWeb"/>
              <w:jc w:val="both"/>
              <w:rPr>
                <w:sz w:val="20"/>
                <w:szCs w:val="20"/>
              </w:rPr>
            </w:pPr>
            <w:r w:rsidRPr="008D3BF6">
              <w:rPr>
                <w:sz w:val="20"/>
                <w:szCs w:val="20"/>
              </w:rPr>
              <w:t>V ostrovných zónach by sa mal počet vzorkovacích miest pre stále merania vypočítať po zohľadnení pravdepodobného režimu šírenia znečistenia okolitého ovzdušia a možnej expozície vegetácie.</w:t>
            </w:r>
          </w:p>
          <w:p w:rsidR="00CB3E7D" w:rsidRPr="00F67FC1" w:rsidP="00CB3E7D">
            <w:pPr>
              <w:pStyle w:val="NormalWeb"/>
            </w:pP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050624">
              <w:rPr>
                <w:sz w:val="20"/>
              </w:rPr>
              <w:t>NV</w:t>
            </w:r>
          </w:p>
        </w:tc>
        <w:tc>
          <w:tcPr>
            <w:tcW w:w="701" w:type="dxa"/>
            <w:tcBorders>
              <w:bottom w:val="single" w:sz="4" w:space="0" w:color="auto"/>
            </w:tcBorders>
          </w:tcPr>
          <w:p w:rsidR="00CB3E7D" w:rsidP="00CB3E7D">
            <w:pPr>
              <w:jc w:val="both"/>
              <w:rPr>
                <w:sz w:val="20"/>
              </w:rPr>
            </w:pPr>
            <w:r>
              <w:rPr>
                <w:sz w:val="20"/>
              </w:rPr>
              <w:t xml:space="preserve">Príl. </w:t>
            </w:r>
            <w:r w:rsidR="00050624">
              <w:rPr>
                <w:sz w:val="20"/>
              </w:rPr>
              <w:t>9</w:t>
            </w:r>
          </w:p>
          <w:p w:rsidR="0066225B" w:rsidP="00CB3E7D">
            <w:pPr>
              <w:jc w:val="both"/>
              <w:rPr>
                <w:sz w:val="20"/>
              </w:rPr>
            </w:pPr>
            <w:r>
              <w:rPr>
                <w:sz w:val="20"/>
              </w:rPr>
              <w:t>Časť I.</w:t>
            </w:r>
          </w:p>
          <w:p w:rsidR="0066225B" w:rsidP="00CB3E7D">
            <w:pPr>
              <w:jc w:val="both"/>
              <w:rPr>
                <w:sz w:val="20"/>
              </w:rPr>
            </w:pPr>
            <w:r>
              <w:rPr>
                <w:sz w:val="20"/>
              </w:rPr>
              <w:t>A,B,C</w:t>
            </w: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C8623C" w:rsidP="0066225B">
            <w:pPr>
              <w:jc w:val="both"/>
              <w:rPr>
                <w:sz w:val="20"/>
              </w:rPr>
            </w:pPr>
          </w:p>
          <w:p w:rsidR="00C8623C" w:rsidP="0066225B">
            <w:pPr>
              <w:jc w:val="both"/>
              <w:rPr>
                <w:sz w:val="20"/>
              </w:rPr>
            </w:pPr>
          </w:p>
          <w:p w:rsidR="00C8623C" w:rsidP="0066225B">
            <w:pPr>
              <w:jc w:val="both"/>
              <w:rPr>
                <w:sz w:val="20"/>
              </w:rPr>
            </w:pPr>
          </w:p>
          <w:p w:rsidR="00C8623C" w:rsidP="0066225B">
            <w:pPr>
              <w:jc w:val="both"/>
              <w:rPr>
                <w:sz w:val="20"/>
              </w:rPr>
            </w:pPr>
          </w:p>
          <w:p w:rsidR="00C8623C" w:rsidP="0066225B">
            <w:pPr>
              <w:jc w:val="both"/>
              <w:rPr>
                <w:sz w:val="20"/>
              </w:rPr>
            </w:pPr>
          </w:p>
          <w:p w:rsidR="00C8623C" w:rsidP="0066225B">
            <w:pPr>
              <w:jc w:val="both"/>
              <w:rPr>
                <w:sz w:val="20"/>
              </w:rPr>
            </w:pPr>
          </w:p>
          <w:p w:rsidR="00C8623C" w:rsidP="0066225B">
            <w:pPr>
              <w:jc w:val="both"/>
              <w:rPr>
                <w:sz w:val="20"/>
              </w:rPr>
            </w:pPr>
          </w:p>
          <w:p w:rsidR="00C8623C" w:rsidP="0066225B">
            <w:pPr>
              <w:jc w:val="both"/>
              <w:rPr>
                <w:sz w:val="20"/>
              </w:rPr>
            </w:pPr>
          </w:p>
          <w:p w:rsidR="0066225B" w:rsidP="0066225B">
            <w:pPr>
              <w:jc w:val="both"/>
              <w:rPr>
                <w:sz w:val="20"/>
              </w:rPr>
            </w:pPr>
            <w:r>
              <w:rPr>
                <w:sz w:val="20"/>
              </w:rPr>
              <w:t>Príl. 9</w:t>
            </w:r>
          </w:p>
          <w:p w:rsidR="0066225B" w:rsidP="0066225B">
            <w:pPr>
              <w:jc w:val="both"/>
              <w:rPr>
                <w:sz w:val="20"/>
              </w:rPr>
            </w:pPr>
            <w:r>
              <w:rPr>
                <w:sz w:val="20"/>
              </w:rPr>
              <w:t>Časť II.</w:t>
            </w:r>
          </w:p>
          <w:p w:rsidR="0066225B" w:rsidP="0066225B">
            <w:pPr>
              <w:jc w:val="both"/>
              <w:rPr>
                <w:sz w:val="20"/>
              </w:rPr>
            </w:pPr>
            <w:r>
              <w:rPr>
                <w:sz w:val="20"/>
              </w:rPr>
              <w:t>A,B</w:t>
            </w:r>
          </w:p>
          <w:p w:rsidR="0066225B" w:rsidP="00CB3E7D">
            <w:pPr>
              <w:jc w:val="both"/>
              <w:rPr>
                <w:sz w:val="20"/>
              </w:rPr>
            </w:pPr>
          </w:p>
          <w:p w:rsidR="0066225B" w:rsidP="00CB3E7D">
            <w:pPr>
              <w:jc w:val="both"/>
              <w:rPr>
                <w:sz w:val="20"/>
              </w:rPr>
            </w:pPr>
          </w:p>
          <w:p w:rsidR="0066225B" w:rsidP="00CB3E7D">
            <w:pPr>
              <w:jc w:val="both"/>
              <w:rPr>
                <w:sz w:val="20"/>
              </w:rPr>
            </w:pPr>
          </w:p>
          <w:p w:rsidR="0066225B" w:rsidP="00CB3E7D">
            <w:pPr>
              <w:jc w:val="both"/>
              <w:rPr>
                <w:sz w:val="20"/>
              </w:rPr>
            </w:pPr>
          </w:p>
          <w:p w:rsidR="0066225B" w:rsidRPr="00390FC1" w:rsidP="00CB3E7D">
            <w:pPr>
              <w:jc w:val="both"/>
              <w:rPr>
                <w:sz w:val="20"/>
              </w:rPr>
            </w:pPr>
          </w:p>
        </w:tc>
        <w:tc>
          <w:tcPr>
            <w:tcW w:w="7797" w:type="dxa"/>
            <w:tcBorders>
              <w:bottom w:val="single" w:sz="4" w:space="0" w:color="auto"/>
            </w:tcBorders>
          </w:tcPr>
          <w:p w:rsidR="00C8623C" w:rsidRPr="00C8623C" w:rsidP="00C8623C">
            <w:pPr>
              <w:pStyle w:val="NormalWeb"/>
              <w:rPr>
                <w:sz w:val="20"/>
                <w:szCs w:val="20"/>
              </w:rPr>
            </w:pPr>
            <w:r w:rsidRPr="00C8623C">
              <w:rPr>
                <w:sz w:val="20"/>
                <w:szCs w:val="20"/>
              </w:rPr>
              <w:t xml:space="preserve">KRITÉRIÁ NA URČENIE NAJMENŠIEHO POČTU VZORKOVACÍCH MIEST </w:t>
            </w:r>
          </w:p>
          <w:p w:rsidR="00C8623C" w:rsidRPr="00C8623C" w:rsidP="00C8623C">
            <w:pPr>
              <w:pStyle w:val="NormalWeb"/>
              <w:rPr>
                <w:sz w:val="20"/>
                <w:szCs w:val="20"/>
              </w:rPr>
            </w:pPr>
            <w:r w:rsidRPr="00C8623C">
              <w:rPr>
                <w:sz w:val="20"/>
                <w:szCs w:val="20"/>
              </w:rPr>
              <w:t xml:space="preserve">NA STÁLE MERANIE </w:t>
            </w:r>
          </w:p>
          <w:p w:rsidR="00C8623C" w:rsidRPr="00C8623C" w:rsidP="00C8623C">
            <w:pPr>
              <w:pStyle w:val="NormalWeb"/>
              <w:rPr>
                <w:sz w:val="20"/>
                <w:szCs w:val="20"/>
              </w:rPr>
            </w:pPr>
            <w:r w:rsidRPr="00C8623C">
              <w:rPr>
                <w:sz w:val="20"/>
                <w:szCs w:val="20"/>
              </w:rPr>
              <w:t>Časť I.</w:t>
            </w:r>
          </w:p>
          <w:p w:rsidR="00C8623C" w:rsidRPr="00C8623C" w:rsidP="00C8623C">
            <w:pPr>
              <w:pStyle w:val="NormalWeb"/>
              <w:rPr>
                <w:sz w:val="20"/>
                <w:szCs w:val="20"/>
              </w:rPr>
            </w:pPr>
            <w:r w:rsidRPr="00C8623C">
              <w:rPr>
                <w:sz w:val="20"/>
                <w:szCs w:val="20"/>
              </w:rPr>
              <w:t>Kritériá na určenie najmenšieho počtu vzorkovacích miest na stále merania koncentrácií oxidu siričitého, oxidu dusičitého, oxidov dusíka, častíc PM</w:t>
            </w:r>
            <w:r w:rsidRPr="00E71D89">
              <w:rPr>
                <w:sz w:val="20"/>
                <w:szCs w:val="20"/>
                <w:vertAlign w:val="subscript"/>
              </w:rPr>
              <w:t>10</w:t>
            </w:r>
            <w:r w:rsidRPr="00C8623C">
              <w:rPr>
                <w:sz w:val="20"/>
                <w:szCs w:val="20"/>
              </w:rPr>
              <w:t>, častíc PM</w:t>
            </w:r>
            <w:r w:rsidRPr="00E71D89">
              <w:rPr>
                <w:sz w:val="20"/>
                <w:szCs w:val="20"/>
                <w:vertAlign w:val="subscript"/>
              </w:rPr>
              <w:t>2,5</w:t>
            </w:r>
            <w:r w:rsidRPr="00C8623C">
              <w:rPr>
                <w:sz w:val="20"/>
                <w:szCs w:val="20"/>
              </w:rPr>
              <w:t xml:space="preserve">, oxidu uhoľnatého, benzénu, olova, arzénu, kadmia, niklu a benzo(a)pyrénu </w:t>
            </w:r>
          </w:p>
          <w:p w:rsidR="00C8623C" w:rsidRPr="00C8623C" w:rsidP="00C8623C">
            <w:pPr>
              <w:pStyle w:val="NormalWeb"/>
              <w:rPr>
                <w:sz w:val="20"/>
                <w:szCs w:val="20"/>
              </w:rPr>
            </w:pPr>
          </w:p>
          <w:p w:rsidR="00C8623C" w:rsidRPr="00C8623C" w:rsidP="00C8623C">
            <w:pPr>
              <w:pStyle w:val="NormalWeb"/>
              <w:rPr>
                <w:sz w:val="20"/>
                <w:szCs w:val="20"/>
              </w:rPr>
            </w:pPr>
            <w:r w:rsidRPr="00C8623C">
              <w:rPr>
                <w:sz w:val="20"/>
                <w:szCs w:val="20"/>
              </w:rPr>
              <w:t>A. Najmenší počet vzorkovacích miest pre stále merania na posúdenie dodržiavania limitných hodnôt alebo cieľových hodnôt na ochranu zdravia ľudí a výstražných prahov v zónach a aglomeráciách, v ktorých sú stále merania jediným zdrojom informácií pre znečisťujúce látky okrem častíc PM</w:t>
            </w:r>
            <w:r w:rsidRPr="00E71D89">
              <w:rPr>
                <w:sz w:val="20"/>
                <w:szCs w:val="20"/>
                <w:vertAlign w:val="subscript"/>
              </w:rPr>
              <w:t xml:space="preserve">2,5 </w:t>
            </w:r>
            <w:r w:rsidRPr="00C8623C">
              <w:rPr>
                <w:sz w:val="20"/>
                <w:szCs w:val="20"/>
              </w:rPr>
              <w:t>a ozónu</w:t>
            </w:r>
          </w:p>
          <w:p w:rsidR="00C8623C" w:rsidP="00C8623C">
            <w:pPr>
              <w:pStyle w:val="NormalWeb"/>
              <w:rPr>
                <w:sz w:val="20"/>
                <w:szCs w:val="20"/>
              </w:rPr>
            </w:pPr>
          </w:p>
          <w:p w:rsidR="00E71D89" w:rsidP="00C8623C">
            <w:pPr>
              <w:pStyle w:val="NormalWeb"/>
              <w:rPr>
                <w:sz w:val="20"/>
                <w:szCs w:val="20"/>
              </w:rPr>
            </w:pPr>
          </w:p>
          <w:p w:rsidR="000607F2" w:rsidP="00C8623C">
            <w:pPr>
              <w:pStyle w:val="NormalWeb"/>
              <w:rPr>
                <w:sz w:val="20"/>
                <w:szCs w:val="20"/>
              </w:rPr>
            </w:pPr>
          </w:p>
          <w:p w:rsidR="008A2817" w:rsidP="00C8623C">
            <w:pPr>
              <w:pStyle w:val="NormalWeb"/>
              <w:rPr>
                <w:sz w:val="20"/>
                <w:szCs w:val="20"/>
              </w:rPr>
            </w:pPr>
          </w:p>
          <w:p w:rsidR="00E71D89" w:rsidRPr="00C8623C" w:rsidP="00C8623C">
            <w:pPr>
              <w:pStyle w:val="NormalWeb"/>
              <w:rPr>
                <w:sz w:val="20"/>
                <w:szCs w:val="20"/>
              </w:rPr>
            </w:pPr>
          </w:p>
          <w:p w:rsidR="00C8623C" w:rsidRPr="00C8623C" w:rsidP="00C8623C">
            <w:pPr>
              <w:pStyle w:val="NormalWeb"/>
              <w:rPr>
                <w:sz w:val="20"/>
                <w:szCs w:val="20"/>
              </w:rPr>
            </w:pPr>
            <w:r w:rsidRPr="00C8623C">
              <w:rPr>
                <w:sz w:val="20"/>
                <w:szCs w:val="20"/>
              </w:rPr>
              <w:t>Plošné zdroje</w:t>
            </w:r>
          </w:p>
          <w:tbl>
            <w:tblPr>
              <w:tblStyle w:val="TableNormal"/>
              <w:tblW w:w="7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3"/>
              <w:gridCol w:w="938"/>
              <w:gridCol w:w="800"/>
              <w:gridCol w:w="572"/>
              <w:gridCol w:w="688"/>
              <w:gridCol w:w="915"/>
              <w:gridCol w:w="915"/>
              <w:gridCol w:w="457"/>
              <w:gridCol w:w="572"/>
            </w:tblGrid>
            <w:tr w:rsidTr="00C8623C">
              <w:tblPrEx>
                <w:tblW w:w="7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61"/>
              </w:trPr>
              <w:tc>
                <w:tcPr>
                  <w:tcW w:w="1143" w:type="dxa"/>
                  <w:vMerge w:val="restart"/>
                </w:tcPr>
                <w:p w:rsidR="00C8623C" w:rsidRPr="007B57C0" w:rsidP="00C8623C">
                  <w:pPr>
                    <w:pStyle w:val="NormalWeb"/>
                    <w:rPr>
                      <w:sz w:val="20"/>
                      <w:szCs w:val="20"/>
                    </w:rPr>
                  </w:pPr>
                  <w:r w:rsidRPr="007B57C0">
                    <w:rPr>
                      <w:sz w:val="20"/>
                      <w:szCs w:val="20"/>
                    </w:rPr>
                    <w:t xml:space="preserve">Obyvateľstvo aglomerácie alebo zóny </w:t>
                  </w:r>
                </w:p>
                <w:p w:rsidR="00C8623C" w:rsidRPr="007B57C0" w:rsidP="00C8623C">
                  <w:pPr>
                    <w:pStyle w:val="NormalWeb"/>
                    <w:rPr>
                      <w:sz w:val="20"/>
                      <w:szCs w:val="20"/>
                    </w:rPr>
                  </w:pPr>
                  <w:r w:rsidRPr="007B57C0">
                    <w:rPr>
                      <w:sz w:val="20"/>
                      <w:szCs w:val="20"/>
                    </w:rPr>
                    <w:t>(v tisícoch)</w:t>
                  </w:r>
                </w:p>
              </w:tc>
              <w:tc>
                <w:tcPr>
                  <w:tcW w:w="2998" w:type="dxa"/>
                  <w:gridSpan w:val="4"/>
                </w:tcPr>
                <w:p w:rsidR="00C8623C" w:rsidRPr="007B57C0" w:rsidP="00C8623C">
                  <w:pPr>
                    <w:pStyle w:val="NormalWeb"/>
                    <w:rPr>
                      <w:sz w:val="20"/>
                      <w:szCs w:val="20"/>
                    </w:rPr>
                  </w:pPr>
                  <w:r w:rsidRPr="007B57C0">
                    <w:rPr>
                      <w:sz w:val="20"/>
                      <w:szCs w:val="20"/>
                    </w:rPr>
                    <w:t>Ak najväčšie koncentrácie prekračujú hornú medzu na hodnotenie úrovne znečistenia ovzdušia</w:t>
                  </w:r>
                  <w:r w:rsidRPr="00C8623C">
                    <w:rPr>
                      <w:sz w:val="20"/>
                      <w:szCs w:val="20"/>
                    </w:rPr>
                    <w:t>1)</w:t>
                  </w:r>
                </w:p>
              </w:tc>
              <w:tc>
                <w:tcPr>
                  <w:tcW w:w="2859" w:type="dxa"/>
                  <w:gridSpan w:val="4"/>
                </w:tcPr>
                <w:p w:rsidR="00C8623C" w:rsidRPr="007B57C0" w:rsidP="00C8623C">
                  <w:pPr>
                    <w:pStyle w:val="NormalWeb"/>
                    <w:rPr>
                      <w:sz w:val="20"/>
                      <w:szCs w:val="20"/>
                    </w:rPr>
                  </w:pPr>
                  <w:r w:rsidRPr="007B57C0">
                    <w:rPr>
                      <w:sz w:val="20"/>
                      <w:szCs w:val="20"/>
                    </w:rPr>
                    <w:t xml:space="preserve">Ak sú najväčšie koncentrácie pod hornou medzou na hodnotenie úrovne znečistenia ovzdušia </w:t>
                  </w:r>
                </w:p>
              </w:tc>
            </w:tr>
            <w:tr w:rsidTr="00C8623C">
              <w:tblPrEx>
                <w:tblW w:w="7000" w:type="dxa"/>
                <w:tblInd w:w="392" w:type="dxa"/>
                <w:tblLayout w:type="fixed"/>
                <w:tblLook w:val="01E0"/>
              </w:tblPrEx>
              <w:trPr>
                <w:trHeight w:val="2091"/>
              </w:trPr>
              <w:tc>
                <w:tcPr>
                  <w:tcW w:w="1143" w:type="dxa"/>
                  <w:vMerge/>
                </w:tcPr>
                <w:p w:rsidR="00C8623C" w:rsidRPr="007B57C0" w:rsidP="00C8623C">
                  <w:pPr>
                    <w:pStyle w:val="NormalWeb"/>
                    <w:rPr>
                      <w:sz w:val="20"/>
                      <w:szCs w:val="20"/>
                    </w:rPr>
                  </w:pPr>
                </w:p>
              </w:tc>
              <w:tc>
                <w:tcPr>
                  <w:tcW w:w="938" w:type="dxa"/>
                </w:tcPr>
                <w:p w:rsidR="00C8623C" w:rsidRPr="007B57C0" w:rsidP="00C8623C">
                  <w:pPr>
                    <w:pStyle w:val="NormalWeb"/>
                    <w:rPr>
                      <w:sz w:val="20"/>
                      <w:szCs w:val="20"/>
                    </w:rPr>
                  </w:pPr>
                  <w:r w:rsidRPr="007B57C0">
                    <w:rPr>
                      <w:sz w:val="20"/>
                      <w:szCs w:val="20"/>
                    </w:rPr>
                    <w:t xml:space="preserve">Znečisťu- júce látky okrem PM, As, Cd, Ni </w:t>
                  </w:r>
                </w:p>
                <w:p w:rsidR="00C8623C" w:rsidRPr="007B57C0" w:rsidP="00C8623C">
                  <w:pPr>
                    <w:pStyle w:val="NormalWeb"/>
                    <w:rPr>
                      <w:sz w:val="20"/>
                      <w:szCs w:val="20"/>
                    </w:rPr>
                  </w:pPr>
                  <w:r w:rsidRPr="007B57C0">
                    <w:rPr>
                      <w:sz w:val="20"/>
                      <w:szCs w:val="20"/>
                    </w:rPr>
                    <w:t>a BaP</w:t>
                  </w:r>
                </w:p>
              </w:tc>
              <w:tc>
                <w:tcPr>
                  <w:tcW w:w="800" w:type="dxa"/>
                </w:tcPr>
                <w:p w:rsidR="00C8623C" w:rsidRPr="007B57C0" w:rsidP="00C8623C">
                  <w:pPr>
                    <w:pStyle w:val="NormalWeb"/>
                    <w:rPr>
                      <w:sz w:val="20"/>
                      <w:szCs w:val="20"/>
                    </w:rPr>
                  </w:pPr>
                  <w:r w:rsidRPr="007B57C0">
                    <w:rPr>
                      <w:sz w:val="20"/>
                      <w:szCs w:val="20"/>
                    </w:rPr>
                    <w:t>PM</w:t>
                  </w:r>
                  <w:r w:rsidRPr="000607F2">
                    <w:rPr>
                      <w:sz w:val="20"/>
                      <w:szCs w:val="20"/>
                      <w:vertAlign w:val="subscript"/>
                    </w:rPr>
                    <w:t>2</w:t>
                  </w:r>
                  <w:r w:rsidRPr="00C8623C">
                    <w:rPr>
                      <w:sz w:val="20"/>
                      <w:szCs w:val="20"/>
                    </w:rPr>
                    <w:t>)</w:t>
                  </w:r>
                  <w:r w:rsidRPr="007B57C0">
                    <w:rPr>
                      <w:sz w:val="20"/>
                      <w:szCs w:val="20"/>
                    </w:rPr>
                    <w:t xml:space="preserve"> </w:t>
                  </w:r>
                </w:p>
                <w:p w:rsidR="00C8623C" w:rsidRPr="007B57C0" w:rsidP="00C8623C">
                  <w:pPr>
                    <w:pStyle w:val="NormalWeb"/>
                    <w:rPr>
                      <w:sz w:val="20"/>
                      <w:szCs w:val="20"/>
                    </w:rPr>
                  </w:pPr>
                  <w:r w:rsidRPr="007B57C0">
                    <w:rPr>
                      <w:sz w:val="20"/>
                      <w:szCs w:val="20"/>
                    </w:rPr>
                    <w:t>súčet </w:t>
                  </w:r>
                </w:p>
                <w:p w:rsidR="00C8623C" w:rsidRPr="007B57C0" w:rsidP="00C8623C">
                  <w:pPr>
                    <w:pStyle w:val="NormalWeb"/>
                    <w:rPr>
                      <w:sz w:val="20"/>
                      <w:szCs w:val="20"/>
                    </w:rPr>
                  </w:pPr>
                </w:p>
                <w:p w:rsidR="00C8623C" w:rsidRPr="007B57C0" w:rsidP="00C8623C">
                  <w:pPr>
                    <w:pStyle w:val="NormalWeb"/>
                    <w:rPr>
                      <w:sz w:val="20"/>
                      <w:szCs w:val="20"/>
                    </w:rPr>
                  </w:pPr>
                  <w:r w:rsidRPr="007B57C0">
                    <w:rPr>
                      <w:sz w:val="20"/>
                      <w:szCs w:val="20"/>
                    </w:rPr>
                    <w:t>PM</w:t>
                  </w:r>
                  <w:r w:rsidRPr="00E71D89">
                    <w:rPr>
                      <w:sz w:val="20"/>
                      <w:szCs w:val="20"/>
                      <w:vertAlign w:val="subscript"/>
                    </w:rPr>
                    <w:t>10 </w:t>
                  </w:r>
                  <w:r w:rsidRPr="007B57C0">
                    <w:rPr>
                      <w:sz w:val="20"/>
                      <w:szCs w:val="20"/>
                    </w:rPr>
                    <w:t>a </w:t>
                  </w:r>
                </w:p>
                <w:p w:rsidR="00C8623C" w:rsidRPr="007B57C0" w:rsidP="00C8623C">
                  <w:pPr>
                    <w:pStyle w:val="NormalWeb"/>
                    <w:rPr>
                      <w:sz w:val="20"/>
                      <w:szCs w:val="20"/>
                    </w:rPr>
                  </w:pPr>
                  <w:r w:rsidRPr="007B57C0">
                    <w:rPr>
                      <w:sz w:val="20"/>
                      <w:szCs w:val="20"/>
                    </w:rPr>
                    <w:t>PM</w:t>
                  </w:r>
                  <w:r w:rsidRPr="00E71D89">
                    <w:rPr>
                      <w:sz w:val="20"/>
                      <w:szCs w:val="20"/>
                      <w:vertAlign w:val="subscript"/>
                    </w:rPr>
                    <w:t>2,5</w:t>
                  </w:r>
                </w:p>
              </w:tc>
              <w:tc>
                <w:tcPr>
                  <w:tcW w:w="572" w:type="dxa"/>
                </w:tcPr>
                <w:p w:rsidR="00C8623C" w:rsidRPr="00C8623C" w:rsidP="00C8623C">
                  <w:pPr>
                    <w:pStyle w:val="NormalWeb"/>
                    <w:rPr>
                      <w:sz w:val="20"/>
                      <w:szCs w:val="20"/>
                    </w:rPr>
                  </w:pPr>
                  <w:r w:rsidRPr="00C8623C">
                    <w:rPr>
                      <w:sz w:val="20"/>
                      <w:szCs w:val="20"/>
                    </w:rPr>
                    <w:t>As</w:t>
                  </w:r>
                </w:p>
                <w:p w:rsidR="00C8623C" w:rsidRPr="00C8623C" w:rsidP="00C8623C">
                  <w:pPr>
                    <w:pStyle w:val="NormalWeb"/>
                    <w:rPr>
                      <w:sz w:val="20"/>
                      <w:szCs w:val="20"/>
                    </w:rPr>
                  </w:pPr>
                  <w:r w:rsidRPr="00C8623C">
                    <w:rPr>
                      <w:sz w:val="20"/>
                      <w:szCs w:val="20"/>
                    </w:rPr>
                    <w:t>Cd</w:t>
                  </w:r>
                </w:p>
                <w:p w:rsidR="00C8623C" w:rsidRPr="00C8623C" w:rsidP="00C8623C">
                  <w:pPr>
                    <w:pStyle w:val="NormalWeb"/>
                    <w:rPr>
                      <w:sz w:val="20"/>
                      <w:szCs w:val="20"/>
                    </w:rPr>
                  </w:pPr>
                  <w:r w:rsidRPr="00C8623C">
                    <w:rPr>
                      <w:sz w:val="20"/>
                      <w:szCs w:val="20"/>
                    </w:rPr>
                    <w:t xml:space="preserve">Ni </w:t>
                  </w:r>
                </w:p>
                <w:p w:rsidR="00C8623C" w:rsidRPr="00C8623C" w:rsidP="00C8623C">
                  <w:pPr>
                    <w:pStyle w:val="NormalWeb"/>
                    <w:rPr>
                      <w:sz w:val="20"/>
                      <w:szCs w:val="20"/>
                    </w:rPr>
                  </w:pPr>
                </w:p>
                <w:p w:rsidR="00C8623C" w:rsidRPr="007B57C0" w:rsidP="00C8623C">
                  <w:pPr>
                    <w:pStyle w:val="NormalWeb"/>
                    <w:rPr>
                      <w:sz w:val="20"/>
                      <w:szCs w:val="20"/>
                    </w:rPr>
                  </w:pPr>
                </w:p>
              </w:tc>
              <w:tc>
                <w:tcPr>
                  <w:tcW w:w="686" w:type="dxa"/>
                </w:tcPr>
                <w:p w:rsidR="00C8623C" w:rsidRPr="007B57C0" w:rsidP="00C8623C">
                  <w:pPr>
                    <w:pStyle w:val="NormalWeb"/>
                    <w:rPr>
                      <w:sz w:val="20"/>
                      <w:szCs w:val="20"/>
                    </w:rPr>
                  </w:pPr>
                  <w:r w:rsidRPr="007B57C0">
                    <w:rPr>
                      <w:sz w:val="20"/>
                      <w:szCs w:val="20"/>
                    </w:rPr>
                    <w:t>BaP</w:t>
                  </w:r>
                </w:p>
              </w:tc>
              <w:tc>
                <w:tcPr>
                  <w:tcW w:w="915" w:type="dxa"/>
                </w:tcPr>
                <w:p w:rsidR="00C8623C" w:rsidRPr="007B57C0" w:rsidP="00C8623C">
                  <w:pPr>
                    <w:pStyle w:val="NormalWeb"/>
                    <w:rPr>
                      <w:sz w:val="20"/>
                      <w:szCs w:val="20"/>
                    </w:rPr>
                  </w:pPr>
                  <w:r w:rsidRPr="007B57C0">
                    <w:rPr>
                      <w:sz w:val="20"/>
                      <w:szCs w:val="20"/>
                    </w:rPr>
                    <w:t>Znečisťu-júce látky okrem PM</w:t>
                  </w:r>
                </w:p>
                <w:p w:rsidR="00C8623C" w:rsidRPr="007B57C0" w:rsidP="00C8623C">
                  <w:pPr>
                    <w:pStyle w:val="NormalWeb"/>
                    <w:rPr>
                      <w:sz w:val="20"/>
                      <w:szCs w:val="20"/>
                    </w:rPr>
                  </w:pPr>
                  <w:r w:rsidRPr="007B57C0">
                    <w:rPr>
                      <w:sz w:val="20"/>
                      <w:szCs w:val="20"/>
                    </w:rPr>
                    <w:t>As, C d, Ni a BaP</w:t>
                  </w:r>
                </w:p>
              </w:tc>
              <w:tc>
                <w:tcPr>
                  <w:tcW w:w="915" w:type="dxa"/>
                </w:tcPr>
                <w:p w:rsidR="00C8623C" w:rsidRPr="007B57C0" w:rsidP="00C8623C">
                  <w:pPr>
                    <w:pStyle w:val="NormalWeb"/>
                    <w:rPr>
                      <w:sz w:val="20"/>
                      <w:szCs w:val="20"/>
                    </w:rPr>
                  </w:pPr>
                  <w:r w:rsidRPr="007B57C0">
                    <w:rPr>
                      <w:sz w:val="20"/>
                      <w:szCs w:val="20"/>
                    </w:rPr>
                    <w:t>PM</w:t>
                  </w:r>
                  <w:r w:rsidRPr="000607F2">
                    <w:rPr>
                      <w:sz w:val="20"/>
                      <w:szCs w:val="20"/>
                      <w:vertAlign w:val="subscript"/>
                    </w:rPr>
                    <w:t>2</w:t>
                  </w:r>
                  <w:r w:rsidRPr="00C8623C">
                    <w:rPr>
                      <w:sz w:val="20"/>
                      <w:szCs w:val="20"/>
                    </w:rPr>
                    <w:t xml:space="preserve">) </w:t>
                  </w:r>
                  <w:r w:rsidRPr="007B57C0">
                    <w:rPr>
                      <w:sz w:val="20"/>
                      <w:szCs w:val="20"/>
                    </w:rPr>
                    <w:t xml:space="preserve">súčet </w:t>
                  </w:r>
                </w:p>
                <w:p w:rsidR="00C8623C" w:rsidRPr="007B57C0" w:rsidP="00C8623C">
                  <w:pPr>
                    <w:pStyle w:val="NormalWeb"/>
                    <w:rPr>
                      <w:sz w:val="20"/>
                      <w:szCs w:val="20"/>
                    </w:rPr>
                  </w:pPr>
                  <w:r w:rsidRPr="007B57C0">
                    <w:rPr>
                      <w:sz w:val="20"/>
                      <w:szCs w:val="20"/>
                    </w:rPr>
                    <w:t>PM</w:t>
                  </w:r>
                  <w:r w:rsidRPr="00E71D89">
                    <w:rPr>
                      <w:sz w:val="20"/>
                      <w:szCs w:val="20"/>
                      <w:vertAlign w:val="subscript"/>
                    </w:rPr>
                    <w:t>10</w:t>
                  </w:r>
                  <w:r w:rsidRPr="007B57C0">
                    <w:rPr>
                      <w:sz w:val="20"/>
                      <w:szCs w:val="20"/>
                    </w:rPr>
                    <w:t xml:space="preserve"> a PM</w:t>
                  </w:r>
                  <w:r w:rsidRPr="00E71D89">
                    <w:rPr>
                      <w:sz w:val="20"/>
                      <w:szCs w:val="20"/>
                      <w:vertAlign w:val="subscript"/>
                    </w:rPr>
                    <w:t>2,5</w:t>
                  </w:r>
                </w:p>
              </w:tc>
              <w:tc>
                <w:tcPr>
                  <w:tcW w:w="457" w:type="dxa"/>
                </w:tcPr>
                <w:p w:rsidR="00C8623C" w:rsidRPr="00C8623C" w:rsidP="00C8623C">
                  <w:pPr>
                    <w:pStyle w:val="NormalWeb"/>
                    <w:rPr>
                      <w:sz w:val="20"/>
                      <w:szCs w:val="20"/>
                    </w:rPr>
                  </w:pPr>
                  <w:r w:rsidRPr="00C8623C">
                    <w:rPr>
                      <w:sz w:val="20"/>
                      <w:szCs w:val="20"/>
                    </w:rPr>
                    <w:t xml:space="preserve">As, </w:t>
                  </w:r>
                </w:p>
                <w:p w:rsidR="00C8623C" w:rsidRPr="00C8623C" w:rsidP="00C8623C">
                  <w:pPr>
                    <w:pStyle w:val="NormalWeb"/>
                    <w:rPr>
                      <w:sz w:val="20"/>
                      <w:szCs w:val="20"/>
                    </w:rPr>
                  </w:pPr>
                  <w:r w:rsidRPr="00C8623C">
                    <w:rPr>
                      <w:sz w:val="20"/>
                      <w:szCs w:val="20"/>
                    </w:rPr>
                    <w:t>Cd,</w:t>
                  </w:r>
                </w:p>
                <w:p w:rsidR="00C8623C" w:rsidRPr="00C8623C" w:rsidP="00C8623C">
                  <w:pPr>
                    <w:pStyle w:val="NormalWeb"/>
                    <w:rPr>
                      <w:sz w:val="20"/>
                      <w:szCs w:val="20"/>
                    </w:rPr>
                  </w:pPr>
                  <w:r w:rsidRPr="00C8623C">
                    <w:rPr>
                      <w:sz w:val="20"/>
                      <w:szCs w:val="20"/>
                    </w:rPr>
                    <w:t xml:space="preserve">Ni </w:t>
                  </w:r>
                </w:p>
                <w:p w:rsidR="00C8623C" w:rsidRPr="00C8623C" w:rsidP="00C8623C">
                  <w:pPr>
                    <w:pStyle w:val="NormalWeb"/>
                    <w:rPr>
                      <w:sz w:val="20"/>
                      <w:szCs w:val="20"/>
                    </w:rPr>
                  </w:pPr>
                </w:p>
                <w:p w:rsidR="00C8623C" w:rsidRPr="007B57C0" w:rsidP="00C8623C">
                  <w:pPr>
                    <w:pStyle w:val="NormalWeb"/>
                    <w:rPr>
                      <w:sz w:val="20"/>
                      <w:szCs w:val="20"/>
                    </w:rPr>
                  </w:pPr>
                </w:p>
              </w:tc>
              <w:tc>
                <w:tcPr>
                  <w:tcW w:w="571" w:type="dxa"/>
                </w:tcPr>
                <w:p w:rsidR="00C8623C" w:rsidRPr="007B57C0" w:rsidP="00C8623C">
                  <w:pPr>
                    <w:pStyle w:val="NormalWeb"/>
                    <w:rPr>
                      <w:sz w:val="20"/>
                      <w:szCs w:val="20"/>
                    </w:rPr>
                  </w:pPr>
                  <w:r w:rsidRPr="007B57C0">
                    <w:rPr>
                      <w:sz w:val="20"/>
                      <w:szCs w:val="20"/>
                    </w:rPr>
                    <w:t>BaP</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0 – 249</w:t>
                  </w:r>
                </w:p>
              </w:tc>
              <w:tc>
                <w:tcPr>
                  <w:tcW w:w="938" w:type="dxa"/>
                  <w:vAlign w:val="center"/>
                </w:tcPr>
                <w:p w:rsidR="00C8623C" w:rsidRPr="007B57C0" w:rsidP="00C8623C">
                  <w:pPr>
                    <w:pStyle w:val="NormalWeb"/>
                    <w:rPr>
                      <w:sz w:val="20"/>
                      <w:szCs w:val="20"/>
                    </w:rPr>
                  </w:pPr>
                  <w:r w:rsidRPr="007B57C0">
                    <w:rPr>
                      <w:sz w:val="20"/>
                      <w:szCs w:val="20"/>
                    </w:rPr>
                    <w:t>1</w:t>
                  </w:r>
                </w:p>
              </w:tc>
              <w:tc>
                <w:tcPr>
                  <w:tcW w:w="800" w:type="dxa"/>
                  <w:vAlign w:val="center"/>
                </w:tcPr>
                <w:p w:rsidR="00C8623C" w:rsidRPr="007B57C0" w:rsidP="00C8623C">
                  <w:pPr>
                    <w:pStyle w:val="NormalWeb"/>
                    <w:rPr>
                      <w:sz w:val="20"/>
                      <w:szCs w:val="20"/>
                    </w:rPr>
                  </w:pPr>
                  <w:r w:rsidRPr="007B57C0">
                    <w:rPr>
                      <w:sz w:val="20"/>
                      <w:szCs w:val="20"/>
                    </w:rPr>
                    <w:t>2</w:t>
                  </w:r>
                </w:p>
              </w:tc>
              <w:tc>
                <w:tcPr>
                  <w:tcW w:w="572" w:type="dxa"/>
                  <w:vAlign w:val="center"/>
                </w:tcPr>
                <w:p w:rsidR="00C8623C" w:rsidRPr="007B57C0" w:rsidP="00C8623C">
                  <w:pPr>
                    <w:pStyle w:val="NormalWeb"/>
                    <w:rPr>
                      <w:sz w:val="20"/>
                      <w:szCs w:val="20"/>
                    </w:rPr>
                  </w:pPr>
                  <w:r w:rsidRPr="007B57C0">
                    <w:rPr>
                      <w:sz w:val="20"/>
                      <w:szCs w:val="20"/>
                    </w:rPr>
                    <w:t>1</w:t>
                  </w:r>
                </w:p>
              </w:tc>
              <w:tc>
                <w:tcPr>
                  <w:tcW w:w="686"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1</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250 – 499</w:t>
                  </w:r>
                </w:p>
              </w:tc>
              <w:tc>
                <w:tcPr>
                  <w:tcW w:w="938" w:type="dxa"/>
                  <w:vAlign w:val="center"/>
                </w:tcPr>
                <w:p w:rsidR="00C8623C" w:rsidRPr="007B57C0" w:rsidP="00C8623C">
                  <w:pPr>
                    <w:pStyle w:val="NormalWeb"/>
                    <w:rPr>
                      <w:sz w:val="20"/>
                      <w:szCs w:val="20"/>
                    </w:rPr>
                  </w:pPr>
                  <w:r w:rsidRPr="007B57C0">
                    <w:rPr>
                      <w:sz w:val="20"/>
                      <w:szCs w:val="20"/>
                    </w:rPr>
                    <w:t>2</w:t>
                  </w:r>
                </w:p>
              </w:tc>
              <w:tc>
                <w:tcPr>
                  <w:tcW w:w="800" w:type="dxa"/>
                  <w:vAlign w:val="center"/>
                </w:tcPr>
                <w:p w:rsidR="00C8623C" w:rsidRPr="007B57C0" w:rsidP="00C8623C">
                  <w:pPr>
                    <w:pStyle w:val="NormalWeb"/>
                    <w:rPr>
                      <w:sz w:val="20"/>
                      <w:szCs w:val="20"/>
                    </w:rPr>
                  </w:pPr>
                  <w:r w:rsidRPr="007B57C0">
                    <w:rPr>
                      <w:sz w:val="20"/>
                      <w:szCs w:val="20"/>
                    </w:rPr>
                    <w:t>3</w:t>
                  </w:r>
                </w:p>
              </w:tc>
              <w:tc>
                <w:tcPr>
                  <w:tcW w:w="572" w:type="dxa"/>
                  <w:vAlign w:val="center"/>
                </w:tcPr>
                <w:p w:rsidR="00C8623C" w:rsidRPr="007B57C0" w:rsidP="00C8623C">
                  <w:pPr>
                    <w:pStyle w:val="NormalWeb"/>
                    <w:rPr>
                      <w:sz w:val="20"/>
                      <w:szCs w:val="20"/>
                    </w:rPr>
                  </w:pPr>
                  <w:r w:rsidRPr="007B57C0">
                    <w:rPr>
                      <w:sz w:val="20"/>
                      <w:szCs w:val="20"/>
                    </w:rPr>
                    <w:t>1</w:t>
                  </w:r>
                </w:p>
              </w:tc>
              <w:tc>
                <w:tcPr>
                  <w:tcW w:w="686"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2</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500 – 749</w:t>
                  </w:r>
                </w:p>
              </w:tc>
              <w:tc>
                <w:tcPr>
                  <w:tcW w:w="938" w:type="dxa"/>
                  <w:vAlign w:val="center"/>
                </w:tcPr>
                <w:p w:rsidR="00C8623C" w:rsidRPr="007B57C0" w:rsidP="00C8623C">
                  <w:pPr>
                    <w:pStyle w:val="NormalWeb"/>
                    <w:rPr>
                      <w:sz w:val="20"/>
                      <w:szCs w:val="20"/>
                    </w:rPr>
                  </w:pPr>
                  <w:r w:rsidRPr="007B57C0">
                    <w:rPr>
                      <w:sz w:val="20"/>
                      <w:szCs w:val="20"/>
                    </w:rPr>
                    <w:t>2</w:t>
                  </w:r>
                </w:p>
              </w:tc>
              <w:tc>
                <w:tcPr>
                  <w:tcW w:w="800" w:type="dxa"/>
                  <w:vAlign w:val="center"/>
                </w:tcPr>
                <w:p w:rsidR="00C8623C" w:rsidRPr="007B57C0" w:rsidP="00C8623C">
                  <w:pPr>
                    <w:pStyle w:val="NormalWeb"/>
                    <w:rPr>
                      <w:sz w:val="20"/>
                      <w:szCs w:val="20"/>
                    </w:rPr>
                  </w:pPr>
                  <w:r w:rsidRPr="007B57C0">
                    <w:rPr>
                      <w:sz w:val="20"/>
                      <w:szCs w:val="20"/>
                    </w:rPr>
                    <w:t>3</w:t>
                  </w:r>
                </w:p>
              </w:tc>
              <w:tc>
                <w:tcPr>
                  <w:tcW w:w="572" w:type="dxa"/>
                  <w:vAlign w:val="center"/>
                </w:tcPr>
                <w:p w:rsidR="00C8623C" w:rsidRPr="007B57C0" w:rsidP="00C8623C">
                  <w:pPr>
                    <w:pStyle w:val="NormalWeb"/>
                    <w:rPr>
                      <w:sz w:val="20"/>
                      <w:szCs w:val="20"/>
                    </w:rPr>
                  </w:pPr>
                  <w:r w:rsidRPr="007B57C0">
                    <w:rPr>
                      <w:sz w:val="20"/>
                      <w:szCs w:val="20"/>
                    </w:rPr>
                    <w:t>1</w:t>
                  </w:r>
                </w:p>
              </w:tc>
              <w:tc>
                <w:tcPr>
                  <w:tcW w:w="686"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2</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750 – 999</w:t>
                  </w:r>
                </w:p>
              </w:tc>
              <w:tc>
                <w:tcPr>
                  <w:tcW w:w="938" w:type="dxa"/>
                  <w:vAlign w:val="center"/>
                </w:tcPr>
                <w:p w:rsidR="00C8623C" w:rsidRPr="007B57C0" w:rsidP="00C8623C">
                  <w:pPr>
                    <w:pStyle w:val="NormalWeb"/>
                    <w:rPr>
                      <w:sz w:val="20"/>
                      <w:szCs w:val="20"/>
                    </w:rPr>
                  </w:pPr>
                  <w:r w:rsidRPr="007B57C0">
                    <w:rPr>
                      <w:sz w:val="20"/>
                      <w:szCs w:val="20"/>
                    </w:rPr>
                    <w:t>3</w:t>
                  </w:r>
                </w:p>
              </w:tc>
              <w:tc>
                <w:tcPr>
                  <w:tcW w:w="800" w:type="dxa"/>
                  <w:vAlign w:val="center"/>
                </w:tcPr>
                <w:p w:rsidR="00C8623C" w:rsidRPr="007B57C0" w:rsidP="00C8623C">
                  <w:pPr>
                    <w:pStyle w:val="NormalWeb"/>
                    <w:rPr>
                      <w:sz w:val="20"/>
                      <w:szCs w:val="20"/>
                    </w:rPr>
                  </w:pPr>
                  <w:r w:rsidRPr="007B57C0">
                    <w:rPr>
                      <w:sz w:val="20"/>
                      <w:szCs w:val="20"/>
                    </w:rPr>
                    <w:t>4</w:t>
                  </w:r>
                </w:p>
              </w:tc>
              <w:tc>
                <w:tcPr>
                  <w:tcW w:w="572" w:type="dxa"/>
                  <w:vAlign w:val="center"/>
                </w:tcPr>
                <w:p w:rsidR="00C8623C" w:rsidRPr="007B57C0" w:rsidP="00C8623C">
                  <w:pPr>
                    <w:pStyle w:val="NormalWeb"/>
                    <w:rPr>
                      <w:sz w:val="20"/>
                      <w:szCs w:val="20"/>
                    </w:rPr>
                  </w:pPr>
                  <w:r w:rsidRPr="007B57C0">
                    <w:rPr>
                      <w:sz w:val="20"/>
                      <w:szCs w:val="20"/>
                    </w:rPr>
                    <w:t>2</w:t>
                  </w:r>
                </w:p>
              </w:tc>
              <w:tc>
                <w:tcPr>
                  <w:tcW w:w="686" w:type="dxa"/>
                  <w:vAlign w:val="center"/>
                </w:tcPr>
                <w:p w:rsidR="00C8623C" w:rsidRPr="007B57C0" w:rsidP="00C8623C">
                  <w:pPr>
                    <w:pStyle w:val="NormalWeb"/>
                    <w:rPr>
                      <w:sz w:val="20"/>
                      <w:szCs w:val="20"/>
                    </w:rPr>
                  </w:pPr>
                  <w:r w:rsidRPr="007B57C0">
                    <w:rPr>
                      <w:sz w:val="20"/>
                      <w:szCs w:val="20"/>
                    </w:rPr>
                    <w:t>2</w:t>
                  </w:r>
                </w:p>
              </w:tc>
              <w:tc>
                <w:tcPr>
                  <w:tcW w:w="915" w:type="dxa"/>
                  <w:vAlign w:val="center"/>
                </w:tcPr>
                <w:p w:rsidR="00C8623C" w:rsidRPr="007B57C0" w:rsidP="00C8623C">
                  <w:pPr>
                    <w:pStyle w:val="NormalWeb"/>
                    <w:rPr>
                      <w:sz w:val="20"/>
                      <w:szCs w:val="20"/>
                    </w:rPr>
                  </w:pPr>
                  <w:r w:rsidRPr="007B57C0">
                    <w:rPr>
                      <w:sz w:val="20"/>
                      <w:szCs w:val="20"/>
                    </w:rPr>
                    <w:t>1</w:t>
                  </w:r>
                </w:p>
              </w:tc>
              <w:tc>
                <w:tcPr>
                  <w:tcW w:w="915" w:type="dxa"/>
                  <w:vAlign w:val="center"/>
                </w:tcPr>
                <w:p w:rsidR="00C8623C" w:rsidRPr="007B57C0" w:rsidP="00C8623C">
                  <w:pPr>
                    <w:pStyle w:val="NormalWeb"/>
                    <w:rPr>
                      <w:sz w:val="20"/>
                      <w:szCs w:val="20"/>
                    </w:rPr>
                  </w:pPr>
                  <w:r w:rsidRPr="007B57C0">
                    <w:rPr>
                      <w:sz w:val="20"/>
                      <w:szCs w:val="20"/>
                    </w:rPr>
                    <w:t>2</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1000 – 1499</w:t>
                  </w:r>
                </w:p>
              </w:tc>
              <w:tc>
                <w:tcPr>
                  <w:tcW w:w="938" w:type="dxa"/>
                  <w:vAlign w:val="center"/>
                </w:tcPr>
                <w:p w:rsidR="00C8623C" w:rsidRPr="007B57C0" w:rsidP="00C8623C">
                  <w:pPr>
                    <w:pStyle w:val="NormalWeb"/>
                    <w:rPr>
                      <w:sz w:val="20"/>
                      <w:szCs w:val="20"/>
                    </w:rPr>
                  </w:pPr>
                  <w:r w:rsidRPr="007B57C0">
                    <w:rPr>
                      <w:sz w:val="20"/>
                      <w:szCs w:val="20"/>
                    </w:rPr>
                    <w:t>4</w:t>
                  </w:r>
                </w:p>
              </w:tc>
              <w:tc>
                <w:tcPr>
                  <w:tcW w:w="800" w:type="dxa"/>
                  <w:vAlign w:val="center"/>
                </w:tcPr>
                <w:p w:rsidR="00C8623C" w:rsidRPr="007B57C0" w:rsidP="00C8623C">
                  <w:pPr>
                    <w:pStyle w:val="NormalWeb"/>
                    <w:rPr>
                      <w:sz w:val="20"/>
                      <w:szCs w:val="20"/>
                    </w:rPr>
                  </w:pPr>
                  <w:r w:rsidRPr="007B57C0">
                    <w:rPr>
                      <w:sz w:val="20"/>
                      <w:szCs w:val="20"/>
                    </w:rPr>
                    <w:t>6</w:t>
                  </w:r>
                </w:p>
              </w:tc>
              <w:tc>
                <w:tcPr>
                  <w:tcW w:w="572" w:type="dxa"/>
                  <w:vAlign w:val="center"/>
                </w:tcPr>
                <w:p w:rsidR="00C8623C" w:rsidRPr="007B57C0" w:rsidP="00C8623C">
                  <w:pPr>
                    <w:pStyle w:val="NormalWeb"/>
                    <w:rPr>
                      <w:sz w:val="20"/>
                      <w:szCs w:val="20"/>
                    </w:rPr>
                  </w:pPr>
                  <w:r w:rsidRPr="007B57C0">
                    <w:rPr>
                      <w:sz w:val="20"/>
                      <w:szCs w:val="20"/>
                    </w:rPr>
                    <w:t>2</w:t>
                  </w:r>
                </w:p>
              </w:tc>
              <w:tc>
                <w:tcPr>
                  <w:tcW w:w="686" w:type="dxa"/>
                  <w:vAlign w:val="center"/>
                </w:tcPr>
                <w:p w:rsidR="00C8623C" w:rsidRPr="007B57C0" w:rsidP="00C8623C">
                  <w:pPr>
                    <w:pStyle w:val="NormalWeb"/>
                    <w:rPr>
                      <w:sz w:val="20"/>
                      <w:szCs w:val="20"/>
                    </w:rPr>
                  </w:pPr>
                  <w:r w:rsidRPr="007B57C0">
                    <w:rPr>
                      <w:sz w:val="20"/>
                      <w:szCs w:val="20"/>
                    </w:rPr>
                    <w:t>2</w:t>
                  </w:r>
                </w:p>
              </w:tc>
              <w:tc>
                <w:tcPr>
                  <w:tcW w:w="915" w:type="dxa"/>
                  <w:vAlign w:val="center"/>
                </w:tcPr>
                <w:p w:rsidR="00C8623C" w:rsidRPr="007B57C0" w:rsidP="00C8623C">
                  <w:pPr>
                    <w:pStyle w:val="NormalWeb"/>
                    <w:rPr>
                      <w:sz w:val="20"/>
                      <w:szCs w:val="20"/>
                    </w:rPr>
                  </w:pPr>
                  <w:r w:rsidRPr="007B57C0">
                    <w:rPr>
                      <w:sz w:val="20"/>
                      <w:szCs w:val="20"/>
                    </w:rPr>
                    <w:t>2</w:t>
                  </w:r>
                </w:p>
              </w:tc>
              <w:tc>
                <w:tcPr>
                  <w:tcW w:w="915" w:type="dxa"/>
                  <w:vAlign w:val="center"/>
                </w:tcPr>
                <w:p w:rsidR="00C8623C" w:rsidRPr="007B57C0" w:rsidP="00C8623C">
                  <w:pPr>
                    <w:pStyle w:val="NormalWeb"/>
                    <w:rPr>
                      <w:sz w:val="20"/>
                      <w:szCs w:val="20"/>
                    </w:rPr>
                  </w:pPr>
                  <w:r w:rsidRPr="007B57C0">
                    <w:rPr>
                      <w:sz w:val="20"/>
                      <w:szCs w:val="20"/>
                    </w:rPr>
                    <w:t>3</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1500 – 1999</w:t>
                  </w:r>
                </w:p>
              </w:tc>
              <w:tc>
                <w:tcPr>
                  <w:tcW w:w="938" w:type="dxa"/>
                  <w:vAlign w:val="center"/>
                </w:tcPr>
                <w:p w:rsidR="00C8623C" w:rsidRPr="007B57C0" w:rsidP="00C8623C">
                  <w:pPr>
                    <w:pStyle w:val="NormalWeb"/>
                    <w:rPr>
                      <w:sz w:val="20"/>
                      <w:szCs w:val="20"/>
                    </w:rPr>
                  </w:pPr>
                  <w:r w:rsidRPr="007B57C0">
                    <w:rPr>
                      <w:sz w:val="20"/>
                      <w:szCs w:val="20"/>
                    </w:rPr>
                    <w:t>5</w:t>
                  </w:r>
                </w:p>
              </w:tc>
              <w:tc>
                <w:tcPr>
                  <w:tcW w:w="800" w:type="dxa"/>
                  <w:vAlign w:val="center"/>
                </w:tcPr>
                <w:p w:rsidR="00C8623C" w:rsidRPr="007B57C0" w:rsidP="00C8623C">
                  <w:pPr>
                    <w:pStyle w:val="NormalWeb"/>
                    <w:rPr>
                      <w:sz w:val="20"/>
                      <w:szCs w:val="20"/>
                    </w:rPr>
                  </w:pPr>
                  <w:r w:rsidRPr="007B57C0">
                    <w:rPr>
                      <w:sz w:val="20"/>
                      <w:szCs w:val="20"/>
                    </w:rPr>
                    <w:t>7</w:t>
                  </w:r>
                </w:p>
              </w:tc>
              <w:tc>
                <w:tcPr>
                  <w:tcW w:w="572" w:type="dxa"/>
                  <w:vAlign w:val="center"/>
                </w:tcPr>
                <w:p w:rsidR="00C8623C" w:rsidRPr="007B57C0" w:rsidP="00C8623C">
                  <w:pPr>
                    <w:pStyle w:val="NormalWeb"/>
                    <w:rPr>
                      <w:sz w:val="20"/>
                      <w:szCs w:val="20"/>
                    </w:rPr>
                  </w:pPr>
                  <w:r w:rsidRPr="007B57C0">
                    <w:rPr>
                      <w:sz w:val="20"/>
                      <w:szCs w:val="20"/>
                    </w:rPr>
                    <w:t>2</w:t>
                  </w:r>
                </w:p>
              </w:tc>
              <w:tc>
                <w:tcPr>
                  <w:tcW w:w="686" w:type="dxa"/>
                  <w:vAlign w:val="center"/>
                </w:tcPr>
                <w:p w:rsidR="00C8623C" w:rsidRPr="007B57C0" w:rsidP="00C8623C">
                  <w:pPr>
                    <w:pStyle w:val="NormalWeb"/>
                    <w:rPr>
                      <w:sz w:val="20"/>
                      <w:szCs w:val="20"/>
                    </w:rPr>
                  </w:pPr>
                  <w:r w:rsidRPr="007B57C0">
                    <w:rPr>
                      <w:sz w:val="20"/>
                      <w:szCs w:val="20"/>
                    </w:rPr>
                    <w:t>2</w:t>
                  </w:r>
                </w:p>
              </w:tc>
              <w:tc>
                <w:tcPr>
                  <w:tcW w:w="915" w:type="dxa"/>
                  <w:vAlign w:val="center"/>
                </w:tcPr>
                <w:p w:rsidR="00C8623C" w:rsidRPr="007B57C0" w:rsidP="00C8623C">
                  <w:pPr>
                    <w:pStyle w:val="NormalWeb"/>
                    <w:rPr>
                      <w:sz w:val="20"/>
                      <w:szCs w:val="20"/>
                    </w:rPr>
                  </w:pPr>
                  <w:r w:rsidRPr="007B57C0">
                    <w:rPr>
                      <w:sz w:val="20"/>
                      <w:szCs w:val="20"/>
                    </w:rPr>
                    <w:t>2</w:t>
                  </w:r>
                </w:p>
              </w:tc>
              <w:tc>
                <w:tcPr>
                  <w:tcW w:w="915" w:type="dxa"/>
                  <w:vAlign w:val="center"/>
                </w:tcPr>
                <w:p w:rsidR="00C8623C" w:rsidRPr="007B57C0" w:rsidP="00C8623C">
                  <w:pPr>
                    <w:pStyle w:val="NormalWeb"/>
                    <w:rPr>
                      <w:sz w:val="20"/>
                      <w:szCs w:val="20"/>
                    </w:rPr>
                  </w:pPr>
                  <w:r w:rsidRPr="007B57C0">
                    <w:rPr>
                      <w:sz w:val="20"/>
                      <w:szCs w:val="20"/>
                    </w:rPr>
                    <w:t>3</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2000 – 2749</w:t>
                  </w:r>
                </w:p>
              </w:tc>
              <w:tc>
                <w:tcPr>
                  <w:tcW w:w="938" w:type="dxa"/>
                  <w:vAlign w:val="center"/>
                </w:tcPr>
                <w:p w:rsidR="00C8623C" w:rsidRPr="007B57C0" w:rsidP="00C8623C">
                  <w:pPr>
                    <w:pStyle w:val="NormalWeb"/>
                    <w:rPr>
                      <w:sz w:val="20"/>
                      <w:szCs w:val="20"/>
                    </w:rPr>
                  </w:pPr>
                  <w:r w:rsidRPr="007B57C0">
                    <w:rPr>
                      <w:sz w:val="20"/>
                      <w:szCs w:val="20"/>
                    </w:rPr>
                    <w:t>6</w:t>
                  </w:r>
                </w:p>
              </w:tc>
              <w:tc>
                <w:tcPr>
                  <w:tcW w:w="800" w:type="dxa"/>
                  <w:vAlign w:val="center"/>
                </w:tcPr>
                <w:p w:rsidR="00C8623C" w:rsidRPr="007B57C0" w:rsidP="00C8623C">
                  <w:pPr>
                    <w:pStyle w:val="NormalWeb"/>
                    <w:rPr>
                      <w:sz w:val="20"/>
                      <w:szCs w:val="20"/>
                    </w:rPr>
                  </w:pPr>
                  <w:r w:rsidRPr="007B57C0">
                    <w:rPr>
                      <w:sz w:val="20"/>
                      <w:szCs w:val="20"/>
                    </w:rPr>
                    <w:t>8</w:t>
                  </w:r>
                </w:p>
              </w:tc>
              <w:tc>
                <w:tcPr>
                  <w:tcW w:w="572" w:type="dxa"/>
                  <w:vAlign w:val="center"/>
                </w:tcPr>
                <w:p w:rsidR="00C8623C" w:rsidRPr="007B57C0" w:rsidP="00C8623C">
                  <w:pPr>
                    <w:pStyle w:val="NormalWeb"/>
                    <w:rPr>
                      <w:sz w:val="20"/>
                      <w:szCs w:val="20"/>
                    </w:rPr>
                  </w:pPr>
                  <w:r w:rsidRPr="007B57C0">
                    <w:rPr>
                      <w:sz w:val="20"/>
                      <w:szCs w:val="20"/>
                    </w:rPr>
                    <w:t>2</w:t>
                  </w:r>
                </w:p>
              </w:tc>
              <w:tc>
                <w:tcPr>
                  <w:tcW w:w="686" w:type="dxa"/>
                  <w:vAlign w:val="center"/>
                </w:tcPr>
                <w:p w:rsidR="00C8623C" w:rsidRPr="007B57C0" w:rsidP="00C8623C">
                  <w:pPr>
                    <w:pStyle w:val="NormalWeb"/>
                    <w:rPr>
                      <w:sz w:val="20"/>
                      <w:szCs w:val="20"/>
                    </w:rPr>
                  </w:pPr>
                  <w:r w:rsidRPr="007B57C0">
                    <w:rPr>
                      <w:sz w:val="20"/>
                      <w:szCs w:val="20"/>
                    </w:rPr>
                    <w:t>3</w:t>
                  </w:r>
                </w:p>
              </w:tc>
              <w:tc>
                <w:tcPr>
                  <w:tcW w:w="915" w:type="dxa"/>
                  <w:vAlign w:val="center"/>
                </w:tcPr>
                <w:p w:rsidR="00C8623C" w:rsidRPr="007B57C0" w:rsidP="00C8623C">
                  <w:pPr>
                    <w:pStyle w:val="NormalWeb"/>
                    <w:rPr>
                      <w:sz w:val="20"/>
                      <w:szCs w:val="20"/>
                    </w:rPr>
                  </w:pPr>
                  <w:r w:rsidRPr="007B57C0">
                    <w:rPr>
                      <w:sz w:val="20"/>
                      <w:szCs w:val="20"/>
                    </w:rPr>
                    <w:t>3</w:t>
                  </w:r>
                </w:p>
              </w:tc>
              <w:tc>
                <w:tcPr>
                  <w:tcW w:w="915" w:type="dxa"/>
                  <w:vAlign w:val="center"/>
                </w:tcPr>
                <w:p w:rsidR="00C8623C" w:rsidRPr="007B57C0" w:rsidP="00C8623C">
                  <w:pPr>
                    <w:pStyle w:val="NormalWeb"/>
                    <w:rPr>
                      <w:sz w:val="20"/>
                      <w:szCs w:val="20"/>
                    </w:rPr>
                  </w:pPr>
                  <w:r w:rsidRPr="007B57C0">
                    <w:rPr>
                      <w:sz w:val="20"/>
                      <w:szCs w:val="20"/>
                    </w:rPr>
                    <w:t>4</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2750 – 3749</w:t>
                  </w:r>
                </w:p>
              </w:tc>
              <w:tc>
                <w:tcPr>
                  <w:tcW w:w="938" w:type="dxa"/>
                  <w:vAlign w:val="center"/>
                </w:tcPr>
                <w:p w:rsidR="00C8623C" w:rsidRPr="007B57C0" w:rsidP="00C8623C">
                  <w:pPr>
                    <w:pStyle w:val="NormalWeb"/>
                    <w:rPr>
                      <w:sz w:val="20"/>
                      <w:szCs w:val="20"/>
                    </w:rPr>
                  </w:pPr>
                  <w:r w:rsidRPr="007B57C0">
                    <w:rPr>
                      <w:sz w:val="20"/>
                      <w:szCs w:val="20"/>
                    </w:rPr>
                    <w:t>7</w:t>
                  </w:r>
                </w:p>
              </w:tc>
              <w:tc>
                <w:tcPr>
                  <w:tcW w:w="800" w:type="dxa"/>
                  <w:vAlign w:val="center"/>
                </w:tcPr>
                <w:p w:rsidR="00C8623C" w:rsidRPr="007B57C0" w:rsidP="00C8623C">
                  <w:pPr>
                    <w:pStyle w:val="NormalWeb"/>
                    <w:rPr>
                      <w:sz w:val="20"/>
                      <w:szCs w:val="20"/>
                    </w:rPr>
                  </w:pPr>
                  <w:r w:rsidRPr="007B57C0">
                    <w:rPr>
                      <w:sz w:val="20"/>
                      <w:szCs w:val="20"/>
                    </w:rPr>
                    <w:t>10</w:t>
                  </w:r>
                </w:p>
              </w:tc>
              <w:tc>
                <w:tcPr>
                  <w:tcW w:w="572" w:type="dxa"/>
                  <w:vAlign w:val="center"/>
                </w:tcPr>
                <w:p w:rsidR="00C8623C" w:rsidRPr="007B57C0" w:rsidP="00C8623C">
                  <w:pPr>
                    <w:pStyle w:val="NormalWeb"/>
                    <w:rPr>
                      <w:sz w:val="20"/>
                      <w:szCs w:val="20"/>
                    </w:rPr>
                  </w:pPr>
                  <w:r w:rsidRPr="007B57C0">
                    <w:rPr>
                      <w:sz w:val="20"/>
                      <w:szCs w:val="20"/>
                    </w:rPr>
                    <w:t>2</w:t>
                  </w:r>
                </w:p>
              </w:tc>
              <w:tc>
                <w:tcPr>
                  <w:tcW w:w="686" w:type="dxa"/>
                  <w:vAlign w:val="center"/>
                </w:tcPr>
                <w:p w:rsidR="00C8623C" w:rsidRPr="007B57C0" w:rsidP="00C8623C">
                  <w:pPr>
                    <w:pStyle w:val="NormalWeb"/>
                    <w:rPr>
                      <w:sz w:val="20"/>
                      <w:szCs w:val="20"/>
                    </w:rPr>
                  </w:pPr>
                  <w:r w:rsidRPr="007B57C0">
                    <w:rPr>
                      <w:sz w:val="20"/>
                      <w:szCs w:val="20"/>
                    </w:rPr>
                    <w:t>3</w:t>
                  </w:r>
                </w:p>
              </w:tc>
              <w:tc>
                <w:tcPr>
                  <w:tcW w:w="915" w:type="dxa"/>
                  <w:vAlign w:val="center"/>
                </w:tcPr>
                <w:p w:rsidR="00C8623C" w:rsidRPr="007B57C0" w:rsidP="00C8623C">
                  <w:pPr>
                    <w:pStyle w:val="NormalWeb"/>
                    <w:rPr>
                      <w:sz w:val="20"/>
                      <w:szCs w:val="20"/>
                    </w:rPr>
                  </w:pPr>
                  <w:r w:rsidRPr="007B57C0">
                    <w:rPr>
                      <w:sz w:val="20"/>
                      <w:szCs w:val="20"/>
                    </w:rPr>
                    <w:t>3</w:t>
                  </w:r>
                </w:p>
              </w:tc>
              <w:tc>
                <w:tcPr>
                  <w:tcW w:w="915" w:type="dxa"/>
                  <w:vAlign w:val="center"/>
                </w:tcPr>
                <w:p w:rsidR="00C8623C" w:rsidRPr="007B57C0" w:rsidP="00C8623C">
                  <w:pPr>
                    <w:pStyle w:val="NormalWeb"/>
                    <w:rPr>
                      <w:sz w:val="20"/>
                      <w:szCs w:val="20"/>
                    </w:rPr>
                  </w:pPr>
                  <w:r w:rsidRPr="007B57C0">
                    <w:rPr>
                      <w:sz w:val="20"/>
                      <w:szCs w:val="20"/>
                    </w:rPr>
                    <w:t>4</w:t>
                  </w:r>
                </w:p>
              </w:tc>
              <w:tc>
                <w:tcPr>
                  <w:tcW w:w="457" w:type="dxa"/>
                  <w:vAlign w:val="center"/>
                </w:tcPr>
                <w:p w:rsidR="00C8623C" w:rsidRPr="007B57C0" w:rsidP="00C8623C">
                  <w:pPr>
                    <w:pStyle w:val="NormalWeb"/>
                    <w:rPr>
                      <w:sz w:val="20"/>
                      <w:szCs w:val="20"/>
                    </w:rPr>
                  </w:pPr>
                  <w:r w:rsidRPr="007B57C0">
                    <w:rPr>
                      <w:sz w:val="20"/>
                      <w:szCs w:val="20"/>
                    </w:rPr>
                    <w:t>1</w:t>
                  </w:r>
                </w:p>
              </w:tc>
              <w:tc>
                <w:tcPr>
                  <w:tcW w:w="571" w:type="dxa"/>
                  <w:vAlign w:val="center"/>
                </w:tcPr>
                <w:p w:rsidR="00C8623C" w:rsidRPr="007B57C0" w:rsidP="00C8623C">
                  <w:pPr>
                    <w:pStyle w:val="NormalWeb"/>
                    <w:rPr>
                      <w:sz w:val="20"/>
                      <w:szCs w:val="20"/>
                    </w:rPr>
                  </w:pPr>
                  <w:r w:rsidRPr="007B57C0">
                    <w:rPr>
                      <w:sz w:val="20"/>
                      <w:szCs w:val="20"/>
                    </w:rPr>
                    <w:t>1</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3750 – 4749</w:t>
                  </w:r>
                </w:p>
              </w:tc>
              <w:tc>
                <w:tcPr>
                  <w:tcW w:w="938" w:type="dxa"/>
                  <w:vAlign w:val="center"/>
                </w:tcPr>
                <w:p w:rsidR="00C8623C" w:rsidRPr="007B57C0" w:rsidP="00C8623C">
                  <w:pPr>
                    <w:pStyle w:val="NormalWeb"/>
                    <w:rPr>
                      <w:sz w:val="20"/>
                      <w:szCs w:val="20"/>
                    </w:rPr>
                  </w:pPr>
                  <w:r w:rsidRPr="007B57C0">
                    <w:rPr>
                      <w:sz w:val="20"/>
                      <w:szCs w:val="20"/>
                    </w:rPr>
                    <w:t>8</w:t>
                  </w:r>
                </w:p>
              </w:tc>
              <w:tc>
                <w:tcPr>
                  <w:tcW w:w="800" w:type="dxa"/>
                  <w:vAlign w:val="center"/>
                </w:tcPr>
                <w:p w:rsidR="00C8623C" w:rsidRPr="007B57C0" w:rsidP="00C8623C">
                  <w:pPr>
                    <w:pStyle w:val="NormalWeb"/>
                    <w:rPr>
                      <w:sz w:val="20"/>
                      <w:szCs w:val="20"/>
                    </w:rPr>
                  </w:pPr>
                  <w:r w:rsidRPr="007B57C0">
                    <w:rPr>
                      <w:sz w:val="20"/>
                      <w:szCs w:val="20"/>
                    </w:rPr>
                    <w:t>11</w:t>
                  </w:r>
                </w:p>
              </w:tc>
              <w:tc>
                <w:tcPr>
                  <w:tcW w:w="572" w:type="dxa"/>
                  <w:vAlign w:val="center"/>
                </w:tcPr>
                <w:p w:rsidR="00C8623C" w:rsidRPr="007B57C0" w:rsidP="00C8623C">
                  <w:pPr>
                    <w:pStyle w:val="NormalWeb"/>
                    <w:rPr>
                      <w:sz w:val="20"/>
                      <w:szCs w:val="20"/>
                    </w:rPr>
                  </w:pPr>
                  <w:r w:rsidRPr="007B57C0">
                    <w:rPr>
                      <w:sz w:val="20"/>
                      <w:szCs w:val="20"/>
                    </w:rPr>
                    <w:t>3</w:t>
                  </w:r>
                </w:p>
              </w:tc>
              <w:tc>
                <w:tcPr>
                  <w:tcW w:w="686" w:type="dxa"/>
                  <w:vAlign w:val="center"/>
                </w:tcPr>
                <w:p w:rsidR="00C8623C" w:rsidRPr="007B57C0" w:rsidP="00C8623C">
                  <w:pPr>
                    <w:pStyle w:val="NormalWeb"/>
                    <w:rPr>
                      <w:sz w:val="20"/>
                      <w:szCs w:val="20"/>
                    </w:rPr>
                  </w:pPr>
                  <w:r w:rsidRPr="007B57C0">
                    <w:rPr>
                      <w:sz w:val="20"/>
                      <w:szCs w:val="20"/>
                    </w:rPr>
                    <w:t>4</w:t>
                  </w:r>
                </w:p>
              </w:tc>
              <w:tc>
                <w:tcPr>
                  <w:tcW w:w="915" w:type="dxa"/>
                  <w:vAlign w:val="center"/>
                </w:tcPr>
                <w:p w:rsidR="00C8623C" w:rsidRPr="007B57C0" w:rsidP="00C8623C">
                  <w:pPr>
                    <w:pStyle w:val="NormalWeb"/>
                    <w:rPr>
                      <w:sz w:val="20"/>
                      <w:szCs w:val="20"/>
                    </w:rPr>
                  </w:pPr>
                  <w:r w:rsidRPr="007B57C0">
                    <w:rPr>
                      <w:sz w:val="20"/>
                      <w:szCs w:val="20"/>
                    </w:rPr>
                    <w:t>3</w:t>
                  </w:r>
                </w:p>
              </w:tc>
              <w:tc>
                <w:tcPr>
                  <w:tcW w:w="915" w:type="dxa"/>
                  <w:vAlign w:val="center"/>
                </w:tcPr>
                <w:p w:rsidR="00C8623C" w:rsidRPr="007B57C0" w:rsidP="00C8623C">
                  <w:pPr>
                    <w:pStyle w:val="NormalWeb"/>
                    <w:rPr>
                      <w:sz w:val="20"/>
                      <w:szCs w:val="20"/>
                    </w:rPr>
                  </w:pPr>
                  <w:r w:rsidRPr="007B57C0">
                    <w:rPr>
                      <w:sz w:val="20"/>
                      <w:szCs w:val="20"/>
                    </w:rPr>
                    <w:t>6</w:t>
                  </w:r>
                </w:p>
              </w:tc>
              <w:tc>
                <w:tcPr>
                  <w:tcW w:w="457" w:type="dxa"/>
                  <w:vAlign w:val="center"/>
                </w:tcPr>
                <w:p w:rsidR="00C8623C" w:rsidRPr="007B57C0" w:rsidP="00C8623C">
                  <w:pPr>
                    <w:pStyle w:val="NormalWeb"/>
                    <w:rPr>
                      <w:sz w:val="20"/>
                      <w:szCs w:val="20"/>
                    </w:rPr>
                  </w:pPr>
                  <w:r w:rsidRPr="007B57C0">
                    <w:rPr>
                      <w:sz w:val="20"/>
                      <w:szCs w:val="20"/>
                    </w:rPr>
                    <w:t>2</w:t>
                  </w:r>
                </w:p>
              </w:tc>
              <w:tc>
                <w:tcPr>
                  <w:tcW w:w="571" w:type="dxa"/>
                  <w:vAlign w:val="center"/>
                </w:tcPr>
                <w:p w:rsidR="00C8623C" w:rsidRPr="007B57C0" w:rsidP="00C8623C">
                  <w:pPr>
                    <w:pStyle w:val="NormalWeb"/>
                    <w:rPr>
                      <w:sz w:val="20"/>
                      <w:szCs w:val="20"/>
                    </w:rPr>
                  </w:pPr>
                  <w:r w:rsidRPr="007B57C0">
                    <w:rPr>
                      <w:sz w:val="20"/>
                      <w:szCs w:val="20"/>
                    </w:rPr>
                    <w:t>2</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4750 – 5999</w:t>
                  </w:r>
                </w:p>
              </w:tc>
              <w:tc>
                <w:tcPr>
                  <w:tcW w:w="938" w:type="dxa"/>
                  <w:vAlign w:val="center"/>
                </w:tcPr>
                <w:p w:rsidR="00C8623C" w:rsidRPr="007B57C0" w:rsidP="00C8623C">
                  <w:pPr>
                    <w:pStyle w:val="NormalWeb"/>
                    <w:rPr>
                      <w:sz w:val="20"/>
                      <w:szCs w:val="20"/>
                    </w:rPr>
                  </w:pPr>
                  <w:r w:rsidRPr="007B57C0">
                    <w:rPr>
                      <w:sz w:val="20"/>
                      <w:szCs w:val="20"/>
                    </w:rPr>
                    <w:t>9</w:t>
                  </w:r>
                </w:p>
              </w:tc>
              <w:tc>
                <w:tcPr>
                  <w:tcW w:w="800" w:type="dxa"/>
                  <w:vAlign w:val="center"/>
                </w:tcPr>
                <w:p w:rsidR="00C8623C" w:rsidRPr="007B57C0" w:rsidP="00C8623C">
                  <w:pPr>
                    <w:pStyle w:val="NormalWeb"/>
                    <w:rPr>
                      <w:sz w:val="20"/>
                      <w:szCs w:val="20"/>
                    </w:rPr>
                  </w:pPr>
                  <w:r w:rsidRPr="007B57C0">
                    <w:rPr>
                      <w:sz w:val="20"/>
                      <w:szCs w:val="20"/>
                    </w:rPr>
                    <w:t>13</w:t>
                  </w:r>
                </w:p>
              </w:tc>
              <w:tc>
                <w:tcPr>
                  <w:tcW w:w="572" w:type="dxa"/>
                  <w:vAlign w:val="center"/>
                </w:tcPr>
                <w:p w:rsidR="00C8623C" w:rsidRPr="007B57C0" w:rsidP="00C8623C">
                  <w:pPr>
                    <w:pStyle w:val="NormalWeb"/>
                    <w:rPr>
                      <w:sz w:val="20"/>
                      <w:szCs w:val="20"/>
                    </w:rPr>
                  </w:pPr>
                  <w:r w:rsidRPr="007B57C0">
                    <w:rPr>
                      <w:sz w:val="20"/>
                      <w:szCs w:val="20"/>
                    </w:rPr>
                    <w:t>4</w:t>
                  </w:r>
                </w:p>
              </w:tc>
              <w:tc>
                <w:tcPr>
                  <w:tcW w:w="686" w:type="dxa"/>
                  <w:vAlign w:val="center"/>
                </w:tcPr>
                <w:p w:rsidR="00C8623C" w:rsidRPr="007B57C0" w:rsidP="00C8623C">
                  <w:pPr>
                    <w:pStyle w:val="NormalWeb"/>
                    <w:rPr>
                      <w:sz w:val="20"/>
                      <w:szCs w:val="20"/>
                    </w:rPr>
                  </w:pPr>
                  <w:r w:rsidRPr="007B57C0">
                    <w:rPr>
                      <w:sz w:val="20"/>
                      <w:szCs w:val="20"/>
                    </w:rPr>
                    <w:t>5</w:t>
                  </w:r>
                </w:p>
              </w:tc>
              <w:tc>
                <w:tcPr>
                  <w:tcW w:w="915" w:type="dxa"/>
                  <w:vAlign w:val="center"/>
                </w:tcPr>
                <w:p w:rsidR="00C8623C" w:rsidRPr="007B57C0" w:rsidP="00C8623C">
                  <w:pPr>
                    <w:pStyle w:val="NormalWeb"/>
                    <w:rPr>
                      <w:sz w:val="20"/>
                      <w:szCs w:val="20"/>
                    </w:rPr>
                  </w:pPr>
                  <w:r w:rsidRPr="007B57C0">
                    <w:rPr>
                      <w:sz w:val="20"/>
                      <w:szCs w:val="20"/>
                    </w:rPr>
                    <w:t>4</w:t>
                  </w:r>
                </w:p>
              </w:tc>
              <w:tc>
                <w:tcPr>
                  <w:tcW w:w="915" w:type="dxa"/>
                  <w:vAlign w:val="center"/>
                </w:tcPr>
                <w:p w:rsidR="00C8623C" w:rsidRPr="007B57C0" w:rsidP="00C8623C">
                  <w:pPr>
                    <w:pStyle w:val="NormalWeb"/>
                    <w:rPr>
                      <w:sz w:val="20"/>
                      <w:szCs w:val="20"/>
                    </w:rPr>
                  </w:pPr>
                  <w:r w:rsidRPr="007B57C0">
                    <w:rPr>
                      <w:sz w:val="20"/>
                      <w:szCs w:val="20"/>
                    </w:rPr>
                    <w:t>6</w:t>
                  </w:r>
                </w:p>
              </w:tc>
              <w:tc>
                <w:tcPr>
                  <w:tcW w:w="457" w:type="dxa"/>
                  <w:vAlign w:val="center"/>
                </w:tcPr>
                <w:p w:rsidR="00C8623C" w:rsidRPr="007B57C0" w:rsidP="00C8623C">
                  <w:pPr>
                    <w:pStyle w:val="NormalWeb"/>
                    <w:rPr>
                      <w:sz w:val="20"/>
                      <w:szCs w:val="20"/>
                    </w:rPr>
                  </w:pPr>
                  <w:r w:rsidRPr="007B57C0">
                    <w:rPr>
                      <w:sz w:val="20"/>
                      <w:szCs w:val="20"/>
                    </w:rPr>
                    <w:t>2</w:t>
                  </w:r>
                </w:p>
              </w:tc>
              <w:tc>
                <w:tcPr>
                  <w:tcW w:w="571" w:type="dxa"/>
                  <w:vAlign w:val="center"/>
                </w:tcPr>
                <w:p w:rsidR="00C8623C" w:rsidRPr="007B57C0" w:rsidP="00C8623C">
                  <w:pPr>
                    <w:pStyle w:val="NormalWeb"/>
                    <w:rPr>
                      <w:sz w:val="20"/>
                      <w:szCs w:val="20"/>
                    </w:rPr>
                  </w:pPr>
                  <w:r w:rsidRPr="007B57C0">
                    <w:rPr>
                      <w:sz w:val="20"/>
                      <w:szCs w:val="20"/>
                    </w:rPr>
                    <w:t>2</w:t>
                  </w:r>
                </w:p>
              </w:tc>
            </w:tr>
            <w:tr w:rsidTr="00C8623C">
              <w:tblPrEx>
                <w:tblW w:w="7000" w:type="dxa"/>
                <w:tblInd w:w="392" w:type="dxa"/>
                <w:tblLayout w:type="fixed"/>
                <w:tblLook w:val="01E0"/>
              </w:tblPrEx>
              <w:trPr>
                <w:trHeight w:val="329"/>
              </w:trPr>
              <w:tc>
                <w:tcPr>
                  <w:tcW w:w="1143" w:type="dxa"/>
                  <w:vAlign w:val="center"/>
                </w:tcPr>
                <w:p w:rsidR="00C8623C" w:rsidRPr="007B57C0" w:rsidP="00C8623C">
                  <w:pPr>
                    <w:pStyle w:val="NormalWeb"/>
                    <w:rPr>
                      <w:sz w:val="20"/>
                      <w:szCs w:val="20"/>
                    </w:rPr>
                  </w:pPr>
                  <w:r w:rsidRPr="007B57C0">
                    <w:rPr>
                      <w:sz w:val="20"/>
                      <w:szCs w:val="20"/>
                    </w:rPr>
                    <w:t>≥ 6000</w:t>
                  </w:r>
                </w:p>
              </w:tc>
              <w:tc>
                <w:tcPr>
                  <w:tcW w:w="938" w:type="dxa"/>
                  <w:vAlign w:val="center"/>
                </w:tcPr>
                <w:p w:rsidR="00C8623C" w:rsidRPr="007B57C0" w:rsidP="00C8623C">
                  <w:pPr>
                    <w:pStyle w:val="NormalWeb"/>
                    <w:rPr>
                      <w:sz w:val="20"/>
                      <w:szCs w:val="20"/>
                    </w:rPr>
                  </w:pPr>
                  <w:r w:rsidRPr="007B57C0">
                    <w:rPr>
                      <w:sz w:val="20"/>
                      <w:szCs w:val="20"/>
                    </w:rPr>
                    <w:t>10</w:t>
                  </w:r>
                </w:p>
              </w:tc>
              <w:tc>
                <w:tcPr>
                  <w:tcW w:w="800" w:type="dxa"/>
                  <w:vAlign w:val="center"/>
                </w:tcPr>
                <w:p w:rsidR="00C8623C" w:rsidRPr="007B57C0" w:rsidP="00C8623C">
                  <w:pPr>
                    <w:pStyle w:val="NormalWeb"/>
                    <w:rPr>
                      <w:sz w:val="20"/>
                      <w:szCs w:val="20"/>
                    </w:rPr>
                  </w:pPr>
                  <w:r w:rsidRPr="007B57C0">
                    <w:rPr>
                      <w:sz w:val="20"/>
                      <w:szCs w:val="20"/>
                    </w:rPr>
                    <w:t>15</w:t>
                  </w:r>
                </w:p>
              </w:tc>
              <w:tc>
                <w:tcPr>
                  <w:tcW w:w="572" w:type="dxa"/>
                  <w:vAlign w:val="center"/>
                </w:tcPr>
                <w:p w:rsidR="00C8623C" w:rsidRPr="007B57C0" w:rsidP="00C8623C">
                  <w:pPr>
                    <w:pStyle w:val="NormalWeb"/>
                    <w:rPr>
                      <w:sz w:val="20"/>
                      <w:szCs w:val="20"/>
                    </w:rPr>
                  </w:pPr>
                  <w:r w:rsidRPr="007B57C0">
                    <w:rPr>
                      <w:sz w:val="20"/>
                      <w:szCs w:val="20"/>
                    </w:rPr>
                    <w:t>5</w:t>
                  </w:r>
                </w:p>
              </w:tc>
              <w:tc>
                <w:tcPr>
                  <w:tcW w:w="686" w:type="dxa"/>
                  <w:vAlign w:val="center"/>
                </w:tcPr>
                <w:p w:rsidR="00C8623C" w:rsidRPr="007B57C0" w:rsidP="00C8623C">
                  <w:pPr>
                    <w:pStyle w:val="NormalWeb"/>
                    <w:rPr>
                      <w:sz w:val="20"/>
                      <w:szCs w:val="20"/>
                    </w:rPr>
                  </w:pPr>
                  <w:r w:rsidRPr="007B57C0">
                    <w:rPr>
                      <w:sz w:val="20"/>
                      <w:szCs w:val="20"/>
                    </w:rPr>
                    <w:t>5</w:t>
                  </w:r>
                </w:p>
              </w:tc>
              <w:tc>
                <w:tcPr>
                  <w:tcW w:w="915" w:type="dxa"/>
                  <w:vAlign w:val="center"/>
                </w:tcPr>
                <w:p w:rsidR="00C8623C" w:rsidRPr="007B57C0" w:rsidP="00C8623C">
                  <w:pPr>
                    <w:pStyle w:val="NormalWeb"/>
                    <w:rPr>
                      <w:sz w:val="20"/>
                      <w:szCs w:val="20"/>
                    </w:rPr>
                  </w:pPr>
                  <w:r w:rsidRPr="007B57C0">
                    <w:rPr>
                      <w:sz w:val="20"/>
                      <w:szCs w:val="20"/>
                    </w:rPr>
                    <w:t>4</w:t>
                  </w:r>
                </w:p>
              </w:tc>
              <w:tc>
                <w:tcPr>
                  <w:tcW w:w="915" w:type="dxa"/>
                  <w:vAlign w:val="center"/>
                </w:tcPr>
                <w:p w:rsidR="00C8623C" w:rsidRPr="007B57C0" w:rsidP="00C8623C">
                  <w:pPr>
                    <w:pStyle w:val="NormalWeb"/>
                    <w:rPr>
                      <w:sz w:val="20"/>
                      <w:szCs w:val="20"/>
                    </w:rPr>
                  </w:pPr>
                  <w:r w:rsidRPr="007B57C0">
                    <w:rPr>
                      <w:sz w:val="20"/>
                      <w:szCs w:val="20"/>
                    </w:rPr>
                    <w:t>7</w:t>
                  </w:r>
                </w:p>
              </w:tc>
              <w:tc>
                <w:tcPr>
                  <w:tcW w:w="457" w:type="dxa"/>
                  <w:vAlign w:val="center"/>
                </w:tcPr>
                <w:p w:rsidR="00C8623C" w:rsidRPr="007B57C0" w:rsidP="00C8623C">
                  <w:pPr>
                    <w:pStyle w:val="NormalWeb"/>
                    <w:rPr>
                      <w:sz w:val="20"/>
                      <w:szCs w:val="20"/>
                    </w:rPr>
                  </w:pPr>
                  <w:r w:rsidRPr="007B57C0">
                    <w:rPr>
                      <w:sz w:val="20"/>
                      <w:szCs w:val="20"/>
                    </w:rPr>
                    <w:t>2</w:t>
                  </w:r>
                </w:p>
              </w:tc>
              <w:tc>
                <w:tcPr>
                  <w:tcW w:w="571" w:type="dxa"/>
                  <w:vAlign w:val="center"/>
                </w:tcPr>
                <w:p w:rsidR="00C8623C" w:rsidRPr="007B57C0" w:rsidP="00C8623C">
                  <w:pPr>
                    <w:pStyle w:val="NormalWeb"/>
                    <w:rPr>
                      <w:sz w:val="20"/>
                      <w:szCs w:val="20"/>
                    </w:rPr>
                  </w:pPr>
                  <w:r w:rsidRPr="007B57C0">
                    <w:rPr>
                      <w:sz w:val="20"/>
                      <w:szCs w:val="20"/>
                    </w:rPr>
                    <w:t>2</w:t>
                  </w:r>
                </w:p>
              </w:tc>
            </w:tr>
          </w:tbl>
          <w:p w:rsidR="00C8623C" w:rsidRPr="00C010DF" w:rsidP="00C8623C">
            <w:pPr>
              <w:pStyle w:val="NormalWeb"/>
              <w:rPr>
                <w:sz w:val="18"/>
                <w:szCs w:val="18"/>
              </w:rPr>
            </w:pPr>
            <w:r w:rsidRPr="00C010DF">
              <w:rPr>
                <w:sz w:val="18"/>
                <w:szCs w:val="18"/>
              </w:rPr>
              <w:t xml:space="preserve">Poznámky: </w:t>
            </w:r>
          </w:p>
          <w:p w:rsidR="00C8623C" w:rsidRPr="00C010DF" w:rsidP="00C8623C">
            <w:pPr>
              <w:pStyle w:val="NormalWeb"/>
              <w:rPr>
                <w:sz w:val="18"/>
                <w:szCs w:val="18"/>
              </w:rPr>
            </w:pPr>
            <w:r w:rsidRPr="00E71D89">
              <w:rPr>
                <w:sz w:val="20"/>
                <w:szCs w:val="20"/>
                <w:vertAlign w:val="superscript"/>
              </w:rPr>
              <w:t>1</w:t>
            </w:r>
            <w:r w:rsidRPr="00C010DF">
              <w:rPr>
                <w:sz w:val="18"/>
                <w:szCs w:val="18"/>
              </w:rPr>
              <w:t>) Pre oxid dusičitý, suspendované častice, benzén a oxid uhoľnatý zahrnúť aspoň jednu monitorovaciu stanicu na mestskom pozadí a jednu stanicu orientovanú na dopravu pod podmienkou, že to nezvýši počet vzorkovacích miest. Pre tieto znečisťujúce látky sa celkový počet mestských pozaďových staníc a celkový počet staníc orientovaných na dopravu požadovaný v tabuľke nesmie líšiť o viac ako dvojnásobok. Vzorkovacie miesta, na ktorých sa za posledné tri roky limitná hodnota pre PM</w:t>
            </w:r>
            <w:r w:rsidRPr="00C010DF">
              <w:rPr>
                <w:sz w:val="18"/>
                <w:szCs w:val="18"/>
                <w:vertAlign w:val="subscript"/>
              </w:rPr>
              <w:t>10</w:t>
            </w:r>
            <w:r w:rsidRPr="00C010DF">
              <w:rPr>
                <w:sz w:val="18"/>
                <w:szCs w:val="18"/>
              </w:rPr>
              <w:t xml:space="preserve"> prekročila, sa zachovajú, ak nie je potrebné premiestnenie v dôsledku osobitných okolností, najmä územného rozvoja. Z najmenšieho počtu vzorkovacích miest As, Cd, Ni a BaP aspoň jedno miesto  sa umiestni na monitorovacej stanici v mestskom pozadí a pri monitorovaní BaP aj na dopravnej monitorovacej stanici, ak sa nezvýši celkový počet vzorkovacích miest.</w:t>
            </w:r>
          </w:p>
          <w:p w:rsidR="00C8623C" w:rsidRPr="00C010DF" w:rsidP="00C8623C">
            <w:pPr>
              <w:pStyle w:val="NormalWeb"/>
              <w:rPr>
                <w:sz w:val="18"/>
                <w:szCs w:val="18"/>
              </w:rPr>
            </w:pPr>
            <w:r w:rsidRPr="00C010DF">
              <w:rPr>
                <w:sz w:val="18"/>
                <w:szCs w:val="18"/>
                <w:vertAlign w:val="superscript"/>
              </w:rPr>
              <w:t>2</w:t>
            </w:r>
            <w:r w:rsidRPr="00C010DF">
              <w:rPr>
                <w:sz w:val="18"/>
                <w:szCs w:val="18"/>
              </w:rPr>
              <w:t>) Ak sa PM</w:t>
            </w:r>
            <w:r w:rsidRPr="00C010DF">
              <w:rPr>
                <w:sz w:val="18"/>
                <w:szCs w:val="18"/>
                <w:vertAlign w:val="subscript"/>
              </w:rPr>
              <w:t xml:space="preserve">2,5 </w:t>
            </w:r>
            <w:r w:rsidRPr="00C010DF">
              <w:rPr>
                <w:sz w:val="18"/>
                <w:szCs w:val="18"/>
              </w:rPr>
              <w:t>a PM</w:t>
            </w:r>
            <w:r w:rsidRPr="00C010DF">
              <w:rPr>
                <w:sz w:val="18"/>
                <w:szCs w:val="18"/>
                <w:vertAlign w:val="subscript"/>
              </w:rPr>
              <w:t>10</w:t>
            </w:r>
            <w:r w:rsidRPr="00C010DF">
              <w:rPr>
                <w:sz w:val="18"/>
                <w:szCs w:val="18"/>
              </w:rPr>
              <w:t xml:space="preserve"> merajú podľa metód v prílohe č. 5 na tej istej monitorovacej stanici, počítajú sa za dve rozdielne vzorkovacie miesta. Celkový počet vzorkovacích miest pre PM</w:t>
            </w:r>
            <w:r w:rsidRPr="00C010DF">
              <w:rPr>
                <w:sz w:val="18"/>
                <w:szCs w:val="18"/>
                <w:vertAlign w:val="subscript"/>
              </w:rPr>
              <w:t xml:space="preserve">2,5 </w:t>
            </w:r>
            <w:r w:rsidRPr="00C010DF">
              <w:rPr>
                <w:sz w:val="18"/>
                <w:szCs w:val="18"/>
              </w:rPr>
              <w:t>a PM</w:t>
            </w:r>
            <w:r w:rsidRPr="00C010DF">
              <w:rPr>
                <w:sz w:val="18"/>
                <w:szCs w:val="18"/>
                <w:vertAlign w:val="subscript"/>
              </w:rPr>
              <w:t>10</w:t>
            </w:r>
            <w:r w:rsidRPr="00C010DF">
              <w:rPr>
                <w:sz w:val="18"/>
                <w:szCs w:val="18"/>
              </w:rPr>
              <w:t>, ktorý sa požaduje podľa tabuľky, sa nesmie líšiť o viac ako dvojnásobok a  súčasne pre určenie počtu vzorkovacích miest pre PM</w:t>
            </w:r>
            <w:r w:rsidRPr="00C010DF">
              <w:rPr>
                <w:sz w:val="18"/>
                <w:szCs w:val="18"/>
                <w:vertAlign w:val="subscript"/>
              </w:rPr>
              <w:t xml:space="preserve">2,5 </w:t>
            </w:r>
            <w:r w:rsidRPr="00C010DF">
              <w:rPr>
                <w:sz w:val="18"/>
                <w:szCs w:val="18"/>
              </w:rPr>
              <w:t>v mestskom pozadí aglomerácií a mestských oblastí sa  uplatňujú požiadavky podľa písmena B.</w:t>
            </w:r>
          </w:p>
          <w:p w:rsidR="00C8623C" w:rsidRPr="00C8623C" w:rsidP="00C8623C">
            <w:pPr>
              <w:pStyle w:val="NormalWeb"/>
              <w:rPr>
                <w:sz w:val="20"/>
                <w:szCs w:val="20"/>
              </w:rPr>
            </w:pPr>
            <w:r w:rsidRPr="00C8623C">
              <w:rPr>
                <w:sz w:val="20"/>
                <w:szCs w:val="20"/>
              </w:rPr>
              <w:t>2. Bodové zdroje</w:t>
            </w:r>
          </w:p>
          <w:p w:rsidR="00C8623C" w:rsidRPr="00C8623C" w:rsidP="00C8623C">
            <w:pPr>
              <w:pStyle w:val="NormalWeb"/>
              <w:rPr>
                <w:sz w:val="20"/>
                <w:szCs w:val="20"/>
              </w:rPr>
            </w:pPr>
            <w:r w:rsidRPr="00C8623C">
              <w:rPr>
                <w:sz w:val="20"/>
                <w:szCs w:val="20"/>
              </w:rPr>
              <w:t>Na hodnotenie znečistenia ovzdušia v blízkosti bodových zdrojov sa počet vzorkovacích miest pre stále merania vypočíta po zohľadnení zdrojov emisií a pravdepodobného rozloženia znečistenia ovzdušia a možnej expozície obyvateľstva.</w:t>
            </w:r>
          </w:p>
          <w:p w:rsidR="00C8623C" w:rsidRPr="00C8623C" w:rsidP="00C8623C">
            <w:pPr>
              <w:pStyle w:val="NormalWeb"/>
              <w:rPr>
                <w:sz w:val="20"/>
                <w:szCs w:val="20"/>
              </w:rPr>
            </w:pPr>
          </w:p>
          <w:p w:rsidR="00C8623C" w:rsidRPr="00C8623C" w:rsidP="00C8623C">
            <w:pPr>
              <w:pStyle w:val="NormalWeb"/>
              <w:rPr>
                <w:sz w:val="20"/>
                <w:szCs w:val="20"/>
              </w:rPr>
            </w:pPr>
            <w:r w:rsidRPr="00C8623C">
              <w:rPr>
                <w:sz w:val="20"/>
                <w:szCs w:val="20"/>
              </w:rPr>
              <w:t>B. Najmenší počet vzorkovacích miest na stále merania na posúdenie dodržiavania cieľa zníženia expozície pre PM</w:t>
            </w:r>
            <w:r w:rsidRPr="00E71D89">
              <w:rPr>
                <w:sz w:val="20"/>
                <w:szCs w:val="20"/>
                <w:vertAlign w:val="subscript"/>
              </w:rPr>
              <w:t xml:space="preserve">2,5 </w:t>
            </w:r>
            <w:r w:rsidRPr="00C8623C">
              <w:rPr>
                <w:sz w:val="20"/>
                <w:szCs w:val="20"/>
              </w:rPr>
              <w:t>na ochranu zdravia ľudí</w:t>
            </w:r>
          </w:p>
          <w:p w:rsidR="00C8623C" w:rsidRPr="00C8623C" w:rsidP="00C8623C">
            <w:pPr>
              <w:pStyle w:val="NormalWeb"/>
              <w:rPr>
                <w:sz w:val="20"/>
                <w:szCs w:val="20"/>
              </w:rPr>
            </w:pPr>
            <w:r w:rsidRPr="00C8623C">
              <w:rPr>
                <w:sz w:val="20"/>
                <w:szCs w:val="20"/>
              </w:rPr>
              <w:t>Na tento účel sa prevádzkuje jedno vzorkovacie miesto na 1 000 000 obyvateľov spočítaných v aglomeráciách a ďalších mestských oblastiach s viac ako 100 000 obyvateľmi. Tieto vzorkovacie miesta môžu byť totožné so vzorkovacími miestami podľa písmena A.</w:t>
            </w:r>
          </w:p>
          <w:p w:rsidR="00C8623C" w:rsidRPr="00C8623C" w:rsidP="00C8623C">
            <w:pPr>
              <w:pStyle w:val="NormalWeb"/>
              <w:rPr>
                <w:sz w:val="20"/>
                <w:szCs w:val="20"/>
              </w:rPr>
            </w:pPr>
          </w:p>
          <w:p w:rsidR="00C8623C" w:rsidRPr="00C8623C" w:rsidP="00C8623C">
            <w:pPr>
              <w:pStyle w:val="NormalWeb"/>
              <w:rPr>
                <w:sz w:val="20"/>
                <w:szCs w:val="20"/>
              </w:rPr>
            </w:pPr>
            <w:r w:rsidRPr="00C8623C">
              <w:rPr>
                <w:sz w:val="20"/>
                <w:szCs w:val="20"/>
              </w:rPr>
              <w:t>Najmenší počet vzorkovacích miest pre stále merania na posúdenie dodržiavania kritických úrovní znečistenia ovzdušia na ochranu vegetácie v iných zónach ako sú aglomerácie</w:t>
            </w:r>
          </w:p>
          <w:p w:rsidR="00AA3AC2" w:rsidRPr="00C8623C" w:rsidP="00C8623C">
            <w:pPr>
              <w:pStyle w:val="NormalWeb"/>
              <w:rPr>
                <w:sz w:val="20"/>
                <w:szCs w:val="20"/>
              </w:rPr>
            </w:pP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5"/>
              <w:gridCol w:w="3642"/>
            </w:tblGrid>
            <w:tr w:rsidTr="00C8623C">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8"/>
              </w:trPr>
              <w:tc>
                <w:tcPr>
                  <w:tcW w:w="3525" w:type="dxa"/>
                  <w:vAlign w:val="bottom"/>
                </w:tcPr>
                <w:p w:rsidR="00C8623C" w:rsidRPr="00C8623C" w:rsidP="00C8623C">
                  <w:pPr>
                    <w:pStyle w:val="NormalWeb"/>
                    <w:rPr>
                      <w:sz w:val="20"/>
                      <w:szCs w:val="20"/>
                    </w:rPr>
                  </w:pPr>
                  <w:r w:rsidRPr="007B57C0">
                    <w:rPr>
                      <w:sz w:val="20"/>
                      <w:szCs w:val="20"/>
                    </w:rPr>
                    <w:t>Ak najväčšie koncentrácie prekračujú hornú medzu na hodnotenie</w:t>
                  </w:r>
                </w:p>
              </w:tc>
              <w:tc>
                <w:tcPr>
                  <w:tcW w:w="3642" w:type="dxa"/>
                  <w:vAlign w:val="bottom"/>
                </w:tcPr>
                <w:p w:rsidR="00C8623C" w:rsidRPr="00C8623C" w:rsidP="00C8623C">
                  <w:pPr>
                    <w:pStyle w:val="NormalWeb"/>
                    <w:rPr>
                      <w:sz w:val="20"/>
                      <w:szCs w:val="20"/>
                    </w:rPr>
                  </w:pPr>
                  <w:r w:rsidRPr="007B57C0">
                    <w:rPr>
                      <w:sz w:val="20"/>
                      <w:szCs w:val="20"/>
                    </w:rPr>
                    <w:t>Ak sú najväčšie koncentrácie medzi hornou medzou a dolnou medzou na hodnotenie</w:t>
                  </w:r>
                </w:p>
              </w:tc>
            </w:tr>
            <w:tr w:rsidTr="00C8623C">
              <w:tblPrEx>
                <w:tblW w:w="0" w:type="auto"/>
                <w:tblInd w:w="392" w:type="dxa"/>
                <w:tblLayout w:type="fixed"/>
                <w:tblLook w:val="01E0"/>
              </w:tblPrEx>
              <w:trPr>
                <w:trHeight w:val="218"/>
              </w:trPr>
              <w:tc>
                <w:tcPr>
                  <w:tcW w:w="3525" w:type="dxa"/>
                  <w:vAlign w:val="center"/>
                </w:tcPr>
                <w:p w:rsidR="00C8623C" w:rsidRPr="00C8623C" w:rsidP="00C8623C">
                  <w:pPr>
                    <w:pStyle w:val="NormalWeb"/>
                    <w:rPr>
                      <w:sz w:val="20"/>
                      <w:szCs w:val="20"/>
                    </w:rPr>
                  </w:pPr>
                  <w:r w:rsidRPr="007B57C0">
                    <w:rPr>
                      <w:sz w:val="20"/>
                      <w:szCs w:val="20"/>
                    </w:rPr>
                    <w:t>1 stanica na každých 20 000 km</w:t>
                  </w:r>
                  <w:r w:rsidRPr="00E46DD8">
                    <w:rPr>
                      <w:sz w:val="20"/>
                      <w:szCs w:val="20"/>
                      <w:vertAlign w:val="superscript"/>
                    </w:rPr>
                    <w:t>2</w:t>
                  </w:r>
                </w:p>
              </w:tc>
              <w:tc>
                <w:tcPr>
                  <w:tcW w:w="3642" w:type="dxa"/>
                  <w:vAlign w:val="center"/>
                </w:tcPr>
                <w:p w:rsidR="00C8623C" w:rsidRPr="00C8623C" w:rsidP="00C8623C">
                  <w:pPr>
                    <w:pStyle w:val="NormalWeb"/>
                    <w:rPr>
                      <w:sz w:val="20"/>
                      <w:szCs w:val="20"/>
                    </w:rPr>
                  </w:pPr>
                  <w:r w:rsidRPr="007B57C0">
                    <w:rPr>
                      <w:sz w:val="20"/>
                      <w:szCs w:val="20"/>
                    </w:rPr>
                    <w:t>1 stanica na každých 40 000 km</w:t>
                  </w:r>
                  <w:r w:rsidRPr="00E46DD8">
                    <w:rPr>
                      <w:sz w:val="20"/>
                      <w:szCs w:val="20"/>
                      <w:vertAlign w:val="superscript"/>
                    </w:rPr>
                    <w:t>2</w:t>
                  </w:r>
                </w:p>
              </w:tc>
            </w:tr>
          </w:tbl>
          <w:p w:rsidR="006F3CE1" w:rsidRPr="00C8623C" w:rsidP="00C8623C">
            <w:pPr>
              <w:pStyle w:val="NormalWeb"/>
              <w:rPr>
                <w:sz w:val="20"/>
                <w:szCs w:val="20"/>
              </w:rPr>
            </w:pPr>
          </w:p>
          <w:p w:rsidR="00C8623C" w:rsidRPr="00C8623C" w:rsidP="00C8623C">
            <w:pPr>
              <w:pStyle w:val="Heading1"/>
              <w:ind w:left="284" w:hanging="284"/>
              <w:rPr>
                <w:b w:val="0"/>
                <w:sz w:val="20"/>
                <w:lang w:eastAsia="sk-SK"/>
              </w:rPr>
            </w:pPr>
            <w:r w:rsidRPr="00C8623C">
              <w:rPr>
                <w:b w:val="0"/>
                <w:sz w:val="20"/>
                <w:lang w:eastAsia="sk-SK"/>
              </w:rPr>
              <w:t>Časť II.</w:t>
            </w:r>
          </w:p>
          <w:p w:rsidR="00C8623C" w:rsidRPr="00C8623C" w:rsidP="00C8623C">
            <w:pPr>
              <w:pStyle w:val="Heading1"/>
              <w:contextualSpacing/>
              <w:jc w:val="both"/>
              <w:rPr>
                <w:b w:val="0"/>
                <w:sz w:val="20"/>
                <w:lang w:eastAsia="sk-SK"/>
              </w:rPr>
            </w:pPr>
            <w:r w:rsidRPr="00C8623C">
              <w:rPr>
                <w:b w:val="0"/>
                <w:sz w:val="20"/>
                <w:lang w:eastAsia="sk-SK"/>
              </w:rPr>
              <w:t>Kritériá na určenie najmenšieho počtu vzorkovacích miest na stále meranie koncentrácií ozónu</w:t>
            </w:r>
          </w:p>
          <w:p w:rsidR="00C8623C" w:rsidRPr="00C8623C" w:rsidP="00C8623C">
            <w:pPr>
              <w:pStyle w:val="NormalWeb"/>
              <w:keepLines/>
              <w:spacing w:before="0" w:beforeAutospacing="0" w:after="0" w:afterAutospacing="0"/>
              <w:contextualSpacing/>
              <w:rPr>
                <w:sz w:val="20"/>
                <w:szCs w:val="20"/>
              </w:rPr>
            </w:pPr>
          </w:p>
          <w:p w:rsidR="00C8623C" w:rsidRPr="00C8623C" w:rsidP="00C8623C">
            <w:pPr>
              <w:pStyle w:val="NormalWeb"/>
              <w:keepLines/>
              <w:spacing w:before="0" w:beforeAutospacing="0" w:after="0" w:afterAutospacing="0"/>
              <w:ind w:left="284" w:hanging="284"/>
              <w:contextualSpacing/>
              <w:rPr>
                <w:sz w:val="20"/>
                <w:szCs w:val="20"/>
              </w:rPr>
            </w:pPr>
            <w:r w:rsidRPr="00C8623C">
              <w:rPr>
                <w:sz w:val="20"/>
                <w:szCs w:val="20"/>
              </w:rPr>
              <w:t>A. Najmenší počet vzorkovacích miest pre stále  kontinuálne  merania na posúdenie dodržiavania cieľových hodnôt, dlhodobých cieľov a informačných a výstražných prahov, ak sú takéto merania jediným zdrojom informácií</w:t>
            </w:r>
          </w:p>
          <w:p w:rsidR="00C8623C" w:rsidRPr="00C8623C" w:rsidP="00C8623C">
            <w:pPr>
              <w:pStyle w:val="NormalWeb"/>
              <w:keepLines/>
              <w:spacing w:before="0" w:beforeAutospacing="0" w:after="0" w:afterAutospacing="0"/>
              <w:ind w:left="360"/>
              <w:contextualSpacing/>
              <w:rPr>
                <w:sz w:val="20"/>
                <w:szCs w:val="20"/>
              </w:rPr>
            </w:pP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1916"/>
              <w:gridCol w:w="1999"/>
              <w:gridCol w:w="1861"/>
            </w:tblGrid>
            <w:tr w:rsidTr="00C8623C">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hideMark/>
                </w:tcPr>
                <w:p w:rsidR="00C8623C" w:rsidRPr="00C8623C" w:rsidP="00C8623C">
                  <w:pPr>
                    <w:pStyle w:val="NormalWeb"/>
                    <w:keepLines/>
                    <w:spacing w:before="0" w:beforeAutospacing="0" w:after="0" w:afterAutospacing="0"/>
                    <w:contextualSpacing/>
                    <w:rPr>
                      <w:sz w:val="20"/>
                      <w:szCs w:val="20"/>
                    </w:rPr>
                  </w:pPr>
                  <w:r w:rsidRPr="007B57C0">
                    <w:rPr>
                      <w:sz w:val="20"/>
                      <w:szCs w:val="20"/>
                    </w:rPr>
                    <w:t>Počet obyvateľov v tisícoch</w:t>
                  </w:r>
                </w:p>
              </w:tc>
              <w:tc>
                <w:tcPr>
                  <w:tcW w:w="1916" w:type="dxa"/>
                  <w:tcBorders>
                    <w:top w:val="single" w:sz="4" w:space="0" w:color="auto"/>
                    <w:left w:val="single" w:sz="4" w:space="0" w:color="auto"/>
                    <w:bottom w:val="single" w:sz="4" w:space="0" w:color="auto"/>
                    <w:right w:val="single" w:sz="4" w:space="0" w:color="auto"/>
                  </w:tcBorders>
                  <w:hideMark/>
                </w:tcPr>
                <w:p w:rsidR="00C8623C" w:rsidRPr="00C8623C" w:rsidP="00C8623C">
                  <w:pPr>
                    <w:pStyle w:val="NormalWeb"/>
                    <w:keepLines/>
                    <w:spacing w:before="0" w:beforeAutospacing="0" w:after="0" w:afterAutospacing="0"/>
                    <w:contextualSpacing/>
                    <w:rPr>
                      <w:sz w:val="20"/>
                      <w:szCs w:val="20"/>
                    </w:rPr>
                  </w:pPr>
                  <w:r w:rsidRPr="007B57C0">
                    <w:rPr>
                      <w:sz w:val="20"/>
                      <w:szCs w:val="20"/>
                    </w:rPr>
                    <w:t>Aglomerácie mestské a predmestské</w:t>
                  </w:r>
                  <w:r w:rsidRPr="0048523E">
                    <w:rPr>
                      <w:sz w:val="20"/>
                      <w:szCs w:val="20"/>
                      <w:vertAlign w:val="superscript"/>
                    </w:rPr>
                    <w:t>1</w:t>
                  </w:r>
                  <w:r w:rsidRPr="00C8623C">
                    <w:rPr>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rsidR="00C8623C" w:rsidRPr="00C8623C" w:rsidP="00C8623C">
                  <w:pPr>
                    <w:pStyle w:val="NormalWeb"/>
                    <w:keepLines/>
                    <w:spacing w:before="0" w:beforeAutospacing="0" w:after="0" w:afterAutospacing="0"/>
                    <w:contextualSpacing/>
                    <w:rPr>
                      <w:sz w:val="20"/>
                      <w:szCs w:val="20"/>
                    </w:rPr>
                  </w:pPr>
                  <w:r w:rsidRPr="007B57C0">
                    <w:rPr>
                      <w:sz w:val="20"/>
                      <w:szCs w:val="20"/>
                    </w:rPr>
                    <w:t>Ostatné zóny predmestské a vidiecke</w:t>
                  </w:r>
                  <w:r w:rsidRPr="0048523E">
                    <w:rPr>
                      <w:sz w:val="20"/>
                      <w:szCs w:val="20"/>
                      <w:vertAlign w:val="superscript"/>
                    </w:rPr>
                    <w:t>1</w:t>
                  </w:r>
                  <w:r w:rsidRPr="00C8623C">
                    <w:rPr>
                      <w:sz w:val="20"/>
                      <w:szCs w:val="20"/>
                    </w:rPr>
                    <w:t>)</w:t>
                  </w:r>
                </w:p>
              </w:tc>
              <w:tc>
                <w:tcPr>
                  <w:tcW w:w="1861" w:type="dxa"/>
                  <w:tcBorders>
                    <w:top w:val="single" w:sz="4" w:space="0" w:color="auto"/>
                    <w:left w:val="single" w:sz="4" w:space="0" w:color="auto"/>
                    <w:bottom w:val="single" w:sz="4" w:space="0" w:color="auto"/>
                    <w:right w:val="single" w:sz="4" w:space="0" w:color="auto"/>
                  </w:tcBorders>
                  <w:hideMark/>
                </w:tcPr>
                <w:p w:rsidR="00C8623C" w:rsidRPr="00C8623C" w:rsidP="00C8623C">
                  <w:pPr>
                    <w:pStyle w:val="NormalWeb"/>
                    <w:keepLines/>
                    <w:spacing w:before="0" w:beforeAutospacing="0" w:after="0" w:afterAutospacing="0"/>
                    <w:contextualSpacing/>
                    <w:rPr>
                      <w:sz w:val="20"/>
                      <w:szCs w:val="20"/>
                    </w:rPr>
                  </w:pPr>
                  <w:r w:rsidRPr="007B57C0">
                    <w:rPr>
                      <w:sz w:val="20"/>
                      <w:szCs w:val="20"/>
                    </w:rPr>
                    <w:t>Vidiecke pozaďové miesta</w:t>
                  </w: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250</w:t>
                  </w:r>
                </w:p>
              </w:tc>
              <w:tc>
                <w:tcPr>
                  <w:tcW w:w="1916" w:type="dxa"/>
                  <w:tcBorders>
                    <w:top w:val="single" w:sz="4" w:space="0" w:color="auto"/>
                    <w:left w:val="single" w:sz="4" w:space="0" w:color="auto"/>
                    <w:bottom w:val="single" w:sz="4" w:space="0" w:color="auto"/>
                    <w:right w:val="single" w:sz="4" w:space="0" w:color="auto"/>
                  </w:tcBorders>
                  <w:vAlign w:val="center"/>
                </w:tcPr>
                <w:p w:rsidR="00C8623C" w:rsidRPr="007B57C0" w:rsidP="00C8623C">
                  <w:pPr>
                    <w:pStyle w:val="NormalWeb"/>
                    <w:keepLines/>
                    <w:spacing w:before="0" w:beforeAutospacing="0" w:after="0" w:afterAutospacing="0"/>
                    <w:contextualSpacing/>
                    <w:jc w:val="center"/>
                    <w:rPr>
                      <w:sz w:val="20"/>
                      <w:szCs w:val="20"/>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1</w:t>
                  </w:r>
                </w:p>
              </w:tc>
              <w:tc>
                <w:tcPr>
                  <w:tcW w:w="1861" w:type="dxa"/>
                  <w:vMerge w:val="restart"/>
                  <w:tcBorders>
                    <w:top w:val="single" w:sz="4" w:space="0" w:color="auto"/>
                    <w:left w:val="single" w:sz="4" w:space="0" w:color="auto"/>
                    <w:bottom w:val="single" w:sz="4" w:space="0" w:color="auto"/>
                    <w:right w:val="single" w:sz="4" w:space="0" w:color="auto"/>
                  </w:tcBorders>
                  <w:vAlign w:val="center"/>
                </w:tcPr>
                <w:p w:rsidR="00C8623C" w:rsidRPr="00C8623C" w:rsidP="00C8623C">
                  <w:pPr>
                    <w:pStyle w:val="NormalWeb"/>
                    <w:keepLines/>
                    <w:spacing w:before="0" w:beforeAutospacing="0" w:after="0" w:afterAutospacing="0"/>
                    <w:contextualSpacing/>
                    <w:jc w:val="center"/>
                    <w:rPr>
                      <w:sz w:val="20"/>
                      <w:szCs w:val="20"/>
                    </w:rPr>
                  </w:pPr>
                  <w:r w:rsidRPr="007B57C0">
                    <w:rPr>
                      <w:sz w:val="20"/>
                      <w:szCs w:val="20"/>
                    </w:rPr>
                    <w:t>1 stanica/50 000 km</w:t>
                  </w:r>
                  <w:r w:rsidRPr="00C8623C">
                    <w:rPr>
                      <w:sz w:val="20"/>
                      <w:szCs w:val="20"/>
                    </w:rPr>
                    <w:t>2</w:t>
                  </w:r>
                  <w:r w:rsidRPr="007B57C0">
                    <w:rPr>
                      <w:sz w:val="20"/>
                      <w:szCs w:val="20"/>
                    </w:rPr>
                    <w:t xml:space="preserve"> ako priemerná hustota vo všetkých zónach v krajine</w:t>
                  </w:r>
                  <w:r w:rsidRPr="0048523E">
                    <w:rPr>
                      <w:sz w:val="20"/>
                      <w:szCs w:val="20"/>
                      <w:vertAlign w:val="superscript"/>
                    </w:rPr>
                    <w:t>2</w:t>
                  </w:r>
                  <w:r w:rsidRPr="00C8623C">
                    <w:rPr>
                      <w:sz w:val="20"/>
                      <w:szCs w:val="20"/>
                    </w:rPr>
                    <w:t>)</w:t>
                  </w: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500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2</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1000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2</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1500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3</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2000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4</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2750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5</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&lt; 3750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6</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r w:rsidTr="00C8623C">
              <w:tblPrEx>
                <w:tblW w:w="0" w:type="auto"/>
                <w:tblInd w:w="392" w:type="dxa"/>
                <w:tblLayout w:type="fixed"/>
                <w:tblLook w:val="01E0"/>
              </w:tblPrEx>
              <w:trPr>
                <w:trHeight w:val="301"/>
              </w:trPr>
              <w:tc>
                <w:tcPr>
                  <w:tcW w:w="1305" w:type="dxa"/>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pStyle w:val="NormalWeb"/>
                    <w:keepLines/>
                    <w:spacing w:before="0" w:beforeAutospacing="0" w:after="0" w:afterAutospacing="0"/>
                    <w:ind w:left="317"/>
                    <w:contextualSpacing/>
                    <w:rPr>
                      <w:sz w:val="20"/>
                      <w:szCs w:val="20"/>
                    </w:rPr>
                  </w:pPr>
                  <w:r w:rsidRPr="007B57C0">
                    <w:rPr>
                      <w:sz w:val="20"/>
                      <w:szCs w:val="20"/>
                    </w:rPr>
                    <w:t>&gt; 3750</w:t>
                  </w:r>
                </w:p>
              </w:tc>
              <w:tc>
                <w:tcPr>
                  <w:tcW w:w="1916"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 xml:space="preserve">1 dodatočná stanica </w:t>
                  </w:r>
                </w:p>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na 2 milióny obyvateľov</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 xml:space="preserve">1 dodatočná stanica </w:t>
                  </w:r>
                </w:p>
                <w:p w:rsidR="00C8623C" w:rsidRPr="007B57C0" w:rsidP="00C8623C">
                  <w:pPr>
                    <w:pStyle w:val="NormalWeb"/>
                    <w:keepLines/>
                    <w:spacing w:before="0" w:beforeAutospacing="0" w:after="0" w:afterAutospacing="0"/>
                    <w:contextualSpacing/>
                    <w:jc w:val="center"/>
                    <w:rPr>
                      <w:sz w:val="20"/>
                      <w:szCs w:val="20"/>
                    </w:rPr>
                  </w:pPr>
                  <w:r w:rsidRPr="007B57C0">
                    <w:rPr>
                      <w:sz w:val="20"/>
                      <w:szCs w:val="20"/>
                    </w:rPr>
                    <w:t>na 2 milióny obyvateľov</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8623C" w:rsidRPr="00C8623C" w:rsidP="00C8623C">
                  <w:pPr>
                    <w:keepNext/>
                    <w:keepLines/>
                    <w:contextualSpacing/>
                    <w:jc w:val="center"/>
                    <w:rPr>
                      <w:sz w:val="20"/>
                      <w:lang w:eastAsia="sk-SK"/>
                    </w:rPr>
                  </w:pPr>
                </w:p>
              </w:tc>
            </w:tr>
          </w:tbl>
          <w:p w:rsidR="00C8623C" w:rsidRPr="00C010DF" w:rsidP="00C8623C">
            <w:pPr>
              <w:pStyle w:val="NormalWeb"/>
              <w:keepLines/>
              <w:spacing w:before="0" w:beforeAutospacing="0" w:after="0" w:afterAutospacing="0"/>
              <w:ind w:left="426"/>
              <w:contextualSpacing/>
              <w:rPr>
                <w:sz w:val="18"/>
                <w:szCs w:val="18"/>
              </w:rPr>
            </w:pPr>
            <w:r w:rsidRPr="00C010DF">
              <w:rPr>
                <w:sz w:val="18"/>
                <w:szCs w:val="18"/>
              </w:rPr>
              <w:t xml:space="preserve">Poznámky: </w:t>
            </w:r>
          </w:p>
          <w:p w:rsidR="00C8623C" w:rsidRPr="00C010DF" w:rsidP="00C8623C">
            <w:pPr>
              <w:pStyle w:val="NormalWeb"/>
              <w:keepLines/>
              <w:spacing w:before="0" w:beforeAutospacing="0" w:after="0" w:afterAutospacing="0"/>
              <w:ind w:left="426"/>
              <w:contextualSpacing/>
              <w:rPr>
                <w:sz w:val="18"/>
                <w:szCs w:val="18"/>
              </w:rPr>
            </w:pPr>
            <w:r w:rsidRPr="00C010DF">
              <w:rPr>
                <w:sz w:val="18"/>
                <w:szCs w:val="18"/>
                <w:vertAlign w:val="superscript"/>
              </w:rPr>
              <w:t>1</w:t>
            </w:r>
            <w:r w:rsidRPr="00C010DF">
              <w:rPr>
                <w:sz w:val="18"/>
                <w:szCs w:val="18"/>
              </w:rPr>
              <w:t>) Aspoň 1 stanica v predmestskej oblasti, v ktorej sa pravdepodobne vyskytne najvyššia expozícia obyvateľstva. V aglomeráciách sa najmenej 50 % staníc umiestni v predmestských oblastiach.</w:t>
            </w:r>
          </w:p>
          <w:p w:rsidR="00C8623C" w:rsidRPr="00C010DF" w:rsidP="00C8623C">
            <w:pPr>
              <w:pStyle w:val="NormalWeb"/>
              <w:keepLines/>
              <w:spacing w:before="0" w:beforeAutospacing="0" w:after="0" w:afterAutospacing="0"/>
              <w:ind w:left="426"/>
              <w:contextualSpacing/>
              <w:rPr>
                <w:sz w:val="18"/>
                <w:szCs w:val="18"/>
              </w:rPr>
            </w:pPr>
            <w:r w:rsidRPr="00C010DF">
              <w:rPr>
                <w:sz w:val="18"/>
                <w:szCs w:val="18"/>
                <w:vertAlign w:val="superscript"/>
              </w:rPr>
              <w:t>2</w:t>
            </w:r>
            <w:r w:rsidRPr="00C010DF">
              <w:rPr>
                <w:sz w:val="18"/>
                <w:szCs w:val="18"/>
              </w:rPr>
              <w:t>) V zložitom teréne sa odporúča 1 stanica na 25 000 km</w:t>
            </w:r>
            <w:r w:rsidRPr="00E46DD8">
              <w:rPr>
                <w:sz w:val="18"/>
                <w:szCs w:val="18"/>
                <w:vertAlign w:val="superscript"/>
              </w:rPr>
              <w:t>2</w:t>
            </w:r>
            <w:r w:rsidRPr="00C010DF">
              <w:rPr>
                <w:sz w:val="18"/>
                <w:szCs w:val="18"/>
              </w:rPr>
              <w:t>.</w:t>
            </w:r>
          </w:p>
          <w:p w:rsidR="00C8623C" w:rsidRPr="00C8623C" w:rsidP="00C010DF">
            <w:pPr>
              <w:pStyle w:val="NormalWeb"/>
              <w:keepLines/>
              <w:spacing w:before="0" w:beforeAutospacing="0" w:after="0" w:afterAutospacing="0"/>
              <w:contextualSpacing/>
              <w:rPr>
                <w:sz w:val="20"/>
                <w:szCs w:val="20"/>
              </w:rPr>
            </w:pPr>
          </w:p>
          <w:p w:rsidR="00C8623C" w:rsidRPr="00C8623C" w:rsidP="00C8623C">
            <w:pPr>
              <w:pStyle w:val="NormalWeb"/>
              <w:keepLines/>
              <w:spacing w:before="0" w:beforeAutospacing="0" w:after="0" w:afterAutospacing="0"/>
              <w:ind w:left="426"/>
              <w:contextualSpacing/>
              <w:rPr>
                <w:sz w:val="20"/>
                <w:szCs w:val="20"/>
              </w:rPr>
            </w:pPr>
          </w:p>
          <w:p w:rsidR="00C8623C" w:rsidRPr="00C8623C" w:rsidP="00C8623C">
            <w:pPr>
              <w:pStyle w:val="NormalWeb"/>
              <w:spacing w:before="0" w:beforeAutospacing="0" w:after="0" w:afterAutospacing="0"/>
              <w:ind w:left="284" w:hanging="284"/>
              <w:contextualSpacing/>
              <w:rPr>
                <w:sz w:val="20"/>
                <w:szCs w:val="20"/>
              </w:rPr>
            </w:pPr>
            <w:r w:rsidRPr="00C8623C">
              <w:rPr>
                <w:sz w:val="20"/>
                <w:szCs w:val="20"/>
              </w:rPr>
              <w:t>B.  Najmenší počet vzorkovacích miest na stále merania v zónach a v aglomeráciách, ktoré dosahujú dlhodobé ciele pre ozón</w:t>
            </w:r>
          </w:p>
          <w:p w:rsidR="00C8623C" w:rsidRPr="00C8623C" w:rsidP="00C8623C">
            <w:pPr>
              <w:pStyle w:val="NormalWeb"/>
              <w:spacing w:before="0" w:beforeAutospacing="0" w:after="0" w:afterAutospacing="0"/>
              <w:ind w:left="720"/>
              <w:contextualSpacing/>
              <w:rPr>
                <w:sz w:val="20"/>
                <w:szCs w:val="20"/>
              </w:rPr>
            </w:pPr>
          </w:p>
          <w:p w:rsidR="00C8623C" w:rsidRPr="00C8623C" w:rsidP="00C8623C">
            <w:pPr>
              <w:pStyle w:val="NormalWeb"/>
              <w:keepLines/>
              <w:spacing w:before="0" w:beforeAutospacing="0" w:after="0" w:afterAutospacing="0"/>
              <w:ind w:left="284"/>
              <w:contextualSpacing/>
              <w:rPr>
                <w:sz w:val="20"/>
                <w:szCs w:val="20"/>
              </w:rPr>
            </w:pPr>
            <w:r w:rsidRPr="00C8623C">
              <w:rPr>
                <w:sz w:val="20"/>
                <w:szCs w:val="20"/>
              </w:rPr>
              <w:t>Je potrebné, aby počet vzorkovacích miest pre ozón v kombinácii s ostatnými prostriedkami doplnkového hodnotenia, ako sú modely kvality ovzdušia a súbežné merania oxidu dusičitého bol dostatočný na preskúmanie trendov znečisťovania ozónom a na kontrolu dodržiavania dlhodobých cieľov. Počet staníc umiestnených v aglomeráciách a v iných zónach môže byť znížený na jednu tretinu počtu uvedeného v písmene A. Keď sú informácie zo staníc stáleho merania jediným zdrojom informácií, udržiava sa aspoň jedna monitorovacia stanica. Ak v zónach s doplnkovým hodnotením dochádza k tomu, že v zóne nezostane žiadna stanica, je potrebné koordináciou s určitým počtom staníc v susediacich zónach zabezpečiť primerané hodnotenie koncentrácií ozónu z hľadiska dlhodobých cieľov. Na území Slovenskej republiky sa zriadi a prevádzkuje najmenej jedna vidiecka pozaďová stanica.</w:t>
            </w:r>
          </w:p>
          <w:p w:rsidR="00C8623C" w:rsidP="00C8623C">
            <w:pPr>
              <w:pStyle w:val="NormalWeb"/>
              <w:keepLines/>
              <w:spacing w:before="0" w:beforeAutospacing="0" w:after="0" w:afterAutospacing="0"/>
              <w:ind w:left="567"/>
              <w:contextualSpacing/>
              <w:rPr>
                <w:sz w:val="20"/>
                <w:szCs w:val="20"/>
              </w:rPr>
            </w:pPr>
          </w:p>
          <w:p w:rsidR="00E46DD8" w:rsidP="00C8623C">
            <w:pPr>
              <w:pStyle w:val="NormalWeb"/>
              <w:keepLines/>
              <w:spacing w:before="0" w:beforeAutospacing="0" w:after="0" w:afterAutospacing="0"/>
              <w:ind w:left="567"/>
              <w:contextualSpacing/>
              <w:rPr>
                <w:sz w:val="20"/>
                <w:szCs w:val="20"/>
              </w:rPr>
            </w:pPr>
          </w:p>
          <w:p w:rsidR="00E46DD8" w:rsidRPr="00C8623C" w:rsidP="00C8623C">
            <w:pPr>
              <w:pStyle w:val="NormalWeb"/>
              <w:keepLines/>
              <w:spacing w:before="0" w:beforeAutospacing="0" w:after="0" w:afterAutospacing="0"/>
              <w:ind w:left="567"/>
              <w:contextualSpacing/>
              <w:rPr>
                <w:sz w:val="20"/>
                <w:szCs w:val="20"/>
              </w:rPr>
            </w:pPr>
          </w:p>
          <w:p w:rsidR="00C8623C" w:rsidRPr="00C8623C" w:rsidP="00C8623C">
            <w:pPr>
              <w:pStyle w:val="NormalWeb"/>
              <w:keepLines/>
              <w:spacing w:before="0" w:beforeAutospacing="0" w:after="0" w:afterAutospacing="0"/>
              <w:ind w:left="284"/>
              <w:contextualSpacing/>
              <w:rPr>
                <w:sz w:val="20"/>
                <w:szCs w:val="20"/>
              </w:rPr>
            </w:pPr>
            <w:r w:rsidRPr="00C8623C">
              <w:rPr>
                <w:sz w:val="20"/>
                <w:szCs w:val="20"/>
              </w:rPr>
              <w:t xml:space="preserve">Oxid dusičitý sa meria na minimálne 50 % vzorkovacích miest pre ozón požadovaných podľa písmena A. Takéto meranie je kontinuálne, s výnimkou vidieckych pozaďových staníc, ako sa uvádza v prílohe č. 8 časť II písm. A, kde sa môžu použiť iné metódy merania. </w:t>
            </w:r>
          </w:p>
          <w:p w:rsidR="00020A83" w:rsidP="00C8623C">
            <w:pPr>
              <w:pStyle w:val="nazov"/>
              <w:keepLines/>
              <w:contextualSpacing/>
              <w:jc w:val="left"/>
              <w:rPr>
                <w:b w:val="0"/>
                <w:sz w:val="20"/>
                <w:lang w:eastAsia="sk-SK"/>
              </w:rPr>
            </w:pPr>
            <w:r w:rsidRPr="007B57C0" w:rsidR="00C8623C">
              <w:rPr>
                <w:sz w:val="20"/>
              </w:rPr>
              <w:br w:type="page"/>
            </w: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020A83" w:rsidP="006F3CE1">
            <w:pPr>
              <w:pStyle w:val="nazov"/>
              <w:keepLines/>
              <w:contextualSpacing/>
              <w:jc w:val="left"/>
              <w:rPr>
                <w:b w:val="0"/>
                <w:sz w:val="20"/>
                <w:lang w:eastAsia="sk-SK"/>
              </w:rPr>
            </w:pPr>
          </w:p>
          <w:p w:rsidR="00C8623C" w:rsidP="006F3CE1">
            <w:pPr>
              <w:pStyle w:val="nazov"/>
              <w:keepLines/>
              <w:contextualSpacing/>
              <w:jc w:val="left"/>
              <w:rPr>
                <w:b w:val="0"/>
                <w:sz w:val="20"/>
                <w:lang w:eastAsia="sk-SK"/>
              </w:rPr>
            </w:pPr>
          </w:p>
          <w:p w:rsidR="00C8623C" w:rsidP="006F3CE1">
            <w:pPr>
              <w:pStyle w:val="nazov"/>
              <w:keepLines/>
              <w:contextualSpacing/>
              <w:jc w:val="left"/>
              <w:rPr>
                <w:b w:val="0"/>
                <w:sz w:val="20"/>
                <w:lang w:eastAsia="sk-SK"/>
              </w:rPr>
            </w:pPr>
          </w:p>
          <w:p w:rsidR="00C8623C" w:rsidP="006F3CE1">
            <w:pPr>
              <w:pStyle w:val="nazov"/>
              <w:keepLines/>
              <w:contextualSpacing/>
              <w:jc w:val="left"/>
              <w:rPr>
                <w:b w:val="0"/>
                <w:sz w:val="20"/>
                <w:lang w:eastAsia="sk-SK"/>
              </w:rPr>
            </w:pPr>
          </w:p>
          <w:p w:rsidR="00C8623C" w:rsidP="006F3CE1">
            <w:pPr>
              <w:pStyle w:val="nazov"/>
              <w:keepLines/>
              <w:contextualSpacing/>
              <w:jc w:val="left"/>
              <w:rPr>
                <w:b w:val="0"/>
                <w:sz w:val="20"/>
                <w:lang w:eastAsia="sk-SK"/>
              </w:rPr>
            </w:pPr>
          </w:p>
          <w:p w:rsidR="00C8623C" w:rsidP="006F3CE1">
            <w:pPr>
              <w:pStyle w:val="nazov"/>
              <w:keepLines/>
              <w:contextualSpacing/>
              <w:jc w:val="left"/>
              <w:rPr>
                <w:b w:val="0"/>
                <w:sz w:val="20"/>
                <w:lang w:eastAsia="sk-SK"/>
              </w:rPr>
            </w:pPr>
          </w:p>
          <w:p w:rsidR="00C8623C" w:rsidP="006F3CE1">
            <w:pPr>
              <w:pStyle w:val="nazov"/>
              <w:keepLines/>
              <w:contextualSpacing/>
              <w:jc w:val="left"/>
              <w:rPr>
                <w:b w:val="0"/>
                <w:sz w:val="20"/>
                <w:lang w:eastAsia="sk-SK"/>
              </w:rPr>
            </w:pPr>
          </w:p>
          <w:p w:rsidR="00C8623C" w:rsidRPr="006F3CE1" w:rsidP="006F3CE1">
            <w:pPr>
              <w:pStyle w:val="nazov"/>
              <w:keepLines/>
              <w:contextualSpacing/>
              <w:jc w:val="left"/>
              <w:rPr>
                <w:b w:val="0"/>
                <w:sz w:val="20"/>
                <w:lang w:eastAsia="sk-SK"/>
              </w:rPr>
            </w:pPr>
          </w:p>
          <w:p w:rsidR="006F3CE1" w:rsidRPr="006F3CE1" w:rsidP="006F3CE1">
            <w:pPr>
              <w:pStyle w:val="NormalWeb"/>
              <w:keepLines/>
              <w:spacing w:before="0" w:beforeAutospacing="0" w:after="0" w:afterAutospacing="0"/>
              <w:ind w:left="720"/>
              <w:contextualSpacing/>
              <w:rPr>
                <w:sz w:val="20"/>
                <w:szCs w:val="20"/>
              </w:rPr>
            </w:pPr>
          </w:p>
          <w:p w:rsidR="00050624" w:rsidRPr="00050624" w:rsidP="006F3CE1">
            <w:pPr>
              <w:pStyle w:val="NormalWeb"/>
              <w:keepLines/>
              <w:spacing w:before="0" w:beforeAutospacing="0" w:after="0" w:afterAutospacing="0"/>
              <w:ind w:left="284"/>
              <w:contextualSpacing/>
              <w:rPr>
                <w:sz w:val="20"/>
                <w:szCs w:val="20"/>
              </w:rPr>
            </w:pPr>
            <w:r w:rsidRPr="006F3CE1" w:rsidR="006F3CE1">
              <w:rPr>
                <w:sz w:val="20"/>
                <w:szCs w:val="20"/>
              </w:rPr>
              <w:br w:type="page"/>
            </w:r>
            <w:r w:rsidRPr="00050624">
              <w:rPr>
                <w:sz w:val="20"/>
                <w:szCs w:val="20"/>
              </w:rPr>
              <w:t xml:space="preserve"> </w:t>
            </w:r>
          </w:p>
          <w:p w:rsidR="00CB3E7D" w:rsidRPr="00050624" w:rsidP="00050624">
            <w:pPr>
              <w:pStyle w:val="Normln"/>
              <w:jc w:val="both"/>
              <w:rPr>
                <w:lang w:val="sk-SK" w:eastAsia="sk-SK"/>
              </w:rPr>
            </w:pPr>
            <w:r w:rsidRPr="00050624" w:rsidR="00050624">
              <w:rPr>
                <w:lang w:val="sk-SK" w:eastAsia="sk-SK"/>
              </w:rPr>
              <w:br w:type="page"/>
            </w: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6</w:t>
            </w:r>
          </w:p>
        </w:tc>
        <w:tc>
          <w:tcPr>
            <w:tcW w:w="4074" w:type="dxa"/>
            <w:tcBorders>
              <w:bottom w:val="single" w:sz="4" w:space="0" w:color="auto"/>
            </w:tcBorders>
          </w:tcPr>
          <w:p w:rsidR="00CB3E7D" w:rsidRPr="008D3BF6" w:rsidP="00CB3E7D">
            <w:pPr>
              <w:pStyle w:val="NormalWeb"/>
              <w:rPr>
                <w:sz w:val="20"/>
                <w:szCs w:val="20"/>
              </w:rPr>
            </w:pPr>
            <w:r w:rsidRPr="00390FC1">
              <w:rPr>
                <w:sz w:val="20"/>
                <w:szCs w:val="20"/>
              </w:rPr>
              <w:t>Referenčné metódy hodnotenia koncentrácií oxidu siričitého, oxidu dusičitého, o</w:t>
            </w:r>
            <w:r w:rsidRPr="008D3BF6">
              <w:rPr>
                <w:sz w:val="20"/>
                <w:szCs w:val="20"/>
              </w:rPr>
              <w:t>xidov dusíka, suspendovaných častíc (PM</w:t>
            </w:r>
            <w:r w:rsidRPr="00E46DD8">
              <w:rPr>
                <w:sz w:val="20"/>
                <w:szCs w:val="20"/>
                <w:vertAlign w:val="subscript"/>
              </w:rPr>
              <w:t>10</w:t>
            </w:r>
            <w:r w:rsidRPr="008D3BF6">
              <w:rPr>
                <w:sz w:val="20"/>
                <w:szCs w:val="20"/>
              </w:rPr>
              <w:t xml:space="preserve"> a PM</w:t>
            </w:r>
            <w:r w:rsidRPr="00E46DD8">
              <w:rPr>
                <w:sz w:val="20"/>
                <w:szCs w:val="20"/>
                <w:vertAlign w:val="subscript"/>
              </w:rPr>
              <w:t>2,5</w:t>
            </w:r>
            <w:r w:rsidRPr="008D3BF6">
              <w:rPr>
                <w:sz w:val="20"/>
                <w:szCs w:val="20"/>
              </w:rPr>
              <w:t>), olova, benzénu, oxidu uhoľnatého a ozónu</w:t>
            </w:r>
          </w:p>
          <w:p w:rsidR="004953FB" w:rsidRPr="004953FB" w:rsidP="004953FB">
            <w:pPr>
              <w:pStyle w:val="NormalWeb"/>
              <w:rPr>
                <w:sz w:val="20"/>
                <w:szCs w:val="20"/>
              </w:rPr>
            </w:pPr>
            <w:r w:rsidRPr="004953FB">
              <w:rPr>
                <w:sz w:val="20"/>
                <w:szCs w:val="20"/>
              </w:rPr>
              <w:t>A.   Referenčné metódy hodnotenia koncentrácií oxidu siričitého, oxidu dusičitého, oxidov dusíka, suspendovaných častíc (PM</w:t>
            </w:r>
            <w:r w:rsidRPr="00E46DD8">
              <w:rPr>
                <w:sz w:val="20"/>
                <w:szCs w:val="20"/>
                <w:vertAlign w:val="subscript"/>
              </w:rPr>
              <w:t>10</w:t>
            </w:r>
            <w:r w:rsidRPr="004953FB">
              <w:rPr>
                <w:sz w:val="20"/>
                <w:szCs w:val="20"/>
              </w:rPr>
              <w:t xml:space="preserve"> a PM</w:t>
            </w:r>
            <w:r w:rsidRPr="00E46DD8">
              <w:rPr>
                <w:sz w:val="20"/>
                <w:szCs w:val="20"/>
                <w:vertAlign w:val="subscript"/>
              </w:rPr>
              <w:t>2,5</w:t>
            </w:r>
            <w:r w:rsidRPr="004953FB">
              <w:rPr>
                <w:sz w:val="20"/>
                <w:szCs w:val="20"/>
              </w:rPr>
              <w:t>), olova, be</w:t>
            </w:r>
            <w:r>
              <w:rPr>
                <w:sz w:val="20"/>
                <w:szCs w:val="20"/>
              </w:rPr>
              <w:t>nzénu, oxidu uhoľnatého a ozónu</w:t>
            </w:r>
          </w:p>
          <w:p w:rsidR="004953FB" w:rsidRPr="004953FB" w:rsidP="004953FB">
            <w:pPr>
              <w:pStyle w:val="NormalWeb"/>
              <w:rPr>
                <w:sz w:val="20"/>
                <w:szCs w:val="20"/>
              </w:rPr>
            </w:pPr>
            <w:r w:rsidRPr="004953FB">
              <w:rPr>
                <w:sz w:val="20"/>
                <w:szCs w:val="20"/>
              </w:rPr>
              <w:t xml:space="preserve">1.   Referenčná </w:t>
            </w:r>
            <w:r>
              <w:rPr>
                <w:sz w:val="20"/>
                <w:szCs w:val="20"/>
              </w:rPr>
              <w:t>metóda merania oxidu siričitého</w:t>
            </w:r>
          </w:p>
          <w:p w:rsidR="004953FB" w:rsidRPr="004953FB" w:rsidP="004953FB">
            <w:pPr>
              <w:pStyle w:val="NormalWeb"/>
              <w:rPr>
                <w:sz w:val="20"/>
                <w:szCs w:val="20"/>
              </w:rPr>
            </w:pPr>
            <w:r w:rsidRPr="004953FB">
              <w:rPr>
                <w:sz w:val="20"/>
                <w:szCs w:val="20"/>
              </w:rPr>
              <w:t>Referenčná metóda merania oxidu siričitého je opísaná v EN 14212:2012 „Okolité ovzdušie — Štandardná metóda merania koncentrácie oxidu siričitého prostredníctvo</w:t>
            </w:r>
            <w:r>
              <w:rPr>
                <w:sz w:val="20"/>
                <w:szCs w:val="20"/>
              </w:rPr>
              <w:t>m ultrafialovej fluorescencie“.</w:t>
            </w:r>
          </w:p>
          <w:p w:rsidR="004953FB" w:rsidRPr="004953FB" w:rsidP="004953FB">
            <w:pPr>
              <w:pStyle w:val="NormalWeb"/>
              <w:rPr>
                <w:sz w:val="20"/>
                <w:szCs w:val="20"/>
              </w:rPr>
            </w:pPr>
            <w:r w:rsidRPr="004953FB">
              <w:rPr>
                <w:sz w:val="20"/>
                <w:szCs w:val="20"/>
              </w:rPr>
              <w:t>2.   Referenčná metóda merania oxidu dusičitého a oxidov dusíka</w:t>
            </w:r>
          </w:p>
          <w:p w:rsidR="00CB3E7D" w:rsidP="004953FB">
            <w:pPr>
              <w:pStyle w:val="NormalWeb"/>
              <w:spacing w:before="0" w:beforeAutospacing="0" w:after="0" w:afterAutospacing="0"/>
              <w:rPr>
                <w:sz w:val="20"/>
                <w:szCs w:val="20"/>
              </w:rPr>
            </w:pPr>
            <w:r w:rsidRPr="004953FB" w:rsidR="004953FB">
              <w:rPr>
                <w:sz w:val="20"/>
                <w:szCs w:val="20"/>
              </w:rPr>
              <w:t>Referenčná metóda merania oxidu dusičitého a oxidov dusíka je opísaná v EN 14211:2012 „Okolité ovzdušie — Štandardná metóda merania koncentrácií oxidu dusičitého a oxidu dusnatého prostredníctvom chemiluminiscenčnej metódy“.</w:t>
            </w:r>
          </w:p>
          <w:p w:rsidR="004953FB" w:rsidP="004953FB">
            <w:pPr>
              <w:pStyle w:val="NormalWeb"/>
              <w:spacing w:before="0" w:beforeAutospacing="0" w:after="0" w:afterAutospacing="0"/>
              <w:rPr>
                <w:sz w:val="20"/>
                <w:szCs w:val="20"/>
              </w:rPr>
            </w:pPr>
          </w:p>
          <w:p w:rsidR="004953FB" w:rsidRPr="004953FB" w:rsidP="004953FB">
            <w:pPr>
              <w:pStyle w:val="NormalWeb"/>
              <w:rPr>
                <w:sz w:val="20"/>
                <w:szCs w:val="20"/>
              </w:rPr>
            </w:pPr>
            <w:r w:rsidRPr="004953FB">
              <w:rPr>
                <w:sz w:val="20"/>
                <w:szCs w:val="20"/>
              </w:rPr>
              <w:t>3.   Referenčná met</w:t>
            </w:r>
            <w:r>
              <w:rPr>
                <w:sz w:val="20"/>
                <w:szCs w:val="20"/>
              </w:rPr>
              <w:t>óda vzorkovania a merania olova</w:t>
            </w:r>
          </w:p>
          <w:p w:rsidR="00CB3E7D" w:rsidP="004953FB">
            <w:pPr>
              <w:pStyle w:val="NormalWeb"/>
              <w:spacing w:before="0" w:beforeAutospacing="0" w:after="0" w:afterAutospacing="0"/>
              <w:rPr>
                <w:sz w:val="20"/>
                <w:szCs w:val="20"/>
              </w:rPr>
            </w:pPr>
            <w:r w:rsidRPr="004953FB" w:rsidR="004953FB">
              <w:rPr>
                <w:sz w:val="20"/>
                <w:szCs w:val="20"/>
              </w:rPr>
              <w:t>Referenčná metóda vzorkovania olova je opísaná v oddiele A bode 4 tejto prílohy. Referenčná metóda merania olova je opísaná v EN 14902:2005 „Štandardná metóda merania Pb, Cd, As a Ni vo frakcii PM</w:t>
            </w:r>
            <w:r w:rsidRPr="00E46DD8" w:rsidR="004953FB">
              <w:rPr>
                <w:sz w:val="20"/>
                <w:szCs w:val="20"/>
                <w:vertAlign w:val="subscript"/>
              </w:rPr>
              <w:t xml:space="preserve">10 </w:t>
            </w:r>
            <w:r w:rsidRPr="004953FB" w:rsidR="004953FB">
              <w:rPr>
                <w:sz w:val="20"/>
                <w:szCs w:val="20"/>
              </w:rPr>
              <w:t>suspendovaných častíc“.</w:t>
            </w:r>
          </w:p>
          <w:p w:rsidR="004953FB" w:rsidP="004953FB">
            <w:pPr>
              <w:pStyle w:val="NormalWeb"/>
              <w:spacing w:before="0" w:beforeAutospacing="0" w:after="0" w:afterAutospacing="0"/>
              <w:rPr>
                <w:sz w:val="20"/>
                <w:szCs w:val="20"/>
              </w:rPr>
            </w:pPr>
          </w:p>
          <w:p w:rsidR="004953FB" w:rsidRPr="004953FB" w:rsidP="004953FB">
            <w:pPr>
              <w:pStyle w:val="NormalWeb"/>
              <w:rPr>
                <w:sz w:val="20"/>
                <w:szCs w:val="20"/>
              </w:rPr>
            </w:pPr>
            <w:r w:rsidRPr="004953FB">
              <w:rPr>
                <w:sz w:val="20"/>
                <w:szCs w:val="20"/>
              </w:rPr>
              <w:t>4.   Referenčná me</w:t>
            </w:r>
            <w:r>
              <w:rPr>
                <w:sz w:val="20"/>
                <w:szCs w:val="20"/>
              </w:rPr>
              <w:t>tóda vzorkovania a merania PM</w:t>
            </w:r>
            <w:r w:rsidRPr="00E46DD8">
              <w:rPr>
                <w:sz w:val="20"/>
                <w:szCs w:val="20"/>
                <w:vertAlign w:val="subscript"/>
              </w:rPr>
              <w:t>10</w:t>
            </w:r>
          </w:p>
          <w:p w:rsidR="004953FB" w:rsidRPr="004953FB" w:rsidP="004953FB">
            <w:pPr>
              <w:pStyle w:val="NormalWeb"/>
              <w:rPr>
                <w:sz w:val="20"/>
                <w:szCs w:val="20"/>
              </w:rPr>
            </w:pPr>
            <w:r w:rsidRPr="004953FB">
              <w:rPr>
                <w:sz w:val="20"/>
                <w:szCs w:val="20"/>
              </w:rPr>
              <w:t>Referenčná metóda vzorkovania a merania PM</w:t>
            </w:r>
            <w:r w:rsidRPr="00E46DD8">
              <w:rPr>
                <w:sz w:val="20"/>
                <w:szCs w:val="20"/>
                <w:vertAlign w:val="subscript"/>
              </w:rPr>
              <w:t>10</w:t>
            </w:r>
            <w:r w:rsidRPr="004953FB">
              <w:rPr>
                <w:sz w:val="20"/>
                <w:szCs w:val="20"/>
              </w:rPr>
              <w:t xml:space="preserve"> je opísaná v EN 12341:2014 „Okolité ovzdušie: Štandardná gravimetrická metóda merania na určenie hmotnostných frakcií PM</w:t>
            </w:r>
            <w:r w:rsidRPr="00E46DD8">
              <w:rPr>
                <w:sz w:val="20"/>
                <w:szCs w:val="20"/>
                <w:vertAlign w:val="subscript"/>
              </w:rPr>
              <w:t xml:space="preserve">10 </w:t>
            </w:r>
            <w:r w:rsidRPr="004953FB">
              <w:rPr>
                <w:sz w:val="20"/>
                <w:szCs w:val="20"/>
              </w:rPr>
              <w:t>alebo PM</w:t>
            </w:r>
            <w:r w:rsidRPr="00E46DD8">
              <w:rPr>
                <w:sz w:val="20"/>
                <w:szCs w:val="20"/>
                <w:vertAlign w:val="subscript"/>
              </w:rPr>
              <w:t xml:space="preserve">2,5 </w:t>
            </w:r>
            <w:r w:rsidRPr="004953FB">
              <w:rPr>
                <w:sz w:val="20"/>
                <w:szCs w:val="20"/>
              </w:rPr>
              <w:t>rozptýlených suspendovaných častíc“.</w:t>
            </w:r>
          </w:p>
          <w:p w:rsidR="004953FB" w:rsidRPr="004953FB" w:rsidP="004953FB">
            <w:pPr>
              <w:pStyle w:val="NormalWeb"/>
              <w:rPr>
                <w:sz w:val="20"/>
                <w:szCs w:val="20"/>
              </w:rPr>
            </w:pPr>
            <w:r w:rsidRPr="004953FB">
              <w:rPr>
                <w:sz w:val="20"/>
                <w:szCs w:val="20"/>
              </w:rPr>
              <w:t>5.   Referenčná met</w:t>
            </w:r>
            <w:r>
              <w:rPr>
                <w:sz w:val="20"/>
                <w:szCs w:val="20"/>
              </w:rPr>
              <w:t>óda vzorkovania a merania PM</w:t>
            </w:r>
            <w:r w:rsidRPr="00E46DD8">
              <w:rPr>
                <w:sz w:val="20"/>
                <w:szCs w:val="20"/>
                <w:vertAlign w:val="subscript"/>
              </w:rPr>
              <w:t>2,5</w:t>
            </w:r>
          </w:p>
          <w:p w:rsidR="004953FB" w:rsidP="004953FB">
            <w:pPr>
              <w:pStyle w:val="NormalWeb"/>
              <w:spacing w:before="0" w:beforeAutospacing="0" w:after="0" w:afterAutospacing="0"/>
              <w:rPr>
                <w:sz w:val="20"/>
                <w:szCs w:val="20"/>
              </w:rPr>
            </w:pPr>
            <w:r w:rsidRPr="004953FB">
              <w:rPr>
                <w:sz w:val="20"/>
                <w:szCs w:val="20"/>
              </w:rPr>
              <w:t>Referenčná metóda vzorkovania a merania PM</w:t>
            </w:r>
            <w:r w:rsidRPr="00E46DD8">
              <w:rPr>
                <w:sz w:val="20"/>
                <w:szCs w:val="20"/>
                <w:vertAlign w:val="subscript"/>
              </w:rPr>
              <w:t xml:space="preserve">2,5 </w:t>
            </w:r>
            <w:r w:rsidRPr="004953FB">
              <w:rPr>
                <w:sz w:val="20"/>
                <w:szCs w:val="20"/>
              </w:rPr>
              <w:t>je opísaná v EN 12341:2014 „Okolité ovzdušie — Štandardná gravimetrická metóda merania na určenie hmotnostných frakcií PM</w:t>
            </w:r>
            <w:r w:rsidRPr="00E46DD8">
              <w:rPr>
                <w:sz w:val="20"/>
                <w:szCs w:val="20"/>
                <w:vertAlign w:val="subscript"/>
              </w:rPr>
              <w:t>10</w:t>
            </w:r>
            <w:r w:rsidRPr="004953FB">
              <w:rPr>
                <w:sz w:val="20"/>
                <w:szCs w:val="20"/>
              </w:rPr>
              <w:t xml:space="preserve"> alebo PM</w:t>
            </w:r>
            <w:r w:rsidRPr="00E46DD8">
              <w:rPr>
                <w:sz w:val="20"/>
                <w:szCs w:val="20"/>
                <w:vertAlign w:val="subscript"/>
              </w:rPr>
              <w:t xml:space="preserve">2,5 </w:t>
            </w:r>
            <w:r w:rsidRPr="004953FB">
              <w:rPr>
                <w:sz w:val="20"/>
                <w:szCs w:val="20"/>
              </w:rPr>
              <w:t>rozptýlených suspendovaných častíc“.</w:t>
            </w:r>
          </w:p>
          <w:p w:rsidR="004953FB" w:rsidRPr="004953FB" w:rsidP="004953FB">
            <w:pPr>
              <w:pStyle w:val="NormalWeb"/>
              <w:rPr>
                <w:sz w:val="20"/>
                <w:szCs w:val="20"/>
              </w:rPr>
            </w:pPr>
            <w:r w:rsidRPr="004953FB">
              <w:rPr>
                <w:sz w:val="20"/>
                <w:szCs w:val="20"/>
              </w:rPr>
              <w:t>6.   Referenčná metóda vzorkovania a merania benzénu</w:t>
            </w:r>
          </w:p>
          <w:p w:rsidR="00CB3E7D" w:rsidP="004953FB">
            <w:pPr>
              <w:pStyle w:val="NormalWeb"/>
              <w:spacing w:before="0" w:beforeAutospacing="0" w:after="0" w:afterAutospacing="0"/>
              <w:rPr>
                <w:sz w:val="20"/>
                <w:szCs w:val="20"/>
              </w:rPr>
            </w:pPr>
            <w:r w:rsidRPr="004953FB" w:rsidR="004953FB">
              <w:rPr>
                <w:sz w:val="20"/>
                <w:szCs w:val="20"/>
              </w:rPr>
              <w:t>Referenčná metóda merania benzénu je opísaná v EN 14662:2005, častiach 1, 2 a 3 „Kvalita ovzdušia – Štandardná metóda merania koncentrácií benzénu“.</w:t>
            </w:r>
          </w:p>
          <w:p w:rsidR="004953FB" w:rsidP="004953FB">
            <w:pPr>
              <w:pStyle w:val="NormalWeb"/>
              <w:spacing w:before="0" w:beforeAutospacing="0" w:after="0" w:afterAutospacing="0"/>
              <w:rPr>
                <w:sz w:val="20"/>
                <w:szCs w:val="20"/>
              </w:rPr>
            </w:pPr>
          </w:p>
          <w:p w:rsidR="004953FB" w:rsidRPr="004953FB" w:rsidP="004953FB">
            <w:pPr>
              <w:pStyle w:val="NormalWeb"/>
              <w:rPr>
                <w:sz w:val="20"/>
                <w:szCs w:val="20"/>
              </w:rPr>
            </w:pPr>
            <w:r w:rsidRPr="004953FB">
              <w:rPr>
                <w:sz w:val="20"/>
                <w:szCs w:val="20"/>
              </w:rPr>
              <w:t>7.   Referenčná metóda merania oxidu uhoľnatého</w:t>
            </w:r>
          </w:p>
          <w:p w:rsidR="004953FB" w:rsidRPr="004953FB" w:rsidP="004953FB">
            <w:pPr>
              <w:pStyle w:val="NormalWeb"/>
              <w:rPr>
                <w:sz w:val="20"/>
                <w:szCs w:val="20"/>
              </w:rPr>
            </w:pPr>
          </w:p>
          <w:p w:rsidR="004953FB" w:rsidRPr="004953FB" w:rsidP="004953FB">
            <w:pPr>
              <w:pStyle w:val="NormalWeb"/>
              <w:rPr>
                <w:sz w:val="20"/>
                <w:szCs w:val="20"/>
              </w:rPr>
            </w:pPr>
            <w:r w:rsidRPr="004953FB">
              <w:rPr>
                <w:sz w:val="20"/>
                <w:szCs w:val="20"/>
              </w:rPr>
              <w:t>Referenčná metóda merania oxidu uhoľnatého je opísaná v EN 14626:2012 „Okolité ovzdušie — Štandardná metóda merania koncentrácií oxidu uhoľnatého prostredníctvom nedisperznej infračervenej spektroskopie“.</w:t>
            </w:r>
          </w:p>
          <w:p w:rsidR="004953FB" w:rsidRPr="004953FB" w:rsidP="004953FB">
            <w:pPr>
              <w:pStyle w:val="NormalWeb"/>
              <w:rPr>
                <w:sz w:val="20"/>
                <w:szCs w:val="20"/>
              </w:rPr>
            </w:pPr>
          </w:p>
          <w:p w:rsidR="004953FB" w:rsidRPr="004953FB" w:rsidP="004953FB">
            <w:pPr>
              <w:pStyle w:val="NormalWeb"/>
              <w:rPr>
                <w:sz w:val="20"/>
                <w:szCs w:val="20"/>
              </w:rPr>
            </w:pPr>
            <w:r w:rsidRPr="004953FB">
              <w:rPr>
                <w:sz w:val="20"/>
                <w:szCs w:val="20"/>
              </w:rPr>
              <w:t>8.   Referenčná metóda merania ozónu</w:t>
            </w:r>
          </w:p>
          <w:p w:rsidR="004953FB" w:rsidRPr="004953FB" w:rsidP="004953FB">
            <w:pPr>
              <w:pStyle w:val="NormalWeb"/>
              <w:rPr>
                <w:sz w:val="20"/>
                <w:szCs w:val="20"/>
              </w:rPr>
            </w:pPr>
          </w:p>
          <w:p w:rsidR="00CB3E7D" w:rsidP="004953FB">
            <w:pPr>
              <w:pStyle w:val="NormalWeb"/>
              <w:spacing w:before="0" w:beforeAutospacing="0" w:after="0" w:afterAutospacing="0"/>
              <w:rPr>
                <w:sz w:val="20"/>
                <w:szCs w:val="20"/>
              </w:rPr>
            </w:pPr>
            <w:r w:rsidRPr="004953FB" w:rsidR="004953FB">
              <w:rPr>
                <w:sz w:val="20"/>
                <w:szCs w:val="20"/>
              </w:rPr>
              <w:t>Referenčná metóda merania ozónu je opísaná v EN 14625:2012 „Okolité ovzdušie — Štandardná metóda merania koncentrácií ozónu prostredníctvom ultrafialovej fotometrie“.</w:t>
            </w:r>
          </w:p>
          <w:p w:rsidR="004953FB" w:rsidP="004953FB">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B. Preukázanie rovnocennosti</w:t>
            </w:r>
          </w:p>
          <w:p w:rsidR="00CB3E7D" w:rsidP="00CB3E7D">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1. Členský štát môže použiť akúkoľvek inú metódu, pri ktorej môže preukázať, že výsledky sú ro</w:t>
            </w:r>
            <w:r w:rsidR="00E46DD8">
              <w:rPr>
                <w:sz w:val="20"/>
                <w:szCs w:val="20"/>
              </w:rPr>
              <w:t xml:space="preserve">vnocenné s ktoroukoľvek z metód </w:t>
            </w:r>
            <w:r w:rsidRPr="008D3BF6">
              <w:rPr>
                <w:sz w:val="20"/>
                <w:szCs w:val="20"/>
              </w:rPr>
              <w:t>uvedených v oddiele A, alebo v prípade suspendovaných častíc ktorúkoľvek inú metódu, pri ktorej môže dotknutý členský štát preukázať, že má trvalý vzťah k referenčnej metóde. V tom prípade sa výsledky dosiahnuté pomocou tejto metódy musia upraviť, aby sa získali výsledky rovnocenné s tými, ktoré by sa dosiahli pri použití referenčnej metódy.</w:t>
            </w:r>
          </w:p>
          <w:p w:rsidR="00CB3E7D" w:rsidP="00CB3E7D">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2. Komisia môže od členských štátov požadovať vypracovanie a predloženie správy o preukázaní rovnocennosti v súlade s odsekom 1.</w:t>
            </w:r>
          </w:p>
          <w:p w:rsidR="00CB3E7D" w:rsidP="00CB3E7D">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3. Pri hodnotení prijateľnosti správy uvedenej v odseku 2 Komisia odkazuje na svoj pokyn o preukazovaní rovnocennosti (uverejní sa). V prípade, že členské štáty využívali dočasné faktory na aproximáciu rovnocennosti, tieto sa potvrdia a/alebo zmenia s odkazom na pokyn Komisie.</w:t>
            </w:r>
          </w:p>
          <w:p w:rsidR="00CB3E7D" w:rsidP="00CB3E7D">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4. Členské štáty by mali zabezpečiť, aby sa opravy v prípade potreby vykonali tiež spätne v súvislosti s predchádzajúcimi údajmi z merania s cieľom dosiahnuť lepšiu porovnateľnosť údajov.</w:t>
            </w:r>
          </w:p>
          <w:p w:rsidR="00CB3E7D" w:rsidP="00CB3E7D">
            <w:pPr>
              <w:pStyle w:val="NormalWeb"/>
              <w:spacing w:before="0" w:beforeAutospacing="0" w:after="0" w:afterAutospacing="0"/>
              <w:rPr>
                <w:sz w:val="20"/>
                <w:szCs w:val="20"/>
              </w:rPr>
            </w:pPr>
          </w:p>
          <w:p w:rsidR="006C7ADA" w:rsidP="00CB3E7D">
            <w:pPr>
              <w:pStyle w:val="NormalWeb"/>
              <w:spacing w:before="0" w:beforeAutospacing="0" w:after="0" w:afterAutospacing="0"/>
              <w:rPr>
                <w:sz w:val="20"/>
                <w:szCs w:val="20"/>
              </w:rPr>
            </w:pPr>
          </w:p>
          <w:p w:rsidR="006C7ADA" w:rsidP="00CB3E7D">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C. Štandardizácia</w:t>
            </w:r>
          </w:p>
          <w:p w:rsidR="00CB3E7D" w:rsidRPr="008D3BF6" w:rsidP="00CB3E7D">
            <w:pPr>
              <w:pStyle w:val="NormalWeb"/>
              <w:spacing w:before="0" w:beforeAutospacing="0" w:after="0" w:afterAutospacing="0"/>
              <w:rPr>
                <w:sz w:val="20"/>
                <w:szCs w:val="20"/>
              </w:rPr>
            </w:pPr>
            <w:r w:rsidRPr="008D3BF6">
              <w:rPr>
                <w:sz w:val="20"/>
                <w:szCs w:val="20"/>
              </w:rPr>
              <w:t>Pri plynných znečisťujúcich látkach sa musí objem štandardizovať na teplotu 293 K a atmosférický tlak na 101,3 kPa. Objem vzorky pre suspendované častice a látky, ktoré sa analyzujú v suspendovaných časticiach (napr. olovo), sa vzťahuje na okolité podmienky, ako sú teplota a atmosférický tlak v čase merania.</w:t>
            </w:r>
          </w:p>
          <w:p w:rsidR="00CB3E7D" w:rsidP="00CB3E7D">
            <w:pPr>
              <w:pStyle w:val="NormalWeb"/>
              <w:spacing w:before="0" w:beforeAutospacing="0" w:after="0" w:afterAutospacing="0"/>
              <w:rPr>
                <w:sz w:val="20"/>
                <w:szCs w:val="20"/>
              </w:rPr>
            </w:pPr>
          </w:p>
          <w:p w:rsidR="00CB3E7D" w:rsidRPr="008D3BF6" w:rsidP="009944DA">
            <w:pPr>
              <w:pStyle w:val="NormalWeb"/>
              <w:spacing w:before="0" w:beforeAutospacing="0" w:after="0" w:afterAutospacing="0"/>
              <w:rPr>
                <w:sz w:val="20"/>
                <w:szCs w:val="20"/>
              </w:rPr>
            </w:pPr>
            <w:r w:rsidR="0057526D">
              <w:rPr>
                <w:sz w:val="20"/>
                <w:szCs w:val="20"/>
              </w:rPr>
              <w:t xml:space="preserve">D. </w:t>
            </w:r>
            <w:r w:rsidRPr="008D3BF6">
              <w:rPr>
                <w:sz w:val="20"/>
                <w:szCs w:val="20"/>
              </w:rPr>
              <w:t xml:space="preserve"> </w:t>
            </w:r>
            <w:r w:rsidR="009944DA">
              <w:rPr>
                <w:sz w:val="20"/>
                <w:szCs w:val="20"/>
              </w:rPr>
              <w:t>___________________</w:t>
            </w:r>
          </w:p>
          <w:p w:rsidR="00CB3E7D" w:rsidP="00CB3E7D">
            <w:pPr>
              <w:pStyle w:val="NormalWeb"/>
              <w:spacing w:before="0" w:beforeAutospacing="0" w:after="0" w:afterAutospacing="0"/>
              <w:rPr>
                <w:sz w:val="20"/>
                <w:szCs w:val="20"/>
              </w:rPr>
            </w:pPr>
          </w:p>
          <w:p w:rsidR="00CB3E7D" w:rsidRPr="008D3BF6" w:rsidP="00CB3E7D">
            <w:pPr>
              <w:pStyle w:val="NormalWeb"/>
              <w:spacing w:before="0" w:beforeAutospacing="0" w:after="0" w:afterAutospacing="0"/>
              <w:rPr>
                <w:sz w:val="20"/>
                <w:szCs w:val="20"/>
              </w:rPr>
            </w:pPr>
            <w:r w:rsidRPr="008D3BF6">
              <w:rPr>
                <w:sz w:val="20"/>
                <w:szCs w:val="20"/>
              </w:rPr>
              <w:t>E. Vzájomné uznávanie údajov</w:t>
            </w:r>
          </w:p>
          <w:p w:rsidR="006C7ADA" w:rsidRPr="006C7ADA" w:rsidP="006C7ADA">
            <w:pPr>
              <w:pStyle w:val="NormalWeb"/>
              <w:rPr>
                <w:sz w:val="20"/>
                <w:szCs w:val="20"/>
              </w:rPr>
            </w:pPr>
            <w:r w:rsidRPr="006C7ADA">
              <w:rPr>
                <w:sz w:val="20"/>
                <w:szCs w:val="20"/>
              </w:rPr>
              <w:t>Ak sa preukáže, že vybavenie spĺňa výkonnostné požiadavky referenčných metód uvedených v oddiele A tejto prílohy, príslušné orgány a subjekty určené podľa článku 3 akceptujú protokoly o skúškach vydané v iných členských štátoch za podmienky, že dané skúšobné laboratóriá sú akreditované podľa príslušnej harmonizovanej normy týkajúcej sa skúšobn</w:t>
            </w:r>
            <w:r>
              <w:rPr>
                <w:sz w:val="20"/>
                <w:szCs w:val="20"/>
              </w:rPr>
              <w:t>ých a kalibračných laboratórií.</w:t>
            </w:r>
          </w:p>
          <w:p w:rsidR="00CB3E7D" w:rsidRPr="008D3BF6" w:rsidP="006C7ADA">
            <w:pPr>
              <w:pStyle w:val="NormalWeb"/>
              <w:spacing w:before="0" w:beforeAutospacing="0" w:after="0" w:afterAutospacing="0"/>
            </w:pPr>
            <w:r w:rsidRPr="006C7ADA" w:rsidR="006C7ADA">
              <w:rPr>
                <w:sz w:val="20"/>
                <w:szCs w:val="20"/>
              </w:rPr>
              <w:t>Podrobné protokoly o skúškach a všetky výsledky skúšok sa sprístupňujú iným príslušným orgánom alebo nimi určeným subjektom. V protokoloch o skúškach sa musí preukázať, že zariadenie spĺňa všetky výkonnostné požiadavky vrátane podmienok špecifických pre daný štát, ktoré sa týkajú životného prostredia a predmetného miesta a ktoré presahujú rámec podmienok, pre ktoré sa už dané zariadenie odskúšalo a typovo schválilo v inom členskom štáte.</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89771D">
              <w:rPr>
                <w:sz w:val="20"/>
              </w:rPr>
              <w:t>NV</w:t>
            </w:r>
          </w:p>
        </w:tc>
        <w:tc>
          <w:tcPr>
            <w:tcW w:w="701" w:type="dxa"/>
            <w:tcBorders>
              <w:bottom w:val="single" w:sz="4" w:space="0" w:color="auto"/>
            </w:tcBorders>
          </w:tcPr>
          <w:p w:rsidR="00CB3E7D" w:rsidP="00CB3E7D">
            <w:pPr>
              <w:jc w:val="both"/>
              <w:rPr>
                <w:sz w:val="20"/>
              </w:rPr>
            </w:pPr>
            <w:r>
              <w:rPr>
                <w:sz w:val="20"/>
              </w:rPr>
              <w:t xml:space="preserve">Príl. </w:t>
            </w:r>
            <w:r w:rsidR="0089771D">
              <w:rPr>
                <w:sz w:val="20"/>
              </w:rPr>
              <w:t>5</w:t>
            </w:r>
          </w:p>
          <w:p w:rsidR="0066225B" w:rsidRPr="00390FC1" w:rsidP="00CB3E7D">
            <w:pPr>
              <w:jc w:val="both"/>
              <w:rPr>
                <w:sz w:val="20"/>
              </w:rPr>
            </w:pPr>
            <w:r>
              <w:rPr>
                <w:sz w:val="20"/>
              </w:rPr>
              <w:t>A,B,C,D</w:t>
            </w:r>
          </w:p>
        </w:tc>
        <w:tc>
          <w:tcPr>
            <w:tcW w:w="7797" w:type="dxa"/>
            <w:tcBorders>
              <w:bottom w:val="single" w:sz="4" w:space="0" w:color="auto"/>
            </w:tcBorders>
          </w:tcPr>
          <w:p w:rsidR="005B394F" w:rsidRPr="00441D58" w:rsidP="005B394F">
            <w:pPr>
              <w:spacing w:line="259" w:lineRule="auto"/>
              <w:rPr>
                <w:sz w:val="20"/>
              </w:rPr>
            </w:pPr>
            <w:r>
              <w:rPr>
                <w:sz w:val="20"/>
                <w:lang w:eastAsia="sk-SK"/>
              </w:rPr>
              <w:t xml:space="preserve">    </w:t>
            </w:r>
            <w:r w:rsidRPr="00441D58">
              <w:rPr>
                <w:sz w:val="20"/>
              </w:rPr>
              <w:t>REFERENČNÉ  METÓDY  NA  HODNOTENIE  KVALITY  OVZDUŠIA</w:t>
            </w:r>
          </w:p>
          <w:p w:rsidR="005B394F" w:rsidRPr="00441D58" w:rsidP="005B394F">
            <w:pPr>
              <w:keepNext/>
              <w:keepLines/>
              <w:adjustRightInd w:val="0"/>
              <w:ind w:left="-284"/>
              <w:contextualSpacing/>
              <w:rPr>
                <w:sz w:val="20"/>
              </w:rPr>
            </w:pPr>
          </w:p>
          <w:p w:rsidR="005B394F" w:rsidRPr="00441D58" w:rsidP="005B394F">
            <w:pPr>
              <w:keepNext/>
              <w:keepLines/>
              <w:adjustRightInd w:val="0"/>
              <w:spacing w:after="240"/>
              <w:ind w:left="284" w:hanging="284"/>
              <w:rPr>
                <w:sz w:val="20"/>
              </w:rPr>
            </w:pPr>
            <w:r w:rsidRPr="00441D58">
              <w:rPr>
                <w:sz w:val="20"/>
              </w:rPr>
              <w:t>A. Referenčné metódy</w:t>
            </w:r>
          </w:p>
          <w:p w:rsidR="005B394F" w:rsidRPr="00082E57" w:rsidP="005B394F">
            <w:pPr>
              <w:pStyle w:val="ListParagraph"/>
              <w:keepLines/>
              <w:adjustRightInd w:val="0"/>
              <w:ind w:left="0"/>
              <w:rPr>
                <w:sz w:val="20"/>
              </w:rPr>
            </w:pPr>
            <w:r>
              <w:rPr>
                <w:sz w:val="20"/>
              </w:rPr>
              <w:t>1.</w:t>
            </w:r>
            <w:r w:rsidRPr="00082E57">
              <w:rPr>
                <w:sz w:val="20"/>
              </w:rPr>
              <w:t>Referenčná metóda merania oxidu siričitého</w:t>
            </w:r>
          </w:p>
          <w:p w:rsidR="005B394F" w:rsidRPr="00082E57" w:rsidP="005B394F">
            <w:pPr>
              <w:pStyle w:val="ListParagraph"/>
              <w:keepLines/>
              <w:adjustRightInd w:val="0"/>
              <w:ind w:left="0"/>
              <w:rPr>
                <w:sz w:val="20"/>
              </w:rPr>
            </w:pPr>
            <w:r w:rsidRPr="00082E57">
              <w:rPr>
                <w:sz w:val="20"/>
              </w:rPr>
              <w:t>Referenčná metóda merania oxidu siričitého štandardnou ultrafialovou fluorescenčnou metódou merania koncentrácie oxidu siričitého podľa technickej normy.</w:t>
            </w:r>
            <w:r w:rsidRPr="001377EC">
              <w:rPr>
                <w:sz w:val="20"/>
                <w:vertAlign w:val="superscript"/>
              </w:rPr>
              <w:t>2</w:t>
            </w:r>
            <w:r w:rsidRPr="00082E57">
              <w:rPr>
                <w:sz w:val="20"/>
              </w:rPr>
              <w:t xml:space="preserve"> )</w:t>
            </w:r>
          </w:p>
          <w:p w:rsidR="005B394F" w:rsidRPr="00082E57" w:rsidP="005B394F">
            <w:pPr>
              <w:pStyle w:val="ListParagraph"/>
              <w:keepLines/>
              <w:adjustRightInd w:val="0"/>
              <w:ind w:left="0"/>
              <w:rPr>
                <w:sz w:val="20"/>
              </w:rPr>
            </w:pPr>
            <w:r>
              <w:rPr>
                <w:sz w:val="20"/>
              </w:rPr>
              <w:t xml:space="preserve">2. </w:t>
            </w:r>
            <w:r w:rsidRPr="00082E57">
              <w:rPr>
                <w:sz w:val="20"/>
              </w:rPr>
              <w:t>Referenčná metóda merania oxidu dusičitého a oxidov dusíka</w:t>
            </w:r>
          </w:p>
          <w:p w:rsidR="005B394F" w:rsidRPr="00082E57" w:rsidP="005B394F">
            <w:pPr>
              <w:pStyle w:val="ListParagraph"/>
              <w:keepLines/>
              <w:adjustRightInd w:val="0"/>
              <w:ind w:left="0"/>
              <w:rPr>
                <w:sz w:val="20"/>
              </w:rPr>
            </w:pPr>
            <w:r w:rsidRPr="00082E57">
              <w:rPr>
                <w:sz w:val="20"/>
              </w:rPr>
              <w:t>Referenčná metóda merania oxidu dusičitého a oxidov dusíka štandardnou chemiluminiscenčnou metódou merania koncentrácie oxidu dusičitého podľa technickej normy.</w:t>
            </w:r>
            <w:r w:rsidRPr="001377EC">
              <w:rPr>
                <w:sz w:val="20"/>
                <w:vertAlign w:val="superscript"/>
              </w:rPr>
              <w:t xml:space="preserve">3 </w:t>
            </w:r>
            <w:r w:rsidRPr="00082E57">
              <w:rPr>
                <w:sz w:val="20"/>
              </w:rPr>
              <w:t>)</w:t>
            </w:r>
          </w:p>
          <w:p w:rsidR="005B394F" w:rsidRPr="00082E57" w:rsidP="005B394F">
            <w:pPr>
              <w:pStyle w:val="ListParagraph"/>
              <w:keepLines/>
              <w:adjustRightInd w:val="0"/>
              <w:ind w:left="0"/>
              <w:rPr>
                <w:sz w:val="20"/>
              </w:rPr>
            </w:pPr>
            <w:r>
              <w:rPr>
                <w:sz w:val="20"/>
              </w:rPr>
              <w:t xml:space="preserve">3. </w:t>
            </w:r>
            <w:r w:rsidRPr="00082E57">
              <w:rPr>
                <w:sz w:val="20"/>
              </w:rPr>
              <w:t>Referenčná metóda vzorkovania a merania olova</w:t>
            </w:r>
          </w:p>
          <w:p w:rsidR="005B394F" w:rsidP="005B394F">
            <w:pPr>
              <w:pStyle w:val="ListParagraph"/>
              <w:keepLines/>
              <w:adjustRightInd w:val="0"/>
              <w:ind w:left="0"/>
              <w:rPr>
                <w:sz w:val="20"/>
              </w:rPr>
            </w:pPr>
            <w:r w:rsidRPr="00082E57">
              <w:rPr>
                <w:sz w:val="20"/>
              </w:rPr>
              <w:t>Referenčná metóda vzorkovania olova je opísaná v písmene A bode 4. Referenčná metóda merania olova štandardnou metódou na stanovenie Pb, Cd, As a Ni vo frakcii PM</w:t>
            </w:r>
            <w:r w:rsidRPr="001377EC">
              <w:rPr>
                <w:sz w:val="20"/>
                <w:vertAlign w:val="subscript"/>
              </w:rPr>
              <w:t>10</w:t>
            </w:r>
            <w:r w:rsidRPr="00082E57">
              <w:rPr>
                <w:sz w:val="20"/>
              </w:rPr>
              <w:t xml:space="preserve"> sespendovaných častíc podľa technickej normy.</w:t>
            </w:r>
            <w:r w:rsidRPr="001377EC">
              <w:rPr>
                <w:sz w:val="20"/>
                <w:vertAlign w:val="superscript"/>
              </w:rPr>
              <w:t xml:space="preserve">4 </w:t>
            </w:r>
            <w:r w:rsidRPr="00082E57">
              <w:rPr>
                <w:sz w:val="20"/>
              </w:rPr>
              <w:t>)</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4.</w:t>
            </w:r>
            <w:r w:rsidRPr="00082E57">
              <w:rPr>
                <w:sz w:val="20"/>
              </w:rPr>
              <w:t>Referenčná metóda vzorkovania a merania častíc PM</w:t>
            </w:r>
            <w:r w:rsidRPr="001377EC">
              <w:rPr>
                <w:sz w:val="20"/>
                <w:vertAlign w:val="subscript"/>
              </w:rPr>
              <w:t>10</w:t>
            </w:r>
          </w:p>
          <w:p w:rsidR="005B394F" w:rsidP="005B394F">
            <w:pPr>
              <w:pStyle w:val="ListParagraph"/>
              <w:keepLines/>
              <w:adjustRightInd w:val="0"/>
              <w:ind w:left="0"/>
              <w:rPr>
                <w:sz w:val="20"/>
              </w:rPr>
            </w:pPr>
            <w:r w:rsidRPr="00082E57">
              <w:rPr>
                <w:sz w:val="20"/>
              </w:rPr>
              <w:t>Referenčná metóda vzorkovania a merania častíc PM</w:t>
            </w:r>
            <w:r w:rsidRPr="001377EC">
              <w:rPr>
                <w:sz w:val="20"/>
                <w:vertAlign w:val="subscript"/>
              </w:rPr>
              <w:t>10</w:t>
            </w:r>
            <w:r w:rsidRPr="00082E57">
              <w:rPr>
                <w:sz w:val="20"/>
              </w:rPr>
              <w:t xml:space="preserve"> stanovuje hmotnostnú koncentráciu suspendovaných častíc PM</w:t>
            </w:r>
            <w:r w:rsidRPr="001377EC">
              <w:rPr>
                <w:sz w:val="20"/>
                <w:vertAlign w:val="subscript"/>
              </w:rPr>
              <w:t xml:space="preserve">10 </w:t>
            </w:r>
            <w:r w:rsidRPr="00082E57">
              <w:rPr>
                <w:sz w:val="20"/>
              </w:rPr>
              <w:t>alebo PM</w:t>
            </w:r>
            <w:r w:rsidRPr="001377EC">
              <w:rPr>
                <w:sz w:val="20"/>
                <w:vertAlign w:val="subscript"/>
              </w:rPr>
              <w:t xml:space="preserve">2,5 </w:t>
            </w:r>
            <w:r w:rsidRPr="00082E57">
              <w:rPr>
                <w:sz w:val="20"/>
              </w:rPr>
              <w:t>štandardnou gravimetrickou metódou merania podľa technickej normy.</w:t>
            </w:r>
            <w:r w:rsidRPr="001377EC">
              <w:rPr>
                <w:sz w:val="20"/>
                <w:vertAlign w:val="superscript"/>
              </w:rPr>
              <w:t xml:space="preserve">5 </w:t>
            </w:r>
            <w:r w:rsidRPr="00082E57">
              <w:rPr>
                <w:sz w:val="20"/>
              </w:rPr>
              <w:t xml:space="preserve">) </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5.</w:t>
            </w:r>
            <w:r w:rsidRPr="00082E57">
              <w:rPr>
                <w:sz w:val="20"/>
              </w:rPr>
              <w:t>Referenčná metóda vzorkovania a merania častíc PM</w:t>
            </w:r>
            <w:r w:rsidRPr="001377EC">
              <w:rPr>
                <w:sz w:val="20"/>
                <w:vertAlign w:val="subscript"/>
              </w:rPr>
              <w:t>2,5</w:t>
            </w:r>
          </w:p>
          <w:p w:rsidR="005B394F" w:rsidP="005B394F">
            <w:pPr>
              <w:pStyle w:val="ListParagraph"/>
              <w:keepLines/>
              <w:adjustRightInd w:val="0"/>
              <w:ind w:left="0"/>
              <w:rPr>
                <w:sz w:val="20"/>
              </w:rPr>
            </w:pPr>
            <w:r w:rsidRPr="00082E57">
              <w:rPr>
                <w:sz w:val="20"/>
              </w:rPr>
              <w:t>Referenčná metóda vzorkovania a merania častíc PM</w:t>
            </w:r>
            <w:r w:rsidRPr="001377EC">
              <w:rPr>
                <w:sz w:val="20"/>
                <w:vertAlign w:val="subscript"/>
              </w:rPr>
              <w:t xml:space="preserve">2,5  </w:t>
            </w:r>
            <w:r w:rsidRPr="00082E57">
              <w:rPr>
                <w:sz w:val="20"/>
              </w:rPr>
              <w:t>štandardnou metódou na stanovenie Pb, Cd, As a Ni vo frakcii PM</w:t>
            </w:r>
            <w:r w:rsidRPr="001377EC">
              <w:rPr>
                <w:sz w:val="20"/>
                <w:vertAlign w:val="subscript"/>
              </w:rPr>
              <w:t xml:space="preserve">10 </w:t>
            </w:r>
            <w:r w:rsidRPr="00082E57">
              <w:rPr>
                <w:sz w:val="20"/>
              </w:rPr>
              <w:t>suspendovaných častíc podľa technickej normy.</w:t>
            </w:r>
            <w:r w:rsidRPr="001377EC">
              <w:rPr>
                <w:sz w:val="20"/>
                <w:vertAlign w:val="superscript"/>
              </w:rPr>
              <w:t>4</w:t>
            </w:r>
            <w:r w:rsidRPr="00082E57">
              <w:rPr>
                <w:sz w:val="20"/>
              </w:rPr>
              <w:t>)</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6.</w:t>
            </w:r>
            <w:r w:rsidRPr="00082E57">
              <w:rPr>
                <w:sz w:val="20"/>
              </w:rPr>
              <w:t>Referenčná metóda vzorkovania a merania benzénu</w:t>
            </w:r>
          </w:p>
          <w:p w:rsidR="005B394F" w:rsidP="005B394F">
            <w:pPr>
              <w:pStyle w:val="ListParagraph"/>
              <w:keepLines/>
              <w:adjustRightInd w:val="0"/>
              <w:ind w:left="0"/>
              <w:rPr>
                <w:sz w:val="20"/>
              </w:rPr>
            </w:pPr>
            <w:r w:rsidRPr="00082E57">
              <w:rPr>
                <w:sz w:val="20"/>
              </w:rPr>
              <w:t>Referenčná metóda merania benzénu štandardnou metódou na meranie koncentráciou benzénu, odberom vzoriek pomocou čerpadla s následnou tepelnou desorpciou a plynovou chromatografiou a s automatizovaným odberom vzoriek pomocou čerpadla s následnou plynovou chromatografiou in situ podľa technickej normy.</w:t>
            </w:r>
            <w:r w:rsidRPr="001377EC">
              <w:rPr>
                <w:sz w:val="20"/>
                <w:vertAlign w:val="superscript"/>
              </w:rPr>
              <w:t xml:space="preserve">6 </w:t>
            </w:r>
            <w:r w:rsidRPr="00082E57">
              <w:rPr>
                <w:sz w:val="20"/>
              </w:rPr>
              <w:t>)</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7.</w:t>
            </w:r>
            <w:r w:rsidRPr="00082E57">
              <w:rPr>
                <w:sz w:val="20"/>
              </w:rPr>
              <w:t>Referenčná metóda merania oxidu uhoľnatého</w:t>
            </w:r>
          </w:p>
          <w:p w:rsidR="005B394F" w:rsidP="005B394F">
            <w:pPr>
              <w:pStyle w:val="ListParagraph"/>
              <w:keepLines/>
              <w:adjustRightInd w:val="0"/>
              <w:ind w:left="0"/>
              <w:rPr>
                <w:sz w:val="20"/>
              </w:rPr>
            </w:pPr>
            <w:r w:rsidRPr="00082E57">
              <w:rPr>
                <w:sz w:val="20"/>
              </w:rPr>
              <w:t>Referenčná metóda merania oxidu uhoľnatého štandardnou nedisperznou infračervenou spektroskopickou metódou merania koncentrácie oxidu uhoľnatého podľa technickej normy.</w:t>
            </w:r>
            <w:r w:rsidRPr="001377EC">
              <w:rPr>
                <w:sz w:val="20"/>
                <w:vertAlign w:val="superscript"/>
              </w:rPr>
              <w:t>7</w:t>
            </w:r>
            <w:r w:rsidRPr="00082E57">
              <w:rPr>
                <w:sz w:val="20"/>
              </w:rPr>
              <w:t xml:space="preserve"> )</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8.</w:t>
            </w:r>
            <w:r w:rsidRPr="00082E57">
              <w:rPr>
                <w:sz w:val="20"/>
              </w:rPr>
              <w:t>Referenčná metóda merania ozónu</w:t>
            </w:r>
          </w:p>
          <w:p w:rsidR="005B394F" w:rsidP="005B394F">
            <w:pPr>
              <w:pStyle w:val="ListParagraph"/>
              <w:keepLines/>
              <w:adjustRightInd w:val="0"/>
              <w:ind w:left="0"/>
              <w:rPr>
                <w:sz w:val="20"/>
              </w:rPr>
            </w:pPr>
            <w:r w:rsidRPr="00082E57">
              <w:rPr>
                <w:sz w:val="20"/>
              </w:rPr>
              <w:t>Referenčná metóda merania ozónu štandardnou ultrafialovou fotometrickou metódou merania koncentráci</w:t>
            </w:r>
            <w:r>
              <w:rPr>
                <w:sz w:val="20"/>
              </w:rPr>
              <w:t>e ozónu podľa technickej normy.</w:t>
            </w:r>
            <w:r w:rsidRPr="001377EC">
              <w:rPr>
                <w:sz w:val="20"/>
                <w:vertAlign w:val="superscript"/>
              </w:rPr>
              <w:t>8</w:t>
            </w:r>
            <w:r w:rsidRPr="00082E57">
              <w:rPr>
                <w:sz w:val="20"/>
              </w:rPr>
              <w:t xml:space="preserve">)    </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9.</w:t>
            </w:r>
            <w:r w:rsidRPr="00082E57">
              <w:rPr>
                <w:sz w:val="20"/>
              </w:rPr>
              <w:t xml:space="preserve">Referenčná metóda na odber vzoriek a analýzu arzénu, kadmia a niklu </w:t>
            </w:r>
          </w:p>
          <w:p w:rsidR="005B394F" w:rsidP="005B394F">
            <w:pPr>
              <w:pStyle w:val="ListParagraph"/>
              <w:keepLines/>
              <w:adjustRightInd w:val="0"/>
              <w:ind w:left="0"/>
              <w:rPr>
                <w:sz w:val="20"/>
              </w:rPr>
            </w:pPr>
            <w:r w:rsidRPr="00082E57">
              <w:rPr>
                <w:sz w:val="20"/>
              </w:rPr>
              <w:t>Referenčná metóda odberu vzoriek arzénu, kadmia a niklu štandardnou gravimetrickou metódou merania podľa technickej normy. ) Referenčná metóda merania arzénu, kadmia a niklu štandardnou metódou na stanovenie Pb, Cd, As a Ni vo frakcii PM</w:t>
            </w:r>
            <w:r w:rsidRPr="00BD70EA">
              <w:rPr>
                <w:sz w:val="20"/>
                <w:vertAlign w:val="subscript"/>
              </w:rPr>
              <w:t>10</w:t>
            </w:r>
            <w:r w:rsidRPr="00082E57">
              <w:rPr>
                <w:sz w:val="20"/>
              </w:rPr>
              <w:t xml:space="preserve"> suspendovaných častíc podľa te</w:t>
            </w:r>
            <w:r>
              <w:rPr>
                <w:sz w:val="20"/>
              </w:rPr>
              <w:t>chnickej normy.</w:t>
            </w:r>
            <w:r w:rsidRPr="00BD70EA">
              <w:rPr>
                <w:sz w:val="20"/>
                <w:vertAlign w:val="superscript"/>
              </w:rPr>
              <w:t>9</w:t>
            </w:r>
            <w:r w:rsidRPr="00082E57">
              <w:rPr>
                <w:sz w:val="20"/>
              </w:rPr>
              <w:t>) Ak neuvádza metódu norma EN, možno použiť aj iné metódy podľa noriem STN alebo podľa noriem ISO. Možno použiť aj iné metódy, pri ktorých sa preukáže, že poskytujú výsledky ekvivalentné s vyššie uvedenou metódou.</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10.</w:t>
            </w:r>
            <w:r w:rsidRPr="00082E57">
              <w:rPr>
                <w:sz w:val="20"/>
              </w:rPr>
              <w:t>Referenčná metóda na odber vzoriek a analýzu polycyklických aromatických uhľovodíkov</w:t>
            </w:r>
          </w:p>
          <w:p w:rsidR="005B394F" w:rsidP="005B394F">
            <w:pPr>
              <w:pStyle w:val="ListParagraph"/>
              <w:keepLines/>
              <w:adjustRightInd w:val="0"/>
              <w:ind w:left="0"/>
              <w:rPr>
                <w:sz w:val="20"/>
              </w:rPr>
            </w:pPr>
            <w:r w:rsidRPr="00082E57">
              <w:rPr>
                <w:sz w:val="20"/>
              </w:rPr>
              <w:t>Referenčná metóda na odber vzoriek polycyklických aromatických uhľovodíkov štandardnou metódou na stanovenie Pb, Cd, As a Ni vo frakcii PM</w:t>
            </w:r>
            <w:r w:rsidRPr="00BD70EA">
              <w:rPr>
                <w:sz w:val="20"/>
                <w:vertAlign w:val="subscript"/>
              </w:rPr>
              <w:t>10</w:t>
            </w:r>
            <w:r w:rsidRPr="00082E57">
              <w:rPr>
                <w:sz w:val="20"/>
              </w:rPr>
              <w:t xml:space="preserve"> suspendovaných častíc podľa technickej normy.</w:t>
            </w:r>
            <w:r w:rsidRPr="00BD70EA">
              <w:rPr>
                <w:sz w:val="20"/>
                <w:vertAlign w:val="superscript"/>
              </w:rPr>
              <w:t>4</w:t>
            </w:r>
            <w:r w:rsidRPr="00082E57">
              <w:rPr>
                <w:sz w:val="20"/>
              </w:rPr>
              <w:t xml:space="preserve">) Referenčná metóda merania benzo(a)pyrénu normalizovanou metódou na meranie koncentrácie benzo[a]pyrénu vo vonkajšom ovzduší  podľa technickej normy. ) Ak neuvádza metódu norma EN pre benzo(a)pyrén alebo iné polycyklické aromatické uhľovodíky uvedené v § 5 ods. 1 písm. a) bod 3 zákona, možno použiť aj iné metódy podľa noriem STN alebo noriem ISO, odber na filtre plnené sorbentom a analýza plynovochromatografickou/hmotnostnospektrometrickou </w:t>
            </w:r>
            <w:r>
              <w:rPr>
                <w:sz w:val="20"/>
              </w:rPr>
              <w:t>metódou podľa technickej normy.</w:t>
            </w:r>
            <w:r w:rsidRPr="00BD70EA">
              <w:rPr>
                <w:sz w:val="20"/>
                <w:vertAlign w:val="superscript"/>
              </w:rPr>
              <w:t>12</w:t>
            </w:r>
            <w:r w:rsidRPr="00082E57">
              <w:rPr>
                <w:sz w:val="20"/>
              </w:rPr>
              <w:t>) Možno použiť aj iné metódy, pri ktorých sa preukáže, že poskytujú výsledky ekvivalentné s vyššie uvedenou metódou.</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11.</w:t>
            </w:r>
            <w:r w:rsidRPr="00082E57">
              <w:rPr>
                <w:sz w:val="20"/>
              </w:rPr>
              <w:t>Referenčná metóda na odber vzoriek a analýzu ortuti</w:t>
            </w:r>
          </w:p>
          <w:p w:rsidR="005B394F" w:rsidP="005B394F">
            <w:pPr>
              <w:pStyle w:val="ListParagraph"/>
              <w:keepLines/>
              <w:adjustRightInd w:val="0"/>
              <w:ind w:left="0"/>
              <w:rPr>
                <w:sz w:val="20"/>
              </w:rPr>
            </w:pPr>
            <w:r w:rsidRPr="00082E57">
              <w:rPr>
                <w:sz w:val="20"/>
              </w:rPr>
              <w:t xml:space="preserve">Referenčná metóda merania koncentrácií celkovej plynnej ortuti v ovzduší štandardnou metódou na stanovenie celkovej plynnej </w:t>
            </w:r>
            <w:r>
              <w:rPr>
                <w:sz w:val="20"/>
              </w:rPr>
              <w:t>ortuti podľa technickej normy.</w:t>
            </w:r>
            <w:r w:rsidRPr="00BD70EA">
              <w:rPr>
                <w:sz w:val="20"/>
                <w:vertAlign w:val="superscript"/>
              </w:rPr>
              <w:t>13</w:t>
            </w:r>
            <w:r w:rsidRPr="00082E57">
              <w:rPr>
                <w:sz w:val="20"/>
              </w:rPr>
              <w:t>) Možno použiť aj iné metódy, pri ktorých sa preukáže, že poskytujú výsledky ekvivalentné s vyššie uvedenou metódou. Ak neuvádza metódu norma EN, možno použiť aj iné metódy podľa noriem STN alebo  noriem ISO. Možno použiť aj iné metódy, pri ktorých sa preukáže, že poskytujú výsledky ekvivalentné s vyššie uvedenou metódou.</w:t>
            </w:r>
          </w:p>
          <w:p w:rsidR="005B394F" w:rsidRPr="00082E57" w:rsidP="005B394F">
            <w:pPr>
              <w:pStyle w:val="ListParagraph"/>
              <w:keepLines/>
              <w:adjustRightInd w:val="0"/>
              <w:ind w:left="0"/>
              <w:rPr>
                <w:sz w:val="20"/>
              </w:rPr>
            </w:pPr>
          </w:p>
          <w:p w:rsidR="005B394F" w:rsidRPr="00082E57" w:rsidP="005B394F">
            <w:pPr>
              <w:pStyle w:val="ListParagraph"/>
              <w:keepLines/>
              <w:adjustRightInd w:val="0"/>
              <w:ind w:left="0"/>
              <w:rPr>
                <w:sz w:val="20"/>
              </w:rPr>
            </w:pPr>
            <w:r>
              <w:rPr>
                <w:sz w:val="20"/>
              </w:rPr>
              <w:t>12.</w:t>
            </w:r>
            <w:r w:rsidRPr="00082E57">
              <w:rPr>
                <w:sz w:val="20"/>
              </w:rPr>
              <w:t>Referenčná metóda na odber vzoriek a analýzu depozície arzénu, kadmia, ortuti, olova, niklu a polycyklických aromatických uhľovodíkov</w:t>
            </w:r>
          </w:p>
          <w:p w:rsidR="005B394F" w:rsidRPr="00082E57" w:rsidP="005B394F">
            <w:pPr>
              <w:pStyle w:val="ListParagraph"/>
              <w:keepLines/>
              <w:adjustRightInd w:val="0"/>
              <w:ind w:left="0"/>
              <w:rPr>
                <w:sz w:val="20"/>
              </w:rPr>
            </w:pPr>
            <w:r w:rsidRPr="00082E57">
              <w:rPr>
                <w:sz w:val="20"/>
              </w:rPr>
              <w:t xml:space="preserve">Referenčná metóda na stanovenie depozície arzénu, kadmia, niklu štandardnou metódou stanovenia atmosférickej depozície arzénu, kadmia, olova </w:t>
            </w:r>
            <w:r>
              <w:rPr>
                <w:sz w:val="20"/>
              </w:rPr>
              <w:t>a niklu podľa technickej normy.</w:t>
            </w:r>
            <w:r w:rsidRPr="00BD70EA">
              <w:rPr>
                <w:sz w:val="20"/>
                <w:vertAlign w:val="superscript"/>
              </w:rPr>
              <w:t>14</w:t>
            </w:r>
            <w:r w:rsidRPr="00082E57">
              <w:rPr>
                <w:sz w:val="20"/>
              </w:rPr>
              <w:t xml:space="preserve">) Referenčná metóda na stanovenie depozície ortuti štandardnou metódou na stanovenie depozície ortuti </w:t>
            </w:r>
            <w:r>
              <w:rPr>
                <w:sz w:val="20"/>
              </w:rPr>
              <w:t>podľa technickej normy.</w:t>
            </w:r>
            <w:r w:rsidRPr="00BD70EA">
              <w:rPr>
                <w:sz w:val="20"/>
                <w:vertAlign w:val="superscript"/>
              </w:rPr>
              <w:t>15</w:t>
            </w:r>
            <w:r w:rsidRPr="00082E57">
              <w:rPr>
                <w:sz w:val="20"/>
              </w:rPr>
              <w:t>) Referenčná metóda na stanovenie depozície benzo(a)pyrénu a iných polycyklických uhľovodíkov štandardnou metódou stanovenia depozície benzo[a]antracénu, benzo[b]fluoranténu, benzo[j]fluoranténu, benzo[k]fluoranténu, benzo[a]pyrénu, dibenzo[a,h]antracénu a indeno[1,2,3-cd</w:t>
            </w:r>
            <w:r>
              <w:rPr>
                <w:sz w:val="20"/>
              </w:rPr>
              <w:t>]pyrénu podľa technickej normy.</w:t>
            </w:r>
            <w:r>
              <w:rPr>
                <w:sz w:val="20"/>
                <w:vertAlign w:val="superscript"/>
              </w:rPr>
              <w:t>16</w:t>
            </w:r>
            <w:r w:rsidRPr="00082E57">
              <w:rPr>
                <w:sz w:val="20"/>
              </w:rPr>
              <w:t>) Ak neuvádza metódu norma EN, možno použiť aj iné metódy podľa noriem STN alebo noriem ISO. Možno použiť aj iné metódy, pri ktorých sa preukáže, že poskytujú výsledky ekvivalentné s vyššie uvedenou metódou.</w:t>
            </w:r>
          </w:p>
          <w:p w:rsidR="005B394F" w:rsidP="005B394F">
            <w:pPr>
              <w:pStyle w:val="ListParagraph"/>
              <w:keepLines/>
              <w:autoSpaceDE w:val="0"/>
              <w:autoSpaceDN w:val="0"/>
              <w:adjustRightInd w:val="0"/>
              <w:ind w:left="0"/>
              <w:rPr>
                <w:sz w:val="20"/>
              </w:rPr>
            </w:pPr>
          </w:p>
          <w:p w:rsidR="005B394F" w:rsidRPr="005B394F" w:rsidP="005B394F">
            <w:pPr>
              <w:pStyle w:val="FootnoteText"/>
              <w:rPr>
                <w:kern w:val="36"/>
                <w:sz w:val="18"/>
                <w:szCs w:val="18"/>
                <w:lang w:eastAsia="sk-SK"/>
              </w:rPr>
            </w:pPr>
            <w:r w:rsidRPr="00B95EDF">
              <w:rPr>
                <w:vertAlign w:val="superscript"/>
              </w:rPr>
              <w:t>2</w:t>
            </w:r>
            <w:r>
              <w:t xml:space="preserve">) </w:t>
            </w:r>
            <w:r w:rsidRPr="005B394F">
              <w:rPr>
                <w:kern w:val="36"/>
                <w:sz w:val="18"/>
                <w:szCs w:val="18"/>
                <w:lang w:eastAsia="sk-SK"/>
              </w:rPr>
              <w:t>STN EN 14212 Ochrana ovzdušia. Vonkajšie ovzdušie. Štandardná ultrafialová fluorescenčná metóda merania koncentrácie oxidu siričitého (83 5727).</w:t>
            </w:r>
          </w:p>
          <w:p w:rsidR="005B394F" w:rsidRPr="005B394F" w:rsidP="005B394F">
            <w:pPr>
              <w:pStyle w:val="FootnoteText"/>
              <w:rPr>
                <w:kern w:val="36"/>
                <w:sz w:val="18"/>
                <w:szCs w:val="18"/>
                <w:lang w:eastAsia="sk-SK"/>
              </w:rPr>
            </w:pPr>
            <w:r w:rsidRPr="00384068">
              <w:rPr>
                <w:kern w:val="36"/>
                <w:sz w:val="18"/>
                <w:szCs w:val="18"/>
                <w:vertAlign w:val="superscript"/>
                <w:lang w:eastAsia="sk-SK"/>
              </w:rPr>
              <w:t>3</w:t>
            </w:r>
            <w:r w:rsidRPr="005B394F">
              <w:rPr>
                <w:kern w:val="36"/>
                <w:sz w:val="18"/>
                <w:szCs w:val="18"/>
                <w:lang w:eastAsia="sk-SK"/>
              </w:rPr>
              <w:t xml:space="preserve">) </w:t>
            </w:r>
            <w:bookmarkStart w:id="8" w:name="_Hlk70437189"/>
            <w:r w:rsidRPr="005B394F">
              <w:rPr>
                <w:kern w:val="36"/>
                <w:sz w:val="18"/>
                <w:szCs w:val="18"/>
                <w:lang w:eastAsia="sk-SK"/>
              </w:rPr>
              <w:t>STN EN 14211:2012 Ochrana ovzdušia. Vonkajšie ovzdušie. Štandardná chemiluminiscenčná metóda merania koncentrácie oxidu dusičitého a oxidu dusnatého (835726).</w:t>
            </w:r>
            <w:bookmarkEnd w:id="8"/>
          </w:p>
          <w:p w:rsidR="005B394F" w:rsidRPr="005B394F" w:rsidP="005B394F">
            <w:pPr>
              <w:pStyle w:val="FootnoteText"/>
              <w:rPr>
                <w:kern w:val="36"/>
                <w:sz w:val="18"/>
                <w:szCs w:val="18"/>
                <w:lang w:eastAsia="sk-SK"/>
              </w:rPr>
            </w:pPr>
            <w:r w:rsidRPr="00384068">
              <w:rPr>
                <w:kern w:val="36"/>
                <w:sz w:val="18"/>
                <w:szCs w:val="18"/>
                <w:vertAlign w:val="superscript"/>
                <w:lang w:eastAsia="sk-SK"/>
              </w:rPr>
              <w:t>4</w:t>
            </w:r>
            <w:r w:rsidRPr="005B394F">
              <w:rPr>
                <w:kern w:val="36"/>
                <w:sz w:val="18"/>
                <w:szCs w:val="18"/>
                <w:lang w:eastAsia="sk-SK"/>
              </w:rPr>
              <w:t>) STN EN 14902 Ochrana ovzdušia. Vonkajšie ovzdušie. Štandardná metóda na stanovenie Pb, Cd, As a Ni vo frakcii PM10 suspendovaných častíc (83 5616).</w:t>
            </w:r>
          </w:p>
          <w:p w:rsidR="005B394F" w:rsidRPr="005B394F" w:rsidP="005B394F">
            <w:pPr>
              <w:pStyle w:val="FootnoteText"/>
              <w:tabs>
                <w:tab w:val="left" w:pos="284"/>
              </w:tabs>
              <w:rPr>
                <w:kern w:val="36"/>
                <w:sz w:val="18"/>
                <w:szCs w:val="18"/>
                <w:lang w:eastAsia="sk-SK"/>
              </w:rPr>
            </w:pPr>
            <w:r w:rsidRPr="00384068">
              <w:rPr>
                <w:kern w:val="36"/>
                <w:sz w:val="18"/>
                <w:szCs w:val="18"/>
                <w:vertAlign w:val="superscript"/>
                <w:lang w:eastAsia="sk-SK"/>
              </w:rPr>
              <w:t>5</w:t>
            </w:r>
            <w:r w:rsidRPr="005B394F">
              <w:rPr>
                <w:kern w:val="36"/>
                <w:sz w:val="18"/>
                <w:szCs w:val="18"/>
                <w:lang w:eastAsia="sk-SK"/>
              </w:rPr>
              <w:t>) STN EN 12341:2014 Ochrana ovzdušia. Vonkajšie ovzdušie. Stanovenie hmotnostnej koncentrácie suspendovaných častíc PM10 alebo PM2,5 štandardnou gravimetrickou metódou merania (83 4602).</w:t>
            </w:r>
          </w:p>
          <w:p w:rsidR="005B394F" w:rsidRPr="005B394F" w:rsidP="005B394F">
            <w:pPr>
              <w:pStyle w:val="ListParagraph"/>
              <w:keepLines/>
              <w:adjustRightInd w:val="0"/>
              <w:ind w:left="0"/>
              <w:rPr>
                <w:kern w:val="36"/>
                <w:sz w:val="18"/>
                <w:szCs w:val="18"/>
              </w:rPr>
            </w:pPr>
            <w:r w:rsidRPr="00384068">
              <w:rPr>
                <w:kern w:val="36"/>
                <w:sz w:val="18"/>
                <w:szCs w:val="18"/>
                <w:vertAlign w:val="superscript"/>
              </w:rPr>
              <w:t>6</w:t>
            </w:r>
            <w:r w:rsidRPr="005B394F">
              <w:rPr>
                <w:kern w:val="36"/>
                <w:sz w:val="18"/>
                <w:szCs w:val="18"/>
              </w:rPr>
              <w:t>) STN EN 14662-1 Ochrana ovzdušia. Vonkajšie ovzdušie. Štandardná metóda na meranie koncentrácií benzénu. Časť 1: Odber vzoriek pomocou čerpadla s následnou tepelnou desorpciou a plynovou chromatografiou (835728), STN EN 14662:2005-2 Ochrana ovzdušia. Vonkajšie ovzdušie. Štandardná metóda na meranie koncentrácií benzénu. Časť 2: Odber vzoriek pomocou čerpadla s následnou desorpciou rozpúšťadlom a plynovou chromatografiou (83 5728), STN EN 14662-3 Ochrana ovzdušia. Vonkajšie ovzdušie. Štandardná metóda na meranie koncentrácií benzénu. Časť 3: Automatizovaný odber vzoriek pomocou čerpadla s následnou plynovou chromatografiou in situ (835728).</w:t>
            </w:r>
          </w:p>
          <w:p w:rsidR="005B394F" w:rsidRPr="005B394F" w:rsidP="005B394F">
            <w:pPr>
              <w:pStyle w:val="ListParagraph"/>
              <w:keepLines/>
              <w:adjustRightInd w:val="0"/>
              <w:ind w:left="0"/>
              <w:rPr>
                <w:kern w:val="36"/>
                <w:sz w:val="18"/>
                <w:szCs w:val="18"/>
              </w:rPr>
            </w:pPr>
            <w:r w:rsidRPr="00384068">
              <w:rPr>
                <w:kern w:val="36"/>
                <w:sz w:val="18"/>
                <w:szCs w:val="18"/>
                <w:vertAlign w:val="superscript"/>
              </w:rPr>
              <w:t>7</w:t>
            </w:r>
            <w:r w:rsidRPr="005B394F">
              <w:rPr>
                <w:kern w:val="36"/>
                <w:sz w:val="18"/>
                <w:szCs w:val="18"/>
              </w:rPr>
              <w:t>) STN EN 14626 Ochrana ovzdušia. Vonkajšie ovzdušie. Štandardná nedisperzná infračervená spektroskopická metóda merania koncentrácie oxidu uhoľnatého (835725).</w:t>
            </w:r>
          </w:p>
          <w:p w:rsidR="005B394F" w:rsidRPr="005B394F" w:rsidP="005B394F">
            <w:pPr>
              <w:pStyle w:val="ListParagraph"/>
              <w:keepLines/>
              <w:adjustRightInd w:val="0"/>
              <w:ind w:left="0"/>
              <w:rPr>
                <w:kern w:val="36"/>
                <w:sz w:val="18"/>
                <w:szCs w:val="18"/>
              </w:rPr>
            </w:pPr>
            <w:r w:rsidRPr="00384068">
              <w:rPr>
                <w:kern w:val="36"/>
                <w:sz w:val="18"/>
                <w:szCs w:val="18"/>
                <w:vertAlign w:val="superscript"/>
              </w:rPr>
              <w:t>8</w:t>
            </w:r>
            <w:r w:rsidRPr="005B394F">
              <w:rPr>
                <w:kern w:val="36"/>
                <w:sz w:val="18"/>
                <w:szCs w:val="18"/>
              </w:rPr>
              <w:t>) STN EN 14625:2012-4 (835724)  Ochrana ovzdušia. Vonkajšie ovzdušie. Štandardná ultrafialová fotometrická metóda merania koncentrácie ozónu.</w:t>
            </w:r>
          </w:p>
          <w:p w:rsidR="005B394F" w:rsidRPr="005B394F" w:rsidP="005B394F">
            <w:pPr>
              <w:pStyle w:val="ListParagraph"/>
              <w:keepLines/>
              <w:adjustRightInd w:val="0"/>
              <w:ind w:left="0"/>
              <w:rPr>
                <w:kern w:val="36"/>
                <w:sz w:val="18"/>
                <w:szCs w:val="18"/>
              </w:rPr>
            </w:pPr>
            <w:r w:rsidRPr="00384068">
              <w:rPr>
                <w:kern w:val="36"/>
                <w:sz w:val="18"/>
                <w:szCs w:val="18"/>
                <w:vertAlign w:val="superscript"/>
              </w:rPr>
              <w:t>9</w:t>
            </w:r>
            <w:r w:rsidRPr="005B394F">
              <w:rPr>
                <w:kern w:val="36"/>
                <w:sz w:val="18"/>
                <w:szCs w:val="18"/>
              </w:rPr>
              <w:t>) STN EN 12341 Ochrana ovzdušia. Vonkajšie ovzdušie. Stanovenie hmotnostnej koncentrácie suspendovaných častíc PM10 alebo PM2,5 štandardnou gravimetrickou metódou merania (83 4602).</w:t>
            </w:r>
          </w:p>
          <w:p w:rsidR="005B394F" w:rsidRPr="005B394F" w:rsidP="005B394F">
            <w:pPr>
              <w:pStyle w:val="ListParagraph"/>
              <w:keepLines/>
              <w:adjustRightInd w:val="0"/>
              <w:ind w:left="0"/>
              <w:rPr>
                <w:kern w:val="36"/>
                <w:sz w:val="18"/>
                <w:szCs w:val="18"/>
              </w:rPr>
            </w:pPr>
            <w:r w:rsidRPr="00384068">
              <w:rPr>
                <w:kern w:val="36"/>
                <w:sz w:val="18"/>
                <w:szCs w:val="18"/>
                <w:vertAlign w:val="superscript"/>
              </w:rPr>
              <w:t>10</w:t>
            </w:r>
            <w:r w:rsidRPr="005B394F">
              <w:rPr>
                <w:kern w:val="36"/>
                <w:sz w:val="18"/>
                <w:szCs w:val="18"/>
              </w:rPr>
              <w:t xml:space="preserve"> ) STN EN 14902 Ochrana ovzdušia. Vonkajšie ovzdušie. Štandardná metóda na stanovenie Pb, Cd, As a Ni vo frakcii PM10 suspendovaných častíc (83 5616).</w:t>
            </w:r>
          </w:p>
          <w:p w:rsidR="005B394F" w:rsidRPr="005B394F" w:rsidP="005B394F">
            <w:pPr>
              <w:pStyle w:val="ListParagraph"/>
              <w:keepLines/>
              <w:adjustRightInd w:val="0"/>
              <w:ind w:left="0"/>
              <w:rPr>
                <w:kern w:val="36"/>
                <w:sz w:val="18"/>
                <w:szCs w:val="18"/>
              </w:rPr>
            </w:pPr>
            <w:r w:rsidRPr="00384068">
              <w:rPr>
                <w:kern w:val="36"/>
                <w:sz w:val="18"/>
                <w:szCs w:val="18"/>
                <w:vertAlign w:val="superscript"/>
              </w:rPr>
              <w:t>11</w:t>
            </w:r>
            <w:r w:rsidRPr="005B394F">
              <w:rPr>
                <w:kern w:val="36"/>
                <w:sz w:val="18"/>
                <w:szCs w:val="18"/>
              </w:rPr>
              <w:t xml:space="preserve"> ) STN EN 15549 Ochrana ovzdušia. Normalizovaná metóda na meranie koncentrácie benzo[a]pyrénu vo vonkajšom ovzduší (83 5734).</w:t>
            </w:r>
          </w:p>
          <w:p w:rsidR="005B394F" w:rsidRPr="005B394F" w:rsidP="005B394F">
            <w:pPr>
              <w:pStyle w:val="ListParagraph"/>
              <w:keepLines/>
              <w:autoSpaceDE w:val="0"/>
              <w:autoSpaceDN w:val="0"/>
              <w:adjustRightInd w:val="0"/>
              <w:ind w:left="0"/>
              <w:rPr>
                <w:kern w:val="36"/>
                <w:sz w:val="18"/>
                <w:szCs w:val="18"/>
              </w:rPr>
            </w:pPr>
            <w:r w:rsidRPr="00384068">
              <w:rPr>
                <w:kern w:val="36"/>
                <w:sz w:val="18"/>
                <w:szCs w:val="18"/>
                <w:vertAlign w:val="superscript"/>
              </w:rPr>
              <w:t>12</w:t>
            </w:r>
            <w:r w:rsidRPr="005B394F">
              <w:rPr>
                <w:kern w:val="36"/>
                <w:sz w:val="18"/>
                <w:szCs w:val="18"/>
              </w:rPr>
              <w:t>) STN ISO 12884 Ochrana ovzdušia. Vonkajšie ovzdušie. Stanovenie celkových polycyklických aromatických uhľovodíkov (prítomných v plynnej fáze a sorbovaných na časticiach). Odber na filtre plnené sorbentom a analýza plynovochromatografickou/hmotnostnospektrometrickou metódou (83 5731).</w:t>
            </w:r>
          </w:p>
          <w:p w:rsidR="005B394F" w:rsidRPr="005B394F" w:rsidP="005B394F">
            <w:pPr>
              <w:pStyle w:val="FootnoteText"/>
              <w:rPr>
                <w:kern w:val="36"/>
                <w:sz w:val="18"/>
                <w:szCs w:val="18"/>
                <w:lang w:eastAsia="sk-SK"/>
              </w:rPr>
            </w:pPr>
            <w:r w:rsidRPr="00384068">
              <w:rPr>
                <w:kern w:val="36"/>
                <w:sz w:val="18"/>
                <w:szCs w:val="18"/>
                <w:vertAlign w:val="superscript"/>
                <w:lang w:eastAsia="sk-SK"/>
              </w:rPr>
              <w:t>13</w:t>
            </w:r>
            <w:r w:rsidRPr="005B394F">
              <w:rPr>
                <w:kern w:val="36"/>
                <w:sz w:val="18"/>
                <w:szCs w:val="18"/>
                <w:lang w:eastAsia="sk-SK"/>
              </w:rPr>
              <w:t>) STN EN 15852 Ochrana ovzdušia. Vonkajšie ovzdušie. Štandardná metóda na stanovenie celkovej plynnej ortuti (83 5617).</w:t>
            </w:r>
          </w:p>
          <w:p w:rsidR="005B394F" w:rsidRPr="005B394F" w:rsidP="005B394F">
            <w:pPr>
              <w:pStyle w:val="FootnoteText"/>
              <w:rPr>
                <w:kern w:val="36"/>
                <w:sz w:val="18"/>
                <w:szCs w:val="18"/>
                <w:lang w:eastAsia="sk-SK"/>
              </w:rPr>
            </w:pPr>
            <w:r w:rsidRPr="00384068">
              <w:rPr>
                <w:kern w:val="36"/>
                <w:sz w:val="18"/>
                <w:szCs w:val="18"/>
                <w:vertAlign w:val="superscript"/>
                <w:lang w:eastAsia="sk-SK"/>
              </w:rPr>
              <w:t>14</w:t>
            </w:r>
            <w:r w:rsidRPr="005B394F">
              <w:rPr>
                <w:kern w:val="36"/>
                <w:sz w:val="18"/>
                <w:szCs w:val="18"/>
                <w:lang w:eastAsia="sk-SK"/>
              </w:rPr>
              <w:t>) STN EN 15841 Ochrana ovzdušia. Vonkajšie ovzdušie. Štandardná metóda stanovenia atmosférickej depozície arzénu, kadmia, olova a niklu (83 5619).</w:t>
            </w:r>
          </w:p>
          <w:p w:rsidR="005B394F" w:rsidRPr="005B394F" w:rsidP="005B394F">
            <w:pPr>
              <w:pStyle w:val="FootnoteText"/>
              <w:rPr>
                <w:kern w:val="36"/>
                <w:sz w:val="18"/>
                <w:szCs w:val="18"/>
                <w:lang w:eastAsia="sk-SK"/>
              </w:rPr>
            </w:pPr>
            <w:r w:rsidRPr="00384068">
              <w:rPr>
                <w:kern w:val="36"/>
                <w:sz w:val="18"/>
                <w:szCs w:val="18"/>
                <w:vertAlign w:val="superscript"/>
                <w:lang w:eastAsia="sk-SK"/>
              </w:rPr>
              <w:t>15</w:t>
            </w:r>
            <w:r w:rsidRPr="005B394F">
              <w:rPr>
                <w:kern w:val="36"/>
                <w:sz w:val="18"/>
                <w:szCs w:val="18"/>
                <w:lang w:eastAsia="sk-SK"/>
              </w:rPr>
              <w:t>) STN EN 15853 Ochrana ovzdušia. Vonkajšie ovzdušie. Štandardná metóda na stanovenie depozície ortuti (83 5618).</w:t>
            </w:r>
          </w:p>
          <w:p w:rsidR="005B394F" w:rsidRPr="005B394F" w:rsidP="005B394F">
            <w:pPr>
              <w:pStyle w:val="ListParagraph"/>
              <w:keepLines/>
              <w:autoSpaceDE w:val="0"/>
              <w:autoSpaceDN w:val="0"/>
              <w:adjustRightInd w:val="0"/>
              <w:ind w:left="0"/>
              <w:rPr>
                <w:kern w:val="36"/>
                <w:sz w:val="18"/>
                <w:szCs w:val="18"/>
              </w:rPr>
            </w:pPr>
            <w:r w:rsidRPr="00384068">
              <w:rPr>
                <w:kern w:val="36"/>
                <w:sz w:val="18"/>
                <w:szCs w:val="18"/>
                <w:vertAlign w:val="superscript"/>
              </w:rPr>
              <w:t>16</w:t>
            </w:r>
            <w:r w:rsidRPr="005B394F">
              <w:rPr>
                <w:kern w:val="36"/>
                <w:sz w:val="18"/>
                <w:szCs w:val="18"/>
              </w:rPr>
              <w:t>) STN EN 15980 Ochrana ovzdušia. Stanovenie depozície benzo[a]antracénu, benzo[b]fluoranténu, benzo[j]fluoranténu, benzo[k]fluoranténu, benzo[a]pyrénu, dibenzo[a,h]antracénu a indeno[1,2,3-cd]pyrénu (83 5620).</w:t>
            </w:r>
          </w:p>
          <w:p w:rsidR="00CE4A27" w:rsidRPr="00CE4A27" w:rsidP="005B394F">
            <w:pPr>
              <w:keepNext/>
              <w:keepLines/>
              <w:autoSpaceDE w:val="0"/>
              <w:autoSpaceDN w:val="0"/>
              <w:adjustRightInd w:val="0"/>
              <w:contextualSpacing/>
              <w:rPr>
                <w:sz w:val="20"/>
                <w:lang w:eastAsia="sk-SK"/>
              </w:rPr>
            </w:pPr>
          </w:p>
          <w:p w:rsidR="00CE4A27" w:rsidRPr="00CE4A27" w:rsidP="00CE4A27">
            <w:pPr>
              <w:keepNext/>
              <w:keepLines/>
              <w:autoSpaceDE w:val="0"/>
              <w:autoSpaceDN w:val="0"/>
              <w:adjustRightInd w:val="0"/>
              <w:spacing w:after="120"/>
              <w:rPr>
                <w:sz w:val="20"/>
                <w:lang w:eastAsia="sk-SK"/>
              </w:rPr>
            </w:pPr>
            <w:r w:rsidRPr="00CE4A27">
              <w:rPr>
                <w:sz w:val="20"/>
                <w:lang w:eastAsia="sk-SK"/>
              </w:rPr>
              <w:t>B. Preukázanie rovnocennosti</w:t>
            </w:r>
          </w:p>
          <w:p w:rsidR="00CE4A27" w:rsidRPr="00CE4A27" w:rsidP="00CE4A27">
            <w:pPr>
              <w:keepNext/>
              <w:keepLines/>
              <w:autoSpaceDE w:val="0"/>
              <w:autoSpaceDN w:val="0"/>
              <w:adjustRightInd w:val="0"/>
              <w:spacing w:after="120"/>
              <w:ind w:left="568" w:hanging="284"/>
              <w:jc w:val="both"/>
              <w:rPr>
                <w:sz w:val="20"/>
                <w:lang w:eastAsia="sk-SK"/>
              </w:rPr>
            </w:pPr>
            <w:r w:rsidRPr="00CE4A27">
              <w:rPr>
                <w:sz w:val="20"/>
                <w:lang w:eastAsia="sk-SK"/>
              </w:rPr>
              <w:t>1. Použiť sa môže akákoľvek iná metóda, o ktorej sa dá preukázať, že výsledky sú rovnocenné s ktoroukoľvek z metód uvedených v písmene A, alebo pri suspendovaných časticiach ktorákoľvek iná alternatívna metóda, o ktorej sa dá preukázať, že v porovnaní s referenčnou metódou poskytuje konzistentné výsledky. Ak sa použije iná metóda alebo alternatívna metóda, takto dosiahnuté výsledky sa upravia tak, aby získané výsledky boli rovnocenné s tými, ktoré by sa dosiahli použitím referenčnej metódy.</w:t>
            </w:r>
          </w:p>
          <w:p w:rsidR="00CE4A27" w:rsidRPr="00CE4A27" w:rsidP="00CE4A27">
            <w:pPr>
              <w:pStyle w:val="NormalWeb"/>
              <w:keepLines/>
              <w:spacing w:before="0" w:beforeAutospacing="0" w:after="240" w:afterAutospacing="0"/>
              <w:ind w:left="568" w:hanging="284"/>
              <w:contextualSpacing/>
              <w:rPr>
                <w:sz w:val="20"/>
                <w:szCs w:val="20"/>
              </w:rPr>
            </w:pPr>
            <w:r w:rsidRPr="00CE4A27">
              <w:rPr>
                <w:sz w:val="20"/>
                <w:szCs w:val="20"/>
              </w:rPr>
              <w:t>2. Rovnocennosť použitej metódy s referenčnou metódou sa preukazuje podľa pokynu Európskej komisie o preukazovaní rovnocennosti, ak je uverejnený. Ak sa využívali dočasné faktory na aproximáciu rovnocennosti, tieto sa potvrdia alebo zmenia podľa pokynu Európskej komisie.</w:t>
            </w:r>
          </w:p>
          <w:p w:rsidR="00CE4A27" w:rsidRPr="00CE4A27" w:rsidP="00CE4A27">
            <w:pPr>
              <w:pStyle w:val="NormalWeb"/>
              <w:keepLines/>
              <w:spacing w:before="0" w:beforeAutospacing="0" w:after="0" w:afterAutospacing="0"/>
              <w:ind w:left="567" w:hanging="283"/>
              <w:contextualSpacing/>
              <w:rPr>
                <w:sz w:val="20"/>
                <w:szCs w:val="20"/>
              </w:rPr>
            </w:pPr>
            <w:r w:rsidRPr="00CE4A27">
              <w:rPr>
                <w:sz w:val="20"/>
                <w:szCs w:val="20"/>
              </w:rPr>
              <w:t>3.</w:t>
              <w:tab/>
              <w:t>Organizácia poverená Ministerstvom životného prostredia Slovenskej republiky (ďalej len „ministerstvo“) prihliada pri opravách podľa 2. bodu aj na súvisiace predchádzajúce údaje z meraní s cieľom dosiahnuť lepšiu porovnateľnosť údajov.</w:t>
            </w:r>
          </w:p>
          <w:p w:rsidR="00CE4A27" w:rsidRPr="00CE4A27" w:rsidP="00CE4A27">
            <w:pPr>
              <w:pStyle w:val="NormalWeb"/>
              <w:keepLines/>
              <w:spacing w:before="0" w:beforeAutospacing="0" w:after="0" w:afterAutospacing="0"/>
              <w:ind w:left="567" w:hanging="283"/>
              <w:contextualSpacing/>
              <w:rPr>
                <w:sz w:val="20"/>
                <w:szCs w:val="20"/>
              </w:rPr>
            </w:pPr>
          </w:p>
          <w:p w:rsidR="00CE4A27" w:rsidRPr="00CE4A27" w:rsidP="00CE4A27">
            <w:pPr>
              <w:pStyle w:val="NormalWeb"/>
              <w:keepLines/>
              <w:spacing w:before="0" w:beforeAutospacing="0" w:after="120" w:afterAutospacing="0"/>
              <w:rPr>
                <w:sz w:val="20"/>
                <w:szCs w:val="20"/>
              </w:rPr>
            </w:pPr>
            <w:r w:rsidRPr="00CE4A27">
              <w:rPr>
                <w:sz w:val="20"/>
                <w:szCs w:val="20"/>
              </w:rPr>
              <w:t>C. Štandardizácia</w:t>
            </w:r>
          </w:p>
          <w:p w:rsidR="00CE4A27" w:rsidRPr="00CE4A27" w:rsidP="00CE4A27">
            <w:pPr>
              <w:pStyle w:val="NormalWeb"/>
              <w:keepLines/>
              <w:spacing w:before="0" w:beforeAutospacing="0" w:after="0" w:afterAutospacing="0"/>
              <w:ind w:left="284"/>
              <w:contextualSpacing/>
              <w:rPr>
                <w:sz w:val="20"/>
                <w:szCs w:val="20"/>
              </w:rPr>
            </w:pPr>
            <w:r w:rsidRPr="00CE4A27">
              <w:rPr>
                <w:sz w:val="20"/>
                <w:szCs w:val="20"/>
              </w:rPr>
              <w:t>Pri plynných znečisťujúcich látkach sa objem štandardizuje  na teplotu 20°C a atmosférický tlak na 101,3 kPa. Objem vzorky pre suspendované častice a látky, ktoré sa analyzujú v suspendovaných časticiach ako napríklad olovo, sa vzťahuje na okolité podmienky, ako sú teplota a atmosférický tlak v čase merania.</w:t>
            </w:r>
          </w:p>
          <w:p w:rsidR="00CE4A27" w:rsidRPr="00CE4A27" w:rsidP="00CE4A27">
            <w:pPr>
              <w:pStyle w:val="NormalWeb"/>
              <w:keepLines/>
              <w:spacing w:before="0" w:beforeAutospacing="0" w:after="0" w:afterAutospacing="0"/>
              <w:contextualSpacing/>
              <w:rPr>
                <w:sz w:val="20"/>
                <w:szCs w:val="20"/>
              </w:rPr>
            </w:pPr>
          </w:p>
          <w:p w:rsidR="00CE4A27" w:rsidRPr="00CE4A27" w:rsidP="00CE4A27">
            <w:pPr>
              <w:pStyle w:val="NormalWeb"/>
              <w:keepLines/>
              <w:spacing w:before="0" w:beforeAutospacing="0" w:after="120" w:afterAutospacing="0"/>
              <w:rPr>
                <w:sz w:val="20"/>
                <w:szCs w:val="20"/>
              </w:rPr>
            </w:pPr>
            <w:r w:rsidRPr="00CE4A27">
              <w:rPr>
                <w:sz w:val="20"/>
                <w:szCs w:val="20"/>
              </w:rPr>
              <w:t>D. Vzájomné uznávanie údajov</w:t>
            </w:r>
          </w:p>
          <w:p w:rsidR="00CE4A27" w:rsidRPr="00CE4A27" w:rsidP="00CE4A27">
            <w:pPr>
              <w:keepNext/>
              <w:keepLines/>
              <w:ind w:left="284"/>
              <w:contextualSpacing/>
              <w:jc w:val="both"/>
              <w:rPr>
                <w:sz w:val="20"/>
                <w:lang w:eastAsia="sk-SK"/>
              </w:rPr>
            </w:pPr>
            <w:r w:rsidRPr="00CE4A27">
              <w:rPr>
                <w:sz w:val="20"/>
                <w:lang w:eastAsia="sk-SK"/>
              </w:rPr>
              <w:t>Ak sa preukáže, že vybavenie spĺňa výkonnostné požiadavky referenčných metód uvedených v písmene A, orgány ochrany ovzdušia a ministerstvom poverené organizácie akceptujú protokoly o skúškach vydané v iných členských štátoch za podmienky, že dané skúšobné laboratóriá sú akreditované podľa príslušnej harmonizovanej normy týkajúcej sa skúšobných a kalibračných laboratórií.</w:t>
            </w:r>
          </w:p>
          <w:p w:rsidR="00CE4A27" w:rsidRPr="00CE4A27" w:rsidP="00CE4A27">
            <w:pPr>
              <w:keepNext/>
              <w:keepLines/>
              <w:ind w:left="284"/>
              <w:contextualSpacing/>
              <w:jc w:val="both"/>
              <w:rPr>
                <w:sz w:val="20"/>
                <w:lang w:eastAsia="sk-SK"/>
              </w:rPr>
            </w:pPr>
          </w:p>
          <w:p w:rsidR="00CE4A27" w:rsidP="00CE4A27">
            <w:pPr>
              <w:keepNext/>
              <w:keepLines/>
              <w:ind w:left="284"/>
              <w:contextualSpacing/>
              <w:jc w:val="both"/>
              <w:rPr>
                <w:sz w:val="20"/>
                <w:lang w:eastAsia="sk-SK"/>
              </w:rPr>
            </w:pPr>
            <w:r w:rsidRPr="00CE4A27">
              <w:rPr>
                <w:sz w:val="20"/>
                <w:lang w:eastAsia="sk-SK"/>
              </w:rPr>
              <w:t>Podrobné protokoly o skúškach a všetky výsledky skúšok sa sprístupňujú príslušným orgánom ochrany ovzdušia alebo nimi určeným subjektom. V protokoloch o skúškach je potrebné preukázať, že zariadenie spĺňa všetky výkonnostné požiadavky vrátane špecifických podmienok v Slovenskej republike,</w:t>
            </w:r>
            <w:r w:rsidR="00750F2D">
              <w:rPr>
                <w:sz w:val="20"/>
                <w:vertAlign w:val="superscript"/>
                <w:lang w:eastAsia="sk-SK"/>
              </w:rPr>
              <w:t>17</w:t>
            </w:r>
            <w:r w:rsidRPr="00CE4A27">
              <w:rPr>
                <w:sz w:val="20"/>
                <w:lang w:eastAsia="sk-SK"/>
              </w:rPr>
              <w:t>) ktoré sa týkajú životného prostredia a predmetného miesta a ktoré presahujú rámec podmienok, pre ktoré sa už dané zariadenie odskúšalo a typovo schválilo v inom členskom štáte.</w:t>
            </w:r>
          </w:p>
          <w:p w:rsidR="005B394F" w:rsidRPr="00CE4A27" w:rsidP="00CE4A27">
            <w:pPr>
              <w:keepNext/>
              <w:keepLines/>
              <w:ind w:left="284"/>
              <w:contextualSpacing/>
              <w:jc w:val="both"/>
              <w:rPr>
                <w:sz w:val="20"/>
                <w:lang w:eastAsia="sk-SK"/>
              </w:rPr>
            </w:pPr>
          </w:p>
          <w:p w:rsidR="0089771D" w:rsidP="0089771D">
            <w:pPr>
              <w:pStyle w:val="NormalWeb"/>
              <w:spacing w:before="0" w:beforeAutospacing="0" w:after="0" w:afterAutospacing="0"/>
              <w:rPr>
                <w:sz w:val="20"/>
                <w:szCs w:val="20"/>
              </w:rPr>
            </w:pPr>
            <w:r w:rsidRPr="00750F2D" w:rsidR="00750F2D">
              <w:rPr>
                <w:sz w:val="18"/>
                <w:szCs w:val="18"/>
                <w:vertAlign w:val="superscript"/>
              </w:rPr>
              <w:t>17</w:t>
            </w:r>
            <w:r w:rsidRPr="009509D1" w:rsidR="00750F2D">
              <w:rPr>
                <w:sz w:val="18"/>
                <w:szCs w:val="18"/>
              </w:rPr>
              <w:t xml:space="preserve">) </w:t>
            </w:r>
            <w:r w:rsidRPr="00867D8D" w:rsidR="00750F2D">
              <w:rPr>
                <w:sz w:val="18"/>
                <w:szCs w:val="18"/>
              </w:rPr>
              <w:t>§13 v</w:t>
            </w:r>
            <w:r w:rsidRPr="00867D8D" w:rsidR="00750F2D">
              <w:rPr>
                <w:kern w:val="36"/>
                <w:sz w:val="18"/>
                <w:szCs w:val="18"/>
              </w:rPr>
              <w:t>yhlášky Ministerstva životného prostredia Slovenskej republiky č. ..../2022 Z. z. o monitorovaní emisií zo stacionárnych zdrojov znečisťovania ovzdušia a kvality ovzdušia v ich okolí.</w:t>
            </w:r>
          </w:p>
          <w:p w:rsidR="0089771D" w:rsidRPr="0089771D" w:rsidP="0089771D">
            <w:pPr>
              <w:pStyle w:val="NormalWeb"/>
              <w:spacing w:before="0" w:beforeAutospacing="0" w:after="0" w:afterAutospacing="0"/>
              <w:rPr>
                <w:sz w:val="20"/>
                <w:szCs w:val="20"/>
              </w:rPr>
            </w:pPr>
          </w:p>
          <w:p w:rsidR="0089771D" w:rsidRPr="0089771D" w:rsidP="0089771D">
            <w:pPr>
              <w:pStyle w:val="NormalWeb"/>
              <w:spacing w:before="0" w:beforeAutospacing="0" w:after="0" w:afterAutospacing="0"/>
              <w:rPr>
                <w:sz w:val="20"/>
                <w:szCs w:val="20"/>
              </w:rPr>
            </w:pPr>
          </w:p>
          <w:p w:rsidR="00CB3E7D" w:rsidRPr="0089771D" w:rsidP="00CE4A27">
            <w:pPr>
              <w:pStyle w:val="NormalWeb"/>
              <w:spacing w:before="0" w:beforeAutospacing="0" w:after="0" w:afterAutospacing="0"/>
              <w:rPr>
                <w:sz w:val="20"/>
                <w:szCs w:val="20"/>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7</w:t>
            </w:r>
          </w:p>
        </w:tc>
        <w:tc>
          <w:tcPr>
            <w:tcW w:w="4074" w:type="dxa"/>
            <w:tcBorders>
              <w:bottom w:val="single" w:sz="4" w:space="0" w:color="auto"/>
            </w:tcBorders>
          </w:tcPr>
          <w:p w:rsidR="00CB3E7D" w:rsidRPr="005A3D8D" w:rsidP="00CB3E7D">
            <w:pPr>
              <w:pStyle w:val="NormalWeb"/>
              <w:rPr>
                <w:sz w:val="20"/>
                <w:szCs w:val="20"/>
              </w:rPr>
            </w:pPr>
            <w:r w:rsidRPr="005A3D8D">
              <w:rPr>
                <w:sz w:val="20"/>
                <w:szCs w:val="20"/>
              </w:rPr>
              <w:t>Cieľové hodnoty a dlhodobé ciele pre ozón</w:t>
            </w:r>
          </w:p>
          <w:p w:rsidR="00CB3E7D" w:rsidRPr="005A3D8D" w:rsidP="00CB3E7D">
            <w:pPr>
              <w:pStyle w:val="NormalWeb"/>
              <w:rPr>
                <w:sz w:val="20"/>
                <w:szCs w:val="20"/>
              </w:rPr>
            </w:pPr>
            <w:r w:rsidRPr="005A3D8D">
              <w:rPr>
                <w:sz w:val="20"/>
                <w:szCs w:val="20"/>
              </w:rPr>
              <w:t>A. Vymedzenie pojmov a kritériá</w:t>
            </w:r>
          </w:p>
          <w:p w:rsidR="00CB3E7D" w:rsidRPr="005A3D8D" w:rsidP="00CB3E7D">
            <w:pPr>
              <w:pStyle w:val="NormalWeb"/>
              <w:rPr>
                <w:sz w:val="20"/>
                <w:szCs w:val="20"/>
              </w:rPr>
            </w:pPr>
            <w:r w:rsidRPr="005A3D8D">
              <w:rPr>
                <w:sz w:val="20"/>
                <w:szCs w:val="20"/>
              </w:rPr>
              <w:t>1. Vymedzenie pojmov</w:t>
            </w:r>
          </w:p>
          <w:p w:rsidR="00CB3E7D" w:rsidRPr="005A3D8D" w:rsidP="00CB3E7D">
            <w:pPr>
              <w:pStyle w:val="NormalWeb"/>
              <w:rPr>
                <w:sz w:val="20"/>
                <w:szCs w:val="20"/>
              </w:rPr>
            </w:pPr>
            <w:r w:rsidRPr="005A3D8D">
              <w:rPr>
                <w:sz w:val="20"/>
                <w:szCs w:val="20"/>
              </w:rPr>
              <w:t>AOT 40 [vyjadrený v (µg/m</w:t>
            </w:r>
            <w:r w:rsidRPr="00E46DD8">
              <w:rPr>
                <w:sz w:val="20"/>
                <w:szCs w:val="20"/>
                <w:vertAlign w:val="superscript"/>
              </w:rPr>
              <w:t>3</w:t>
            </w:r>
            <w:r w:rsidRPr="005A3D8D">
              <w:rPr>
                <w:sz w:val="20"/>
                <w:szCs w:val="20"/>
              </w:rPr>
              <w:t>) · počet hodín] je súčet rozdielov medzi hodinovými koncentráciami väčšími ako 80 µg/m3 (= 40 častí na miliardu) a 80 µg/m</w:t>
            </w:r>
            <w:r w:rsidRPr="00E46DD8">
              <w:rPr>
                <w:sz w:val="20"/>
                <w:szCs w:val="20"/>
                <w:vertAlign w:val="superscript"/>
              </w:rPr>
              <w:t>3</w:t>
            </w:r>
            <w:r w:rsidRPr="005A3D8D">
              <w:rPr>
                <w:sz w:val="20"/>
                <w:szCs w:val="20"/>
              </w:rPr>
              <w:t xml:space="preserve"> počas daného obdobia pri používaní len 1-hodinových hodnôt nameraných každý deň od 8.00 do 20.00 hod. stredoeurópskeho času (SEČ).</w:t>
            </w:r>
          </w:p>
          <w:p w:rsidR="00CB3E7D" w:rsidRPr="005A3D8D" w:rsidP="00CB3E7D">
            <w:pPr>
              <w:pStyle w:val="NormalWeb"/>
              <w:rPr>
                <w:sz w:val="20"/>
                <w:szCs w:val="20"/>
              </w:rPr>
            </w:pPr>
            <w:r w:rsidRPr="005A3D8D">
              <w:rPr>
                <w:sz w:val="20"/>
                <w:szCs w:val="20"/>
              </w:rPr>
              <w:t>2. Kritériá</w:t>
            </w:r>
          </w:p>
          <w:p w:rsidR="00CB3E7D" w:rsidRPr="005A3D8D" w:rsidP="00CB3E7D">
            <w:pPr>
              <w:pStyle w:val="NormalWeb"/>
              <w:rPr>
                <w:sz w:val="20"/>
                <w:szCs w:val="20"/>
              </w:rPr>
            </w:pPr>
            <w:r w:rsidRPr="005A3D8D">
              <w:rPr>
                <w:sz w:val="20"/>
                <w:szCs w:val="20"/>
              </w:rPr>
              <w:t>Pri zhromažďovaní údajov a výpočte štatistických ukazovateľov sa na kontrolu platnosti použijú tieto kritériá:</w:t>
            </w:r>
          </w:p>
          <w:p w:rsidR="00CB3E7D" w:rsidRPr="005A3D8D" w:rsidP="00CB3E7D">
            <w:pPr>
              <w:pStyle w:val="NormalWeb"/>
              <w:rPr>
                <w:sz w:val="20"/>
                <w:szCs w:val="20"/>
              </w:rPr>
            </w:pPr>
            <w:r w:rsidRPr="005A3D8D">
              <w:rPr>
                <w:sz w:val="20"/>
                <w:szCs w:val="20"/>
              </w:rPr>
              <w:t>Parameter | Vyžadovaný podiel platných údajov |</w:t>
            </w:r>
          </w:p>
          <w:p w:rsidR="00CB3E7D" w:rsidRPr="005A3D8D" w:rsidP="00CB3E7D">
            <w:pPr>
              <w:pStyle w:val="NormalWeb"/>
              <w:rPr>
                <w:sz w:val="20"/>
                <w:szCs w:val="20"/>
              </w:rPr>
            </w:pPr>
            <w:r w:rsidRPr="005A3D8D">
              <w:rPr>
                <w:sz w:val="20"/>
                <w:szCs w:val="20"/>
              </w:rPr>
              <w:t>1-hodinové hodnoty | 75 % (t. j. 45 minút) |</w:t>
            </w:r>
          </w:p>
          <w:p w:rsidR="00CB3E7D" w:rsidRPr="005A3D8D" w:rsidP="00CB3E7D">
            <w:pPr>
              <w:pStyle w:val="NormalWeb"/>
              <w:rPr>
                <w:sz w:val="20"/>
                <w:szCs w:val="20"/>
              </w:rPr>
            </w:pPr>
            <w:r w:rsidRPr="005A3D8D">
              <w:rPr>
                <w:sz w:val="20"/>
                <w:szCs w:val="20"/>
              </w:rPr>
              <w:t>8-hodinové hodnoty | 75 % hodnôt (t. j. 6 hodín) |</w:t>
            </w:r>
          </w:p>
          <w:p w:rsidR="00CB3E7D" w:rsidRPr="005A3D8D" w:rsidP="00CB3E7D">
            <w:pPr>
              <w:pStyle w:val="NormalWeb"/>
              <w:rPr>
                <w:sz w:val="20"/>
                <w:szCs w:val="20"/>
              </w:rPr>
            </w:pPr>
            <w:r w:rsidRPr="005A3D8D">
              <w:rPr>
                <w:sz w:val="20"/>
                <w:szCs w:val="20"/>
              </w:rPr>
              <w:t>Maximálna denná 8-hodinová stredná hodnota z 8 po sebe nasledujúcich hodín | 75 % hodinových pohyblivých priemerov z 8 po sebe nasledujúcich hodín (t. j. 18 8-hodinových priemerov za deň) |</w:t>
            </w:r>
          </w:p>
          <w:p w:rsidR="00CB3E7D" w:rsidRPr="005A3D8D" w:rsidP="00CB3E7D">
            <w:pPr>
              <w:pStyle w:val="NormalWeb"/>
              <w:rPr>
                <w:sz w:val="20"/>
                <w:szCs w:val="20"/>
              </w:rPr>
            </w:pPr>
            <w:r w:rsidRPr="005A3D8D">
              <w:rPr>
                <w:sz w:val="20"/>
                <w:szCs w:val="20"/>
              </w:rPr>
              <w:t>AOT40 | 90 % 1-hodinových hodnôt počas doby určenej na vypočítanie hodnoty AOT40 [1] |</w:t>
            </w:r>
          </w:p>
          <w:p w:rsidR="00CB3E7D" w:rsidRPr="005A3D8D" w:rsidP="00CB3E7D">
            <w:pPr>
              <w:pStyle w:val="NormalWeb"/>
              <w:rPr>
                <w:sz w:val="20"/>
                <w:szCs w:val="20"/>
              </w:rPr>
            </w:pPr>
            <w:r w:rsidRPr="005A3D8D">
              <w:rPr>
                <w:sz w:val="20"/>
                <w:szCs w:val="20"/>
              </w:rPr>
              <w:t>Ročná stredná hodnota | 75 % 1-hodinových hodnôt letného (od apríla do septembra) a 75 % hodnôt zimného (od januára do marca, od októbra do decembra) obdobia samostatne |</w:t>
            </w:r>
          </w:p>
          <w:p w:rsidR="00CB3E7D" w:rsidRPr="005A3D8D" w:rsidP="00CB3E7D">
            <w:pPr>
              <w:pStyle w:val="NormalWeb"/>
              <w:rPr>
                <w:sz w:val="20"/>
                <w:szCs w:val="20"/>
              </w:rPr>
            </w:pPr>
            <w:r w:rsidRPr="005A3D8D">
              <w:rPr>
                <w:sz w:val="20"/>
                <w:szCs w:val="20"/>
              </w:rPr>
              <w:t>Počet prekročení a maximálne hodnoty za mesiac | 90 % denných maximálnych 8-hodinových stredných hodnôt (27 dostupných denných hodnôt za mesiac) 90 % 1-hodinových hodnôt od 8.00 do 20.00 hod. SEČ |</w:t>
            </w:r>
          </w:p>
          <w:p w:rsidR="00CB3E7D" w:rsidRPr="005A3D8D" w:rsidP="00CB3E7D">
            <w:pPr>
              <w:pStyle w:val="NormalWeb"/>
              <w:rPr>
                <w:sz w:val="20"/>
                <w:szCs w:val="20"/>
              </w:rPr>
            </w:pPr>
            <w:r w:rsidRPr="005A3D8D">
              <w:rPr>
                <w:sz w:val="20"/>
                <w:szCs w:val="20"/>
              </w:rPr>
              <w:t>Počet prekročení a maximálne hodnoty za rok | päť zo šiestich mesiacov počas letného obdobia (od apríla do septembra) |</w:t>
            </w:r>
          </w:p>
          <w:p w:rsidR="00CB3E7D" w:rsidRPr="005A3D8D" w:rsidP="00CB3E7D">
            <w:pPr>
              <w:pStyle w:val="NormalWeb"/>
              <w:rPr>
                <w:sz w:val="20"/>
                <w:szCs w:val="20"/>
              </w:rPr>
            </w:pPr>
            <w:r w:rsidRPr="005A3D8D">
              <w:rPr>
                <w:sz w:val="20"/>
                <w:szCs w:val="20"/>
              </w:rPr>
              <w:t>B. Cieľové hodnoty</w:t>
            </w:r>
          </w:p>
          <w:p w:rsidR="00CB3E7D" w:rsidRPr="005A3D8D" w:rsidP="00CB3E7D">
            <w:pPr>
              <w:pStyle w:val="NormalWeb"/>
              <w:rPr>
                <w:sz w:val="20"/>
                <w:szCs w:val="20"/>
              </w:rPr>
            </w:pPr>
            <w:r w:rsidRPr="005A3D8D">
              <w:rPr>
                <w:sz w:val="20"/>
                <w:szCs w:val="20"/>
              </w:rPr>
              <w:t>Cieľ | Priemerované obdobie | Cieľová hodnota | Dátum, ku ktorému by sa mala cieľová hodnota dosiahnuť [2] |</w:t>
            </w:r>
          </w:p>
          <w:p w:rsidR="00CB3E7D" w:rsidRPr="005A3D8D" w:rsidP="00CB3E7D">
            <w:pPr>
              <w:pStyle w:val="NormalWeb"/>
              <w:rPr>
                <w:sz w:val="20"/>
                <w:szCs w:val="20"/>
              </w:rPr>
            </w:pPr>
            <w:r w:rsidRPr="005A3D8D">
              <w:rPr>
                <w:sz w:val="20"/>
                <w:szCs w:val="20"/>
              </w:rPr>
              <w:t>Ochrana zdravia ľudí | maximálna denná 8-hodinová stredná hodnota [3] | 120 µg/m</w:t>
            </w:r>
            <w:r w:rsidRPr="00E46DD8">
              <w:rPr>
                <w:sz w:val="20"/>
                <w:szCs w:val="20"/>
                <w:vertAlign w:val="superscript"/>
              </w:rPr>
              <w:t>3</w:t>
            </w:r>
            <w:r w:rsidRPr="005A3D8D">
              <w:rPr>
                <w:sz w:val="20"/>
                <w:szCs w:val="20"/>
              </w:rPr>
              <w:t xml:space="preserve"> sa neprekročí viac ako 25 dní za kalendárny rok v priemere troch rokov [4] | 1.1.2010 |</w:t>
            </w:r>
          </w:p>
          <w:p w:rsidR="00CB3E7D" w:rsidRPr="005A3D8D" w:rsidP="00CB3E7D">
            <w:pPr>
              <w:pStyle w:val="NormalWeb"/>
              <w:rPr>
                <w:sz w:val="20"/>
                <w:szCs w:val="20"/>
              </w:rPr>
            </w:pPr>
            <w:r w:rsidRPr="005A3D8D">
              <w:rPr>
                <w:sz w:val="20"/>
                <w:szCs w:val="20"/>
              </w:rPr>
              <w:t>Ochrana vegetácie | od mája do júla | AOT40 (vypočítaný z 1-hodinových hodnôt) 18000 µg/m</w:t>
            </w:r>
            <w:r w:rsidRPr="00E46DD8">
              <w:rPr>
                <w:sz w:val="20"/>
                <w:szCs w:val="20"/>
                <w:vertAlign w:val="superscript"/>
              </w:rPr>
              <w:t>3</w:t>
            </w:r>
            <w:r w:rsidRPr="005A3D8D">
              <w:rPr>
                <w:sz w:val="20"/>
                <w:szCs w:val="20"/>
              </w:rPr>
              <w:t xml:space="preserve"> · hod. v priemere piatich rokov [4] | 1.1.2010 |</w:t>
            </w:r>
          </w:p>
          <w:p w:rsidR="00CB3E7D" w:rsidRPr="005A3D8D" w:rsidP="00CB3E7D">
            <w:pPr>
              <w:pStyle w:val="NormalWeb"/>
              <w:rPr>
                <w:sz w:val="20"/>
                <w:szCs w:val="20"/>
              </w:rPr>
            </w:pPr>
            <w:r w:rsidRPr="005A3D8D">
              <w:rPr>
                <w:sz w:val="20"/>
                <w:szCs w:val="20"/>
              </w:rPr>
              <w:t>C. Dlhodobé ciele</w:t>
            </w:r>
          </w:p>
          <w:p w:rsidR="00CB3E7D" w:rsidRPr="005A3D8D" w:rsidP="00CB3E7D">
            <w:pPr>
              <w:pStyle w:val="NormalWeb"/>
              <w:rPr>
                <w:sz w:val="20"/>
                <w:szCs w:val="20"/>
              </w:rPr>
            </w:pPr>
            <w:r w:rsidRPr="005A3D8D">
              <w:rPr>
                <w:sz w:val="20"/>
                <w:szCs w:val="20"/>
              </w:rPr>
              <w:t>Cieľ | Priemerované obdobie | Dlhodobý cieľ | Dátum, ku ktorému by sa mali dosiahnuť dlhodobé ciele |</w:t>
            </w:r>
          </w:p>
          <w:p w:rsidR="00CB3E7D" w:rsidRPr="005A3D8D" w:rsidP="00CB3E7D">
            <w:pPr>
              <w:pStyle w:val="NormalWeb"/>
              <w:rPr>
                <w:sz w:val="20"/>
                <w:szCs w:val="20"/>
              </w:rPr>
            </w:pPr>
            <w:r w:rsidRPr="005A3D8D">
              <w:rPr>
                <w:sz w:val="20"/>
                <w:szCs w:val="20"/>
              </w:rPr>
              <w:t>Ochrana zdravia ľudí | maximálna denná 8-hodinová stredná hodnota v kalendárnom roku | 120 µg/m3 | neurčený |</w:t>
            </w:r>
          </w:p>
          <w:p w:rsidR="00CB3E7D" w:rsidRPr="005A3D8D" w:rsidP="00CB3E7D">
            <w:pPr>
              <w:pStyle w:val="NormalWeb"/>
              <w:rPr>
                <w:sz w:val="20"/>
                <w:szCs w:val="20"/>
              </w:rPr>
            </w:pPr>
            <w:r w:rsidRPr="005A3D8D">
              <w:rPr>
                <w:sz w:val="20"/>
                <w:szCs w:val="20"/>
              </w:rPr>
              <w:t>Ochrana vegetácie | od mája do júla | AOT40 (vypočítaný z 1-hodinových hodnôt) 6000 µg/m3 · hod. | neurčený |</w:t>
            </w:r>
          </w:p>
          <w:p w:rsidR="00CB3E7D" w:rsidRPr="005A3D8D" w:rsidP="00CB3E7D">
            <w:pPr>
              <w:pStyle w:val="NormalWeb"/>
              <w:rPr>
                <w:sz w:val="20"/>
                <w:szCs w:val="20"/>
              </w:rPr>
            </w:pPr>
            <w:r w:rsidRPr="005A3D8D">
              <w:rPr>
                <w:sz w:val="20"/>
                <w:szCs w:val="20"/>
              </w:rPr>
              <w:t>[1] V prípadoch, keď nie sú k dispozícii všetky možné merané údaje, na vypočítanie hodnôt AOT40 sa použije tento faktor:(*)Predstavuje počet hodín v rámci doby uvedenej v definícii AOT40 (t. j. od 8.00 do 20.00 h SEČ každoročne od 1. mája do 31. júla pre ochranu vegetácie a každoročne od 1. apríla do 30. septembra pre ochranu lesov).</w:t>
            </w:r>
          </w:p>
          <w:p w:rsidR="00CB3E7D" w:rsidRPr="005A3D8D" w:rsidP="00CB3E7D">
            <w:pPr>
              <w:pStyle w:val="NormalWeb"/>
              <w:rPr>
                <w:sz w:val="20"/>
                <w:szCs w:val="20"/>
              </w:rPr>
            </w:pPr>
            <w:r w:rsidRPr="005A3D8D">
              <w:rPr>
                <w:sz w:val="20"/>
                <w:szCs w:val="20"/>
              </w:rPr>
              <w:t>[2] Dodržiavanie cieľových hodnôt sa bude posudzovať od tohto dátumu. To znamená, že rok 2010 bude prvým rokom, za ktorý sa budú údaje používať na výpočet súladu počas nasledujúcich 3 alebo prípadne 5 rokov.</w:t>
            </w:r>
          </w:p>
          <w:p w:rsidR="00CB3E7D" w:rsidRPr="005A3D8D" w:rsidP="00CB3E7D">
            <w:pPr>
              <w:pStyle w:val="NormalWeb"/>
              <w:rPr>
                <w:sz w:val="20"/>
                <w:szCs w:val="20"/>
              </w:rPr>
            </w:pPr>
            <w:r w:rsidRPr="005A3D8D">
              <w:rPr>
                <w:sz w:val="20"/>
                <w:szCs w:val="20"/>
              </w:rPr>
              <w:t>[3] Maximálna denná 8-hodinová stredná hodnota koncentrácie sa vyberie preskúmaním 8-hodinových pohyblivých priemerov vypočítaných z hodinových údajov a aktualizovaných každú hodinu. Každý takto vypočítaný 8-hodinový priemer sa priradí ku dňu, v ktorom končí, t. j. prvým výpočtovým obdobím pre ktorýkoľvek deň je obdobie od 17.00 hod. predchádzajúceho dňa do 1.00 hod. daného dňa; posledným výpočtovým obdobím pre ktorýkoľvek jeden deň je obdobie od 16.00 hod. do 24.00 hod. daného dňa.</w:t>
            </w:r>
          </w:p>
          <w:p w:rsidR="00CB3E7D" w:rsidRPr="005A3D8D" w:rsidP="00CB3E7D">
            <w:pPr>
              <w:pStyle w:val="NormalWeb"/>
              <w:rPr>
                <w:sz w:val="20"/>
                <w:szCs w:val="20"/>
              </w:rPr>
            </w:pPr>
            <w:r w:rsidRPr="005A3D8D">
              <w:rPr>
                <w:sz w:val="20"/>
                <w:szCs w:val="20"/>
              </w:rPr>
              <w:t>[4] Ak nie je možné určiť troj- alebo päťročné priemery na základe úplných a po sebe nasledujúcich súborov ročných údajov, minimálne ročné údaje vyžadované na kontrolu dodržiavania cieľových hodnôt budú tieto:</w:t>
            </w:r>
          </w:p>
          <w:p w:rsidR="00CB3E7D" w:rsidRPr="005A3D8D" w:rsidP="00CB3E7D">
            <w:pPr>
              <w:pStyle w:val="NormalWeb"/>
              <w:rPr>
                <w:sz w:val="20"/>
                <w:szCs w:val="20"/>
              </w:rPr>
            </w:pPr>
            <w:r w:rsidRPr="005A3D8D">
              <w:rPr>
                <w:sz w:val="20"/>
                <w:szCs w:val="20"/>
              </w:rPr>
              <w:t>- pre cieľovú hodnotu na ochranu zdravia ľudí: platné údaje za jeden rok,</w:t>
            </w:r>
          </w:p>
          <w:p w:rsidR="00CB3E7D" w:rsidRPr="005A3D8D" w:rsidP="00CB3E7D">
            <w:pPr>
              <w:pStyle w:val="NormalWeb"/>
            </w:pPr>
            <w:r w:rsidRPr="005A3D8D">
              <w:rPr>
                <w:sz w:val="20"/>
                <w:szCs w:val="20"/>
              </w:rPr>
              <w:t>- pre cieľovú hodnotu na ochranu vegetácie: platné údaje za tri roky.</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BA6FD6">
              <w:rPr>
                <w:sz w:val="20"/>
              </w:rPr>
              <w:t>NV</w:t>
            </w:r>
          </w:p>
        </w:tc>
        <w:tc>
          <w:tcPr>
            <w:tcW w:w="701" w:type="dxa"/>
            <w:tcBorders>
              <w:bottom w:val="single" w:sz="4" w:space="0" w:color="auto"/>
            </w:tcBorders>
          </w:tcPr>
          <w:p w:rsidR="00CB3E7D" w:rsidP="00CB3E7D">
            <w:pPr>
              <w:jc w:val="both"/>
              <w:rPr>
                <w:sz w:val="20"/>
              </w:rPr>
            </w:pPr>
            <w:r>
              <w:rPr>
                <w:sz w:val="20"/>
              </w:rPr>
              <w:t>Príl.</w:t>
            </w:r>
            <w:r w:rsidR="00BA6FD6">
              <w:rPr>
                <w:sz w:val="20"/>
              </w:rPr>
              <w:t>3</w:t>
            </w:r>
          </w:p>
          <w:p w:rsidR="00BA6FD6" w:rsidP="00CB3E7D">
            <w:pPr>
              <w:jc w:val="both"/>
              <w:rPr>
                <w:sz w:val="20"/>
              </w:rPr>
            </w:pPr>
          </w:p>
          <w:p w:rsidR="00BA6FD6" w:rsidP="00CB3E7D">
            <w:pPr>
              <w:jc w:val="both"/>
              <w:rPr>
                <w:sz w:val="20"/>
              </w:rPr>
            </w:pPr>
            <w:r>
              <w:rPr>
                <w:sz w:val="20"/>
              </w:rPr>
              <w:t xml:space="preserve">Časť II. </w:t>
            </w:r>
          </w:p>
          <w:p w:rsidR="0066225B" w:rsidRPr="00390FC1" w:rsidP="00CB3E7D">
            <w:pPr>
              <w:jc w:val="both"/>
              <w:rPr>
                <w:sz w:val="20"/>
              </w:rPr>
            </w:pPr>
            <w:r>
              <w:rPr>
                <w:sz w:val="20"/>
              </w:rPr>
              <w:t>A,B,C,D</w:t>
            </w:r>
          </w:p>
        </w:tc>
        <w:tc>
          <w:tcPr>
            <w:tcW w:w="7797" w:type="dxa"/>
            <w:tcBorders>
              <w:bottom w:val="single" w:sz="4" w:space="0" w:color="auto"/>
            </w:tcBorders>
          </w:tcPr>
          <w:p w:rsidR="004739C5" w:rsidRPr="004739C5" w:rsidP="004739C5">
            <w:pPr>
              <w:pStyle w:val="NormalWeb"/>
              <w:keepLines/>
              <w:spacing w:before="0" w:beforeAutospacing="0" w:after="0" w:afterAutospacing="0"/>
              <w:jc w:val="center"/>
              <w:rPr>
                <w:sz w:val="20"/>
                <w:szCs w:val="20"/>
              </w:rPr>
            </w:pPr>
            <w:r w:rsidRPr="004739C5">
              <w:rPr>
                <w:sz w:val="20"/>
                <w:szCs w:val="20"/>
              </w:rPr>
              <w:t>Časť II</w:t>
            </w:r>
          </w:p>
          <w:p w:rsidR="004739C5" w:rsidRPr="004739C5" w:rsidP="004739C5">
            <w:pPr>
              <w:pStyle w:val="NormalWeb"/>
              <w:keepLines/>
              <w:spacing w:before="120" w:beforeAutospacing="0" w:after="240" w:afterAutospacing="0"/>
              <w:rPr>
                <w:sz w:val="20"/>
                <w:szCs w:val="20"/>
              </w:rPr>
            </w:pPr>
            <w:r w:rsidRPr="004739C5">
              <w:rPr>
                <w:sz w:val="20"/>
                <w:szCs w:val="20"/>
              </w:rPr>
              <w:t>Cieľové hodnoty a dlhodobé ciele pre ozón</w:t>
            </w:r>
          </w:p>
          <w:p w:rsidR="004739C5" w:rsidRPr="004739C5" w:rsidP="004739C5">
            <w:pPr>
              <w:pStyle w:val="NormalWeb"/>
              <w:keepNext/>
              <w:keepLines/>
              <w:numPr>
                <w:ilvl w:val="0"/>
                <w:numId w:val="18"/>
              </w:numPr>
              <w:spacing w:before="0" w:beforeAutospacing="0" w:after="120" w:afterAutospacing="0"/>
              <w:ind w:left="284" w:hanging="284"/>
              <w:jc w:val="both"/>
              <w:rPr>
                <w:sz w:val="20"/>
                <w:szCs w:val="20"/>
              </w:rPr>
            </w:pPr>
            <w:r w:rsidRPr="004739C5">
              <w:rPr>
                <w:sz w:val="20"/>
                <w:szCs w:val="20"/>
              </w:rPr>
              <w:t>Vymedzenie pojmov</w:t>
            </w:r>
          </w:p>
          <w:p w:rsidR="004739C5" w:rsidRPr="004739C5" w:rsidP="004739C5">
            <w:pPr>
              <w:pStyle w:val="NormalWeb"/>
              <w:keepLines/>
              <w:spacing w:before="0" w:beforeAutospacing="0" w:after="240" w:afterAutospacing="0"/>
              <w:ind w:left="284"/>
              <w:rPr>
                <w:sz w:val="20"/>
                <w:szCs w:val="20"/>
              </w:rPr>
            </w:pPr>
            <w:r w:rsidRPr="004739C5">
              <w:rPr>
                <w:sz w:val="20"/>
                <w:szCs w:val="20"/>
              </w:rPr>
              <w:t xml:space="preserve">AOT 40 </w:t>
            </w:r>
            <w:r w:rsidRPr="004739C5">
              <w:rPr>
                <w:rFonts w:ascii="Symbol" w:hAnsi="Symbol"/>
                <w:sz w:val="20"/>
                <w:szCs w:val="20"/>
              </w:rPr>
              <w:sym w:font="Symbol" w:char="F05B"/>
            </w:r>
            <w:r w:rsidRPr="004739C5">
              <w:rPr>
                <w:sz w:val="20"/>
                <w:szCs w:val="20"/>
              </w:rPr>
              <w:t>vyjadrený v (µg/m</w:t>
            </w:r>
            <w:r w:rsidRPr="00E46DD8">
              <w:rPr>
                <w:sz w:val="20"/>
                <w:szCs w:val="20"/>
                <w:vertAlign w:val="superscript"/>
              </w:rPr>
              <w:t>3</w:t>
            </w:r>
            <w:r w:rsidRPr="004739C5">
              <w:rPr>
                <w:sz w:val="20"/>
                <w:szCs w:val="20"/>
              </w:rPr>
              <w:t>) × počet hodín</w:t>
            </w:r>
            <w:r w:rsidRPr="004739C5">
              <w:rPr>
                <w:rFonts w:ascii="Symbol" w:hAnsi="Symbol"/>
                <w:sz w:val="20"/>
                <w:szCs w:val="20"/>
              </w:rPr>
              <w:sym w:font="Symbol" w:char="F05D"/>
            </w:r>
            <w:r w:rsidRPr="004739C5">
              <w:rPr>
                <w:sz w:val="20"/>
                <w:szCs w:val="20"/>
              </w:rPr>
              <w:t xml:space="preserve"> je súčet rozdielov medzi hodinovými koncentráciami väčšími ako 80 µg/m</w:t>
            </w:r>
            <w:r w:rsidRPr="00E46DD8">
              <w:rPr>
                <w:sz w:val="20"/>
                <w:szCs w:val="20"/>
                <w:vertAlign w:val="superscript"/>
              </w:rPr>
              <w:t>3</w:t>
            </w:r>
            <w:r w:rsidRPr="004739C5">
              <w:rPr>
                <w:sz w:val="20"/>
                <w:szCs w:val="20"/>
              </w:rPr>
              <w:t xml:space="preserve"> (= 40 častí na miliardu) a 80 µg/m</w:t>
            </w:r>
            <w:r w:rsidRPr="00E46DD8">
              <w:rPr>
                <w:sz w:val="20"/>
                <w:szCs w:val="20"/>
                <w:vertAlign w:val="superscript"/>
              </w:rPr>
              <w:t>3</w:t>
            </w:r>
            <w:r w:rsidRPr="004739C5">
              <w:rPr>
                <w:sz w:val="20"/>
                <w:szCs w:val="20"/>
              </w:rPr>
              <w:t xml:space="preserve"> počas daného obdobia pri používaní len 1-hodinových hodnôt nameraných každý deň od 8.00 do 20.00 hod. stredoeurópskeho času (SEČ).</w:t>
            </w:r>
          </w:p>
          <w:p w:rsidR="004739C5" w:rsidRPr="004739C5" w:rsidP="004739C5">
            <w:pPr>
              <w:pStyle w:val="NormalWeb"/>
              <w:keepLines/>
              <w:spacing w:before="0" w:beforeAutospacing="0" w:after="120" w:afterAutospacing="0"/>
              <w:ind w:left="284" w:hanging="284"/>
              <w:rPr>
                <w:sz w:val="20"/>
                <w:szCs w:val="20"/>
              </w:rPr>
            </w:pPr>
            <w:r w:rsidRPr="004739C5">
              <w:rPr>
                <w:sz w:val="20"/>
                <w:szCs w:val="20"/>
              </w:rPr>
              <w:t>B. Kritériá</w:t>
            </w:r>
          </w:p>
          <w:p w:rsidR="004739C5" w:rsidRPr="004739C5" w:rsidP="004739C5">
            <w:pPr>
              <w:pStyle w:val="NormalWeb"/>
              <w:keepLines/>
              <w:spacing w:before="0" w:beforeAutospacing="0" w:after="0" w:afterAutospacing="0"/>
              <w:ind w:left="284" w:hanging="1"/>
              <w:contextualSpacing/>
              <w:rPr>
                <w:sz w:val="20"/>
                <w:szCs w:val="20"/>
              </w:rPr>
            </w:pPr>
            <w:r w:rsidRPr="004739C5">
              <w:rPr>
                <w:sz w:val="20"/>
                <w:szCs w:val="20"/>
              </w:rPr>
              <w:t>Pri zhromažďovaní údajov a výpočte štatistických ukazovateľov sa na kontrolu platnosti použijú tieto kritériá:</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4"/>
              <w:gridCol w:w="4590"/>
            </w:tblGrid>
            <w:tr w:rsidTr="004739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Parameter</w:t>
                  </w:r>
                </w:p>
              </w:tc>
              <w:tc>
                <w:tcPr>
                  <w:tcW w:w="4590"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Vyžadovaný podiel platných údajov</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1-hodinové hodnoty</w:t>
                  </w:r>
                </w:p>
              </w:tc>
              <w:tc>
                <w:tcPr>
                  <w:tcW w:w="4590" w:type="dxa"/>
                  <w:shd w:val="clear" w:color="auto" w:fill="auto"/>
                </w:tcPr>
                <w:p w:rsidR="004739C5" w:rsidRPr="007B57C0" w:rsidP="004739C5">
                  <w:pPr>
                    <w:pStyle w:val="NormalWeb"/>
                    <w:keepLines/>
                    <w:spacing w:before="0" w:beforeAutospacing="0" w:after="0" w:afterAutospacing="0"/>
                    <w:contextualSpacing/>
                    <w:rPr>
                      <w:sz w:val="20"/>
                      <w:szCs w:val="20"/>
                    </w:rPr>
                  </w:pPr>
                  <w:r w:rsidRPr="007B57C0">
                    <w:rPr>
                      <w:sz w:val="20"/>
                      <w:szCs w:val="20"/>
                    </w:rPr>
                    <w:t>75 % (t. j. 45 minút)</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8-hodinové hodnoty</w:t>
                  </w:r>
                </w:p>
              </w:tc>
              <w:tc>
                <w:tcPr>
                  <w:tcW w:w="4590" w:type="dxa"/>
                  <w:shd w:val="clear" w:color="auto" w:fill="auto"/>
                </w:tcPr>
                <w:p w:rsidR="004739C5" w:rsidRPr="007B57C0" w:rsidP="004739C5">
                  <w:pPr>
                    <w:pStyle w:val="NormalWeb"/>
                    <w:keepLines/>
                    <w:spacing w:before="0" w:beforeAutospacing="0" w:after="0" w:afterAutospacing="0"/>
                    <w:contextualSpacing/>
                    <w:rPr>
                      <w:sz w:val="20"/>
                      <w:szCs w:val="20"/>
                    </w:rPr>
                  </w:pPr>
                  <w:r w:rsidRPr="007B57C0">
                    <w:rPr>
                      <w:sz w:val="20"/>
                      <w:szCs w:val="20"/>
                    </w:rPr>
                    <w:t>75 % (t. j. 6 hodín)</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Najväčšia denná 8-hodinová stredná hodnota z 8 po sebe nasledujúcich hodín</w:t>
                  </w:r>
                </w:p>
              </w:tc>
              <w:tc>
                <w:tcPr>
                  <w:tcW w:w="4590" w:type="dxa"/>
                  <w:shd w:val="clear" w:color="auto" w:fill="auto"/>
                </w:tcPr>
                <w:p w:rsidR="004739C5" w:rsidRPr="007B57C0" w:rsidP="004739C5">
                  <w:pPr>
                    <w:pStyle w:val="NormalWeb"/>
                    <w:keepLines/>
                    <w:spacing w:before="0" w:beforeAutospacing="0" w:after="0" w:afterAutospacing="0"/>
                    <w:contextualSpacing/>
                    <w:rPr>
                      <w:sz w:val="20"/>
                      <w:szCs w:val="20"/>
                    </w:rPr>
                  </w:pPr>
                  <w:r w:rsidRPr="007B57C0">
                    <w:rPr>
                      <w:sz w:val="20"/>
                      <w:szCs w:val="20"/>
                    </w:rPr>
                    <w:t>75 % hodinových pohyblivých priemerov z 8 po sebe nasledujúcich hodín (t. j. 18  8-hodinových priemerov za deň)</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 xml:space="preserve">AOT40 </w:t>
                  </w:r>
                </w:p>
              </w:tc>
              <w:tc>
                <w:tcPr>
                  <w:tcW w:w="4590"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90 % 1-hodinových hodnôt počas doby určenej na vypočítanie hodnoty AOT40</w:t>
                  </w:r>
                  <w:r w:rsidRPr="004739C5">
                    <w:rPr>
                      <w:sz w:val="20"/>
                      <w:szCs w:val="20"/>
                    </w:rPr>
                    <w:t>1)</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Ročná stredná hodnota</w:t>
                  </w:r>
                </w:p>
              </w:tc>
              <w:tc>
                <w:tcPr>
                  <w:tcW w:w="4590"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75 % 1-hodinových hodnôt letného obdobia od apríla do septembra a 75 % hodnôt zimného obdobia od januára do marca a od októbra do decembra samostatne</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Počet prekročení a najväčšie hodnoty za mesiac</w:t>
                  </w:r>
                </w:p>
              </w:tc>
              <w:tc>
                <w:tcPr>
                  <w:tcW w:w="4590"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 xml:space="preserve">90 % denných najväčších 8-hodinových stredných hodnôt (t. j. 27 dostupných denných hodnôt za mesiac), </w:t>
                  </w:r>
                </w:p>
                <w:p w:rsidR="004739C5" w:rsidRPr="007B57C0" w:rsidP="004739C5">
                  <w:pPr>
                    <w:pStyle w:val="NormalWeb"/>
                    <w:keepLines/>
                    <w:spacing w:before="0" w:beforeAutospacing="0" w:after="0" w:afterAutospacing="0"/>
                    <w:contextualSpacing/>
                    <w:rPr>
                      <w:sz w:val="20"/>
                      <w:szCs w:val="20"/>
                    </w:rPr>
                  </w:pPr>
                  <w:r w:rsidRPr="007B57C0">
                    <w:rPr>
                      <w:sz w:val="20"/>
                      <w:szCs w:val="20"/>
                    </w:rPr>
                    <w:t>90 % 1-hodinových hodnôt od 8.00 do 20.00 hod. SEČ</w:t>
                  </w:r>
                </w:p>
              </w:tc>
            </w:tr>
            <w:tr w:rsidTr="004739C5">
              <w:tblPrEx>
                <w:tblW w:w="0" w:type="auto"/>
                <w:tblLayout w:type="fixed"/>
                <w:tblLook w:val="01E0"/>
              </w:tblPrEx>
              <w:trPr>
                <w:trHeight w:val="367"/>
              </w:trPr>
              <w:tc>
                <w:tcPr>
                  <w:tcW w:w="2944"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Počet prekročení a najväčšie hodnoty za rok</w:t>
                  </w:r>
                </w:p>
              </w:tc>
              <w:tc>
                <w:tcPr>
                  <w:tcW w:w="4590" w:type="dxa"/>
                </w:tcPr>
                <w:p w:rsidR="004739C5" w:rsidRPr="007B57C0" w:rsidP="004739C5">
                  <w:pPr>
                    <w:pStyle w:val="NormalWeb"/>
                    <w:keepLines/>
                    <w:spacing w:before="0" w:beforeAutospacing="0" w:after="0" w:afterAutospacing="0"/>
                    <w:contextualSpacing/>
                    <w:rPr>
                      <w:sz w:val="20"/>
                      <w:szCs w:val="20"/>
                    </w:rPr>
                  </w:pPr>
                  <w:r w:rsidRPr="007B57C0">
                    <w:rPr>
                      <w:sz w:val="20"/>
                      <w:szCs w:val="20"/>
                    </w:rPr>
                    <w:t>päť zo šiestich mesiacov počas letného obdobia od apríla do septembra</w:t>
                  </w:r>
                </w:p>
              </w:tc>
            </w:tr>
          </w:tbl>
          <w:p w:rsidR="004739C5" w:rsidRPr="005B394F" w:rsidP="005B394F">
            <w:pPr>
              <w:pStyle w:val="NormalWeb"/>
              <w:spacing w:before="0" w:beforeAutospacing="0" w:after="0" w:afterAutospacing="0"/>
              <w:rPr>
                <w:sz w:val="18"/>
                <w:szCs w:val="18"/>
              </w:rPr>
            </w:pPr>
            <w:r w:rsidRPr="005B394F">
              <w:rPr>
                <w:sz w:val="18"/>
                <w:szCs w:val="18"/>
              </w:rPr>
              <w:t>Poznámka:</w:t>
            </w:r>
          </w:p>
          <w:p w:rsidR="004739C5" w:rsidRPr="005B394F" w:rsidP="005B394F">
            <w:pPr>
              <w:pStyle w:val="NormalWeb"/>
              <w:spacing w:before="0" w:beforeAutospacing="0" w:after="0" w:afterAutospacing="0"/>
              <w:rPr>
                <w:sz w:val="18"/>
                <w:szCs w:val="18"/>
              </w:rPr>
            </w:pPr>
            <w:r w:rsidRPr="005B394F">
              <w:rPr>
                <w:sz w:val="18"/>
                <w:szCs w:val="18"/>
              </w:rPr>
              <w:t>Ak nie sú k dispozícii všetky možné merané údaje, na vypočítanie hodnôt AOT40 sa použije tento faktor:</w:t>
            </w:r>
          </w:p>
          <w:p w:rsidR="004739C5" w:rsidRPr="005B394F" w:rsidP="005B394F">
            <w:pPr>
              <w:pStyle w:val="NormalWeb"/>
              <w:spacing w:before="0" w:beforeAutospacing="0" w:after="0" w:afterAutospacing="0"/>
              <w:rPr>
                <w:sz w:val="18"/>
                <w:szCs w:val="18"/>
              </w:rPr>
            </w:pPr>
          </w:p>
          <w:p w:rsidR="004739C5" w:rsidRPr="005B394F" w:rsidP="005B394F">
            <w:pPr>
              <w:pStyle w:val="NormalWeb"/>
              <w:spacing w:before="0" w:beforeAutospacing="0" w:after="0" w:afterAutospacing="0"/>
              <w:rPr>
                <w:sz w:val="18"/>
                <w:szCs w:val="18"/>
              </w:rPr>
            </w:pPr>
            <w:r w:rsidRPr="005B394F">
              <w:rPr>
                <w:sz w:val="18"/>
                <w:szCs w:val="18"/>
              </w:rPr>
              <w:t xml:space="preserve">   </w:t>
            </w: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33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GrammaticalError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E71D2&quot;/&gt;&lt;wsp:rsid wsp:val=&quot;000048EC&quot;/&gt;&lt;wsp:rsid wsp:val=&quot;00007C55&quot;/&gt;&lt;wsp:rsid wsp:val=&quot;00020A83&quot;/&gt;&lt;wsp:rsid wsp:val=&quot;00021A45&quot;/&gt;&lt;wsp:rsid wsp:val=&quot;00034377&quot;/&gt;&lt;wsp:rsid wsp:val=&quot;00034D1D&quot;/&gt;&lt;wsp:rsid wsp:val=&quot;00035A99&quot;/&gt;&lt;wsp:rsid wsp:val=&quot;00050624&quot;/&gt;&lt;wsp:rsid wsp:val=&quot;00051207&quot;/&gt;&lt;wsp:rsid wsp:val=&quot;00051F2D&quot;/&gt;&lt;wsp:rsid wsp:val=&quot;00062468&quot;/&gt;&lt;wsp:rsid wsp:val=&quot;0006658F&quot;/&gt;&lt;wsp:rsid wsp:val=&quot;00066617&quot;/&gt;&lt;wsp:rsid wsp:val=&quot;00067AF7&quot;/&gt;&lt;wsp:rsid wsp:val=&quot;00070876&quot;/&gt;&lt;wsp:rsid wsp:val=&quot;00072EB3&quot;/&gt;&lt;wsp:rsid wsp:val=&quot;00075822&quot;/&gt;&lt;wsp:rsid wsp:val=&quot;000850A0&quot;/&gt;&lt;wsp:rsid wsp:val=&quot;00091583&quot;/&gt;&lt;wsp:rsid wsp:val=&quot;000928BD&quot;/&gt;&lt;wsp:rsid wsp:val=&quot;00094148&quot;/&gt;&lt;wsp:rsid wsp:val=&quot;00094C1F&quot;/&gt;&lt;wsp:rsid wsp:val=&quot;000A1DD9&quot;/&gt;&lt;wsp:rsid wsp:val=&quot;000A6708&quot;/&gt;&lt;wsp:rsid wsp:val=&quot;000A6DAB&quot;/&gt;&lt;wsp:rsid wsp:val=&quot;000B4172&quot;/&gt;&lt;wsp:rsid wsp:val=&quot;000B4FE9&quot;/&gt;&lt;wsp:rsid wsp:val=&quot;000B5F48&quot;/&gt;&lt;wsp:rsid wsp:val=&quot;000C05D2&quot;/&gt;&lt;wsp:rsid wsp:val=&quot;000C0CC4&quot;/&gt;&lt;wsp:rsid wsp:val=&quot;000D73AF&quot;/&gt;&lt;wsp:rsid wsp:val=&quot;000E150C&quot;/&gt;&lt;wsp:rsid wsp:val=&quot;000E1715&quot;/&gt;&lt;wsp:rsid wsp:val=&quot;000E426D&quot;/&gt;&lt;wsp:rsid wsp:val=&quot;000F343F&quot;/&gt;&lt;wsp:rsid wsp:val=&quot;00102354&quot;/&gt;&lt;wsp:rsid wsp:val=&quot;0010439B&quot;/&gt;&lt;wsp:rsid wsp:val=&quot;00107498&quot;/&gt;&lt;wsp:rsid wsp:val=&quot;00114BC4&quot;/&gt;&lt;wsp:rsid wsp:val=&quot;0011754A&quot;/&gt;&lt;wsp:rsid wsp:val=&quot;00120E0D&quot;/&gt;&lt;wsp:rsid wsp:val=&quot;00121119&quot;/&gt;&lt;wsp:rsid wsp:val=&quot;00130212&quot;/&gt;&lt;wsp:rsid wsp:val=&quot;00137F77&quot;/&gt;&lt;wsp:rsid wsp:val=&quot;00144566&quot;/&gt;&lt;wsp:rsid wsp:val=&quot;00153410&quot;/&gt;&lt;wsp:rsid wsp:val=&quot;00156D3E&quot;/&gt;&lt;wsp:rsid wsp:val=&quot;001604CD&quot;/&gt;&lt;wsp:rsid wsp:val=&quot;00164342&quot;/&gt;&lt;wsp:rsid wsp:val=&quot;00170879&quot;/&gt;&lt;wsp:rsid wsp:val=&quot;0017135C&quot;/&gt;&lt;wsp:rsid wsp:val=&quot;00175F54&quot;/&gt;&lt;wsp:rsid wsp:val=&quot;00187269&quot;/&gt;&lt;wsp:rsid wsp:val=&quot;00187B00&quot;/&gt;&lt;wsp:rsid wsp:val=&quot;00196004&quot;/&gt;&lt;wsp:rsid wsp:val=&quot;00196E0D&quot;/&gt;&lt;wsp:rsid wsp:val=&quot;00197B41&quot;/&gt;&lt;wsp:rsid wsp:val=&quot;00197E56&quot;/&gt;&lt;wsp:rsid wsp:val=&quot;001A50EF&quot;/&gt;&lt;wsp:rsid wsp:val=&quot;001A5ECA&quot;/&gt;&lt;wsp:rsid wsp:val=&quot;001A5EFC&quot;/&gt;&lt;wsp:rsid wsp:val=&quot;001B4262&quot;/&gt;&lt;wsp:rsid wsp:val=&quot;001C60F7&quot;/&gt;&lt;wsp:rsid wsp:val=&quot;001C6217&quot;/&gt;&lt;wsp:rsid wsp:val=&quot;001D2316&quot;/&gt;&lt;wsp:rsid wsp:val=&quot;001D5812&quot;/&gt;&lt;wsp:rsid wsp:val=&quot;001E0243&quot;/&gt;&lt;wsp:rsid wsp:val=&quot;001E037C&quot;/&gt;&lt;wsp:rsid wsp:val=&quot;001E2AE7&quot;/&gt;&lt;wsp:rsid wsp:val=&quot;001E3338&quot;/&gt;&lt;wsp:rsid wsp:val=&quot;001F4262&quot;/&gt;&lt;wsp:rsid wsp:val=&quot;001F6F6C&quot;/&gt;&lt;wsp:rsid wsp:val=&quot;00210164&quot;/&gt;&lt;wsp:rsid wsp:val=&quot;00216C6D&quot;/&gt;&lt;wsp:rsid wsp:val=&quot;0022081B&quot;/&gt;&lt;wsp:rsid wsp:val=&quot;00225F6C&quot;/&gt;&lt;wsp:rsid wsp:val=&quot;00227A66&quot;/&gt;&lt;wsp:rsid wsp:val=&quot;0023028A&quot;/&gt;&lt;wsp:rsid wsp:val=&quot;00230D4E&quot;/&gt;&lt;wsp:rsid wsp:val=&quot;00235F3F&quot;/&gt;&lt;wsp:rsid wsp:val=&quot;0024223C&quot;/&gt;&lt;wsp:rsid wsp:val=&quot;0024454A&quot;/&gt;&lt;wsp:rsid wsp:val=&quot;00250E18&quot;/&gt;&lt;wsp:rsid wsp:val=&quot;002511B3&quot;/&gt;&lt;wsp:rsid wsp:val=&quot;00254B0B&quot;/&gt;&lt;wsp:rsid wsp:val=&quot;002637F4&quot;/&gt;&lt;wsp:rsid wsp:val=&quot;00265A18&quot;/&gt;&lt;wsp:rsid wsp:val=&quot;00281D55&quot;/&gt;&lt;wsp:rsid wsp:val=&quot;002934D7&quot;/&gt;&lt;wsp:rsid wsp:val=&quot;002A0849&quot;/&gt;&lt;wsp:rsid wsp:val=&quot;002A2908&quot;/&gt;&lt;wsp:rsid wsp:val=&quot;002A7577&quot;/&gt;&lt;wsp:rsid wsp:val=&quot;002A7C55&quot;/&gt;&lt;wsp:rsid wsp:val=&quot;002B0B9D&quot;/&gt;&lt;wsp:rsid wsp:val=&quot;002B10EE&quot;/&gt;&lt;wsp:rsid wsp:val=&quot;002B1454&quot;/&gt;&lt;wsp:rsid wsp:val=&quot;002B3EF0&quot;/&gt;&lt;wsp:rsid wsp:val=&quot;002C0B4E&quot;/&gt;&lt;wsp:rsid wsp:val=&quot;002C6C64&quot;/&gt;&lt;wsp:rsid wsp:val=&quot;002C7D5F&quot;/&gt;&lt;wsp:rsid wsp:val=&quot;002D3699&quot;/&gt;&lt;wsp:rsid wsp:val=&quot;002D77C5&quot;/&gt;&lt;wsp:rsid wsp:val=&quot;002E48D3&quot;/&gt;&lt;wsp:rsid wsp:val=&quot;002E69E9&quot;/&gt;&lt;wsp:rsid wsp:val=&quot;002F52A9&quot;/&gt;&lt;wsp:rsid wsp:val=&quot;00300B3E&quot;/&gt;&lt;wsp:rsid wsp:val=&quot;003012C4&quot;/&gt;&lt;wsp:rsid wsp:val=&quot;00302E31&quot;/&gt;&lt;wsp:rsid wsp:val=&quot;00305D4A&quot;/&gt;&lt;wsp:rsid wsp:val=&quot;00306350&quot;/&gt;&lt;wsp:rsid wsp:val=&quot;00307B28&quot;/&gt;&lt;wsp:rsid wsp:val=&quot;00307D86&quot;/&gt;&lt;wsp:rsid wsp:val=&quot;00327BF4&quot;/&gt;&lt;wsp:rsid wsp:val=&quot;00330338&quot;/&gt;&lt;wsp:rsid wsp:val=&quot;00342486&quot;/&gt;&lt;wsp:rsid wsp:val=&quot;0034359A&quot;/&gt;&lt;wsp:rsid wsp:val=&quot;00353AB9&quot;/&gt;&lt;wsp:rsid wsp:val=&quot;003541D7&quot;/&gt;&lt;wsp:rsid wsp:val=&quot;00356AE7&quot;/&gt;&lt;wsp:rsid wsp:val=&quot;00357C03&quot;/&gt;&lt;wsp:rsid wsp:val=&quot;0036140A&quot;/&gt;&lt;wsp:rsid wsp:val=&quot;00364B3D&quot;/&gt;&lt;wsp:rsid wsp:val=&quot;00367529&quot;/&gt;&lt;wsp:rsid wsp:val=&quot;00375B0D&quot;/&gt;&lt;wsp:rsid wsp:val=&quot;00390FC1&quot;/&gt;&lt;wsp:rsid wsp:val=&quot;003923F6&quot;/&gt;&lt;wsp:rsid wsp:val=&quot;003977FB&quot;/&gt;&lt;wsp:rsid wsp:val=&quot;003A0FF1&quot;/&gt;&lt;wsp:rsid wsp:val=&quot;003B54EE&quot;/&gt;&lt;wsp:rsid wsp:val=&quot;003C0A1E&quot;/&gt;&lt;wsp:rsid wsp:val=&quot;003C19E1&quot;/&gt;&lt;wsp:rsid wsp:val=&quot;003C1B83&quot;/&gt;&lt;wsp:rsid wsp:val=&quot;003C5741&quot;/&gt;&lt;wsp:rsid wsp:val=&quot;003D1878&quot;/&gt;&lt;wsp:rsid wsp:val=&quot;003D1C4C&quot;/&gt;&lt;wsp:rsid wsp:val=&quot;003D2F9A&quot;/&gt;&lt;wsp:rsid wsp:val=&quot;003D5481&quot;/&gt;&lt;wsp:rsid wsp:val=&quot;003D65E2&quot;/&gt;&lt;wsp:rsid wsp:val=&quot;003D7C99&quot;/&gt;&lt;wsp:rsid wsp:val=&quot;003E4452&quot;/&gt;&lt;wsp:rsid wsp:val=&quot;003F3ED8&quot;/&gt;&lt;wsp:rsid wsp:val=&quot;003F625B&quot;/&gt;&lt;wsp:rsid wsp:val=&quot;00400690&quot;/&gt;&lt;wsp:rsid wsp:val=&quot;00400A40&quot;/&gt;&lt;wsp:rsid wsp:val=&quot;004021A9&quot;/&gt;&lt;wsp:rsid wsp:val=&quot;004154FE&quot;/&gt;&lt;wsp:rsid wsp:val=&quot;00422347&quot;/&gt;&lt;wsp:rsid wsp:val=&quot;00426F14&quot;/&gt;&lt;wsp:rsid wsp:val=&quot;00431330&quot;/&gt;&lt;wsp:rsid wsp:val=&quot;00431CE1&quot;/&gt;&lt;wsp:rsid wsp:val=&quot;00441440&quot;/&gt;&lt;wsp:rsid wsp:val=&quot;004415BD&quot;/&gt;&lt;wsp:rsid wsp:val=&quot;00450AED&quot;/&gt;&lt;wsp:rsid wsp:val=&quot;004542AE&quot;/&gt;&lt;wsp:rsid wsp:val=&quot;00454806&quot;/&gt;&lt;wsp:rsid wsp:val=&quot;00456EEA&quot;/&gt;&lt;wsp:rsid wsp:val=&quot;00471C53&quot;/&gt;&lt;wsp:rsid wsp:val=&quot;004739C5&quot;/&gt;&lt;wsp:rsid wsp:val=&quot;004744DA&quot;/&gt;&lt;wsp:rsid wsp:val=&quot;004803BE&quot;/&gt;&lt;wsp:rsid wsp:val=&quot;00481740&quot;/&gt;&lt;wsp:rsid wsp:val=&quot;00482F48&quot;/&gt;&lt;wsp:rsid wsp:val=&quot;004859CE&quot;/&gt;&lt;wsp:rsid wsp:val=&quot;00490A84&quot;/&gt;&lt;wsp:rsid wsp:val=&quot;00497E45&quot;/&gt;&lt;wsp:rsid wsp:val=&quot;004A1CFA&quot;/&gt;&lt;wsp:rsid wsp:val=&quot;004A5411&quot;/&gt;&lt;wsp:rsid wsp:val=&quot;004A60C4&quot;/&gt;&lt;wsp:rsid wsp:val=&quot;004B4B31&quot;/&gt;&lt;wsp:rsid wsp:val=&quot;004B7BF7&quot;/&gt;&lt;wsp:rsid wsp:val=&quot;004C6508&quot;/&gt;&lt;wsp:rsid wsp:val=&quot;004C66F7&quot;/&gt;&lt;wsp:rsid wsp:val=&quot;004D4DCD&quot;/&gt;&lt;wsp:rsid wsp:val=&quot;004D790C&quot;/&gt;&lt;wsp:rsid wsp:val=&quot;004E0934&quot;/&gt;&lt;wsp:rsid wsp:val=&quot;004E1AFB&quot;/&gt;&lt;wsp:rsid wsp:val=&quot;004E5A7A&quot;/&gt;&lt;wsp:rsid wsp:val=&quot;004E5D12&quot;/&gt;&lt;wsp:rsid wsp:val=&quot;004E64FD&quot;/&gt;&lt;wsp:rsid wsp:val=&quot;004F536E&quot;/&gt;&lt;wsp:rsid wsp:val=&quot;004F6A5E&quot;/&gt;&lt;wsp:rsid wsp:val=&quot;0050371C&quot;/&gt;&lt;wsp:rsid wsp:val=&quot;0050792E&quot;/&gt;&lt;wsp:rsid wsp:val=&quot;00513022&quot;/&gt;&lt;wsp:rsid wsp:val=&quot;00514277&quot;/&gt;&lt;wsp:rsid wsp:val=&quot;00521B10&quot;/&gt;&lt;wsp:rsid wsp:val=&quot;00523FF9&quot;/&gt;&lt;wsp:rsid wsp:val=&quot;0052467C&quot;/&gt;&lt;wsp:rsid wsp:val=&quot;00526418&quot;/&gt;&lt;wsp:rsid wsp:val=&quot;00530963&quot;/&gt;&lt;wsp:rsid wsp:val=&quot;005318C0&quot;/&gt;&lt;wsp:rsid wsp:val=&quot;00535526&quot;/&gt;&lt;wsp:rsid wsp:val=&quot;00536E1F&quot;/&gt;&lt;wsp:rsid wsp:val=&quot;005416C3&quot;/&gt;&lt;wsp:rsid wsp:val=&quot;00541AC4&quot;/&gt;&lt;wsp:rsid wsp:val=&quot;005459D8&quot;/&gt;&lt;wsp:rsid wsp:val=&quot;005528D9&quot;/&gt;&lt;wsp:rsid wsp:val=&quot;00557828&quot;/&gt;&lt;wsp:rsid wsp:val=&quot;0056008C&quot;/&gt;&lt;wsp:rsid wsp:val=&quot;00565B4A&quot;/&gt;&lt;wsp:rsid wsp:val=&quot;00566FFE&quot;/&gt;&lt;wsp:rsid wsp:val=&quot;005676E0&quot;/&gt;&lt;wsp:rsid wsp:val=&quot;0057407E&quot;/&gt;&lt;wsp:rsid wsp:val=&quot;00575134&quot;/&gt;&lt;wsp:rsid wsp:val=&quot;0057536E&quot;/&gt;&lt;wsp:rsid wsp:val=&quot;00575737&quot;/&gt;&lt;wsp:rsid wsp:val=&quot;005806F0&quot;/&gt;&lt;wsp:rsid wsp:val=&quot;00584369&quot;/&gt;&lt;wsp:rsid wsp:val=&quot;0058459D&quot;/&gt;&lt;wsp:rsid wsp:val=&quot;0059520E&quot;/&gt;&lt;wsp:rsid wsp:val=&quot;005971C3&quot;/&gt;&lt;wsp:rsid wsp:val=&quot;00597EEA&quot;/&gt;&lt;wsp:rsid wsp:val=&quot;005A206F&quot;/&gt;&lt;wsp:rsid wsp:val=&quot;005A3D8D&quot;/&gt;&lt;wsp:rsid wsp:val=&quot;005A508F&quot;/&gt;&lt;wsp:rsid wsp:val=&quot;005A7A63&quot;/&gt;&lt;wsp:rsid wsp:val=&quot;005B0B31&quot;/&gt;&lt;wsp:rsid wsp:val=&quot;005C0D98&quot;/&gt;&lt;wsp:rsid wsp:val=&quot;005C4283&quot;/&gt;&lt;wsp:rsid wsp:val=&quot;005C7F85&quot;/&gt;&lt;wsp:rsid wsp:val=&quot;005D3422&quot;/&gt;&lt;wsp:rsid wsp:val=&quot;005E11AA&quot;/&gt;&lt;wsp:rsid wsp:val=&quot;005E686F&quot;/&gt;&lt;wsp:rsid wsp:val=&quot;005F3DE7&quot;/&gt;&lt;wsp:rsid wsp:val=&quot;00601057&quot;/&gt;&lt;wsp:rsid wsp:val=&quot;006025B3&quot;/&gt;&lt;wsp:rsid wsp:val=&quot;00603499&quot;/&gt;&lt;wsp:rsid wsp:val=&quot;00605DAE&quot;/&gt;&lt;wsp:rsid wsp:val=&quot;006068A6&quot;/&gt;&lt;wsp:rsid wsp:val=&quot;00606DD2&quot;/&gt;&lt;wsp:rsid wsp:val=&quot;00607D28&quot;/&gt;&lt;wsp:rsid wsp:val=&quot;00614DD1&quot;/&gt;&lt;wsp:rsid wsp:val=&quot;006158CA&quot;/&gt;&lt;wsp:rsid wsp:val=&quot;00620474&quot;/&gt;&lt;wsp:rsid wsp:val=&quot;00625408&quot;/&gt;&lt;wsp:rsid wsp:val=&quot;0063105D&quot;/&gt;&lt;wsp:rsid wsp:val=&quot;00633006&quot;/&gt;&lt;wsp:rsid wsp:val=&quot;0063613B&quot;/&gt;&lt;wsp:rsid wsp:val=&quot;00640EFA&quot;/&gt;&lt;wsp:rsid wsp:val=&quot;0064294B&quot;/&gt;&lt;wsp:rsid wsp:val=&quot;006518FE&quot;/&gt;&lt;wsp:rsid wsp:val=&quot;0066018A&quot;/&gt;&lt;wsp:rsid wsp:val=&quot;0066225B&quot;/&gt;&lt;wsp:rsid wsp:val=&quot;00671482&quot;/&gt;&lt;wsp:rsid wsp:val=&quot;00677AE6&quot;/&gt;&lt;wsp:rsid wsp:val=&quot;006822FA&quot;/&gt;&lt;wsp:rsid wsp:val=&quot;0068378B&quot;/&gt;&lt;wsp:rsid wsp:val=&quot;0068773A&quot;/&gt;&lt;wsp:rsid wsp:val=&quot;006938A2&quot;/&gt;&lt;wsp:rsid wsp:val=&quot;00694990&quot;/&gt;&lt;wsp:rsid wsp:val=&quot;006958C1&quot;/&gt;&lt;wsp:rsid wsp:val=&quot;006A0BA8&quot;/&gt;&lt;wsp:rsid wsp:val=&quot;006A454F&quot;/&gt;&lt;wsp:rsid wsp:val=&quot;006B1364&quot;/&gt;&lt;wsp:rsid wsp:val=&quot;006B2681&quot;/&gt;&lt;wsp:rsid wsp:val=&quot;006B3F43&quot;/&gt;&lt;wsp:rsid wsp:val=&quot;006C32FC&quot;/&gt;&lt;wsp:rsid wsp:val=&quot;006C483A&quot;/&gt;&lt;wsp:rsid wsp:val=&quot;006C62F8&quot;/&gt;&lt;wsp:rsid wsp:val=&quot;006D0540&quot;/&gt;&lt;wsp:rsid wsp:val=&quot;006D0887&quot;/&gt;&lt;wsp:rsid wsp:val=&quot;006D1A7C&quot;/&gt;&lt;wsp:rsid wsp:val=&quot;006D2ABF&quot;/&gt;&lt;wsp:rsid wsp:val=&quot;006D473F&quot;/&gt;&lt;wsp:rsid wsp:val=&quot;006D7FE6&quot;/&gt;&lt;wsp:rsid wsp:val=&quot;006E065B&quot;/&gt;&lt;wsp:rsid wsp:val=&quot;006E12DC&quot;/&gt;&lt;wsp:rsid wsp:val=&quot;006E219D&quot;/&gt;&lt;wsp:rsid wsp:val=&quot;006E46FE&quot;/&gt;&lt;wsp:rsid wsp:val=&quot;006E7B7A&quot;/&gt;&lt;wsp:rsid wsp:val=&quot;006F03CF&quot;/&gt;&lt;wsp:rsid wsp:val=&quot;006F0570&quot;/&gt;&lt;wsp:rsid wsp:val=&quot;006F362B&quot;/&gt;&lt;wsp:rsid wsp:val=&quot;006F3CE1&quot;/&gt;&lt;wsp:rsid wsp:val=&quot;006F3EBA&quot;/&gt;&lt;wsp:rsid wsp:val=&quot;00700EF9&quot;/&gt;&lt;wsp:rsid wsp:val=&quot;007027D2&quot;/&gt;&lt;wsp:rsid wsp:val=&quot;00714050&quot;/&gt;&lt;wsp:rsid wsp:val=&quot;00714675&quot;/&gt;&lt;wsp:rsid wsp:val=&quot;0072085B&quot;/&gt;&lt;wsp:rsid wsp:val=&quot;00720936&quot;/&gt;&lt;wsp:rsid wsp:val=&quot;00724037&quot;/&gt;&lt;wsp:rsid wsp:val=&quot;00726799&quot;/&gt;&lt;wsp:rsid wsp:val=&quot;00730F99&quot;/&gt;&lt;wsp:rsid wsp:val=&quot;00733227&quot;/&gt;&lt;wsp:rsid wsp:val=&quot;00737E40&quot;/&gt;&lt;wsp:rsid wsp:val=&quot;00741439&quot;/&gt;&lt;wsp:rsid wsp:val=&quot;00743DBC&quot;/&gt;&lt;wsp:rsid wsp:val=&quot;00744E88&quot;/&gt;&lt;wsp:rsid wsp:val=&quot;00747B67&quot;/&gt;&lt;wsp:rsid wsp:val=&quot;00750C87&quot;/&gt;&lt;wsp:rsid wsp:val=&quot;00754B64&quot;/&gt;&lt;wsp:rsid wsp:val=&quot;00761D4A&quot;/&gt;&lt;wsp:rsid wsp:val=&quot;007656E5&quot;/&gt;&lt;wsp:rsid wsp:val=&quot;0076695C&quot;/&gt;&lt;wsp:rsid wsp:val=&quot;0076790E&quot;/&gt;&lt;wsp:rsid wsp:val=&quot;00773E63&quot;/&gt;&lt;wsp:rsid wsp:val=&quot;00774288&quot;/&gt;&lt;wsp:rsid wsp:val=&quot;00781175&quot;/&gt;&lt;wsp:rsid wsp:val=&quot;007847A8&quot;/&gt;&lt;wsp:rsid wsp:val=&quot;00790C52&quot;/&gt;&lt;wsp:rsid wsp:val=&quot;00791601&quot;/&gt;&lt;wsp:rsid wsp:val=&quot;007A0457&quot;/&gt;&lt;wsp:rsid wsp:val=&quot;007B461D&quot;/&gt;&lt;wsp:rsid wsp:val=&quot;007B656C&quot;/&gt;&lt;wsp:rsid wsp:val=&quot;007B7863&quot;/&gt;&lt;wsp:rsid wsp:val=&quot;007C0C8B&quot;/&gt;&lt;wsp:rsid wsp:val=&quot;007C2C2E&quot;/&gt;&lt;wsp:rsid wsp:val=&quot;007C4CE1&quot;/&gt;&lt;wsp:rsid wsp:val=&quot;007C7351&quot;/&gt;&lt;wsp:rsid wsp:val=&quot;007D3316&quot;/&gt;&lt;wsp:rsid wsp:val=&quot;007D3B16&quot;/&gt;&lt;wsp:rsid wsp:val=&quot;007D56DF&quot;/&gt;&lt;wsp:rsid wsp:val=&quot;007D7903&quot;/&gt;&lt;wsp:rsid wsp:val=&quot;007E29FB&quot;/&gt;&lt;wsp:rsid wsp:val=&quot;007E6954&quot;/&gt;&lt;wsp:rsid wsp:val=&quot;007F0B26&quot;/&gt;&lt;wsp:rsid wsp:val=&quot;007F4618&quot;/&gt;&lt;wsp:rsid wsp:val=&quot;008047DA&quot;/&gt;&lt;wsp:rsid wsp:val=&quot;00817729&quot;/&gt;&lt;wsp:rsid wsp:val=&quot;00827348&quot;/&gt;&lt;wsp:rsid wsp:val=&quot;00834F58&quot;/&gt;&lt;wsp:rsid wsp:val=&quot;00837AAA&quot;/&gt;&lt;wsp:rsid wsp:val=&quot;0084127C&quot;/&gt;&lt;wsp:rsid wsp:val=&quot;00845923&quot;/&gt;&lt;wsp:rsid wsp:val=&quot;0085013A&quot;/&gt;&lt;wsp:rsid wsp:val=&quot;00851C13&quot;/&gt;&lt;wsp:rsid wsp:val=&quot;00855110&quot;/&gt;&lt;wsp:rsid wsp:val=&quot;00864D77&quot;/&gt;&lt;wsp:rsid wsp:val=&quot;008658BB&quot;/&gt;&lt;wsp:rsid wsp:val=&quot;0086602C&quot;/&gt;&lt;wsp:rsid wsp:val=&quot;008728E1&quot;/&gt;&lt;wsp:rsid wsp:val=&quot;008730FF&quot;/&gt;&lt;wsp:rsid wsp:val=&quot;00876379&quot;/&gt;&lt;wsp:rsid wsp:val=&quot;00880914&quot;/&gt;&lt;wsp:rsid wsp:val=&quot;00886140&quot;/&gt;&lt;wsp:rsid wsp:val=&quot;008947F5&quot;/&gt;&lt;wsp:rsid wsp:val=&quot;008951F0&quot;/&gt;&lt;wsp:rsid wsp:val=&quot;0089677B&quot;/&gt;&lt;wsp:rsid wsp:val=&quot;008973D5&quot;/&gt;&lt;wsp:rsid wsp:val=&quot;0089771D&quot;/&gt;&lt;wsp:rsid wsp:val=&quot;008A42CA&quot;/&gt;&lt;wsp:rsid wsp:val=&quot;008B17CE&quot;/&gt;&lt;wsp:rsid wsp:val=&quot;008B45E6&quot;/&gt;&lt;wsp:rsid wsp:val=&quot;008B468E&quot;/&gt;&lt;wsp:rsid wsp:val=&quot;008B78D4&quot;/&gt;&lt;wsp:rsid wsp:val=&quot;008C1259&quot;/&gt;&lt;wsp:rsid wsp:val=&quot;008D3BF6&quot;/&gt;&lt;wsp:rsid wsp:val=&quot;008E31D0&quot;/&gt;&lt;wsp:rsid wsp:val=&quot;008E5BE6&quot;/&gt;&lt;wsp:rsid wsp:val=&quot;008F2C7A&quot;/&gt;&lt;wsp:rsid wsp:val=&quot;008F6203&quot;/&gt;&lt;wsp:rsid wsp:val=&quot;00900239&quot;/&gt;&lt;wsp:rsid wsp:val=&quot;009018DA&quot;/&gt;&lt;wsp:rsid wsp:val=&quot;00901E22&quot;/&gt;&lt;wsp:rsid wsp:val=&quot;00907733&quot;/&gt;&lt;wsp:rsid wsp:val=&quot;0091036F&quot;/&gt;&lt;wsp:rsid wsp:val=&quot;00915292&quot;/&gt;&lt;wsp:rsid wsp:val=&quot;00917A0C&quot;/&gt;&lt;wsp:rsid wsp:val=&quot;00921204&quot;/&gt;&lt;wsp:rsid wsp:val=&quot;0092264F&quot;/&gt;&lt;wsp:rsid wsp:val=&quot;00923AE8&quot;/&gt;&lt;wsp:rsid wsp:val=&quot;00927F62&quot;/&gt;&lt;wsp:rsid wsp:val=&quot;00931F41&quot;/&gt;&lt;wsp:rsid wsp:val=&quot;00940197&quot;/&gt;&lt;wsp:rsid wsp:val=&quot;009443B9&quot;/&gt;&lt;wsp:rsid wsp:val=&quot;00944465&quot;/&gt;&lt;wsp:rsid wsp:val=&quot;00946F10&quot;/&gt;&lt;wsp:rsid wsp:val=&quot;00953046&quot;/&gt;&lt;wsp:rsid wsp:val=&quot;00953545&quot;/&gt;&lt;wsp:rsid wsp:val=&quot;00956712&quot;/&gt;&lt;wsp:rsid wsp:val=&quot;00960A23&quot;/&gt;&lt;wsp:rsid wsp:val=&quot;00960A37&quot;/&gt;&lt;wsp:rsid wsp:val=&quot;00980A5A&quot;/&gt;&lt;wsp:rsid wsp:val=&quot;009873D2&quot;/&gt;&lt;wsp:rsid wsp:val=&quot;00991727&quot;/&gt;&lt;wsp:rsid wsp:val=&quot;00993448&quot;/&gt;&lt;wsp:rsid wsp:val=&quot;0099761B&quot;/&gt;&lt;wsp:rsid wsp:val=&quot;009A00F5&quot;/&gt;&lt;wsp:rsid wsp:val=&quot;009A03F3&quot;/&gt;&lt;wsp:rsid wsp:val=&quot;009A2DE7&quot;/&gt;&lt;wsp:rsid wsp:val=&quot;009A3DA0&quot;/&gt;&lt;wsp:rsid wsp:val=&quot;009B77B2&quot;/&gt;&lt;wsp:rsid wsp:val=&quot;009C0463&quot;/&gt;&lt;wsp:rsid wsp:val=&quot;009C4F27&quot;/&gt;&lt;wsp:rsid wsp:val=&quot;009C5215&quot;/&gt;&lt;wsp:rsid wsp:val=&quot;009C66F8&quot;/&gt;&lt;wsp:rsid wsp:val=&quot;009D12B9&quot;/&gt;&lt;wsp:rsid wsp:val=&quot;009D43B2&quot;/&gt;&lt;wsp:rsid wsp:val=&quot;009D74A7&quot;/&gt;&lt;wsp:rsid wsp:val=&quot;009E0A48&quot;/&gt;&lt;wsp:rsid wsp:val=&quot;009E193B&quot;/&gt;&lt;wsp:rsid wsp:val=&quot;009E530C&quot;/&gt;&lt;wsp:rsid wsp:val=&quot;009F003C&quot;/&gt;&lt;wsp:rsid wsp:val=&quot;009F0BD7&quot;/&gt;&lt;wsp:rsid wsp:val=&quot;00A04933&quot;/&gt;&lt;wsp:rsid wsp:val=&quot;00A05167&quot;/&gt;&lt;wsp:rsid wsp:val=&quot;00A05A8B&quot;/&gt;&lt;wsp:rsid wsp:val=&quot;00A05D1B&quot;/&gt;&lt;wsp:rsid wsp:val=&quot;00A15E24&quot;/&gt;&lt;wsp:rsid wsp:val=&quot;00A169A2&quot;/&gt;&lt;wsp:rsid wsp:val=&quot;00A17F70&quot;/&gt;&lt;wsp:rsid wsp:val=&quot;00A224C2&quot;/&gt;&lt;wsp:rsid wsp:val=&quot;00A25D01&quot;/&gt;&lt;wsp:rsid wsp:val=&quot;00A33479&quot;/&gt;&lt;wsp:rsid wsp:val=&quot;00A3719B&quot;/&gt;&lt;wsp:rsid wsp:val=&quot;00A41290&quot;/&gt;&lt;wsp:rsid wsp:val=&quot;00A43100&quot;/&gt;&lt;wsp:rsid wsp:val=&quot;00A44390&quot;/&gt;&lt;wsp:rsid wsp:val=&quot;00A44CD0&quot;/&gt;&lt;wsp:rsid wsp:val=&quot;00A462C4&quot;/&gt;&lt;wsp:rsid wsp:val=&quot;00A47562&quot;/&gt;&lt;wsp:rsid wsp:val=&quot;00A50D07&quot;/&gt;&lt;wsp:rsid wsp:val=&quot;00A571D3&quot;/&gt;&lt;wsp:rsid wsp:val=&quot;00A60944&quot;/&gt;&lt;wsp:rsid wsp:val=&quot;00A62D38&quot;/&gt;&lt;wsp:rsid wsp:val=&quot;00A801F2&quot;/&gt;&lt;wsp:rsid wsp:val=&quot;00A86C3D&quot;/&gt;&lt;wsp:rsid wsp:val=&quot;00A96E14&quot;/&gt;&lt;wsp:rsid wsp:val=&quot;00AA1D0C&quot;/&gt;&lt;wsp:rsid wsp:val=&quot;00AA2B9D&quot;/&gt;&lt;wsp:rsid wsp:val=&quot;00AA5513&quot;/&gt;&lt;wsp:rsid wsp:val=&quot;00AB0560&quot;/&gt;&lt;wsp:rsid wsp:val=&quot;00AC1B45&quot;/&gt;&lt;wsp:rsid wsp:val=&quot;00AD081E&quot;/&gt;&lt;wsp:rsid wsp:val=&quot;00AD1D4B&quot;/&gt;&lt;wsp:rsid wsp:val=&quot;00AD2ED8&quot;/&gt;&lt;wsp:rsid wsp:val=&quot;00AD642B&quot;/&gt;&lt;wsp:rsid wsp:val=&quot;00AD6CC3&quot;/&gt;&lt;wsp:rsid wsp:val=&quot;00AE417E&quot;/&gt;&lt;wsp:rsid wsp:val=&quot;00AE5DB2&quot;/&gt;&lt;wsp:rsid wsp:val=&quot;00AE6079&quot;/&gt;&lt;wsp:rsid wsp:val=&quot;00AE6CC2&quot;/&gt;&lt;wsp:rsid wsp:val=&quot;00AF510C&quot;/&gt;&lt;wsp:rsid wsp:val=&quot;00AF53AE&quot;/&gt;&lt;wsp:rsid wsp:val=&quot;00B014BB&quot;/&gt;&lt;wsp:rsid wsp:val=&quot;00B0188F&quot;/&gt;&lt;wsp:rsid wsp:val=&quot;00B021FF&quot;/&gt;&lt;wsp:rsid wsp:val=&quot;00B0587B&quot;/&gt;&lt;wsp:rsid wsp:val=&quot;00B06A47&quot;/&gt;&lt;wsp:rsid wsp:val=&quot;00B07BF2&quot;/&gt;&lt;wsp:rsid wsp:val=&quot;00B10C12&quot;/&gt;&lt;wsp:rsid wsp:val=&quot;00B12E7C&quot;/&gt;&lt;wsp:rsid wsp:val=&quot;00B201A0&quot;/&gt;&lt;wsp:rsid wsp:val=&quot;00B23D84&quot;/&gt;&lt;wsp:rsid wsp:val=&quot;00B27B6B&quot;/&gt;&lt;wsp:rsid wsp:val=&quot;00B32094&quot;/&gt;&lt;wsp:rsid wsp:val=&quot;00B340FB&quot;/&gt;&lt;wsp:rsid wsp:val=&quot;00B42708&quot;/&gt;&lt;wsp:rsid wsp:val=&quot;00B44DD7&quot;/&gt;&lt;wsp:rsid wsp:val=&quot;00B52C52&quot;/&gt;&lt;wsp:rsid wsp:val=&quot;00B532F2&quot;/&gt;&lt;wsp:rsid wsp:val=&quot;00B62566&quot;/&gt;&lt;wsp:rsid wsp:val=&quot;00B62B04&quot;/&gt;&lt;wsp:rsid wsp:val=&quot;00B66398&quot;/&gt;&lt;wsp:rsid wsp:val=&quot;00B67A56&quot;/&gt;&lt;wsp:rsid wsp:val=&quot;00B72175&quot;/&gt;&lt;wsp:rsid wsp:val=&quot;00B76197&quot;/&gt;&lt;wsp:rsid wsp:val=&quot;00B837AC&quot;/&gt;&lt;wsp:rsid wsp:val=&quot;00B9605B&quot;/&gt;&lt;wsp:rsid wsp:val=&quot;00BA0770&quot;/&gt;&lt;wsp:rsid wsp:val=&quot;00BA33D2&quot;/&gt;&lt;wsp:rsid wsp:val=&quot;00BA5CC7&quot;/&gt;&lt;wsp:rsid wsp:val=&quot;00BA6FD6&quot;/&gt;&lt;wsp:rsid wsp:val=&quot;00BA7FA3&quot;/&gt;&lt;wsp:rsid wsp:val=&quot;00BB0A78&quot;/&gt;&lt;wsp:rsid wsp:val=&quot;00BB1247&quot;/&gt;&lt;wsp:rsid wsp:val=&quot;00BB4122&quot;/&gt;&lt;wsp:rsid wsp:val=&quot;00BB43E6&quot;/&gt;&lt;wsp:rsid wsp:val=&quot;00BB4CED&quot;/&gt;&lt;wsp:rsid wsp:val=&quot;00BC30D9&quot;/&gt;&lt;wsp:rsid wsp:val=&quot;00BC5DC2&quot;/&gt;&lt;wsp:rsid wsp:val=&quot;00BC7503&quot;/&gt;&lt;wsp:rsid wsp:val=&quot;00BC794F&quot;/&gt;&lt;wsp:rsid wsp:val=&quot;00BC7ABE&quot;/&gt;&lt;wsp:rsid wsp:val=&quot;00BD13FF&quot;/&gt;&lt;wsp:rsid wsp:val=&quot;00BE061C&quot;/&gt;&lt;wsp:rsid wsp:val=&quot;00BE131E&quot;/&gt;&lt;wsp:rsid wsp:val=&quot;00BE2FA7&quot;/&gt;&lt;wsp:rsid wsp:val=&quot;00BE38D9&quot;/&gt;&lt;wsp:rsid wsp:val=&quot;00BE5DCE&quot;/&gt;&lt;wsp:rsid wsp:val=&quot;00BE71D2&quot;/&gt;&lt;wsp:rsid wsp:val=&quot;00BF042D&quot;/&gt;&lt;wsp:rsid wsp:val=&quot;00BF37EC&quot;/&gt;&lt;wsp:rsid wsp:val=&quot;00C01233&quot;/&gt;&lt;wsp:rsid wsp:val=&quot;00C022DF&quot;/&gt;&lt;wsp:rsid wsp:val=&quot;00C05986&quot;/&gt;&lt;wsp:rsid wsp:val=&quot;00C12ECB&quot;/&gt;&lt;wsp:rsid wsp:val=&quot;00C14D8B&quot;/&gt;&lt;wsp:rsid wsp:val=&quot;00C22807&quot;/&gt;&lt;wsp:rsid wsp:val=&quot;00C31C2B&quot;/&gt;&lt;wsp:rsid wsp:val=&quot;00C41A34&quot;/&gt;&lt;wsp:rsid wsp:val=&quot;00C44EDD&quot;/&gt;&lt;wsp:rsid wsp:val=&quot;00C46018&quot;/&gt;&lt;wsp:rsid wsp:val=&quot;00C521B4&quot;/&gt;&lt;wsp:rsid wsp:val=&quot;00C62AE7&quot;/&gt;&lt;wsp:rsid wsp:val=&quot;00C639D2&quot;/&gt;&lt;wsp:rsid wsp:val=&quot;00C6554D&quot;/&gt;&lt;wsp:rsid wsp:val=&quot;00C66230&quot;/&gt;&lt;wsp:rsid wsp:val=&quot;00C71A2A&quot;/&gt;&lt;wsp:rsid wsp:val=&quot;00C71F19&quot;/&gt;&lt;wsp:rsid wsp:val=&quot;00C733CC&quot;/&gt;&lt;wsp:rsid wsp:val=&quot;00C73BFB&quot;/&gt;&lt;wsp:rsid wsp:val=&quot;00C76295&quot;/&gt;&lt;wsp:rsid wsp:val=&quot;00C76FB1&quot;/&gt;&lt;wsp:rsid wsp:val=&quot;00C84274&quot;/&gt;&lt;wsp:rsid wsp:val=&quot;00C855FE&quot;/&gt;&lt;wsp:rsid wsp:val=&quot;00C8623C&quot;/&gt;&lt;wsp:rsid wsp:val=&quot;00C86912&quot;/&gt;&lt;wsp:rsid wsp:val=&quot;00C90FAC&quot;/&gt;&lt;wsp:rsid wsp:val=&quot;00C9413D&quot;/&gt;&lt;wsp:rsid wsp:val=&quot;00C96C9C&quot;/&gt;&lt;wsp:rsid wsp:val=&quot;00C979CE&quot;/&gt;&lt;wsp:rsid wsp:val=&quot;00CA0E1B&quot;/&gt;&lt;wsp:rsid wsp:val=&quot;00CA0E4B&quot;/&gt;&lt;wsp:rsid wsp:val=&quot;00CA44E9&quot;/&gt;&lt;wsp:rsid wsp:val=&quot;00CB05F7&quot;/&gt;&lt;wsp:rsid wsp:val=&quot;00CB3E7D&quot;/&gt;&lt;wsp:rsid wsp:val=&quot;00CB4763&quot;/&gt;&lt;wsp:rsid wsp:val=&quot;00CC07BE&quot;/&gt;&lt;wsp:rsid wsp:val=&quot;00CC16ED&quot;/&gt;&lt;wsp:rsid wsp:val=&quot;00CC1A76&quot;/&gt;&lt;wsp:rsid wsp:val=&quot;00CC43ED&quot;/&gt;&lt;wsp:rsid wsp:val=&quot;00CD03C9&quot;/&gt;&lt;wsp:rsid wsp:val=&quot;00CD7FAE&quot;/&gt;&lt;wsp:rsid wsp:val=&quot;00CE054E&quot;/&gt;&lt;wsp:rsid wsp:val=&quot;00CE05F5&quot;/&gt;&lt;wsp:rsid wsp:val=&quot;00CE4A27&quot;/&gt;&lt;wsp:rsid wsp:val=&quot;00CE6CC7&quot;/&gt;&lt;wsp:rsid wsp:val=&quot;00CE746E&quot;/&gt;&lt;wsp:rsid wsp:val=&quot;00D00B4D&quot;/&gt;&lt;wsp:rsid wsp:val=&quot;00D01ACB&quot;/&gt;&lt;wsp:rsid wsp:val=&quot;00D05ED4&quot;/&gt;&lt;wsp:rsid wsp:val=&quot;00D129B3&quot;/&gt;&lt;wsp:rsid wsp:val=&quot;00D15A09&quot;/&gt;&lt;wsp:rsid wsp:val=&quot;00D16B3E&quot;/&gt;&lt;wsp:rsid wsp:val=&quot;00D26928&quot;/&gt;&lt;wsp:rsid wsp:val=&quot;00D27C03&quot;/&gt;&lt;wsp:rsid wsp:val=&quot;00D31754&quot;/&gt;&lt;wsp:rsid wsp:val=&quot;00D317F1&quot;/&gt;&lt;wsp:rsid wsp:val=&quot;00D51CDD&quot;/&gt;&lt;wsp:rsid wsp:val=&quot;00D53C34&quot;/&gt;&lt;wsp:rsid wsp:val=&quot;00D54AF3&quot;/&gt;&lt;wsp:rsid wsp:val=&quot;00D623CD&quot;/&gt;&lt;wsp:rsid wsp:val=&quot;00D63709&quot;/&gt;&lt;wsp:rsid wsp:val=&quot;00D701AE&quot;/&gt;&lt;wsp:rsid wsp:val=&quot;00D71839&quot;/&gt;&lt;wsp:rsid wsp:val=&quot;00D72E76&quot;/&gt;&lt;wsp:rsid wsp:val=&quot;00D76338&quot;/&gt;&lt;wsp:rsid wsp:val=&quot;00D810B1&quot;/&gt;&lt;wsp:rsid wsp:val=&quot;00D8493B&quot;/&gt;&lt;wsp:rsid wsp:val=&quot;00D86B9D&quot;/&gt;&lt;wsp:rsid wsp:val=&quot;00D95D6C&quot;/&gt;&lt;wsp:rsid wsp:val=&quot;00D9613E&quot;/&gt;&lt;wsp:rsid wsp:val=&quot;00DA6587&quot;/&gt;&lt;wsp:rsid wsp:val=&quot;00DC695B&quot;/&gt;&lt;wsp:rsid wsp:val=&quot;00DC6A24&quot;/&gt;&lt;wsp:rsid wsp:val=&quot;00DC701A&quot;/&gt;&lt;wsp:rsid wsp:val=&quot;00DD064E&quot;/&gt;&lt;wsp:rsid wsp:val=&quot;00DD3055&quot;/&gt;&lt;wsp:rsid wsp:val=&quot;00DD5042&quot;/&gt;&lt;wsp:rsid wsp:val=&quot;00DF23AD&quot;/&gt;&lt;wsp:rsid wsp:val=&quot;00DF3C39&quot;/&gt;&lt;wsp:rsid wsp:val=&quot;00DF72A6&quot;/&gt;&lt;wsp:rsid wsp:val=&quot;00DF783B&quot;/&gt;&lt;wsp:rsid wsp:val=&quot;00E00494&quot;/&gt;&lt;wsp:rsid wsp:val=&quot;00E040A2&quot;/&gt;&lt;wsp:rsid wsp:val=&quot;00E04814&quot;/&gt;&lt;wsp:rsid wsp:val=&quot;00E05D82&quot;/&gt;&lt;wsp:rsid wsp:val=&quot;00E11465&quot;/&gt;&lt;wsp:rsid wsp:val=&quot;00E20C4A&quot;/&gt;&lt;wsp:rsid wsp:val=&quot;00E235BC&quot;/&gt;&lt;wsp:rsid wsp:val=&quot;00E27A2B&quot;/&gt;&lt;wsp:rsid wsp:val=&quot;00E5462D&quot;/&gt;&lt;wsp:rsid wsp:val=&quot;00E56D8F&quot;/&gt;&lt;wsp:rsid wsp:val=&quot;00E56F64&quot;/&gt;&lt;wsp:rsid wsp:val=&quot;00E604F2&quot;/&gt;&lt;wsp:rsid wsp:val=&quot;00E622C1&quot;/&gt;&lt;wsp:rsid wsp:val=&quot;00E65D11&quot;/&gt;&lt;wsp:rsid wsp:val=&quot;00E72229&quot;/&gt;&lt;wsp:rsid wsp:val=&quot;00E72F5F&quot;/&gt;&lt;wsp:rsid wsp:val=&quot;00E76815&quot;/&gt;&lt;wsp:rsid wsp:val=&quot;00E867B8&quot;/&gt;&lt;wsp:rsid wsp:val=&quot;00E90DD9&quot;/&gt;&lt;wsp:rsid wsp:val=&quot;00E95D21&quot;/&gt;&lt;wsp:rsid wsp:val=&quot;00EA2AFE&quot;/&gt;&lt;wsp:rsid wsp:val=&quot;00EA2C41&quot;/&gt;&lt;wsp:rsid wsp:val=&quot;00EA5492&quot;/&gt;&lt;wsp:rsid wsp:val=&quot;00EB2301&quot;/&gt;&lt;wsp:rsid wsp:val=&quot;00EB2623&quot;/&gt;&lt;wsp:rsid wsp:val=&quot;00EB65CC&quot;/&gt;&lt;wsp:rsid wsp:val=&quot;00EB66D7&quot;/&gt;&lt;wsp:rsid wsp:val=&quot;00EC2A5D&quot;/&gt;&lt;wsp:rsid wsp:val=&quot;00EC4D84&quot;/&gt;&lt;wsp:rsid wsp:val=&quot;00ED2434&quot;/&gt;&lt;wsp:rsid wsp:val=&quot;00ED414A&quot;/&gt;&lt;wsp:rsid wsp:val=&quot;00EE2942&quot;/&gt;&lt;wsp:rsid wsp:val=&quot;00EE7AFF&quot;/&gt;&lt;wsp:rsid wsp:val=&quot;00EF329D&quot;/&gt;&lt;wsp:rsid wsp:val=&quot;00EF568B&quot;/&gt;&lt;wsp:rsid wsp:val=&quot;00F048B0&quot;/&gt;&lt;wsp:rsid wsp:val=&quot;00F04F2F&quot;/&gt;&lt;wsp:rsid wsp:val=&quot;00F06B0A&quot;/&gt;&lt;wsp:rsid wsp:val=&quot;00F14794&quot;/&gt;&lt;wsp:rsid wsp:val=&quot;00F21CF9&quot;/&gt;&lt;wsp:rsid wsp:val=&quot;00F2294A&quot;/&gt;&lt;wsp:rsid wsp:val=&quot;00F3128E&quot;/&gt;&lt;wsp:rsid wsp:val=&quot;00F3616B&quot;/&gt;&lt;wsp:rsid wsp:val=&quot;00F37404&quot;/&gt;&lt;wsp:rsid wsp:val=&quot;00F4100F&quot;/&gt;&lt;wsp:rsid wsp:val=&quot;00F43177&quot;/&gt;&lt;wsp:rsid wsp:val=&quot;00F46872&quot;/&gt;&lt;wsp:rsid wsp:val=&quot;00F46EEB&quot;/&gt;&lt;wsp:rsid wsp:val=&quot;00F5015A&quot;/&gt;&lt;wsp:rsid wsp:val=&quot;00F53800&quot;/&gt;&lt;wsp:rsid wsp:val=&quot;00F61A77&quot;/&gt;&lt;wsp:rsid wsp:val=&quot;00F6707D&quot;/&gt;&lt;wsp:rsid wsp:val=&quot;00F67714&quot;/&gt;&lt;wsp:rsid wsp:val=&quot;00F67FC1&quot;/&gt;&lt;wsp:rsid wsp:val=&quot;00F716B2&quot;/&gt;&lt;wsp:rsid wsp:val=&quot;00F72E5E&quot;/&gt;&lt;wsp:rsid wsp:val=&quot;00F7395E&quot;/&gt;&lt;wsp:rsid wsp:val=&quot;00F73A48&quot;/&gt;&lt;wsp:rsid wsp:val=&quot;00F76A6C&quot;/&gt;&lt;wsp:rsid wsp:val=&quot;00F77FAE&quot;/&gt;&lt;wsp:rsid wsp:val=&quot;00F84AD1&quot;/&gt;&lt;wsp:rsid wsp:val=&quot;00F84B7F&quot;/&gt;&lt;wsp:rsid wsp:val=&quot;00F858C3&quot;/&gt;&lt;wsp:rsid wsp:val=&quot;00F93B1B&quot;/&gt;&lt;wsp:rsid wsp:val=&quot;00F96529&quot;/&gt;&lt;wsp:rsid wsp:val=&quot;00FA243A&quot;/&gt;&lt;wsp:rsid wsp:val=&quot;00FA4880&quot;/&gt;&lt;wsp:rsid wsp:val=&quot;00FC0EAD&quot;/&gt;&lt;wsp:rsid wsp:val=&quot;00FC261E&quot;/&gt;&lt;wsp:rsid wsp:val=&quot;00FC7D94&quot;/&gt;&lt;wsp:rsid wsp:val=&quot;00FD1F94&quot;/&gt;&lt;wsp:rsid wsp:val=&quot;00FD7BF3&quot;/&gt;&lt;wsp:rsid wsp:val=&quot;00FE5E8A&quot;/&gt;&lt;wsp:rsid wsp:val=&quot;00FF07C5&quot;/&gt;&lt;wsp:rsid wsp:val=&quot;00FF2C63&quot;/&gt;&lt;wsp:rsid wsp:val=&quot;00FF35F1&quot;/&gt;&lt;wsp:rsid wsp:val=&quot;00FF7E78&quot;/&gt;&lt;/wsp:rsids&gt;&lt;/w:docPr&gt;&lt;w:body&gt;&lt;wx:sect&gt;&lt;w:p wsp:rsidR=&quot;00000000&quot; wsp:rsidRDefault=&quot;003E4452&quot; wsp:rsidP=&quot;003E4452&quot;&gt;&lt;m:oMathPara&gt;&lt;m:oMath&gt;&lt;m:sSub&gt;&lt;m:sSubPr&gt;&lt;m:ctrlPr&gt;&lt;w:rPr&gt;&lt;w:rFonts w:ascii=&quot;Cambria Math&quot; w:h-ansi=&quot;Cambria Math&quot;/&gt;&lt;wx:font wx:val=&quot;Cambria Math&quot;/&gt;&lt;w:i-cs/&gt;&lt;w:sz w:val=&quot;20&quot;/&gt;&lt;w:vertAlign w:val=&quot;superscript&quot;/&gt;&lt;/w:rPr&gt;&lt;/m:ctrlPr&gt;&lt;/m:sSubPr&gt;&lt;m:e&gt;&lt;m:r&gt;&lt;m:rPr&gt;&lt;m:sty m:val=&quot;p&quot;/&gt;&lt;/m:rPr&gt;&lt;w:rPr&gt;&lt;w:rFonts w:ascii=&quot;Cambria Math&quot; w:h-ansi=&quot;Cambria Math&quot;/&gt;&lt;wx:font wx:val=&quot;Cambria Math&quot;/&gt;&lt;w:sz w:val=&quot;20&quot;/&gt;&lt;w:vertAlign w:val=&quot;superscript&quot;/&gt;&lt;/w:rPr&gt;&lt;m:t&gt;AOT40&lt;/m:t&gt;&lt;/m:r&gt;&lt;/m:e&gt;&lt;m:sub&gt;&lt;m:r&gt;&lt;m:rPr&gt;&lt;m:sty m:val=&quot;p&quot;/&gt;&lt;/m:rPr&gt;&lt;w:rPr&gt;&lt;w:rFonts w:ascii=&quot;Cambria Math&quot; w:h-ansi=&quot;Cambria Math&quot;/&gt;&lt;wx:font wx:val=&quot;Cambria Math&quot;/&gt;&lt;w:sz w:val=&quot;20&quot;/&gt;&lt;w:vertAlign w:val=&quot;superscript&quot;/&gt;&lt;/w:rPr&gt;&lt;m:t&gt;odhad&lt;/m:t&gt;&lt;/m:r&gt;&lt;/m:sub&gt;&lt;/m:sSub&gt;&lt;m:r&gt;&lt;m:rPr&gt;&lt;m:sty m:val=&quot;p&quot;/&gt;&lt;/m:rPr&gt;&lt;w:rPr&gt;&lt;w:rFonts w:ascii=&quot;Cambria Math&quot; w:h-ansi=&quot;Cambria Math&quot;/&gt;&lt;wx:font wx:val=&quot;Cambria Math&quot;/&gt;&lt;w:sz w:val=&quot;20&quot;/&gt;&lt;w:vertAlign w:val=&quot;superscript&quot;/&gt;&lt;/w:rPr&gt;&lt;m:t&gt;=&lt;/m:t&gt;&lt;/m:r&gt;&lt;m:sSub&gt;&lt;m:sSubPr&gt;&lt;m:ctrlPr&gt;&lt;w:rPr&gt;&lt;w:rFonts w:ascii=&quot;Cambria Math&quot; w:h-ansi=&quot;Cambria Math&quot;/&gt;&lt;wx:font wx:val=&quot;Cambria Math&quot;/&gt;&lt;w:i-cs/&gt;&lt;w:sz w:val=&quot;20&quot;/&gt;&lt;w:vertAlign w:val=&quot;superscript&quot;/&gt;&lt;/w:rPr&gt;&lt;/m:ctrlPr&gt;&lt;/m:sSubPr&gt;&lt;m:e&gt;&lt;m:r&gt;&lt;m:rPr&gt;&lt;m:sty m:val=&quot;p&quot;/&gt;&lt;/m:rPr&gt;&lt;w:rPr&gt;&lt;w:rFonts w:ascii=&quot;Cambria Math&quot; w:h-ansi=&quot;Cambria Math&quot;/&gt;&lt;wx:font wx:val=&quot;Cambria Math&quot;/&gt;&lt;w:sz w:val=&quot;20&quot;/&gt;&lt;w:vertAlign w:val=&quot;superscript&quot;/&gt;&lt;/w:rPr&gt;&lt;m:t&gt;AOT40&lt;/m:t&gt;&lt;/m:r&gt;&lt;/m:e&gt;&lt;m:sub&gt;&lt;m:r&gt;&lt;m:rPr&gt;&lt;m:sty m:val=&quot;p&quot;/&gt;&lt;/m:rPr&gt;&lt;w:rPr&gt;&lt;w:rFonts w:ascii=&quot;Cambria Math&quot; w:h-ansi=&quot;Cambria Math&quot;/&gt;&lt;wx:font wx:val=&quot;Cambria Math&quot;/&gt;&lt;w:sz w:val=&quot;20&quot;/&gt;&lt;w:vertAlign w:val=&quot;superscript&quot;/&gt;&lt;/w:rPr&gt;&lt;m:t&gt;meraný&lt;/m:t&gt;&lt;/m:r&gt;&lt;/m:sub&gt;&lt;/m:sSub&gt;&lt;m:r&gt;&lt;m:rPr&gt;&lt;m:sty m:val=&quot;p&quot;/&gt;&lt;/m:rPr&gt;&lt;w:rPr&gt;&lt;w:rFonts w:ascii=&quot;Cambria Math&quot; w:h-ansi=&quot;Cambria Math&quot;/&gt;&lt;wx:font wx:val=&quot;Cambria Math&quot;/&gt;&lt;w:sz w:val=&quot;20&quot;/&gt;&lt;w:vertAlign w:val=&quot;superscript&quot;/&gt;&lt;/w:rPr&gt;&lt;m:t&gt;×&lt;/m:t&gt;&lt;/m:r&gt;&lt;m:f&gt;&lt;m:fPr&gt;&lt;m:ctrlPr&gt;&lt;w:rPr&gt;&lt;w:rFonts w:ascii=&quot;Cambria Math&quot; w:h-ansi=&quot;Cambria Math&quot;/&gt;&lt;wx:font wx:val=&quot;Cambria Math&quot;/&gt;&lt;w:i-cs/&gt;&lt;w:sz w:val=&quot;20&quot;/&gt;&lt;w:vertAlign w:val=&quot;superscript&quot;/&gt;&lt;/w:rPr&gt;&lt;/m:ctrlPr&gt;&lt;/m:fPr&gt;&lt;m:num&gt;&lt;m:r&gt;&lt;m:rPr&gt;&lt;m:sty m:val=&quot;p&quot;/&gt;&lt;/m:rPr&gt;&lt;w:rPr&gt;&lt;w:rFonts w:ascii=&quot;Cambria Math&quot; w:h-ansi=&quot;Cambria Math&quot;/&gt;&lt;wx:font wx:val=&quot;Cambria Math&quot;/&gt;&lt;w:sz w:val=&quot;20&quot;/&gt;&lt;w:vertAlign w:val=&quot;superscript&quot;/&gt;&lt;/w:rPr&gt;&lt;m:t&gt;celkový možný počet hodín*)&lt;/m:t&gt;&lt;/m:r&gt;&lt;/m:num&gt;&lt;m:den&gt;&lt;m:r&gt;&lt;m:rPr&gt;&lt;m:sty m:val=&quot;p&quot;/&gt;&lt;/m:rPr&gt;&lt;w:rPr&gt;&lt;w:rFonts w:ascii=&quot;Cambria Math&quot; w:h-ansi=&quot;Cambria Math&quot;/&gt;&lt;wx:font wx:val=&quot;Cambria Math&quot;/&gt;&lt;w:sz w:val=&quot;20&quot;/&gt;&lt;w:vertAlign w:val=&quot;superscript&quot;/&gt;&lt;/w:rPr&gt;&lt;m:t&gt;počet nameraných hodinových hodnôt&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stroked="f">
                  <v:imagedata r:id="rId6" o:title="" chromakey="white"/>
                </v:shape>
              </w:pict>
            </w:r>
          </w:p>
          <w:p w:rsidR="004739C5" w:rsidRPr="005B394F" w:rsidP="005B394F">
            <w:pPr>
              <w:pStyle w:val="NormalWeb"/>
              <w:spacing w:before="0" w:beforeAutospacing="0" w:after="0" w:afterAutospacing="0"/>
              <w:rPr>
                <w:sz w:val="18"/>
                <w:szCs w:val="18"/>
              </w:rPr>
            </w:pPr>
          </w:p>
          <w:p w:rsidR="004739C5" w:rsidRPr="005B394F" w:rsidP="005B394F">
            <w:pPr>
              <w:pStyle w:val="NormalWeb"/>
              <w:spacing w:before="0" w:beforeAutospacing="0" w:after="0" w:afterAutospacing="0"/>
              <w:rPr>
                <w:sz w:val="18"/>
                <w:szCs w:val="18"/>
              </w:rPr>
            </w:pPr>
            <w:r w:rsidRPr="005B394F">
              <w:rPr>
                <w:sz w:val="18"/>
                <w:szCs w:val="18"/>
              </w:rPr>
              <w:t xml:space="preserve">*) Predstavuje počet hodín v rámci doby uvedenej v definícii AOT40, t. j. od 8.00 do 20.00 h SEČ každoročne od       </w:t>
            </w:r>
          </w:p>
          <w:p w:rsidR="004739C5" w:rsidRPr="005B394F" w:rsidP="005B394F">
            <w:pPr>
              <w:pStyle w:val="NormalWeb"/>
              <w:spacing w:before="0" w:beforeAutospacing="0" w:after="0" w:afterAutospacing="0"/>
              <w:rPr>
                <w:sz w:val="18"/>
                <w:szCs w:val="18"/>
              </w:rPr>
            </w:pPr>
            <w:r w:rsidRPr="005B394F">
              <w:rPr>
                <w:sz w:val="18"/>
                <w:szCs w:val="18"/>
              </w:rPr>
              <w:t xml:space="preserve">    1. mája do 31. júla na ochranu vegetácie a každoročne od 1. apríla do 30. septembra na ochranu lesov.</w:t>
            </w:r>
          </w:p>
          <w:p w:rsidR="004739C5" w:rsidRPr="004739C5" w:rsidP="004739C5">
            <w:pPr>
              <w:pStyle w:val="NormalWeb"/>
              <w:keepLines/>
              <w:spacing w:before="120" w:beforeAutospacing="0" w:after="120" w:afterAutospacing="0"/>
              <w:rPr>
                <w:sz w:val="20"/>
                <w:szCs w:val="20"/>
              </w:rPr>
            </w:pPr>
          </w:p>
          <w:p w:rsidR="004739C5" w:rsidRPr="004739C5" w:rsidP="004739C5">
            <w:pPr>
              <w:pStyle w:val="NormalWeb"/>
              <w:keepLines/>
              <w:spacing w:before="120" w:beforeAutospacing="0" w:after="120" w:afterAutospacing="0"/>
              <w:rPr>
                <w:sz w:val="20"/>
                <w:szCs w:val="20"/>
              </w:rPr>
            </w:pPr>
            <w:r w:rsidRPr="004739C5">
              <w:rPr>
                <w:sz w:val="20"/>
                <w:szCs w:val="20"/>
              </w:rPr>
              <w:t>C. Cieľové hodnoty pre ozón</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9"/>
              <w:gridCol w:w="2496"/>
              <w:gridCol w:w="3918"/>
            </w:tblGrid>
            <w:tr w:rsidTr="004739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0"/>
              </w:trPr>
              <w:tc>
                <w:tcPr>
                  <w:tcW w:w="1189"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Cieľ</w:t>
                  </w:r>
                </w:p>
              </w:tc>
              <w:tc>
                <w:tcPr>
                  <w:tcW w:w="2496"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Priemerované obdobie</w:t>
                  </w:r>
                </w:p>
              </w:tc>
              <w:tc>
                <w:tcPr>
                  <w:tcW w:w="3918"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Cieľová hodnota</w:t>
                  </w:r>
                </w:p>
              </w:tc>
            </w:tr>
            <w:tr w:rsidTr="004739C5">
              <w:tblPrEx>
                <w:tblW w:w="0" w:type="auto"/>
                <w:tblLayout w:type="fixed"/>
                <w:tblLook w:val="01E0"/>
              </w:tblPrEx>
              <w:trPr>
                <w:trHeight w:val="260"/>
              </w:trPr>
              <w:tc>
                <w:tcPr>
                  <w:tcW w:w="1189"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Ochrana zdravia ľudí</w:t>
                  </w:r>
                </w:p>
              </w:tc>
              <w:tc>
                <w:tcPr>
                  <w:tcW w:w="2496"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najväčšia denná 8-hodinová stredná hodnota</w:t>
                  </w:r>
                  <w:r w:rsidRPr="004739C5">
                    <w:rPr>
                      <w:sz w:val="20"/>
                      <w:szCs w:val="20"/>
                    </w:rPr>
                    <w:t>1)</w:t>
                  </w:r>
                </w:p>
              </w:tc>
              <w:tc>
                <w:tcPr>
                  <w:tcW w:w="3918"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120 µg/m</w:t>
                  </w:r>
                  <w:r w:rsidRPr="004739C5">
                    <w:rPr>
                      <w:sz w:val="20"/>
                      <w:szCs w:val="20"/>
                    </w:rPr>
                    <w:t>3</w:t>
                  </w:r>
                  <w:r w:rsidRPr="007B57C0">
                    <w:rPr>
                      <w:sz w:val="20"/>
                      <w:szCs w:val="20"/>
                    </w:rPr>
                    <w:t xml:space="preserve"> sa neprekročí viac ako 25 dní za kalendárny rok v priemere troch rokov</w:t>
                  </w:r>
                  <w:r w:rsidRPr="004739C5">
                    <w:rPr>
                      <w:sz w:val="20"/>
                      <w:szCs w:val="20"/>
                    </w:rPr>
                    <w:t>2)</w:t>
                  </w:r>
                </w:p>
              </w:tc>
            </w:tr>
            <w:tr w:rsidTr="004739C5">
              <w:tblPrEx>
                <w:tblW w:w="0" w:type="auto"/>
                <w:tblLayout w:type="fixed"/>
                <w:tblLook w:val="01E0"/>
              </w:tblPrEx>
              <w:trPr>
                <w:trHeight w:val="260"/>
              </w:trPr>
              <w:tc>
                <w:tcPr>
                  <w:tcW w:w="1189"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Ochrana vegetácie</w:t>
                  </w:r>
                </w:p>
              </w:tc>
              <w:tc>
                <w:tcPr>
                  <w:tcW w:w="2496" w:type="dxa"/>
                  <w:vAlign w:val="center"/>
                </w:tcPr>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od mája do júla</w:t>
                  </w:r>
                </w:p>
              </w:tc>
              <w:tc>
                <w:tcPr>
                  <w:tcW w:w="3918" w:type="dxa"/>
                  <w:vAlign w:val="center"/>
                </w:tcPr>
                <w:p w:rsidR="004739C5" w:rsidRPr="007B57C0" w:rsidP="004739C5">
                  <w:pPr>
                    <w:pStyle w:val="NormalWeb"/>
                    <w:keepLines/>
                    <w:spacing w:before="0" w:beforeAutospacing="0" w:after="0" w:afterAutospacing="0"/>
                    <w:ind w:right="-108"/>
                    <w:contextualSpacing/>
                    <w:rPr>
                      <w:sz w:val="20"/>
                      <w:szCs w:val="20"/>
                    </w:rPr>
                  </w:pPr>
                  <w:r w:rsidRPr="007B57C0">
                    <w:rPr>
                      <w:sz w:val="20"/>
                      <w:szCs w:val="20"/>
                    </w:rPr>
                    <w:t xml:space="preserve">AOT40 vypočítaný z 1-hodinových hodnôt </w:t>
                  </w:r>
                </w:p>
                <w:p w:rsidR="004739C5" w:rsidRPr="004739C5" w:rsidP="004739C5">
                  <w:pPr>
                    <w:pStyle w:val="NormalWeb"/>
                    <w:keepLines/>
                    <w:spacing w:before="0" w:beforeAutospacing="0" w:after="0" w:afterAutospacing="0"/>
                    <w:ind w:right="-108"/>
                    <w:contextualSpacing/>
                    <w:rPr>
                      <w:sz w:val="20"/>
                      <w:szCs w:val="20"/>
                    </w:rPr>
                  </w:pPr>
                  <w:r w:rsidRPr="007B57C0">
                    <w:rPr>
                      <w:sz w:val="20"/>
                      <w:szCs w:val="20"/>
                    </w:rPr>
                    <w:t>18000 (µg/m</w:t>
                  </w:r>
                  <w:r w:rsidRPr="004739C5">
                    <w:rPr>
                      <w:sz w:val="20"/>
                      <w:szCs w:val="20"/>
                    </w:rPr>
                    <w:t>3</w:t>
                  </w:r>
                  <w:r w:rsidRPr="007B57C0">
                    <w:rPr>
                      <w:sz w:val="20"/>
                      <w:szCs w:val="20"/>
                    </w:rPr>
                    <w:t>) × h v priemere piatich rokov</w:t>
                  </w:r>
                  <w:r w:rsidRPr="004739C5">
                    <w:rPr>
                      <w:sz w:val="20"/>
                      <w:szCs w:val="20"/>
                    </w:rPr>
                    <w:t>2)</w:t>
                  </w:r>
                </w:p>
              </w:tc>
            </w:tr>
          </w:tbl>
          <w:p w:rsidR="004739C5" w:rsidRPr="005B394F" w:rsidP="005B394F">
            <w:pPr>
              <w:pStyle w:val="NormalWeb"/>
              <w:spacing w:before="0" w:beforeAutospacing="0" w:after="0" w:afterAutospacing="0"/>
              <w:rPr>
                <w:sz w:val="18"/>
                <w:szCs w:val="18"/>
              </w:rPr>
            </w:pPr>
            <w:r w:rsidRPr="005B394F">
              <w:rPr>
                <w:sz w:val="18"/>
                <w:szCs w:val="18"/>
              </w:rPr>
              <w:t>Poznámky:</w:t>
            </w:r>
          </w:p>
          <w:p w:rsidR="00D05283" w:rsidRPr="005B394F" w:rsidP="005B394F">
            <w:pPr>
              <w:pStyle w:val="NormalWeb"/>
              <w:spacing w:before="0" w:beforeAutospacing="0" w:after="0" w:afterAutospacing="0"/>
              <w:rPr>
                <w:sz w:val="18"/>
                <w:szCs w:val="18"/>
              </w:rPr>
            </w:pPr>
          </w:p>
          <w:p w:rsidR="004739C5" w:rsidRPr="005B394F" w:rsidP="005B394F">
            <w:pPr>
              <w:pStyle w:val="NormalWeb"/>
              <w:spacing w:before="0" w:beforeAutospacing="0" w:after="0" w:afterAutospacing="0"/>
              <w:rPr>
                <w:sz w:val="18"/>
                <w:szCs w:val="18"/>
              </w:rPr>
            </w:pPr>
            <w:r w:rsidRPr="005B394F">
              <w:rPr>
                <w:sz w:val="18"/>
                <w:szCs w:val="18"/>
                <w:vertAlign w:val="superscript"/>
              </w:rPr>
              <w:t>1</w:t>
            </w:r>
            <w:r w:rsidRPr="005B394F">
              <w:rPr>
                <w:sz w:val="18"/>
                <w:szCs w:val="18"/>
              </w:rPr>
              <w:t>) Najväčšia denná 8-hodinová stredná hodnota koncentrácie sa vyberie preskúmaním 8-hodinových plávajúcich priemerov vypočítaných z hodinových údajov a aktualizovaných každú hodinu. Každý takto vypočítaný 8- hodinový priemer sa priradí ku dňu, v ktorom končí, t. j. prvým výpočtovým obdobím pre ktorýkoľvek deň je obdobie od 17.00 hod. predchádzajúceho dňa do 1.00 hod. daného dňa; posledným výpočtovým obdobím pre ktorýkoľvek jeden deň je obdobie od 16.00 hod. do konca daného dňa.</w:t>
            </w:r>
          </w:p>
          <w:p w:rsidR="00D05283" w:rsidRPr="005B394F" w:rsidP="005B394F">
            <w:pPr>
              <w:pStyle w:val="NormalWeb"/>
              <w:spacing w:before="0" w:beforeAutospacing="0" w:after="0" w:afterAutospacing="0"/>
              <w:rPr>
                <w:sz w:val="18"/>
                <w:szCs w:val="18"/>
              </w:rPr>
            </w:pPr>
          </w:p>
          <w:p w:rsidR="00D05283" w:rsidRPr="005B394F" w:rsidP="005B394F">
            <w:pPr>
              <w:pStyle w:val="NormalWeb"/>
              <w:spacing w:before="0" w:beforeAutospacing="0" w:after="0" w:afterAutospacing="0"/>
              <w:rPr>
                <w:sz w:val="18"/>
                <w:szCs w:val="18"/>
              </w:rPr>
            </w:pPr>
          </w:p>
          <w:p w:rsidR="004739C5" w:rsidRPr="005B394F" w:rsidP="005B394F">
            <w:pPr>
              <w:pStyle w:val="NormalWeb"/>
              <w:spacing w:before="0" w:beforeAutospacing="0" w:after="0" w:afterAutospacing="0"/>
              <w:rPr>
                <w:sz w:val="18"/>
                <w:szCs w:val="18"/>
              </w:rPr>
            </w:pPr>
            <w:r w:rsidRPr="005B394F">
              <w:rPr>
                <w:sz w:val="18"/>
                <w:szCs w:val="18"/>
                <w:vertAlign w:val="superscript"/>
              </w:rPr>
              <w:t>2</w:t>
            </w:r>
            <w:r w:rsidRPr="005B394F">
              <w:rPr>
                <w:sz w:val="18"/>
                <w:szCs w:val="18"/>
              </w:rPr>
              <w:t>) Ak nie je možné určiť trojročné alebo päťročné priemery na základe úplných a po sebe nasledujúcich súborov ročných údajov, najmenšie ročné údaje vyžadované na kontrolu dodržiavania cieľových hodnôt sú tieto pre cieľovú hodnotu na ochranu:</w:t>
            </w:r>
          </w:p>
          <w:p w:rsidR="004739C5" w:rsidRPr="005B394F" w:rsidP="005B394F">
            <w:pPr>
              <w:pStyle w:val="NormalWeb"/>
              <w:spacing w:before="0" w:beforeAutospacing="0" w:after="0" w:afterAutospacing="0"/>
              <w:rPr>
                <w:sz w:val="18"/>
                <w:szCs w:val="18"/>
              </w:rPr>
            </w:pPr>
            <w:r w:rsidRPr="005B394F">
              <w:rPr>
                <w:sz w:val="18"/>
                <w:szCs w:val="18"/>
              </w:rPr>
              <w:t>-  zdravia ľudí: platné údaje za jeden rok,</w:t>
            </w:r>
          </w:p>
          <w:p w:rsidR="004739C5" w:rsidRPr="005B394F" w:rsidP="005B394F">
            <w:pPr>
              <w:pStyle w:val="NormalWeb"/>
              <w:spacing w:before="0" w:beforeAutospacing="0" w:after="0" w:afterAutospacing="0"/>
              <w:rPr>
                <w:sz w:val="18"/>
                <w:szCs w:val="18"/>
              </w:rPr>
            </w:pPr>
            <w:r w:rsidRPr="005B394F">
              <w:rPr>
                <w:sz w:val="18"/>
                <w:szCs w:val="18"/>
              </w:rPr>
              <w:t>-  vegetácie: platné údaje za tri roky.</w:t>
            </w:r>
          </w:p>
          <w:p w:rsidR="004739C5" w:rsidRPr="004739C5" w:rsidP="004739C5">
            <w:pPr>
              <w:pStyle w:val="NormalWeb"/>
              <w:keepLines/>
              <w:spacing w:before="120" w:beforeAutospacing="0" w:after="120" w:afterAutospacing="0"/>
              <w:rPr>
                <w:sz w:val="20"/>
                <w:szCs w:val="20"/>
              </w:rPr>
            </w:pPr>
          </w:p>
          <w:p w:rsidR="004739C5" w:rsidRPr="004739C5" w:rsidP="004739C5">
            <w:pPr>
              <w:pStyle w:val="NormalWeb"/>
              <w:keepLines/>
              <w:spacing w:before="120" w:beforeAutospacing="0" w:after="120" w:afterAutospacing="0"/>
              <w:rPr>
                <w:sz w:val="20"/>
                <w:szCs w:val="20"/>
              </w:rPr>
            </w:pPr>
            <w:r w:rsidRPr="004739C5">
              <w:rPr>
                <w:sz w:val="20"/>
                <w:szCs w:val="20"/>
              </w:rPr>
              <w:t>D. Dlhodobé ciele pre ozón</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7"/>
              <w:gridCol w:w="3138"/>
              <w:gridCol w:w="3128"/>
            </w:tblGrid>
            <w:tr w:rsidTr="004739C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2"/>
              </w:trPr>
              <w:tc>
                <w:tcPr>
                  <w:tcW w:w="1207"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Cieľ</w:t>
                  </w:r>
                </w:p>
              </w:tc>
              <w:tc>
                <w:tcPr>
                  <w:tcW w:w="3138"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Priemerované obdobie</w:t>
                  </w:r>
                </w:p>
              </w:tc>
              <w:tc>
                <w:tcPr>
                  <w:tcW w:w="3128"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Dlhodobý cieľ</w:t>
                  </w:r>
                  <w:r w:rsidRPr="004739C5">
                    <w:rPr>
                      <w:sz w:val="20"/>
                      <w:szCs w:val="20"/>
                    </w:rPr>
                    <w:t>1)</w:t>
                  </w:r>
                </w:p>
              </w:tc>
            </w:tr>
            <w:tr w:rsidTr="004739C5">
              <w:tblPrEx>
                <w:tblW w:w="0" w:type="auto"/>
                <w:tblInd w:w="108" w:type="dxa"/>
                <w:tblLayout w:type="fixed"/>
                <w:tblLook w:val="01E0"/>
              </w:tblPrEx>
              <w:trPr>
                <w:trHeight w:val="381"/>
              </w:trPr>
              <w:tc>
                <w:tcPr>
                  <w:tcW w:w="1207"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Ochrana zdravia ľudí</w:t>
                  </w:r>
                </w:p>
              </w:tc>
              <w:tc>
                <w:tcPr>
                  <w:tcW w:w="3138"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 xml:space="preserve">najväčšia denná 8-hodinová stredná hodnota v kalendárnom roku </w:t>
                  </w:r>
                </w:p>
              </w:tc>
              <w:tc>
                <w:tcPr>
                  <w:tcW w:w="3128"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120 µg/m</w:t>
                  </w:r>
                  <w:r w:rsidRPr="00E46DD8">
                    <w:rPr>
                      <w:sz w:val="20"/>
                      <w:szCs w:val="20"/>
                      <w:vertAlign w:val="superscript"/>
                    </w:rPr>
                    <w:t>3</w:t>
                  </w:r>
                </w:p>
              </w:tc>
            </w:tr>
            <w:tr w:rsidTr="004739C5">
              <w:tblPrEx>
                <w:tblW w:w="0" w:type="auto"/>
                <w:tblInd w:w="108" w:type="dxa"/>
                <w:tblLayout w:type="fixed"/>
                <w:tblLook w:val="01E0"/>
              </w:tblPrEx>
              <w:trPr>
                <w:trHeight w:val="381"/>
              </w:trPr>
              <w:tc>
                <w:tcPr>
                  <w:tcW w:w="1207"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Ochrana vegetácie</w:t>
                  </w:r>
                </w:p>
              </w:tc>
              <w:tc>
                <w:tcPr>
                  <w:tcW w:w="3138"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 xml:space="preserve">od mája do júla </w:t>
                  </w:r>
                </w:p>
              </w:tc>
              <w:tc>
                <w:tcPr>
                  <w:tcW w:w="3128" w:type="dxa"/>
                  <w:vAlign w:val="center"/>
                </w:tcPr>
                <w:p w:rsidR="004739C5" w:rsidRPr="004739C5" w:rsidP="004739C5">
                  <w:pPr>
                    <w:pStyle w:val="NormalWeb"/>
                    <w:keepLines/>
                    <w:spacing w:before="0" w:beforeAutospacing="0" w:after="0" w:afterAutospacing="0"/>
                    <w:contextualSpacing/>
                    <w:rPr>
                      <w:sz w:val="20"/>
                      <w:szCs w:val="20"/>
                    </w:rPr>
                  </w:pPr>
                  <w:r w:rsidRPr="007B57C0">
                    <w:rPr>
                      <w:sz w:val="20"/>
                      <w:szCs w:val="20"/>
                    </w:rPr>
                    <w:t>AOT40 vypočítaný z 1-hodinových hodnôt 6000 (µg/m</w:t>
                  </w:r>
                  <w:r w:rsidRPr="00E46DD8">
                    <w:rPr>
                      <w:sz w:val="20"/>
                      <w:szCs w:val="20"/>
                      <w:vertAlign w:val="superscript"/>
                    </w:rPr>
                    <w:t>3</w:t>
                  </w:r>
                  <w:r w:rsidRPr="007B57C0">
                    <w:rPr>
                      <w:sz w:val="20"/>
                      <w:szCs w:val="20"/>
                    </w:rPr>
                    <w:t>) × h</w:t>
                  </w:r>
                </w:p>
              </w:tc>
            </w:tr>
          </w:tbl>
          <w:p w:rsidR="004739C5" w:rsidRPr="004739C5" w:rsidP="004739C5">
            <w:pPr>
              <w:pStyle w:val="NormalWeb"/>
              <w:keepLines/>
              <w:spacing w:before="0" w:beforeAutospacing="0" w:after="0" w:afterAutospacing="0"/>
              <w:contextualSpacing/>
              <w:rPr>
                <w:sz w:val="20"/>
                <w:szCs w:val="20"/>
              </w:rPr>
            </w:pPr>
            <w:r w:rsidRPr="00D05283">
              <w:rPr>
                <w:sz w:val="20"/>
                <w:szCs w:val="20"/>
                <w:vertAlign w:val="superscript"/>
              </w:rPr>
              <w:t>1</w:t>
            </w:r>
            <w:r w:rsidRPr="005B394F">
              <w:rPr>
                <w:sz w:val="18"/>
                <w:szCs w:val="18"/>
              </w:rPr>
              <w:t>) Dátum, ku ktorému by sa mali dosiahnuť dlhodobé ciele nie je určený.</w:t>
            </w:r>
          </w:p>
          <w:p w:rsidR="00CB3E7D" w:rsidRPr="005A3D8D" w:rsidP="004739C5">
            <w:pPr>
              <w:pStyle w:val="Textpsmene"/>
              <w:numPr>
                <w:ilvl w:val="0"/>
                <w:numId w:val="0"/>
              </w:numPr>
              <w:rPr>
                <w:sz w:val="20"/>
                <w:lang w:val="sk-SK"/>
              </w:rPr>
            </w:pPr>
            <w:r w:rsidRPr="007B57C0" w:rsidR="004739C5">
              <w:rPr>
                <w:sz w:val="20"/>
              </w:rPr>
              <w:br w:type="page"/>
            </w:r>
            <w:r w:rsidRPr="00C66057" w:rsidR="00BA6FD6">
              <w:rPr>
                <w:color w:val="000000"/>
                <w:sz w:val="20"/>
              </w:rPr>
              <w:br w:type="page"/>
            </w: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8</w:t>
            </w:r>
          </w:p>
        </w:tc>
        <w:tc>
          <w:tcPr>
            <w:tcW w:w="4074" w:type="dxa"/>
            <w:tcBorders>
              <w:bottom w:val="single" w:sz="4" w:space="0" w:color="auto"/>
            </w:tcBorders>
          </w:tcPr>
          <w:p w:rsidR="00CB3E7D" w:rsidRPr="00F3128E" w:rsidP="00CB3E7D">
            <w:pPr>
              <w:pStyle w:val="NormalWeb"/>
              <w:rPr>
                <w:sz w:val="20"/>
                <w:szCs w:val="20"/>
              </w:rPr>
            </w:pPr>
            <w:r w:rsidRPr="00390FC1">
              <w:rPr>
                <w:sz w:val="20"/>
                <w:szCs w:val="20"/>
              </w:rPr>
              <w:t>Kritériá klasifikácie a umiestňovania vzorkovacích miest na hodnotenie koncentrá</w:t>
            </w:r>
            <w:r w:rsidRPr="00F3128E">
              <w:rPr>
                <w:sz w:val="20"/>
                <w:szCs w:val="20"/>
              </w:rPr>
              <w:t>cií ozónu</w:t>
            </w:r>
          </w:p>
          <w:p w:rsidR="00CB3E7D" w:rsidRPr="00F3128E" w:rsidP="00CB3E7D">
            <w:pPr>
              <w:pStyle w:val="NormalWeb"/>
              <w:rPr>
                <w:sz w:val="20"/>
                <w:szCs w:val="20"/>
              </w:rPr>
            </w:pPr>
            <w:r w:rsidRPr="00F3128E">
              <w:rPr>
                <w:sz w:val="20"/>
                <w:szCs w:val="20"/>
              </w:rPr>
              <w:t>Na stále merania sa vzťahuje nasledovné:</w:t>
            </w:r>
          </w:p>
          <w:p w:rsidR="00CB3E7D" w:rsidRPr="00F3128E" w:rsidP="00CB3E7D">
            <w:pPr>
              <w:pStyle w:val="NormalWeb"/>
              <w:rPr>
                <w:sz w:val="20"/>
                <w:szCs w:val="20"/>
              </w:rPr>
            </w:pPr>
            <w:r w:rsidRPr="00F3128E">
              <w:rPr>
                <w:sz w:val="20"/>
                <w:szCs w:val="20"/>
              </w:rPr>
              <w:t>A. Umiestnenie na makroúrovni</w:t>
            </w:r>
          </w:p>
          <w:p w:rsidR="00CB3E7D" w:rsidRPr="00F3128E" w:rsidP="00CB3E7D">
            <w:pPr>
              <w:pStyle w:val="NormalWeb"/>
              <w:rPr>
                <w:sz w:val="20"/>
                <w:szCs w:val="20"/>
              </w:rPr>
            </w:pPr>
            <w:r w:rsidRPr="00F3128E">
              <w:rPr>
                <w:sz w:val="20"/>
                <w:szCs w:val="20"/>
              </w:rPr>
              <w:t>Typ stanice | Ciele merania | Reprezentatívnosť [1] | Kritériá umiestnenia na makroúrovni |</w:t>
            </w:r>
          </w:p>
          <w:p w:rsidR="00CB3E7D" w:rsidRPr="00F3128E" w:rsidP="00CB3E7D">
            <w:pPr>
              <w:pStyle w:val="NormalWeb"/>
              <w:rPr>
                <w:sz w:val="20"/>
                <w:szCs w:val="20"/>
              </w:rPr>
            </w:pPr>
            <w:r w:rsidRPr="00F3128E">
              <w:rPr>
                <w:sz w:val="20"/>
                <w:szCs w:val="20"/>
              </w:rPr>
              <w:t>Mestská | Ochrana zdravia ľudí: posúdiť expozíciu mestského obyvateľstva ozónu, t. j. v miestach, kde je hustota obyvateľstva a koncentrácia ozónu relatívne vysoká a reprezentuje expozíciu bežného obyvateľstva | Niekoľko km</w:t>
            </w:r>
            <w:r w:rsidRPr="00E46DD8">
              <w:rPr>
                <w:sz w:val="20"/>
                <w:szCs w:val="20"/>
                <w:vertAlign w:val="superscript"/>
              </w:rPr>
              <w:t xml:space="preserve">2 </w:t>
            </w:r>
            <w:r w:rsidRPr="00F3128E">
              <w:rPr>
                <w:sz w:val="20"/>
                <w:szCs w:val="20"/>
              </w:rPr>
              <w:t>| Mimo vplyvu miestnych emisií, napr. z dopravy, čerpacích staníc atď.; odvetrané miesta, kde je možné merať dobre zmiešané úrovne; Miesta, ako sú obytné a obchodné oblasti miest, parky (nie v bezprostrednej blízkosti stromov), hlavné ulice a námestia s veľmi nízkou alebo žiadnou premávkou, voľné priestranstvá využívané na vzdelávacie, športové a rekreačné účely |</w:t>
            </w:r>
          </w:p>
          <w:p w:rsidR="00CB3E7D" w:rsidRPr="00F3128E" w:rsidP="00CB3E7D">
            <w:pPr>
              <w:pStyle w:val="NormalWeb"/>
              <w:rPr>
                <w:sz w:val="20"/>
                <w:szCs w:val="20"/>
              </w:rPr>
            </w:pPr>
            <w:r w:rsidRPr="00F3128E">
              <w:rPr>
                <w:sz w:val="20"/>
                <w:szCs w:val="20"/>
              </w:rPr>
              <w:t>Predmestská | Ochrana zdravia ľudí a vegetácie: posúdiť expozíciu obyvateľstva a vegetácie v predmestiach aglomerácií, kde sa vyskytujú najvyššie úrovne ozónu, ktorým môže byť obyvateľstvo a vegetácia priamo alebo nepriamo vystavené | Niekoľko desiatok km</w:t>
            </w:r>
            <w:r w:rsidRPr="00E46DD8">
              <w:rPr>
                <w:sz w:val="20"/>
                <w:szCs w:val="20"/>
                <w:vertAlign w:val="superscript"/>
              </w:rPr>
              <w:t>2</w:t>
            </w:r>
            <w:r w:rsidRPr="00F3128E">
              <w:rPr>
                <w:sz w:val="20"/>
                <w:szCs w:val="20"/>
              </w:rPr>
              <w:t xml:space="preserve"> | V určitej vzdialenosti od oblasti s maximálnymi emisiami, v smere vetra vzhľadom na prevládajúci smer vetra/smer za podmienok, ktoré sú priaznivé pre tvorbu ozónu; v okrajových oblastiach aglomerácií, kde sú obyvateľstvo, citlivé plodiny alebo prírodné ekosystémy vystavené vysokým úrovniam ozónu; prípadne v niekoľkých predmestských staniciach, aj proti smeru vetra od oblasti s maximálnymi emisiami s cieľom určiť regionálne pozaďové úrovne ozónu |</w:t>
            </w:r>
          </w:p>
          <w:p w:rsidR="00CB3E7D" w:rsidRPr="00F3128E" w:rsidP="00CB3E7D">
            <w:pPr>
              <w:pStyle w:val="NormalWeb"/>
              <w:rPr>
                <w:sz w:val="20"/>
                <w:szCs w:val="20"/>
              </w:rPr>
            </w:pPr>
            <w:r w:rsidRPr="00F3128E">
              <w:rPr>
                <w:sz w:val="20"/>
                <w:szCs w:val="20"/>
              </w:rPr>
              <w:t>Vidiecka | Ochrana zdravia ľudí a vegetácie: posúdiť expozíciu obyvateľstva, plodín a prírodných ekosystémov koncentráciám ozónu na subregionálnej úrovni | Subregionálne úrovne (niekoľko stoviek km</w:t>
            </w:r>
            <w:r w:rsidRPr="00E46DD8">
              <w:rPr>
                <w:sz w:val="20"/>
                <w:szCs w:val="20"/>
                <w:vertAlign w:val="superscript"/>
              </w:rPr>
              <w:t>2</w:t>
            </w:r>
            <w:r w:rsidRPr="00F3128E">
              <w:rPr>
                <w:sz w:val="20"/>
                <w:szCs w:val="20"/>
              </w:rPr>
              <w:t>) | Stanice môžu byť umiestnené v malých osadách a/alebo oblastiach s prírodnými ekosystémami, lesmi alebo plodinami; reprezentatívna vzorka ozónu mimo dosahu priamych miestnych emisií, ako sú priemyselné zariadenia a cesty; na voľných priestranstvách, nie však na vrcholoch vyšších pohorí |</w:t>
            </w:r>
          </w:p>
          <w:p w:rsidR="00CB3E7D" w:rsidRPr="00F3128E" w:rsidP="00CB3E7D">
            <w:pPr>
              <w:pStyle w:val="NormalWeb"/>
              <w:rPr>
                <w:sz w:val="20"/>
                <w:szCs w:val="20"/>
              </w:rPr>
            </w:pPr>
            <w:r w:rsidRPr="00F3128E">
              <w:rPr>
                <w:sz w:val="20"/>
                <w:szCs w:val="20"/>
              </w:rPr>
              <w:t>Vidiecka pozaďová | Ochrana vegetácie a zdravia ľudí: posúdiť expozíciu plodín a prírodných ekosystémov koncentráciám ozónu na regionálnej úrovni, ako aj expozíciu obyvateľstva | Regionálne/celoštátne/kontinentálne úrovne (od 1000 do 10000 km</w:t>
            </w:r>
            <w:r w:rsidRPr="00E46DD8">
              <w:rPr>
                <w:sz w:val="20"/>
                <w:szCs w:val="20"/>
                <w:vertAlign w:val="superscript"/>
              </w:rPr>
              <w:t>2</w:t>
            </w:r>
            <w:r w:rsidRPr="00F3128E">
              <w:rPr>
                <w:sz w:val="20"/>
                <w:szCs w:val="20"/>
              </w:rPr>
              <w:t xml:space="preserve">) | Stanice umiestnené v oblastiach s nižšou hustotou obyvateľstva, napr. s prírodnými ekosystémami, lesmi, vo vzdialenosti aspoň </w:t>
            </w:r>
            <w:smartTag w:uri="urn:schemas-microsoft-com:office:smarttags" w:element="metricconverter">
              <w:smartTagPr>
                <w:attr w:name="ProductID" w:val="20 km"/>
              </w:smartTagPr>
              <w:r w:rsidRPr="00F3128E">
                <w:rPr>
                  <w:sz w:val="20"/>
                  <w:szCs w:val="20"/>
                </w:rPr>
                <w:t>20 km</w:t>
              </w:r>
            </w:smartTag>
            <w:r w:rsidRPr="00F3128E">
              <w:rPr>
                <w:sz w:val="20"/>
                <w:szCs w:val="20"/>
              </w:rPr>
              <w:t xml:space="preserve"> od mestských a priemyselných oblastí a mimo miestnych emisií; je potrebné vyhnúť sa miestam, ktoré lokálne podliehajú zvýšenej tvorbe prízemných inverzných podmienok, taktiež vrcholom vyšších pohorí; neodporúčajú sa pobrežné oblasti s ustáleným každodenným veterným cyklom miestneho charakteru. |</w:t>
            </w:r>
          </w:p>
          <w:p w:rsidR="00CB3E7D" w:rsidRPr="00F3128E" w:rsidP="00CB3E7D">
            <w:pPr>
              <w:pStyle w:val="NormalWeb"/>
              <w:rPr>
                <w:sz w:val="20"/>
                <w:szCs w:val="20"/>
              </w:rPr>
            </w:pPr>
            <w:r w:rsidRPr="00F3128E">
              <w:rPr>
                <w:sz w:val="20"/>
                <w:szCs w:val="20"/>
              </w:rPr>
              <w:t>Pre vidiecke stanice a vidiecke pozaďové stanice sa vo vhodných prípadoch umiestnenie koordinuje s monitorovacími požiadavkami nariadenia Komisie (ES) č. 1737/2006 zo 7. novembra 2006, ktorým sa stanovujú podrobné pravidlá vykonávania nariadenia Európskeho parlamentu a Rady (ES) č. 2152/2003 týkajúceho sa monitorovania lesov a environmentálnych interakcií v Spoločenstve [2].</w:t>
            </w:r>
          </w:p>
          <w:p w:rsidR="00CB3E7D" w:rsidRPr="00F3128E" w:rsidP="00CB3E7D">
            <w:pPr>
              <w:pStyle w:val="NormalWeb"/>
              <w:rPr>
                <w:sz w:val="20"/>
                <w:szCs w:val="20"/>
              </w:rPr>
            </w:pPr>
            <w:r w:rsidRPr="00F3128E">
              <w:rPr>
                <w:sz w:val="20"/>
                <w:szCs w:val="20"/>
              </w:rPr>
              <w:t>B. Umiestnenie na mikroúrovni</w:t>
            </w:r>
          </w:p>
          <w:p w:rsidR="00CB3E7D" w:rsidRPr="00F3128E" w:rsidP="00CB3E7D">
            <w:pPr>
              <w:pStyle w:val="NormalWeb"/>
              <w:rPr>
                <w:sz w:val="20"/>
                <w:szCs w:val="20"/>
              </w:rPr>
            </w:pPr>
            <w:r w:rsidRPr="00F3128E">
              <w:rPr>
                <w:sz w:val="20"/>
                <w:szCs w:val="20"/>
              </w:rPr>
              <w:t xml:space="preserve">Postup pri umiestňovaní na mikroúrovni v oddiele C prílohy III sa dodržiava, pokiaľ je to možné, pričom sa zabezpečí, aby bola sonda vo vstupnom otvore umiestnená v dostatočnej vzdialenosti od takých zdrojov, ako sú pece a spaľovacie komíny, a viac ako </w:t>
            </w:r>
            <w:smartTag w:uri="urn:schemas-microsoft-com:office:smarttags" w:element="metricconverter">
              <w:smartTagPr>
                <w:attr w:name="ProductID" w:val="10 metrov"/>
              </w:smartTagPr>
              <w:r w:rsidRPr="00F3128E">
                <w:rPr>
                  <w:sz w:val="20"/>
                  <w:szCs w:val="20"/>
                </w:rPr>
                <w:t>10 metrov</w:t>
              </w:r>
            </w:smartTag>
            <w:r w:rsidRPr="00F3128E">
              <w:rPr>
                <w:sz w:val="20"/>
                <w:szCs w:val="20"/>
              </w:rPr>
              <w:t xml:space="preserve"> od najbližšej cesty, pričom táto vzdialenosť sa zvyšuje v závislosti od hustoty premávky.</w:t>
            </w:r>
          </w:p>
          <w:p w:rsidR="00CB3E7D" w:rsidRPr="00F3128E" w:rsidP="00CB3E7D">
            <w:pPr>
              <w:pStyle w:val="NormalWeb"/>
              <w:rPr>
                <w:sz w:val="20"/>
                <w:szCs w:val="20"/>
              </w:rPr>
            </w:pPr>
            <w:r w:rsidRPr="00F3128E">
              <w:rPr>
                <w:sz w:val="20"/>
                <w:szCs w:val="20"/>
              </w:rPr>
              <w:t>C. Dokumentácia a preskúmanie výberu miesta</w:t>
            </w:r>
          </w:p>
          <w:p w:rsidR="00CB3E7D" w:rsidRPr="00F3128E" w:rsidP="00CB3E7D">
            <w:pPr>
              <w:pStyle w:val="NormalWeb"/>
              <w:rPr>
                <w:sz w:val="20"/>
                <w:szCs w:val="20"/>
              </w:rPr>
            </w:pPr>
            <w:r w:rsidRPr="00F3128E">
              <w:rPr>
                <w:sz w:val="20"/>
                <w:szCs w:val="20"/>
              </w:rPr>
              <w:t>Postup v oddiele D prílohy III sa dodržiava pri uplatňovaní riadneho skríningu a interpretácie monitorovacích údajov v kontexte meteorologických a fotochemických procesov ovplyvňujúcich koncentrácie ozónu merané na príslušných miestach.</w:t>
            </w:r>
          </w:p>
          <w:p w:rsidR="00CB3E7D" w:rsidRPr="00F3128E" w:rsidP="00CB3E7D">
            <w:pPr>
              <w:pStyle w:val="NormalWeb"/>
              <w:rPr>
                <w:sz w:val="20"/>
                <w:szCs w:val="20"/>
              </w:rPr>
            </w:pPr>
            <w:r w:rsidRPr="00F3128E">
              <w:rPr>
                <w:sz w:val="20"/>
                <w:szCs w:val="20"/>
              </w:rPr>
              <w:t>[1] Vzorkovacie miesta by mali byť podľa možnosti reprezentatívne pre podobné miesta, ktoré nie sú v ich bezprostrednej blízkosti.</w:t>
            </w:r>
          </w:p>
          <w:p w:rsidR="00CB3E7D" w:rsidRPr="00F3128E" w:rsidP="00CB3E7D">
            <w:pPr>
              <w:pStyle w:val="NormalWeb"/>
            </w:pPr>
            <w:r w:rsidRPr="00F3128E">
              <w:rPr>
                <w:sz w:val="20"/>
                <w:szCs w:val="20"/>
              </w:rPr>
              <w:t>[2] Ú. v. EÚ L 334, 30.11.2006, s. 1.</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6C32FC">
              <w:rPr>
                <w:sz w:val="20"/>
              </w:rPr>
              <w:t>NV</w:t>
            </w:r>
          </w:p>
        </w:tc>
        <w:tc>
          <w:tcPr>
            <w:tcW w:w="701" w:type="dxa"/>
            <w:tcBorders>
              <w:bottom w:val="single" w:sz="4" w:space="0" w:color="auto"/>
            </w:tcBorders>
          </w:tcPr>
          <w:p w:rsidR="00CB3E7D" w:rsidP="00CB3E7D">
            <w:pPr>
              <w:jc w:val="both"/>
              <w:rPr>
                <w:sz w:val="20"/>
              </w:rPr>
            </w:pPr>
            <w:r>
              <w:rPr>
                <w:sz w:val="20"/>
              </w:rPr>
              <w:t xml:space="preserve">Príl. </w:t>
            </w:r>
            <w:r w:rsidR="006C32FC">
              <w:rPr>
                <w:sz w:val="20"/>
              </w:rPr>
              <w:t>8</w:t>
            </w:r>
          </w:p>
          <w:p w:rsidR="006C32FC" w:rsidP="00CB3E7D">
            <w:pPr>
              <w:jc w:val="both"/>
              <w:rPr>
                <w:sz w:val="20"/>
              </w:rPr>
            </w:pPr>
            <w:r>
              <w:rPr>
                <w:sz w:val="20"/>
              </w:rPr>
              <w:t>Časť III.</w:t>
            </w:r>
          </w:p>
          <w:p w:rsidR="0066225B" w:rsidRPr="00390FC1" w:rsidP="00CB3E7D">
            <w:pPr>
              <w:jc w:val="both"/>
              <w:rPr>
                <w:sz w:val="20"/>
              </w:rPr>
            </w:pPr>
            <w:r>
              <w:rPr>
                <w:sz w:val="20"/>
              </w:rPr>
              <w:t>A,B,C</w:t>
            </w:r>
          </w:p>
        </w:tc>
        <w:tc>
          <w:tcPr>
            <w:tcW w:w="7797" w:type="dxa"/>
            <w:tcBorders>
              <w:bottom w:val="single" w:sz="4" w:space="0" w:color="auto"/>
            </w:tcBorders>
          </w:tcPr>
          <w:p w:rsidR="0044018B" w:rsidRPr="0044018B" w:rsidP="0044018B">
            <w:pPr>
              <w:pStyle w:val="Heading1"/>
              <w:keepNext w:val="0"/>
              <w:widowControl w:val="0"/>
              <w:spacing w:before="240"/>
              <w:rPr>
                <w:b w:val="0"/>
                <w:sz w:val="20"/>
                <w:lang w:eastAsia="sk-SK"/>
              </w:rPr>
            </w:pPr>
            <w:r w:rsidRPr="0044018B">
              <w:rPr>
                <w:b w:val="0"/>
                <w:sz w:val="20"/>
                <w:lang w:eastAsia="sk-SK"/>
              </w:rPr>
              <w:t>Časť III</w:t>
            </w:r>
          </w:p>
          <w:p w:rsidR="0044018B" w:rsidRPr="0044018B" w:rsidP="0044018B">
            <w:pPr>
              <w:pStyle w:val="Heading1"/>
              <w:keepNext w:val="0"/>
              <w:widowControl w:val="0"/>
              <w:rPr>
                <w:b w:val="0"/>
                <w:sz w:val="20"/>
                <w:lang w:eastAsia="sk-SK"/>
              </w:rPr>
            </w:pPr>
            <w:r w:rsidRPr="0044018B">
              <w:rPr>
                <w:b w:val="0"/>
                <w:sz w:val="20"/>
                <w:lang w:eastAsia="sk-SK"/>
              </w:rPr>
              <w:t>Požiadavky na umiestňovanie vzorkovacích miest na stále meranie koncentrácií ozónu</w:t>
            </w:r>
          </w:p>
          <w:p w:rsidR="0044018B" w:rsidRPr="0044018B" w:rsidP="0044018B">
            <w:pPr>
              <w:pStyle w:val="NormalWeb"/>
              <w:widowControl w:val="0"/>
              <w:spacing w:before="240" w:beforeAutospacing="0" w:after="120" w:afterAutospacing="0"/>
              <w:rPr>
                <w:sz w:val="20"/>
                <w:szCs w:val="20"/>
              </w:rPr>
            </w:pPr>
            <w:r w:rsidRPr="0044018B">
              <w:rPr>
                <w:sz w:val="20"/>
                <w:szCs w:val="20"/>
              </w:rPr>
              <w:t xml:space="preserve">A. Umiestnenie na makroúrovni </w:t>
            </w:r>
          </w:p>
          <w:tbl>
            <w:tblPr>
              <w:tblStyle w:val="TableNormal"/>
              <w:tblW w:w="7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1851"/>
              <w:gridCol w:w="1157"/>
              <w:gridCol w:w="3471"/>
            </w:tblGrid>
            <w:tr w:rsidTr="001F4330">
              <w:tblPrEx>
                <w:tblW w:w="7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0"/>
              </w:trPr>
              <w:tc>
                <w:tcPr>
                  <w:tcW w:w="104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Typ stanice</w:t>
                  </w:r>
                </w:p>
              </w:tc>
              <w:tc>
                <w:tcPr>
                  <w:tcW w:w="185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Ciele merania</w:t>
                  </w:r>
                </w:p>
              </w:tc>
              <w:tc>
                <w:tcPr>
                  <w:tcW w:w="1157" w:type="dxa"/>
                  <w:vAlign w:val="center"/>
                </w:tcPr>
                <w:p w:rsidR="0044018B" w:rsidRPr="007B57C0" w:rsidP="0044018B">
                  <w:pPr>
                    <w:pStyle w:val="NormalWeb"/>
                    <w:widowControl w:val="0"/>
                    <w:spacing w:before="0" w:beforeAutospacing="0" w:after="0" w:afterAutospacing="0"/>
                    <w:rPr>
                      <w:sz w:val="20"/>
                      <w:szCs w:val="20"/>
                    </w:rPr>
                  </w:pPr>
                  <w:r w:rsidRPr="007B57C0">
                    <w:rPr>
                      <w:sz w:val="20"/>
                      <w:szCs w:val="20"/>
                    </w:rPr>
                    <w:t>Reprezenta-</w:t>
                  </w:r>
                </w:p>
                <w:p w:rsidR="0044018B" w:rsidRPr="0044018B" w:rsidP="0044018B">
                  <w:pPr>
                    <w:pStyle w:val="NormalWeb"/>
                    <w:widowControl w:val="0"/>
                    <w:spacing w:before="0" w:beforeAutospacing="0" w:after="0" w:afterAutospacing="0"/>
                    <w:rPr>
                      <w:sz w:val="20"/>
                      <w:szCs w:val="20"/>
                    </w:rPr>
                  </w:pPr>
                  <w:r w:rsidRPr="007B57C0">
                    <w:rPr>
                      <w:sz w:val="20"/>
                      <w:szCs w:val="20"/>
                    </w:rPr>
                    <w:t>tívnosť</w:t>
                  </w:r>
                  <w:r w:rsidRPr="0044018B">
                    <w:rPr>
                      <w:sz w:val="20"/>
                      <w:szCs w:val="20"/>
                    </w:rPr>
                    <w:t>1)</w:t>
                  </w:r>
                </w:p>
              </w:tc>
              <w:tc>
                <w:tcPr>
                  <w:tcW w:w="347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Kritériá umiestnenia na makroúrovni</w:t>
                  </w:r>
                </w:p>
              </w:tc>
            </w:tr>
            <w:tr w:rsidTr="001F4330">
              <w:tblPrEx>
                <w:tblW w:w="7520" w:type="dxa"/>
                <w:tblInd w:w="108" w:type="dxa"/>
                <w:tblLayout w:type="fixed"/>
                <w:tblLook w:val="01E0"/>
              </w:tblPrEx>
              <w:trPr>
                <w:trHeight w:val="2232"/>
              </w:trPr>
              <w:tc>
                <w:tcPr>
                  <w:tcW w:w="104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Mestská</w:t>
                  </w:r>
                </w:p>
              </w:tc>
              <w:tc>
                <w:tcPr>
                  <w:tcW w:w="1851" w:type="dxa"/>
                </w:tcPr>
                <w:p w:rsidR="0044018B" w:rsidRPr="007B57C0" w:rsidP="0044018B">
                  <w:pPr>
                    <w:pStyle w:val="NormalWeb"/>
                    <w:widowControl w:val="0"/>
                    <w:spacing w:before="0" w:beforeAutospacing="0" w:after="0" w:afterAutospacing="0"/>
                    <w:rPr>
                      <w:sz w:val="20"/>
                      <w:szCs w:val="20"/>
                    </w:rPr>
                  </w:pPr>
                  <w:r w:rsidRPr="007B57C0">
                    <w:rPr>
                      <w:sz w:val="20"/>
                      <w:szCs w:val="20"/>
                    </w:rPr>
                    <w:t>Ochrana zdravia ľudí:</w:t>
                  </w:r>
                </w:p>
                <w:p w:rsidR="0044018B" w:rsidRPr="0044018B" w:rsidP="0044018B">
                  <w:pPr>
                    <w:pStyle w:val="NormalWeb"/>
                    <w:widowControl w:val="0"/>
                    <w:spacing w:before="0" w:beforeAutospacing="0" w:after="0" w:afterAutospacing="0"/>
                    <w:rPr>
                      <w:sz w:val="20"/>
                      <w:szCs w:val="20"/>
                    </w:rPr>
                  </w:pPr>
                  <w:r w:rsidRPr="007B57C0">
                    <w:rPr>
                      <w:sz w:val="20"/>
                      <w:szCs w:val="20"/>
                    </w:rPr>
                    <w:t>posúdiť expozíciu mestského obyvateľstva ozónu, t. j. v miestach, kde je hustota obyvateľstva a koncentrácia ozónu relatívne vysoká a reprezentuje expozíciu obyvateľstva</w:t>
                  </w:r>
                </w:p>
              </w:tc>
              <w:tc>
                <w:tcPr>
                  <w:tcW w:w="1157"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Niekoľko km</w:t>
                  </w:r>
                  <w:r w:rsidRPr="00CA7DF4">
                    <w:rPr>
                      <w:sz w:val="20"/>
                      <w:szCs w:val="20"/>
                      <w:vertAlign w:val="superscript"/>
                    </w:rPr>
                    <w:t>2</w:t>
                  </w:r>
                </w:p>
              </w:tc>
              <w:tc>
                <w:tcPr>
                  <w:tcW w:w="3471" w:type="dxa"/>
                </w:tcPr>
                <w:p w:rsidR="0044018B" w:rsidRPr="0044018B" w:rsidP="0044018B">
                  <w:pPr>
                    <w:pStyle w:val="NormalWeb"/>
                    <w:widowControl w:val="0"/>
                    <w:spacing w:before="0" w:beforeAutospacing="0" w:after="0" w:afterAutospacing="0"/>
                    <w:rPr>
                      <w:sz w:val="20"/>
                      <w:szCs w:val="20"/>
                    </w:rPr>
                  </w:pPr>
                  <w:r w:rsidRPr="007B57C0">
                    <w:rPr>
                      <w:sz w:val="20"/>
                      <w:szCs w:val="20"/>
                    </w:rPr>
                    <w:t>Mimo vplyvu miestnych emisií, napr. z dopravy, čerpacích staníc atď.; odvetrané miesta, kde je možné merať dobre zmiešané úrovne; Miesta, ako sú obytné a obchodné oblasti miest, parky nie však v bezprostrednej blízkosti stromov, hlavné ulice a námestia s veľmi nízkou alebo žiadnou premávkou, voľné priestranstvá využívané na vzdelávacie, športové a rekreačné účely</w:t>
                  </w:r>
                </w:p>
              </w:tc>
            </w:tr>
            <w:tr w:rsidTr="001F4330">
              <w:tblPrEx>
                <w:tblW w:w="7520" w:type="dxa"/>
                <w:tblInd w:w="108" w:type="dxa"/>
                <w:tblLayout w:type="fixed"/>
                <w:tblLook w:val="01E0"/>
              </w:tblPrEx>
              <w:trPr>
                <w:trHeight w:val="2456"/>
              </w:trPr>
              <w:tc>
                <w:tcPr>
                  <w:tcW w:w="104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Predmestská</w:t>
                  </w:r>
                </w:p>
                <w:p w:rsidR="0044018B" w:rsidRPr="0044018B" w:rsidP="0044018B">
                  <w:pPr>
                    <w:widowControl w:val="0"/>
                    <w:rPr>
                      <w:sz w:val="20"/>
                      <w:lang w:eastAsia="sk-SK"/>
                    </w:rPr>
                  </w:pPr>
                </w:p>
              </w:tc>
              <w:tc>
                <w:tcPr>
                  <w:tcW w:w="1851" w:type="dxa"/>
                </w:tcPr>
                <w:p w:rsidR="0044018B" w:rsidRPr="007B57C0" w:rsidP="0044018B">
                  <w:pPr>
                    <w:pStyle w:val="NormalWeb"/>
                    <w:widowControl w:val="0"/>
                    <w:spacing w:before="0" w:beforeAutospacing="0" w:after="0" w:afterAutospacing="0"/>
                    <w:rPr>
                      <w:sz w:val="20"/>
                      <w:szCs w:val="20"/>
                    </w:rPr>
                  </w:pPr>
                  <w:r w:rsidRPr="007B57C0">
                    <w:rPr>
                      <w:sz w:val="20"/>
                      <w:szCs w:val="20"/>
                    </w:rPr>
                    <w:t>Ochrana zdravia ľudí a vegetácie:</w:t>
                  </w:r>
                </w:p>
                <w:p w:rsidR="0044018B" w:rsidRPr="0044018B" w:rsidP="0044018B">
                  <w:pPr>
                    <w:pStyle w:val="NormalWeb"/>
                    <w:widowControl w:val="0"/>
                    <w:spacing w:before="0" w:beforeAutospacing="0" w:after="0" w:afterAutospacing="0"/>
                    <w:rPr>
                      <w:sz w:val="20"/>
                      <w:szCs w:val="20"/>
                    </w:rPr>
                  </w:pPr>
                  <w:r w:rsidRPr="007B57C0">
                    <w:rPr>
                      <w:sz w:val="20"/>
                      <w:szCs w:val="20"/>
                    </w:rPr>
                    <w:t>posúdiť expozíciu obyvateľstva a vegetácie v predmestiach aglomerácií, kde sa vyskytujú najvyššie úrovne ozónu, ktorým môže byť obyvateľstvo a vegetácia priamo alebo nepriamo vystavené</w:t>
                  </w:r>
                </w:p>
              </w:tc>
              <w:tc>
                <w:tcPr>
                  <w:tcW w:w="1157" w:type="dxa"/>
                  <w:vAlign w:val="center"/>
                </w:tcPr>
                <w:p w:rsidR="0044018B" w:rsidRPr="007B57C0" w:rsidP="0044018B">
                  <w:pPr>
                    <w:pStyle w:val="NormalWeb"/>
                    <w:widowControl w:val="0"/>
                    <w:spacing w:before="0" w:beforeAutospacing="0" w:after="0" w:afterAutospacing="0"/>
                    <w:rPr>
                      <w:sz w:val="20"/>
                      <w:szCs w:val="20"/>
                    </w:rPr>
                  </w:pPr>
                  <w:r w:rsidRPr="007B57C0">
                    <w:rPr>
                      <w:sz w:val="20"/>
                      <w:szCs w:val="20"/>
                    </w:rPr>
                    <w:t xml:space="preserve">Niekoľko </w:t>
                  </w:r>
                </w:p>
                <w:p w:rsidR="0044018B" w:rsidRPr="0044018B" w:rsidP="0044018B">
                  <w:pPr>
                    <w:pStyle w:val="NormalWeb"/>
                    <w:widowControl w:val="0"/>
                    <w:spacing w:before="0" w:beforeAutospacing="0" w:after="0" w:afterAutospacing="0"/>
                    <w:rPr>
                      <w:sz w:val="20"/>
                      <w:szCs w:val="20"/>
                    </w:rPr>
                  </w:pPr>
                  <w:r w:rsidRPr="007B57C0">
                    <w:rPr>
                      <w:sz w:val="20"/>
                      <w:szCs w:val="20"/>
                    </w:rPr>
                    <w:t>desiatok km</w:t>
                  </w:r>
                  <w:r w:rsidRPr="00CA7DF4">
                    <w:rPr>
                      <w:sz w:val="20"/>
                      <w:szCs w:val="20"/>
                      <w:vertAlign w:val="superscript"/>
                    </w:rPr>
                    <w:t>2</w:t>
                  </w:r>
                </w:p>
              </w:tc>
              <w:tc>
                <w:tcPr>
                  <w:tcW w:w="3471" w:type="dxa"/>
                </w:tcPr>
                <w:p w:rsidR="0044018B" w:rsidRPr="0044018B" w:rsidP="0044018B">
                  <w:pPr>
                    <w:pStyle w:val="NormalWeb"/>
                    <w:widowControl w:val="0"/>
                    <w:spacing w:before="0" w:beforeAutospacing="0" w:after="0" w:afterAutospacing="0"/>
                    <w:rPr>
                      <w:sz w:val="20"/>
                      <w:szCs w:val="20"/>
                    </w:rPr>
                  </w:pPr>
                  <w:r w:rsidRPr="007B57C0">
                    <w:rPr>
                      <w:sz w:val="20"/>
                      <w:szCs w:val="20"/>
                    </w:rPr>
                    <w:t>V určitej vzdialenosti od oblasti s najväčšími emisiami, v smere vetra vzhľadom na prevládajúci smer vetra/smer za podmienok, ktoré sú priaznivé pre tvorbu ozónu; v okrajových oblastiach aglomerácií, kde sú obyvateľstvo, citlivé plodiny alebo prírodné ekosystémy vystavené vysokým úrovniam ozónu; alebo v niekoľkých predmestských staniciach, aj proti smeru vetra od oblasti s najväčšími emisiami s cieľom určiť regionálne pozaďové úrovne ozónu</w:t>
                  </w:r>
                </w:p>
              </w:tc>
            </w:tr>
            <w:tr w:rsidTr="001F4330">
              <w:tblPrEx>
                <w:tblW w:w="7520" w:type="dxa"/>
                <w:tblInd w:w="108" w:type="dxa"/>
                <w:tblLayout w:type="fixed"/>
                <w:tblLook w:val="01E0"/>
              </w:tblPrEx>
              <w:trPr>
                <w:trHeight w:val="1563"/>
              </w:trPr>
              <w:tc>
                <w:tcPr>
                  <w:tcW w:w="104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Vidiecka</w:t>
                  </w:r>
                  <w:r w:rsidRPr="00CA7DF4">
                    <w:rPr>
                      <w:sz w:val="20"/>
                      <w:szCs w:val="20"/>
                      <w:vertAlign w:val="superscript"/>
                    </w:rPr>
                    <w:t>2</w:t>
                  </w:r>
                  <w:r w:rsidRPr="0044018B">
                    <w:rPr>
                      <w:sz w:val="20"/>
                      <w:szCs w:val="20"/>
                    </w:rPr>
                    <w:t>)</w:t>
                  </w:r>
                </w:p>
              </w:tc>
              <w:tc>
                <w:tcPr>
                  <w:tcW w:w="1851" w:type="dxa"/>
                </w:tcPr>
                <w:p w:rsidR="0044018B" w:rsidRPr="007B57C0" w:rsidP="0044018B">
                  <w:pPr>
                    <w:pStyle w:val="NormalWeb"/>
                    <w:widowControl w:val="0"/>
                    <w:spacing w:before="0" w:beforeAutospacing="0" w:after="0" w:afterAutospacing="0"/>
                    <w:rPr>
                      <w:sz w:val="20"/>
                      <w:szCs w:val="20"/>
                    </w:rPr>
                  </w:pPr>
                  <w:r w:rsidRPr="007B57C0">
                    <w:rPr>
                      <w:sz w:val="20"/>
                      <w:szCs w:val="20"/>
                    </w:rPr>
                    <w:t>Ochrana zdravia ľudí a vegetácie:</w:t>
                  </w:r>
                </w:p>
                <w:p w:rsidR="0044018B" w:rsidRPr="0044018B" w:rsidP="0044018B">
                  <w:pPr>
                    <w:pStyle w:val="NormalWeb"/>
                    <w:widowControl w:val="0"/>
                    <w:spacing w:before="0" w:beforeAutospacing="0" w:after="0" w:afterAutospacing="0"/>
                    <w:rPr>
                      <w:sz w:val="20"/>
                      <w:szCs w:val="20"/>
                    </w:rPr>
                  </w:pPr>
                  <w:r w:rsidRPr="007B57C0">
                    <w:rPr>
                      <w:sz w:val="20"/>
                      <w:szCs w:val="20"/>
                    </w:rPr>
                    <w:t>posúdiť expozíciu obyvateľstva, plodín a prírodných ekosystémov koncentráciám ozónu na subregionálnej úrovni</w:t>
                  </w:r>
                </w:p>
              </w:tc>
              <w:tc>
                <w:tcPr>
                  <w:tcW w:w="1157" w:type="dxa"/>
                  <w:vAlign w:val="center"/>
                </w:tcPr>
                <w:p w:rsidR="0044018B" w:rsidRPr="007B57C0" w:rsidP="0044018B">
                  <w:pPr>
                    <w:pStyle w:val="NormalWeb"/>
                    <w:widowControl w:val="0"/>
                    <w:spacing w:before="0" w:beforeAutospacing="0" w:after="0" w:afterAutospacing="0"/>
                    <w:rPr>
                      <w:sz w:val="20"/>
                      <w:szCs w:val="20"/>
                    </w:rPr>
                  </w:pPr>
                  <w:r w:rsidRPr="007B57C0">
                    <w:rPr>
                      <w:sz w:val="20"/>
                      <w:szCs w:val="20"/>
                    </w:rPr>
                    <w:t xml:space="preserve">Subregionálne úrovne </w:t>
                  </w:r>
                </w:p>
                <w:p w:rsidR="0044018B" w:rsidRPr="007B57C0" w:rsidP="0044018B">
                  <w:pPr>
                    <w:pStyle w:val="NormalWeb"/>
                    <w:widowControl w:val="0"/>
                    <w:spacing w:before="0" w:beforeAutospacing="0" w:after="0" w:afterAutospacing="0"/>
                    <w:rPr>
                      <w:sz w:val="20"/>
                      <w:szCs w:val="20"/>
                    </w:rPr>
                  </w:pPr>
                  <w:r w:rsidRPr="007B57C0">
                    <w:rPr>
                      <w:sz w:val="20"/>
                      <w:szCs w:val="20"/>
                    </w:rPr>
                    <w:t xml:space="preserve">niekoľko </w:t>
                  </w:r>
                </w:p>
                <w:p w:rsidR="0044018B" w:rsidRPr="0044018B" w:rsidP="0044018B">
                  <w:pPr>
                    <w:pStyle w:val="NormalWeb"/>
                    <w:widowControl w:val="0"/>
                    <w:spacing w:before="0" w:beforeAutospacing="0" w:after="0" w:afterAutospacing="0"/>
                    <w:rPr>
                      <w:sz w:val="20"/>
                      <w:szCs w:val="20"/>
                    </w:rPr>
                  </w:pPr>
                  <w:r w:rsidRPr="007B57C0">
                    <w:rPr>
                      <w:sz w:val="20"/>
                      <w:szCs w:val="20"/>
                    </w:rPr>
                    <w:t>stoviek km</w:t>
                  </w:r>
                  <w:r w:rsidRPr="00CA7DF4">
                    <w:rPr>
                      <w:sz w:val="20"/>
                      <w:szCs w:val="20"/>
                      <w:vertAlign w:val="superscript"/>
                    </w:rPr>
                    <w:t>2</w:t>
                  </w:r>
                </w:p>
              </w:tc>
              <w:tc>
                <w:tcPr>
                  <w:tcW w:w="3471" w:type="dxa"/>
                </w:tcPr>
                <w:p w:rsidR="0044018B" w:rsidRPr="0044018B" w:rsidP="0044018B">
                  <w:pPr>
                    <w:pStyle w:val="NormalWeb"/>
                    <w:widowControl w:val="0"/>
                    <w:spacing w:before="0" w:beforeAutospacing="0" w:after="0" w:afterAutospacing="0"/>
                    <w:rPr>
                      <w:sz w:val="20"/>
                      <w:szCs w:val="20"/>
                    </w:rPr>
                  </w:pPr>
                  <w:r w:rsidRPr="007B57C0">
                    <w:rPr>
                      <w:sz w:val="20"/>
                      <w:szCs w:val="20"/>
                    </w:rPr>
                    <w:t>Stanice môžu byť umiestnené v malých osadách a/alebo oblastiach s prírodnými ekosystémami, lesmi alebo plodinami; reprezentatívna vzorka ozónu mimo dosahu priamych miestnych emisií, ako sú priemyselné zariadenia a cesty; na voľných priestranstvách, nie však na vrcholoch vyšších pohorí</w:t>
                  </w:r>
                </w:p>
              </w:tc>
            </w:tr>
            <w:tr w:rsidTr="001F4330">
              <w:tblPrEx>
                <w:tblW w:w="7520" w:type="dxa"/>
                <w:tblInd w:w="108" w:type="dxa"/>
                <w:tblLayout w:type="fixed"/>
                <w:tblLook w:val="01E0"/>
              </w:tblPrEx>
              <w:trPr>
                <w:trHeight w:val="2232"/>
              </w:trPr>
              <w:tc>
                <w:tcPr>
                  <w:tcW w:w="1041" w:type="dxa"/>
                  <w:vAlign w:val="center"/>
                </w:tcPr>
                <w:p w:rsidR="0044018B" w:rsidRPr="0044018B" w:rsidP="0044018B">
                  <w:pPr>
                    <w:pStyle w:val="NormalWeb"/>
                    <w:widowControl w:val="0"/>
                    <w:spacing w:before="0" w:beforeAutospacing="0" w:after="0" w:afterAutospacing="0"/>
                    <w:rPr>
                      <w:sz w:val="20"/>
                      <w:szCs w:val="20"/>
                    </w:rPr>
                  </w:pPr>
                  <w:r w:rsidRPr="007B57C0">
                    <w:rPr>
                      <w:sz w:val="20"/>
                      <w:szCs w:val="20"/>
                    </w:rPr>
                    <w:t>Vidiecka pozaďová</w:t>
                  </w:r>
                </w:p>
              </w:tc>
              <w:tc>
                <w:tcPr>
                  <w:tcW w:w="1851" w:type="dxa"/>
                </w:tcPr>
                <w:p w:rsidR="0044018B" w:rsidRPr="007B57C0" w:rsidP="0044018B">
                  <w:pPr>
                    <w:pStyle w:val="NormalWeb"/>
                    <w:widowControl w:val="0"/>
                    <w:spacing w:before="0" w:beforeAutospacing="0" w:after="0" w:afterAutospacing="0"/>
                    <w:rPr>
                      <w:sz w:val="20"/>
                      <w:szCs w:val="20"/>
                    </w:rPr>
                  </w:pPr>
                  <w:r w:rsidRPr="007B57C0">
                    <w:rPr>
                      <w:sz w:val="20"/>
                      <w:szCs w:val="20"/>
                    </w:rPr>
                    <w:t>Ochrana vegetácie a zdravia ľudí:</w:t>
                  </w:r>
                </w:p>
                <w:p w:rsidR="0044018B" w:rsidRPr="0044018B" w:rsidP="0044018B">
                  <w:pPr>
                    <w:pStyle w:val="NormalWeb"/>
                    <w:widowControl w:val="0"/>
                    <w:spacing w:before="0" w:beforeAutospacing="0" w:after="0" w:afterAutospacing="0"/>
                    <w:rPr>
                      <w:sz w:val="20"/>
                      <w:szCs w:val="20"/>
                    </w:rPr>
                  </w:pPr>
                  <w:r w:rsidRPr="007B57C0">
                    <w:rPr>
                      <w:sz w:val="20"/>
                      <w:szCs w:val="20"/>
                    </w:rPr>
                    <w:t>posúdiť expozíciu plodín a prírodných ekosystémov koncentráciám ozónu na regionálnej úrovni, ako aj expozíciu obyvateľstva</w:t>
                  </w:r>
                </w:p>
              </w:tc>
              <w:tc>
                <w:tcPr>
                  <w:tcW w:w="1157" w:type="dxa"/>
                  <w:vAlign w:val="center"/>
                </w:tcPr>
                <w:p w:rsidR="0044018B" w:rsidRPr="007B57C0" w:rsidP="0044018B">
                  <w:pPr>
                    <w:pStyle w:val="NormalWeb"/>
                    <w:widowControl w:val="0"/>
                    <w:spacing w:before="0" w:beforeAutospacing="0" w:after="0" w:afterAutospacing="0"/>
                    <w:rPr>
                      <w:sz w:val="20"/>
                      <w:szCs w:val="20"/>
                    </w:rPr>
                  </w:pPr>
                  <w:r w:rsidRPr="007B57C0">
                    <w:rPr>
                      <w:sz w:val="20"/>
                      <w:szCs w:val="20"/>
                    </w:rPr>
                    <w:t>Regionálne/</w:t>
                  </w:r>
                </w:p>
                <w:p w:rsidR="0044018B" w:rsidRPr="007B57C0" w:rsidP="0044018B">
                  <w:pPr>
                    <w:pStyle w:val="NormalWeb"/>
                    <w:widowControl w:val="0"/>
                    <w:spacing w:before="0" w:beforeAutospacing="0" w:after="0" w:afterAutospacing="0"/>
                    <w:rPr>
                      <w:sz w:val="20"/>
                      <w:szCs w:val="20"/>
                    </w:rPr>
                  </w:pPr>
                  <w:r w:rsidRPr="007B57C0">
                    <w:rPr>
                      <w:sz w:val="20"/>
                      <w:szCs w:val="20"/>
                    </w:rPr>
                    <w:t>celoštátne/</w:t>
                  </w:r>
                </w:p>
                <w:p w:rsidR="0044018B" w:rsidRPr="007B57C0" w:rsidP="0044018B">
                  <w:pPr>
                    <w:pStyle w:val="NormalWeb"/>
                    <w:widowControl w:val="0"/>
                    <w:spacing w:before="0" w:beforeAutospacing="0" w:after="0" w:afterAutospacing="0"/>
                    <w:rPr>
                      <w:sz w:val="20"/>
                      <w:szCs w:val="20"/>
                    </w:rPr>
                  </w:pPr>
                  <w:r w:rsidRPr="007B57C0">
                    <w:rPr>
                      <w:sz w:val="20"/>
                      <w:szCs w:val="20"/>
                    </w:rPr>
                    <w:t xml:space="preserve">kontinentálne úrovne od 1 000 </w:t>
                  </w:r>
                </w:p>
                <w:p w:rsidR="0044018B" w:rsidRPr="0044018B" w:rsidP="0044018B">
                  <w:pPr>
                    <w:pStyle w:val="NormalWeb"/>
                    <w:widowControl w:val="0"/>
                    <w:spacing w:before="0" w:beforeAutospacing="0" w:after="0" w:afterAutospacing="0"/>
                    <w:rPr>
                      <w:sz w:val="20"/>
                      <w:szCs w:val="20"/>
                    </w:rPr>
                  </w:pPr>
                  <w:r w:rsidRPr="007B57C0">
                    <w:rPr>
                      <w:sz w:val="20"/>
                      <w:szCs w:val="20"/>
                    </w:rPr>
                    <w:t>do 10 000 km</w:t>
                  </w:r>
                  <w:r w:rsidRPr="00CA7DF4">
                    <w:rPr>
                      <w:sz w:val="20"/>
                      <w:szCs w:val="20"/>
                      <w:vertAlign w:val="superscript"/>
                    </w:rPr>
                    <w:t>2</w:t>
                  </w:r>
                </w:p>
              </w:tc>
              <w:tc>
                <w:tcPr>
                  <w:tcW w:w="3471" w:type="dxa"/>
                </w:tcPr>
                <w:p w:rsidR="0044018B" w:rsidRPr="0044018B" w:rsidP="0044018B">
                  <w:pPr>
                    <w:pStyle w:val="NormalWeb"/>
                    <w:widowControl w:val="0"/>
                    <w:spacing w:before="0" w:beforeAutospacing="0" w:after="0" w:afterAutospacing="0"/>
                    <w:rPr>
                      <w:sz w:val="20"/>
                      <w:szCs w:val="20"/>
                    </w:rPr>
                  </w:pPr>
                  <w:r w:rsidRPr="007B57C0">
                    <w:rPr>
                      <w:sz w:val="20"/>
                      <w:szCs w:val="20"/>
                    </w:rPr>
                    <w:t>Stanice umiestnené v oblastiach s nižšou hustotou obyvateľstva, napr. s prírodnými ekosystémami, lesmi, vo vzdialenosti aspoň 20 km od mestských a priemyselných oblastí a mimo miestnych emisií; je potrebné vyhnúť sa miestam, ktoré lokálne podliehajú zvýšenej tvorbe prízemných inverzných podmienok, taktiež vrcholom vyšších pohorí; neodporúčajú sa pobrežné oblasti s ustáleným každodenným veterným cyklom miestneho charakteru.</w:t>
                  </w:r>
                </w:p>
              </w:tc>
            </w:tr>
          </w:tbl>
          <w:p w:rsidR="0044018B" w:rsidRPr="007B57C0" w:rsidP="0044018B">
            <w:pPr>
              <w:pStyle w:val="NormalWeb"/>
              <w:widowControl w:val="0"/>
              <w:spacing w:before="0" w:beforeAutospacing="0" w:after="0" w:afterAutospacing="0"/>
              <w:rPr>
                <w:sz w:val="20"/>
                <w:szCs w:val="20"/>
              </w:rPr>
            </w:pPr>
          </w:p>
          <w:p w:rsidR="0044018B" w:rsidRPr="005B394F" w:rsidP="005B394F">
            <w:pPr>
              <w:pStyle w:val="NormalWeb"/>
              <w:keepLines/>
              <w:spacing w:before="0" w:beforeAutospacing="0" w:after="0" w:afterAutospacing="0"/>
              <w:contextualSpacing/>
              <w:rPr>
                <w:sz w:val="18"/>
                <w:szCs w:val="18"/>
              </w:rPr>
            </w:pPr>
            <w:r w:rsidRPr="005B394F">
              <w:rPr>
                <w:sz w:val="18"/>
                <w:szCs w:val="18"/>
              </w:rPr>
              <w:t xml:space="preserve">Poznámka: </w:t>
            </w:r>
          </w:p>
          <w:p w:rsidR="0044018B" w:rsidRPr="005B394F" w:rsidP="005B394F">
            <w:pPr>
              <w:pStyle w:val="NormalWeb"/>
              <w:keepLines/>
              <w:spacing w:before="0" w:beforeAutospacing="0" w:after="0" w:afterAutospacing="0"/>
              <w:contextualSpacing/>
              <w:rPr>
                <w:sz w:val="18"/>
                <w:szCs w:val="18"/>
              </w:rPr>
            </w:pPr>
            <w:r w:rsidRPr="005B394F">
              <w:rPr>
                <w:sz w:val="18"/>
                <w:szCs w:val="18"/>
                <w:vertAlign w:val="superscript"/>
              </w:rPr>
              <w:t>1</w:t>
            </w:r>
            <w:r w:rsidRPr="005B394F">
              <w:rPr>
                <w:sz w:val="18"/>
                <w:szCs w:val="18"/>
              </w:rPr>
              <w:t>) Vzorkovacie miesta by mali byť podľa možnosti reprezentatívne pre podobné miesta, ktoré nie sú v ich bezprostrednej blízkosti.</w:t>
            </w:r>
          </w:p>
          <w:p w:rsidR="0044018B" w:rsidRPr="005B394F" w:rsidP="005B394F">
            <w:pPr>
              <w:pStyle w:val="NormalWeb"/>
              <w:keepLines/>
              <w:spacing w:before="0" w:beforeAutospacing="0" w:after="0" w:afterAutospacing="0"/>
              <w:contextualSpacing/>
              <w:rPr>
                <w:sz w:val="18"/>
                <w:szCs w:val="18"/>
              </w:rPr>
            </w:pPr>
            <w:r w:rsidRPr="005B394F">
              <w:rPr>
                <w:sz w:val="18"/>
                <w:szCs w:val="18"/>
                <w:vertAlign w:val="superscript"/>
              </w:rPr>
              <w:t>2</w:t>
            </w:r>
            <w:r w:rsidRPr="005B394F">
              <w:rPr>
                <w:sz w:val="18"/>
                <w:szCs w:val="18"/>
              </w:rPr>
              <w:t>) Pre vidiecke stanice a vidiecke pozaďové stanice sa vo vhodných podmienkach umiestnenie koordinuje s monitorovacími požiadavkami osobitného predpisu.</w:t>
            </w:r>
            <w:r w:rsidRPr="005B394F" w:rsidR="00CA7DF4">
              <w:rPr>
                <w:sz w:val="18"/>
                <w:szCs w:val="18"/>
              </w:rPr>
              <w:t>23</w:t>
            </w:r>
            <w:r w:rsidRPr="005B394F">
              <w:rPr>
                <w:sz w:val="18"/>
                <w:szCs w:val="18"/>
              </w:rPr>
              <w:t>)</w:t>
            </w:r>
          </w:p>
          <w:p w:rsidR="0044018B" w:rsidRPr="0044018B" w:rsidP="0044018B">
            <w:pPr>
              <w:pStyle w:val="NormalWeb"/>
              <w:spacing w:before="0" w:beforeAutospacing="0" w:after="0" w:afterAutospacing="0"/>
              <w:contextualSpacing/>
              <w:rPr>
                <w:sz w:val="20"/>
                <w:szCs w:val="20"/>
              </w:rPr>
            </w:pPr>
          </w:p>
          <w:p w:rsidR="0044018B" w:rsidRPr="0044018B" w:rsidP="0044018B">
            <w:pPr>
              <w:pStyle w:val="NormalWeb"/>
              <w:spacing w:before="0" w:beforeAutospacing="0" w:after="120" w:afterAutospacing="0"/>
              <w:rPr>
                <w:sz w:val="20"/>
                <w:szCs w:val="20"/>
              </w:rPr>
            </w:pPr>
            <w:r w:rsidRPr="0044018B">
              <w:rPr>
                <w:sz w:val="20"/>
                <w:szCs w:val="20"/>
              </w:rPr>
              <w:t>B. Umiestnenie na mikroúrovni</w:t>
            </w:r>
          </w:p>
          <w:p w:rsidR="0044018B" w:rsidRPr="0044018B" w:rsidP="0044018B">
            <w:pPr>
              <w:pStyle w:val="NormalWeb"/>
              <w:spacing w:before="0" w:beforeAutospacing="0" w:after="0" w:afterAutospacing="0"/>
              <w:ind w:left="284"/>
              <w:contextualSpacing/>
              <w:rPr>
                <w:sz w:val="20"/>
                <w:szCs w:val="20"/>
              </w:rPr>
            </w:pPr>
            <w:r w:rsidRPr="0044018B">
              <w:rPr>
                <w:sz w:val="20"/>
                <w:szCs w:val="20"/>
              </w:rPr>
              <w:t>Postup pri umiestňovaní na mikroúrovni podľa časti I písm. C sa dodržiava, ak je to možné, pričom sa zabezpečí, aby sonda vo vstupnom otvore bola umiestnená v dostatočnej vzdialenosti od takých zdrojov, ako sú pece a výduchy zo spaľovacích procesov a viac ako 10 m od najbližšej cesty, pričom táto vzdialenosť sa zvyšuje v závislosti od hustoty premávky.</w:t>
            </w:r>
          </w:p>
          <w:p w:rsidR="0044018B" w:rsidRPr="0044018B" w:rsidP="0044018B">
            <w:pPr>
              <w:pStyle w:val="NormalWeb"/>
              <w:spacing w:before="0" w:beforeAutospacing="0" w:after="0" w:afterAutospacing="0"/>
              <w:contextualSpacing/>
              <w:rPr>
                <w:sz w:val="20"/>
                <w:szCs w:val="20"/>
              </w:rPr>
            </w:pPr>
          </w:p>
          <w:p w:rsidR="0044018B" w:rsidRPr="0044018B" w:rsidP="0044018B">
            <w:pPr>
              <w:pStyle w:val="NormalWeb"/>
              <w:spacing w:before="0" w:beforeAutospacing="0" w:after="120" w:afterAutospacing="0"/>
              <w:rPr>
                <w:sz w:val="20"/>
                <w:szCs w:val="20"/>
              </w:rPr>
            </w:pPr>
            <w:r w:rsidRPr="0044018B">
              <w:rPr>
                <w:sz w:val="20"/>
                <w:szCs w:val="20"/>
              </w:rPr>
              <w:t>C. Dokumentácia a preskúmanie výberu miesta</w:t>
            </w:r>
          </w:p>
          <w:p w:rsidR="0044018B" w:rsidP="0044018B">
            <w:pPr>
              <w:pStyle w:val="NormalWeb"/>
              <w:widowControl w:val="0"/>
              <w:spacing w:before="0" w:beforeAutospacing="0" w:after="0" w:afterAutospacing="0"/>
              <w:ind w:left="284"/>
              <w:contextualSpacing/>
              <w:rPr>
                <w:sz w:val="20"/>
                <w:szCs w:val="20"/>
              </w:rPr>
            </w:pPr>
            <w:r w:rsidRPr="0044018B">
              <w:rPr>
                <w:sz w:val="20"/>
                <w:szCs w:val="20"/>
              </w:rPr>
              <w:t>Postup podľa časti I písm. D sa dodržiava pri uplatňovaní riadneho skríningu a interpretácie monitorovacích údajov v kontexte meteorologických a fotochemických procesov ovplyvňujúcich koncentrácie ozónu merané na príslušných miestach.</w:t>
            </w:r>
          </w:p>
          <w:p w:rsidR="00CA7DF4" w:rsidP="0044018B">
            <w:pPr>
              <w:pStyle w:val="NormalWeb"/>
              <w:widowControl w:val="0"/>
              <w:spacing w:before="0" w:beforeAutospacing="0" w:after="0" w:afterAutospacing="0"/>
              <w:ind w:left="284"/>
              <w:contextualSpacing/>
              <w:rPr>
                <w:sz w:val="20"/>
                <w:szCs w:val="20"/>
              </w:rPr>
            </w:pPr>
          </w:p>
          <w:p w:rsidR="00CA7DF4" w:rsidP="0044018B">
            <w:pPr>
              <w:pStyle w:val="NormalWeb"/>
              <w:widowControl w:val="0"/>
              <w:spacing w:before="0" w:beforeAutospacing="0" w:after="0" w:afterAutospacing="0"/>
              <w:ind w:left="284"/>
              <w:contextualSpacing/>
              <w:rPr>
                <w:sz w:val="20"/>
                <w:szCs w:val="20"/>
              </w:rPr>
            </w:pPr>
          </w:p>
          <w:p w:rsidR="00CA7DF4" w:rsidP="0044018B">
            <w:pPr>
              <w:pStyle w:val="NormalWeb"/>
              <w:widowControl w:val="0"/>
              <w:spacing w:before="0" w:beforeAutospacing="0" w:after="0" w:afterAutospacing="0"/>
              <w:ind w:left="284"/>
              <w:contextualSpacing/>
              <w:rPr>
                <w:sz w:val="20"/>
                <w:szCs w:val="20"/>
              </w:rPr>
            </w:pPr>
          </w:p>
          <w:p w:rsidR="00CA7DF4" w:rsidRPr="005B394F" w:rsidP="0044018B">
            <w:pPr>
              <w:pStyle w:val="NormalWeb"/>
              <w:widowControl w:val="0"/>
              <w:spacing w:before="0" w:beforeAutospacing="0" w:after="0" w:afterAutospacing="0"/>
              <w:ind w:left="284"/>
              <w:contextualSpacing/>
              <w:rPr>
                <w:sz w:val="18"/>
                <w:szCs w:val="18"/>
              </w:rPr>
            </w:pPr>
          </w:p>
          <w:p w:rsidR="006C32FC" w:rsidRPr="005B394F" w:rsidP="006C32FC">
            <w:pPr>
              <w:pStyle w:val="NormalWeb"/>
              <w:keepLines/>
              <w:spacing w:before="0" w:beforeAutospacing="0" w:after="0" w:afterAutospacing="0"/>
              <w:ind w:left="284"/>
              <w:contextualSpacing/>
              <w:rPr>
                <w:sz w:val="18"/>
                <w:szCs w:val="18"/>
              </w:rPr>
            </w:pPr>
            <w:r w:rsidRPr="005B394F" w:rsidR="00CA7DF4">
              <w:rPr>
                <w:sz w:val="18"/>
                <w:szCs w:val="18"/>
                <w:vertAlign w:val="superscript"/>
              </w:rPr>
              <w:t>23</w:t>
            </w:r>
            <w:r w:rsidRPr="005B394F" w:rsidR="00CA7DF4">
              <w:rPr>
                <w:sz w:val="18"/>
                <w:szCs w:val="18"/>
              </w:rPr>
              <w:t>) Nariadenie Komisie (ES) č. 1737/2006 zo 7. novembra 2006, ktorým sa stanovujú podrobné pravidlá vykonávania nariadenia Európskeho parlamentu a Rady (ES) č. 2152/2003 týkajúceho sa monitorovania lesov a environmentálnych interakcií v Spoločenstve (</w:t>
            </w:r>
            <w:r w:rsidRPr="005B394F" w:rsidR="00CA7DF4">
              <w:rPr>
                <w:i/>
                <w:iCs/>
                <w:sz w:val="18"/>
                <w:szCs w:val="18"/>
              </w:rPr>
              <w:t>Ú. v. EÚ L 334, 30.11.2006)</w:t>
            </w:r>
            <w:r w:rsidRPr="005B394F" w:rsidR="00CA7DF4">
              <w:rPr>
                <w:sz w:val="18"/>
                <w:szCs w:val="18"/>
              </w:rPr>
              <w:t>.</w:t>
            </w:r>
          </w:p>
          <w:p w:rsidR="00CB3E7D" w:rsidRPr="005A3D8D" w:rsidP="00CB3E7D">
            <w:pPr>
              <w:pStyle w:val="NormalWeb"/>
              <w:spacing w:before="0" w:beforeAutospacing="0" w:after="0" w:afterAutospacing="0"/>
              <w:jc w:val="both"/>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9</w:t>
            </w:r>
          </w:p>
        </w:tc>
        <w:tc>
          <w:tcPr>
            <w:tcW w:w="4074" w:type="dxa"/>
            <w:tcBorders>
              <w:bottom w:val="single" w:sz="4" w:space="0" w:color="auto"/>
            </w:tcBorders>
          </w:tcPr>
          <w:p w:rsidR="00CB3E7D" w:rsidRPr="00F3128E" w:rsidP="00CB3E7D">
            <w:pPr>
              <w:pStyle w:val="NormalWeb"/>
              <w:rPr>
                <w:sz w:val="20"/>
                <w:szCs w:val="20"/>
              </w:rPr>
            </w:pPr>
            <w:r w:rsidRPr="00390FC1">
              <w:rPr>
                <w:sz w:val="20"/>
                <w:szCs w:val="20"/>
              </w:rPr>
              <w:t>Kritériá na určenie minimálneho počtu vzorkovacích miest pre stá</w:t>
            </w:r>
            <w:r w:rsidRPr="00F3128E">
              <w:rPr>
                <w:sz w:val="20"/>
                <w:szCs w:val="20"/>
              </w:rPr>
              <w:t>le meranie koncentrácií ozónu</w:t>
            </w:r>
          </w:p>
          <w:p w:rsidR="006C7ADA" w:rsidRPr="006C7ADA" w:rsidP="006C7ADA">
            <w:pPr>
              <w:pStyle w:val="NormalWeb"/>
              <w:rPr>
                <w:sz w:val="20"/>
                <w:szCs w:val="20"/>
              </w:rPr>
            </w:pPr>
            <w:r w:rsidRPr="006C7ADA">
              <w:rPr>
                <w:sz w:val="20"/>
                <w:szCs w:val="20"/>
              </w:rPr>
              <w:t>A.   Minimálny počet vzorkovacích miest pre s</w:t>
            </w:r>
            <w:r>
              <w:rPr>
                <w:sz w:val="20"/>
                <w:szCs w:val="20"/>
              </w:rPr>
              <w:t>tále meranie koncentrácií ozónu</w:t>
            </w:r>
          </w:p>
          <w:p w:rsidR="00CB3E7D" w:rsidP="006C7ADA">
            <w:pPr>
              <w:pStyle w:val="NormalWeb"/>
              <w:rPr>
                <w:sz w:val="20"/>
                <w:szCs w:val="20"/>
              </w:rPr>
            </w:pPr>
            <w:r w:rsidRPr="006C7ADA" w:rsidR="006C7ADA">
              <w:rPr>
                <w:sz w:val="20"/>
                <w:szCs w:val="20"/>
              </w:rPr>
              <w:t>Minimálny počet vzorkovacích miest pre stále nepretržité merania na posúdenie dodržiavania cieľových hodnôt, dlhodobých cieľov a informačných a výstražných prahov, ak sú takéto merania jediným zdrojom informácií.</w:t>
            </w:r>
          </w:p>
          <w:tbl>
            <w:tblPr>
              <w:tblStyle w:val="TableNormal"/>
              <w:tblW w:w="3728"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Layout w:type="fixed"/>
              <w:tblCellMar>
                <w:top w:w="30" w:type="dxa"/>
                <w:left w:w="30" w:type="dxa"/>
                <w:bottom w:w="30" w:type="dxa"/>
                <w:right w:w="30" w:type="dxa"/>
              </w:tblCellMar>
              <w:tblLook w:val="04A0"/>
            </w:tblPr>
            <w:tblGrid>
              <w:gridCol w:w="698"/>
              <w:gridCol w:w="939"/>
              <w:gridCol w:w="992"/>
              <w:gridCol w:w="1099"/>
            </w:tblGrid>
            <w:tr w:rsidTr="006C7ADA">
              <w:tblPrEx>
                <w:tblW w:w="3728"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Layout w:type="fixed"/>
                <w:tblCellMar>
                  <w:top w:w="30" w:type="dxa"/>
                  <w:left w:w="30" w:type="dxa"/>
                  <w:bottom w:w="30" w:type="dxa"/>
                  <w:right w:w="30" w:type="dxa"/>
                </w:tblCellMar>
                <w:tblLook w:val="04A0"/>
              </w:tblPrEx>
              <w:trPr>
                <w:trHeight w:val="1259"/>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Počet obyvateľstva (× 1 000 )</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Aglomerácia </w:t>
                  </w:r>
                  <w:hyperlink r:id="rId7" w:anchor="E0015" w:history="1">
                    <w:r w:rsidRPr="006C7ADA">
                      <w:rPr>
                        <w:sz w:val="20"/>
                        <w:szCs w:val="20"/>
                      </w:rPr>
                      <w:t>(1)</w:t>
                    </w:r>
                  </w:hyperlink>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Iné zóny </w:t>
                  </w:r>
                  <w:hyperlink r:id="rId7" w:anchor="E0015" w:history="1">
                    <w:r w:rsidRPr="006C7ADA">
                      <w:rPr>
                        <w:sz w:val="20"/>
                        <w:szCs w:val="20"/>
                      </w:rPr>
                      <w:t>(1)</w:t>
                    </w:r>
                  </w:hyperlink>
                </w:p>
              </w:tc>
              <w:tc>
                <w:tcPr>
                  <w:tcW w:w="1099"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Miesta s vidieckym charakterom</w:t>
                  </w:r>
                </w:p>
              </w:tc>
            </w:tr>
            <w:tr w:rsidTr="006C7ADA">
              <w:tblPrEx>
                <w:tblW w:w="3728" w:type="dxa"/>
                <w:shd w:val="clear" w:color="auto" w:fill="FFFFFF"/>
                <w:tblLayout w:type="fixed"/>
                <w:tblCellMar>
                  <w:top w:w="30" w:type="dxa"/>
                  <w:left w:w="30" w:type="dxa"/>
                  <w:bottom w:w="30" w:type="dxa"/>
                  <w:right w:w="30" w:type="dxa"/>
                </w:tblCellMar>
                <w:tblLook w:val="04A0"/>
              </w:tblPrEx>
              <w:trPr>
                <w:trHeight w:val="521"/>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&lt; 250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normal0"/>
                    <w:spacing w:before="0" w:beforeAutospacing="0" w:after="0" w:afterAutospacing="0" w:line="312" w:lineRule="atLeast"/>
                    <w:jc w:val="center"/>
                    <w:rPr>
                      <w:sz w:val="20"/>
                      <w:szCs w:val="20"/>
                    </w:rPr>
                  </w:pPr>
                  <w:r w:rsidRPr="006C7ADA">
                    <w:rPr>
                      <w:sz w:val="20"/>
                      <w:szCs w:val="20"/>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1</w:t>
                  </w:r>
                </w:p>
              </w:tc>
              <w:tc>
                <w:tcPr>
                  <w:tcW w:w="109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1 stanica/50 000  km</w:t>
                  </w:r>
                  <w:r w:rsidRPr="00E46DD8">
                    <w:rPr>
                      <w:sz w:val="20"/>
                      <w:szCs w:val="20"/>
                      <w:vertAlign w:val="superscript"/>
                    </w:rPr>
                    <w:t>2</w:t>
                  </w:r>
                  <w:r w:rsidRPr="006C7ADA">
                    <w:rPr>
                      <w:sz w:val="20"/>
                      <w:szCs w:val="20"/>
                    </w:rPr>
                    <w:t> ako priemerná hustota vo všetkých zónach v krajine </w:t>
                  </w:r>
                  <w:hyperlink r:id="rId7" w:anchor="E0016" w:history="1">
                    <w:r w:rsidRPr="006C7ADA">
                      <w:rPr>
                        <w:sz w:val="20"/>
                        <w:szCs w:val="20"/>
                      </w:rPr>
                      <w:t>(2)</w:t>
                    </w:r>
                  </w:hyperlink>
                </w:p>
              </w:tc>
            </w:tr>
            <w:tr w:rsidTr="006C7ADA">
              <w:tblPrEx>
                <w:tblW w:w="3728" w:type="dxa"/>
                <w:shd w:val="clear" w:color="auto" w:fill="FFFFFF"/>
                <w:tblLayout w:type="fixed"/>
                <w:tblCellMar>
                  <w:top w:w="30" w:type="dxa"/>
                  <w:left w:w="30" w:type="dxa"/>
                  <w:bottom w:w="30" w:type="dxa"/>
                  <w:right w:w="30" w:type="dxa"/>
                </w:tblCellMar>
                <w:tblLook w:val="04A0"/>
              </w:tblPrEx>
              <w:trPr>
                <w:trHeight w:val="521"/>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&lt; 500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2</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521"/>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&lt; 1 000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2</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521"/>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&lt; 1 500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3</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3</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503"/>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&lt; 2 000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3</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4</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521"/>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&lt; 2 750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5</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521"/>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&lt; 3 750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5</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6</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899"/>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r>
                    <w:rPr>
                      <w:rFonts w:ascii="Arial Unicode MS" w:hAnsi="Arial Unicode MS"/>
                      <w:color w:val="333333"/>
                      <w:sz w:val="21"/>
                      <w:szCs w:val="21"/>
                    </w:rPr>
                    <w:t>&gt; 3 750</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1 dodatočná stanica na 2 milióny obyvateľov</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C7ADA" w:rsidRPr="006C7ADA" w:rsidP="006C7ADA">
                  <w:pPr>
                    <w:pStyle w:val="tbl-norm"/>
                    <w:spacing w:before="60" w:beforeAutospacing="0" w:after="60" w:afterAutospacing="0" w:line="312" w:lineRule="atLeast"/>
                    <w:jc w:val="both"/>
                    <w:rPr>
                      <w:sz w:val="20"/>
                      <w:szCs w:val="20"/>
                    </w:rPr>
                  </w:pPr>
                  <w:r w:rsidRPr="006C7ADA">
                    <w:rPr>
                      <w:sz w:val="20"/>
                      <w:szCs w:val="20"/>
                    </w:rPr>
                    <w:t>1 dodatočná stanica na 2 milióny obyvateľov</w:t>
                  </w:r>
                </w:p>
              </w:tc>
              <w:tc>
                <w:tcPr>
                  <w:tcW w:w="10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jc w:val="center"/>
                    <w:rPr>
                      <w:rFonts w:ascii="Arial Unicode MS" w:hAnsi="Arial Unicode MS"/>
                      <w:color w:val="333333"/>
                      <w:sz w:val="21"/>
                      <w:szCs w:val="21"/>
                    </w:rPr>
                  </w:pPr>
                </w:p>
              </w:tc>
            </w:tr>
            <w:tr w:rsidTr="006C7ADA">
              <w:tblPrEx>
                <w:tblW w:w="3728" w:type="dxa"/>
                <w:shd w:val="clear" w:color="auto" w:fill="FFFFFF"/>
                <w:tblLayout w:type="fixed"/>
                <w:tblCellMar>
                  <w:top w:w="30" w:type="dxa"/>
                  <w:left w:w="30" w:type="dxa"/>
                  <w:bottom w:w="30" w:type="dxa"/>
                  <w:right w:w="30" w:type="dxa"/>
                </w:tblCellMar>
                <w:tblLook w:val="04A0"/>
              </w:tblPrEx>
              <w:trPr>
                <w:trHeight w:val="33"/>
              </w:trPr>
              <w:tc>
                <w:tcPr>
                  <w:tcW w:w="372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C7ADA" w:rsidP="006C7ADA">
                  <w:pPr>
                    <w:pStyle w:val="tbl-norm"/>
                    <w:spacing w:before="60" w:beforeAutospacing="0" w:after="60" w:afterAutospacing="0" w:line="312" w:lineRule="atLeast"/>
                    <w:jc w:val="both"/>
                    <w:rPr>
                      <w:rFonts w:ascii="Arial Unicode MS" w:hAnsi="Arial Unicode MS"/>
                      <w:color w:val="333333"/>
                      <w:sz w:val="21"/>
                      <w:szCs w:val="21"/>
                    </w:rPr>
                  </w:pPr>
                </w:p>
              </w:tc>
            </w:tr>
          </w:tbl>
          <w:p w:rsidR="006C7ADA" w:rsidRPr="006C7ADA" w:rsidP="006C7ADA">
            <w:pPr>
              <w:pStyle w:val="NormalWeb"/>
              <w:rPr>
                <w:sz w:val="20"/>
                <w:szCs w:val="20"/>
              </w:rPr>
            </w:pPr>
            <w:r w:rsidRPr="006C7ADA">
              <w:rPr>
                <w:sz w:val="20"/>
                <w:szCs w:val="20"/>
              </w:rPr>
              <w:t>(1)   Aspoň 1 stanica v oblastiach, v ktorých pravdepodobne dôjde k expozícii obyvateľstva najvyšším koncentráciám ozónu. V aglomeráciách sa najmenej 50 % staníc umies</w:t>
            </w:r>
            <w:r>
              <w:rPr>
                <w:sz w:val="20"/>
                <w:szCs w:val="20"/>
              </w:rPr>
              <w:t>tni v predmestských oblastiach.</w:t>
            </w:r>
          </w:p>
          <w:p w:rsidR="006C7ADA" w:rsidRPr="00F3128E" w:rsidP="006C7ADA">
            <w:pPr>
              <w:pStyle w:val="NormalWeb"/>
              <w:rPr>
                <w:sz w:val="20"/>
                <w:szCs w:val="20"/>
              </w:rPr>
            </w:pPr>
            <w:r w:rsidRPr="006C7ADA">
              <w:rPr>
                <w:sz w:val="20"/>
                <w:szCs w:val="20"/>
              </w:rPr>
              <w:t>(2)   V zložitom teréne sa odporúča 1 stanica na 25 000  km</w:t>
            </w:r>
            <w:r w:rsidRPr="00C8183A">
              <w:rPr>
                <w:sz w:val="20"/>
                <w:szCs w:val="20"/>
                <w:vertAlign w:val="superscript"/>
              </w:rPr>
              <w:t>2</w:t>
            </w:r>
          </w:p>
          <w:p w:rsidR="00CB3E7D" w:rsidRPr="00F3128E" w:rsidP="00CB3E7D">
            <w:pPr>
              <w:pStyle w:val="NormalWeb"/>
              <w:rPr>
                <w:sz w:val="20"/>
                <w:szCs w:val="20"/>
              </w:rPr>
            </w:pPr>
            <w:r w:rsidRPr="00F3128E">
              <w:rPr>
                <w:sz w:val="20"/>
                <w:szCs w:val="20"/>
              </w:rPr>
              <w:t>B. Minimálny počet vzorkovacích miest PRE stále merania v zónach a aglomeráciách, ktoré dosahujú dlhodobé ciele</w:t>
            </w:r>
          </w:p>
          <w:p w:rsidR="00CB3E7D" w:rsidRPr="00F3128E" w:rsidP="00CB3E7D">
            <w:pPr>
              <w:pStyle w:val="NormalWeb"/>
              <w:rPr>
                <w:sz w:val="20"/>
                <w:szCs w:val="20"/>
              </w:rPr>
            </w:pPr>
            <w:r w:rsidRPr="00F3128E">
              <w:rPr>
                <w:sz w:val="20"/>
                <w:szCs w:val="20"/>
              </w:rPr>
              <w:t>Počet vzorkovacích miest pre ozón musí v kombinácii s ostatnými prostriedkami doplnkového hodnotenia, ako sú modely kvality ovzdušia a spoluumiestnené merania oxidu dusičitého, postačovať na preskúmanie trendov znečisťovania ozónom a na kontrolu dodržiavania dlhodobých cieľov. Počet staníc umiestnených v aglomeráciách a iných zónach môže byť znížený na jednu tretinu počtu uvedeného v oddiele A. Keď sú informácie zo staníc stáleho merania jediným zdrojom informácií, musí sa udržiavať aspoň jedna monitorovacia stanica. Ak v zónach s doplnkovým hodnotením dochádza k tomu, že v zóne nezostane žiadna stanica, koordináciou s určitým počtom staníc v susediacich zónach sa musí zabezpečiť primerané hodnotenie koncentrácií ozónu z hľadiska dlhodobých cieľov. Počet vidieckych pozaďových staníc je 1 na 100000 km</w:t>
            </w:r>
            <w:r w:rsidRPr="00C8183A">
              <w:rPr>
                <w:sz w:val="20"/>
                <w:szCs w:val="20"/>
                <w:vertAlign w:val="superscript"/>
              </w:rPr>
              <w:t>2</w:t>
            </w:r>
            <w:r w:rsidRPr="00F3128E">
              <w:rPr>
                <w:sz w:val="20"/>
                <w:szCs w:val="20"/>
              </w:rPr>
              <w:t>.</w:t>
            </w:r>
          </w:p>
          <w:p w:rsidR="00CB3E7D" w:rsidRPr="00F3128E" w:rsidP="00CB3E7D">
            <w:pPr>
              <w:pStyle w:val="NormalWeb"/>
              <w:rPr>
                <w:sz w:val="20"/>
                <w:szCs w:val="20"/>
              </w:rPr>
            </w:pPr>
            <w:r w:rsidRPr="00F3128E">
              <w:rPr>
                <w:sz w:val="20"/>
                <w:szCs w:val="20"/>
              </w:rPr>
              <w:t>[1] Aspoň jedna stanica v predmestskej oblasti, v ktorej sa pravdepodobne vyskytne najvyššia expozícia obyvateľstva. V aglomeráciách sa minimálne 50 % staníc umiestni v predmestských oblastiach.</w:t>
            </w:r>
          </w:p>
          <w:p w:rsidR="00CB3E7D" w:rsidRPr="00F3128E" w:rsidP="00CB3E7D">
            <w:pPr>
              <w:pStyle w:val="NormalWeb"/>
            </w:pPr>
            <w:r w:rsidRPr="00F3128E">
              <w:rPr>
                <w:sz w:val="20"/>
                <w:szCs w:val="20"/>
              </w:rPr>
              <w:t>[2] V zložitom teréne sa odporúča 1 stanica na 25000 km</w:t>
            </w:r>
            <w:r w:rsidRPr="00C8183A">
              <w:rPr>
                <w:sz w:val="20"/>
                <w:szCs w:val="20"/>
                <w:vertAlign w:val="superscript"/>
              </w:rPr>
              <w:t>2</w:t>
            </w:r>
            <w:r w:rsidRPr="00F3128E">
              <w:rPr>
                <w:sz w:val="20"/>
                <w:szCs w:val="20"/>
              </w:rPr>
              <w:t>.</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6F3CE1">
              <w:rPr>
                <w:sz w:val="20"/>
              </w:rPr>
              <w:t>NV</w:t>
            </w:r>
          </w:p>
        </w:tc>
        <w:tc>
          <w:tcPr>
            <w:tcW w:w="701" w:type="dxa"/>
            <w:tcBorders>
              <w:bottom w:val="single" w:sz="4" w:space="0" w:color="auto"/>
            </w:tcBorders>
          </w:tcPr>
          <w:p w:rsidR="00CB3E7D" w:rsidP="00CB3E7D">
            <w:pPr>
              <w:jc w:val="both"/>
              <w:rPr>
                <w:sz w:val="20"/>
              </w:rPr>
            </w:pPr>
            <w:r>
              <w:rPr>
                <w:sz w:val="20"/>
              </w:rPr>
              <w:t>Príl.</w:t>
            </w:r>
          </w:p>
          <w:p w:rsidR="00CB3E7D" w:rsidP="00CB3E7D">
            <w:pPr>
              <w:jc w:val="both"/>
              <w:rPr>
                <w:sz w:val="20"/>
              </w:rPr>
            </w:pPr>
            <w:r>
              <w:rPr>
                <w:sz w:val="20"/>
              </w:rPr>
              <w:t>9</w:t>
            </w:r>
          </w:p>
          <w:p w:rsidR="006C32FC" w:rsidP="00CB3E7D">
            <w:pPr>
              <w:jc w:val="both"/>
              <w:rPr>
                <w:sz w:val="20"/>
              </w:rPr>
            </w:pPr>
            <w:r>
              <w:rPr>
                <w:sz w:val="20"/>
              </w:rPr>
              <w:t xml:space="preserve">Časť II. </w:t>
            </w:r>
          </w:p>
          <w:p w:rsidR="0066225B" w:rsidRPr="00390FC1" w:rsidP="00CB3E7D">
            <w:pPr>
              <w:jc w:val="both"/>
              <w:rPr>
                <w:sz w:val="20"/>
              </w:rPr>
            </w:pPr>
            <w:r>
              <w:rPr>
                <w:sz w:val="20"/>
              </w:rPr>
              <w:t>A,B</w:t>
            </w:r>
          </w:p>
        </w:tc>
        <w:tc>
          <w:tcPr>
            <w:tcW w:w="7797" w:type="dxa"/>
            <w:tcBorders>
              <w:bottom w:val="single" w:sz="4" w:space="0" w:color="auto"/>
            </w:tcBorders>
          </w:tcPr>
          <w:p w:rsidR="0044018B" w:rsidRPr="0044018B" w:rsidP="0044018B">
            <w:pPr>
              <w:pStyle w:val="Heading1"/>
              <w:ind w:left="284" w:hanging="284"/>
              <w:rPr>
                <w:b w:val="0"/>
                <w:sz w:val="20"/>
                <w:lang w:eastAsia="sk-SK"/>
              </w:rPr>
            </w:pPr>
            <w:r w:rsidRPr="0044018B">
              <w:rPr>
                <w:b w:val="0"/>
                <w:sz w:val="20"/>
                <w:lang w:eastAsia="sk-SK"/>
              </w:rPr>
              <w:t>Časť II.</w:t>
            </w:r>
          </w:p>
          <w:p w:rsidR="0044018B" w:rsidRPr="0044018B" w:rsidP="0044018B">
            <w:pPr>
              <w:pStyle w:val="Heading1"/>
              <w:contextualSpacing/>
              <w:jc w:val="both"/>
              <w:rPr>
                <w:b w:val="0"/>
                <w:sz w:val="20"/>
                <w:lang w:eastAsia="sk-SK"/>
              </w:rPr>
            </w:pPr>
            <w:r w:rsidRPr="0044018B">
              <w:rPr>
                <w:b w:val="0"/>
                <w:sz w:val="20"/>
                <w:lang w:eastAsia="sk-SK"/>
              </w:rPr>
              <w:t>Kritériá na určenie najmenšieho počtu vzorkovacích miest na stále meranie koncentrácií ozónu</w:t>
            </w:r>
          </w:p>
          <w:p w:rsidR="0044018B" w:rsidRPr="0044018B" w:rsidP="0044018B">
            <w:pPr>
              <w:pStyle w:val="NormalWeb"/>
              <w:keepLines/>
              <w:spacing w:before="0" w:beforeAutospacing="0" w:after="0" w:afterAutospacing="0"/>
              <w:contextualSpacing/>
              <w:rPr>
                <w:sz w:val="20"/>
                <w:szCs w:val="20"/>
              </w:rPr>
            </w:pPr>
          </w:p>
          <w:p w:rsidR="0044018B" w:rsidRPr="0044018B" w:rsidP="0044018B">
            <w:pPr>
              <w:pStyle w:val="NormalWeb"/>
              <w:keepLines/>
              <w:spacing w:before="0" w:beforeAutospacing="0" w:after="0" w:afterAutospacing="0"/>
              <w:ind w:left="284" w:hanging="284"/>
              <w:contextualSpacing/>
              <w:rPr>
                <w:sz w:val="20"/>
                <w:szCs w:val="20"/>
              </w:rPr>
            </w:pPr>
            <w:r w:rsidRPr="0044018B">
              <w:rPr>
                <w:sz w:val="20"/>
                <w:szCs w:val="20"/>
              </w:rPr>
              <w:t>A. Najmenší počet vzorkovacích miest pre stále  kontinuálne  merania na posúdenie dodržiavania cieľových hodnôt, dlhodobých cieľov a informačných a výstražných prahov, ak sú takéto merania jediným zdrojom informácií</w:t>
            </w:r>
          </w:p>
          <w:p w:rsidR="0044018B" w:rsidRPr="0044018B" w:rsidP="0044018B">
            <w:pPr>
              <w:pStyle w:val="NormalWeb"/>
              <w:keepLines/>
              <w:spacing w:before="0" w:beforeAutospacing="0" w:after="0" w:afterAutospacing="0"/>
              <w:ind w:left="360"/>
              <w:contextualSpacing/>
              <w:rPr>
                <w:sz w:val="20"/>
                <w:szCs w:val="20"/>
              </w:rPr>
            </w:pP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7"/>
              <w:gridCol w:w="1919"/>
              <w:gridCol w:w="2002"/>
              <w:gridCol w:w="1864"/>
            </w:tblGrid>
            <w:tr w:rsidTr="0044018B">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hideMark/>
                </w:tcPr>
                <w:p w:rsidR="0044018B" w:rsidRPr="0044018B" w:rsidP="0044018B">
                  <w:pPr>
                    <w:pStyle w:val="NormalWeb"/>
                    <w:keepLines/>
                    <w:spacing w:before="0" w:beforeAutospacing="0" w:after="0" w:afterAutospacing="0"/>
                    <w:contextualSpacing/>
                    <w:rPr>
                      <w:sz w:val="20"/>
                      <w:szCs w:val="20"/>
                    </w:rPr>
                  </w:pPr>
                  <w:r w:rsidRPr="007B57C0">
                    <w:rPr>
                      <w:sz w:val="20"/>
                      <w:szCs w:val="20"/>
                    </w:rPr>
                    <w:t>Počet obyvateľov v tisícoch</w:t>
                  </w:r>
                </w:p>
              </w:tc>
              <w:tc>
                <w:tcPr>
                  <w:tcW w:w="1919" w:type="dxa"/>
                  <w:tcBorders>
                    <w:top w:val="single" w:sz="4" w:space="0" w:color="auto"/>
                    <w:left w:val="single" w:sz="4" w:space="0" w:color="auto"/>
                    <w:bottom w:val="single" w:sz="4" w:space="0" w:color="auto"/>
                    <w:right w:val="single" w:sz="4" w:space="0" w:color="auto"/>
                  </w:tcBorders>
                  <w:hideMark/>
                </w:tcPr>
                <w:p w:rsidR="0044018B" w:rsidRPr="0044018B" w:rsidP="0044018B">
                  <w:pPr>
                    <w:pStyle w:val="NormalWeb"/>
                    <w:keepLines/>
                    <w:spacing w:before="0" w:beforeAutospacing="0" w:after="0" w:afterAutospacing="0"/>
                    <w:contextualSpacing/>
                    <w:rPr>
                      <w:sz w:val="20"/>
                      <w:szCs w:val="20"/>
                    </w:rPr>
                  </w:pPr>
                  <w:r w:rsidRPr="007B57C0">
                    <w:rPr>
                      <w:sz w:val="20"/>
                      <w:szCs w:val="20"/>
                    </w:rPr>
                    <w:t>Aglomerácie mestské a predmestské</w:t>
                  </w:r>
                  <w:r w:rsidRPr="007B41E8">
                    <w:rPr>
                      <w:sz w:val="20"/>
                      <w:szCs w:val="20"/>
                      <w:vertAlign w:val="superscript"/>
                    </w:rPr>
                    <w:t>1</w:t>
                  </w:r>
                  <w:r w:rsidRPr="0044018B">
                    <w:rPr>
                      <w:sz w:val="20"/>
                      <w:szCs w:val="20"/>
                    </w:rPr>
                    <w:t>)</w:t>
                  </w:r>
                </w:p>
              </w:tc>
              <w:tc>
                <w:tcPr>
                  <w:tcW w:w="2002" w:type="dxa"/>
                  <w:tcBorders>
                    <w:top w:val="single" w:sz="4" w:space="0" w:color="auto"/>
                    <w:left w:val="single" w:sz="4" w:space="0" w:color="auto"/>
                    <w:bottom w:val="single" w:sz="4" w:space="0" w:color="auto"/>
                    <w:right w:val="single" w:sz="4" w:space="0" w:color="auto"/>
                  </w:tcBorders>
                  <w:hideMark/>
                </w:tcPr>
                <w:p w:rsidR="0044018B" w:rsidRPr="0044018B" w:rsidP="0044018B">
                  <w:pPr>
                    <w:pStyle w:val="NormalWeb"/>
                    <w:keepLines/>
                    <w:spacing w:before="0" w:beforeAutospacing="0" w:after="0" w:afterAutospacing="0"/>
                    <w:contextualSpacing/>
                    <w:rPr>
                      <w:sz w:val="20"/>
                      <w:szCs w:val="20"/>
                    </w:rPr>
                  </w:pPr>
                  <w:r w:rsidRPr="007B57C0">
                    <w:rPr>
                      <w:sz w:val="20"/>
                      <w:szCs w:val="20"/>
                    </w:rPr>
                    <w:t>Ostatné zóny predmestské a vidiecke</w:t>
                  </w:r>
                  <w:r w:rsidRPr="007B41E8">
                    <w:rPr>
                      <w:sz w:val="20"/>
                      <w:szCs w:val="20"/>
                      <w:vertAlign w:val="superscript"/>
                    </w:rPr>
                    <w:t>1</w:t>
                  </w:r>
                  <w:r w:rsidRPr="0044018B">
                    <w:rPr>
                      <w:sz w:val="20"/>
                      <w:szCs w:val="20"/>
                    </w:rPr>
                    <w:t>)</w:t>
                  </w:r>
                </w:p>
              </w:tc>
              <w:tc>
                <w:tcPr>
                  <w:tcW w:w="1864" w:type="dxa"/>
                  <w:tcBorders>
                    <w:top w:val="single" w:sz="4" w:space="0" w:color="auto"/>
                    <w:left w:val="single" w:sz="4" w:space="0" w:color="auto"/>
                    <w:bottom w:val="single" w:sz="4" w:space="0" w:color="auto"/>
                    <w:right w:val="single" w:sz="4" w:space="0" w:color="auto"/>
                  </w:tcBorders>
                  <w:hideMark/>
                </w:tcPr>
                <w:p w:rsidR="0044018B" w:rsidRPr="0044018B" w:rsidP="0044018B">
                  <w:pPr>
                    <w:pStyle w:val="NormalWeb"/>
                    <w:keepLines/>
                    <w:spacing w:before="0" w:beforeAutospacing="0" w:after="0" w:afterAutospacing="0"/>
                    <w:contextualSpacing/>
                    <w:rPr>
                      <w:sz w:val="20"/>
                      <w:szCs w:val="20"/>
                    </w:rPr>
                  </w:pPr>
                  <w:r w:rsidRPr="007B57C0">
                    <w:rPr>
                      <w:sz w:val="20"/>
                      <w:szCs w:val="20"/>
                    </w:rPr>
                    <w:t>Vidiecke pozaďové miesta</w:t>
                  </w: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250</w:t>
                  </w:r>
                </w:p>
              </w:tc>
              <w:tc>
                <w:tcPr>
                  <w:tcW w:w="1919" w:type="dxa"/>
                  <w:tcBorders>
                    <w:top w:val="single" w:sz="4" w:space="0" w:color="auto"/>
                    <w:left w:val="single" w:sz="4" w:space="0" w:color="auto"/>
                    <w:bottom w:val="single" w:sz="4" w:space="0" w:color="auto"/>
                    <w:right w:val="single" w:sz="4" w:space="0" w:color="auto"/>
                  </w:tcBorders>
                  <w:vAlign w:val="center"/>
                </w:tcPr>
                <w:p w:rsidR="0044018B" w:rsidRPr="007B57C0" w:rsidP="0044018B">
                  <w:pPr>
                    <w:pStyle w:val="NormalWeb"/>
                    <w:keepLines/>
                    <w:spacing w:before="0" w:beforeAutospacing="0" w:after="0" w:afterAutospacing="0"/>
                    <w:contextualSpacing/>
                    <w:jc w:val="center"/>
                    <w:rPr>
                      <w:sz w:val="20"/>
                      <w:szCs w:val="20"/>
                    </w:rPr>
                  </w:pP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1</w:t>
                  </w:r>
                </w:p>
              </w:tc>
              <w:tc>
                <w:tcPr>
                  <w:tcW w:w="1864" w:type="dxa"/>
                  <w:vMerge w:val="restart"/>
                  <w:tcBorders>
                    <w:top w:val="single" w:sz="4" w:space="0" w:color="auto"/>
                    <w:left w:val="single" w:sz="4" w:space="0" w:color="auto"/>
                    <w:bottom w:val="single" w:sz="4" w:space="0" w:color="auto"/>
                    <w:right w:val="single" w:sz="4" w:space="0" w:color="auto"/>
                  </w:tcBorders>
                  <w:vAlign w:val="center"/>
                </w:tcPr>
                <w:p w:rsidR="0044018B" w:rsidRPr="0044018B" w:rsidP="0044018B">
                  <w:pPr>
                    <w:pStyle w:val="NormalWeb"/>
                    <w:keepLines/>
                    <w:spacing w:before="0" w:beforeAutospacing="0" w:after="0" w:afterAutospacing="0"/>
                    <w:contextualSpacing/>
                    <w:jc w:val="center"/>
                    <w:rPr>
                      <w:sz w:val="20"/>
                      <w:szCs w:val="20"/>
                    </w:rPr>
                  </w:pPr>
                  <w:r w:rsidRPr="007B57C0">
                    <w:rPr>
                      <w:sz w:val="20"/>
                      <w:szCs w:val="20"/>
                    </w:rPr>
                    <w:t>1 stanica/50 000 km</w:t>
                  </w:r>
                  <w:r w:rsidRPr="007B41E8">
                    <w:rPr>
                      <w:sz w:val="20"/>
                      <w:szCs w:val="20"/>
                      <w:vertAlign w:val="superscript"/>
                    </w:rPr>
                    <w:t>2</w:t>
                  </w:r>
                  <w:r w:rsidRPr="007B57C0">
                    <w:rPr>
                      <w:sz w:val="20"/>
                      <w:szCs w:val="20"/>
                    </w:rPr>
                    <w:t xml:space="preserve"> ako priemerná hustota vo všetkých zónach v krajine</w:t>
                  </w:r>
                  <w:r w:rsidRPr="007B41E8">
                    <w:rPr>
                      <w:sz w:val="20"/>
                      <w:szCs w:val="20"/>
                      <w:vertAlign w:val="superscript"/>
                    </w:rPr>
                    <w:t>2</w:t>
                  </w:r>
                  <w:r w:rsidRPr="0044018B">
                    <w:rPr>
                      <w:sz w:val="20"/>
                      <w:szCs w:val="20"/>
                    </w:rPr>
                    <w:t>)</w:t>
                  </w: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500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1</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2</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1000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2</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1500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3</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3</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2000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3</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4</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2750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4</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5</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&lt; 3750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5</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6</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r w:rsidTr="0044018B">
              <w:tblPrEx>
                <w:tblW w:w="0" w:type="auto"/>
                <w:tblInd w:w="392" w:type="dxa"/>
                <w:tblLayout w:type="fixed"/>
                <w:tblLook w:val="01E0"/>
              </w:tblPrEx>
              <w:trPr>
                <w:trHeight w:val="298"/>
              </w:trPr>
              <w:tc>
                <w:tcPr>
                  <w:tcW w:w="1307" w:type="dxa"/>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pStyle w:val="NormalWeb"/>
                    <w:keepLines/>
                    <w:spacing w:before="0" w:beforeAutospacing="0" w:after="0" w:afterAutospacing="0"/>
                    <w:ind w:left="317"/>
                    <w:contextualSpacing/>
                    <w:rPr>
                      <w:sz w:val="20"/>
                      <w:szCs w:val="20"/>
                    </w:rPr>
                  </w:pPr>
                  <w:r w:rsidRPr="007B57C0">
                    <w:rPr>
                      <w:sz w:val="20"/>
                      <w:szCs w:val="20"/>
                    </w:rPr>
                    <w:t>&gt; 3750</w:t>
                  </w:r>
                </w:p>
              </w:tc>
              <w:tc>
                <w:tcPr>
                  <w:tcW w:w="1919"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 xml:space="preserve">1 dodatočná stanica </w:t>
                  </w:r>
                </w:p>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na 2 milióny obyvateľov</w:t>
                  </w:r>
                </w:p>
              </w:tc>
              <w:tc>
                <w:tcPr>
                  <w:tcW w:w="2002" w:type="dxa"/>
                  <w:tcBorders>
                    <w:top w:val="single" w:sz="4" w:space="0" w:color="auto"/>
                    <w:left w:val="single" w:sz="4" w:space="0" w:color="auto"/>
                    <w:bottom w:val="single" w:sz="4" w:space="0" w:color="auto"/>
                    <w:right w:val="single" w:sz="4" w:space="0" w:color="auto"/>
                  </w:tcBorders>
                  <w:vAlign w:val="center"/>
                  <w:hideMark/>
                </w:tcPr>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 xml:space="preserve">1 dodatočná stanica </w:t>
                  </w:r>
                </w:p>
                <w:p w:rsidR="0044018B" w:rsidRPr="007B57C0" w:rsidP="0044018B">
                  <w:pPr>
                    <w:pStyle w:val="NormalWeb"/>
                    <w:keepLines/>
                    <w:spacing w:before="0" w:beforeAutospacing="0" w:after="0" w:afterAutospacing="0"/>
                    <w:contextualSpacing/>
                    <w:jc w:val="center"/>
                    <w:rPr>
                      <w:sz w:val="20"/>
                      <w:szCs w:val="20"/>
                    </w:rPr>
                  </w:pPr>
                  <w:r w:rsidRPr="007B57C0">
                    <w:rPr>
                      <w:sz w:val="20"/>
                      <w:szCs w:val="20"/>
                    </w:rPr>
                    <w:t>na 2 milióny obyvateľov</w:t>
                  </w: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4018B" w:rsidRPr="0044018B" w:rsidP="0044018B">
                  <w:pPr>
                    <w:keepNext/>
                    <w:keepLines/>
                    <w:contextualSpacing/>
                    <w:jc w:val="center"/>
                    <w:rPr>
                      <w:sz w:val="20"/>
                      <w:lang w:eastAsia="sk-SK"/>
                    </w:rPr>
                  </w:pPr>
                </w:p>
              </w:tc>
            </w:tr>
          </w:tbl>
          <w:p w:rsidR="0044018B" w:rsidRPr="005B394F" w:rsidP="005B394F">
            <w:pPr>
              <w:pStyle w:val="NormalWeb"/>
              <w:keepLines/>
              <w:spacing w:before="0" w:beforeAutospacing="0" w:after="0" w:afterAutospacing="0"/>
              <w:contextualSpacing/>
              <w:rPr>
                <w:sz w:val="18"/>
                <w:szCs w:val="18"/>
              </w:rPr>
            </w:pPr>
            <w:r w:rsidRPr="005B394F">
              <w:rPr>
                <w:sz w:val="18"/>
                <w:szCs w:val="18"/>
              </w:rPr>
              <w:t xml:space="preserve">Poznámky: </w:t>
            </w:r>
          </w:p>
          <w:p w:rsidR="0044018B" w:rsidRPr="005B394F" w:rsidP="005B394F">
            <w:pPr>
              <w:pStyle w:val="NormalWeb"/>
              <w:keepLines/>
              <w:spacing w:before="0" w:beforeAutospacing="0" w:after="0" w:afterAutospacing="0"/>
              <w:contextualSpacing/>
              <w:rPr>
                <w:sz w:val="18"/>
                <w:szCs w:val="18"/>
              </w:rPr>
            </w:pPr>
            <w:r w:rsidRPr="005B394F">
              <w:rPr>
                <w:sz w:val="18"/>
                <w:szCs w:val="18"/>
                <w:vertAlign w:val="superscript"/>
              </w:rPr>
              <w:t>1</w:t>
            </w:r>
            <w:r w:rsidRPr="005B394F">
              <w:rPr>
                <w:sz w:val="18"/>
                <w:szCs w:val="18"/>
              </w:rPr>
              <w:t>) Aspoň 1 stanica v predmestskej oblasti, v ktorej sa pravdepodobne vyskytne najvyššia expozícia obyvateľstva. V aglomeráciách sa najmenej 50 % staníc umiestni v predmestských oblastiach.</w:t>
            </w:r>
          </w:p>
          <w:p w:rsidR="0044018B" w:rsidRPr="005B394F" w:rsidP="005B394F">
            <w:pPr>
              <w:pStyle w:val="NormalWeb"/>
              <w:keepLines/>
              <w:spacing w:before="0" w:beforeAutospacing="0" w:after="0" w:afterAutospacing="0"/>
              <w:contextualSpacing/>
              <w:rPr>
                <w:sz w:val="18"/>
                <w:szCs w:val="18"/>
              </w:rPr>
            </w:pPr>
            <w:r w:rsidRPr="005B394F">
              <w:rPr>
                <w:sz w:val="18"/>
                <w:szCs w:val="18"/>
                <w:vertAlign w:val="superscript"/>
              </w:rPr>
              <w:t>2</w:t>
            </w:r>
            <w:r w:rsidRPr="005B394F">
              <w:rPr>
                <w:sz w:val="18"/>
                <w:szCs w:val="18"/>
              </w:rPr>
              <w:t>) V zložitom teréne sa odporúča 1 stanica na 25 000 km</w:t>
            </w:r>
            <w:r w:rsidRPr="00C8183A">
              <w:rPr>
                <w:sz w:val="18"/>
                <w:szCs w:val="18"/>
                <w:vertAlign w:val="superscript"/>
              </w:rPr>
              <w:t>2</w:t>
            </w:r>
            <w:r w:rsidRPr="005B394F">
              <w:rPr>
                <w:sz w:val="18"/>
                <w:szCs w:val="18"/>
              </w:rPr>
              <w:t>.</w:t>
            </w:r>
          </w:p>
          <w:p w:rsidR="0044018B" w:rsidRPr="0044018B" w:rsidP="0044018B">
            <w:pPr>
              <w:pStyle w:val="NormalWeb"/>
              <w:keepLines/>
              <w:spacing w:before="0" w:beforeAutospacing="0" w:after="0" w:afterAutospacing="0"/>
              <w:ind w:left="426"/>
              <w:contextualSpacing/>
              <w:rPr>
                <w:sz w:val="20"/>
                <w:szCs w:val="20"/>
              </w:rPr>
            </w:pPr>
          </w:p>
          <w:p w:rsidR="0044018B" w:rsidRPr="0044018B" w:rsidP="0044018B">
            <w:pPr>
              <w:pStyle w:val="NormalWeb"/>
              <w:keepLines/>
              <w:spacing w:before="0" w:beforeAutospacing="0" w:after="0" w:afterAutospacing="0"/>
              <w:ind w:left="426"/>
              <w:contextualSpacing/>
              <w:rPr>
                <w:sz w:val="20"/>
                <w:szCs w:val="20"/>
              </w:rPr>
            </w:pPr>
          </w:p>
          <w:p w:rsidR="0044018B" w:rsidRPr="0044018B" w:rsidP="0044018B">
            <w:pPr>
              <w:pStyle w:val="NormalWeb"/>
              <w:keepLines/>
              <w:spacing w:before="0" w:beforeAutospacing="0" w:after="0" w:afterAutospacing="0"/>
              <w:ind w:left="426"/>
              <w:contextualSpacing/>
              <w:rPr>
                <w:sz w:val="20"/>
                <w:szCs w:val="20"/>
              </w:rPr>
            </w:pPr>
          </w:p>
          <w:p w:rsidR="0044018B" w:rsidRPr="0044018B" w:rsidP="0044018B">
            <w:pPr>
              <w:pStyle w:val="NormalWeb"/>
              <w:keepLines/>
              <w:spacing w:before="0" w:beforeAutospacing="0" w:after="0" w:afterAutospacing="0"/>
              <w:ind w:left="426"/>
              <w:contextualSpacing/>
              <w:rPr>
                <w:sz w:val="20"/>
                <w:szCs w:val="20"/>
              </w:rPr>
            </w:pPr>
          </w:p>
          <w:p w:rsidR="0044018B" w:rsidRPr="0044018B" w:rsidP="0044018B">
            <w:pPr>
              <w:pStyle w:val="NormalWeb"/>
              <w:spacing w:before="0" w:beforeAutospacing="0" w:after="0" w:afterAutospacing="0"/>
              <w:ind w:left="284" w:hanging="284"/>
              <w:contextualSpacing/>
              <w:rPr>
                <w:sz w:val="20"/>
                <w:szCs w:val="20"/>
              </w:rPr>
            </w:pPr>
            <w:r w:rsidRPr="0044018B">
              <w:rPr>
                <w:sz w:val="20"/>
                <w:szCs w:val="20"/>
              </w:rPr>
              <w:t>B.  Najmenší počet vzorkovacích miest na stále merania v zónach a v aglomeráciách, ktoré dosahujú dlhodobé ciele pre ozón</w:t>
            </w:r>
          </w:p>
          <w:p w:rsidR="0044018B" w:rsidRPr="0044018B" w:rsidP="0044018B">
            <w:pPr>
              <w:pStyle w:val="NormalWeb"/>
              <w:spacing w:before="0" w:beforeAutospacing="0" w:after="0" w:afterAutospacing="0"/>
              <w:ind w:left="720"/>
              <w:contextualSpacing/>
              <w:rPr>
                <w:sz w:val="20"/>
                <w:szCs w:val="20"/>
              </w:rPr>
            </w:pPr>
          </w:p>
          <w:p w:rsidR="0044018B" w:rsidRPr="0044018B" w:rsidP="0044018B">
            <w:pPr>
              <w:pStyle w:val="NormalWeb"/>
              <w:keepLines/>
              <w:spacing w:before="0" w:beforeAutospacing="0" w:after="0" w:afterAutospacing="0"/>
              <w:ind w:left="284"/>
              <w:contextualSpacing/>
              <w:rPr>
                <w:sz w:val="20"/>
                <w:szCs w:val="20"/>
              </w:rPr>
            </w:pPr>
            <w:r w:rsidRPr="0044018B">
              <w:rPr>
                <w:sz w:val="20"/>
                <w:szCs w:val="20"/>
              </w:rPr>
              <w:t>Je potrebné, aby počet vzorkovacích miest pre ozón v kombinácii s ostatnými prostriedkami doplnkového hodnotenia, ako sú modely kvality ovzdušia a súbežné merania oxidu dusičitého bol dostatočný na preskúmanie trendov znečisťovania ozónom a na kontrolu dodržiavania dlhodobých cieľov. Počet staníc umiestnených v aglomeráciách a v iných zónach môže byť znížený na jednu tretinu počtu uvedeného v písmene A. Keď sú informácie zo staníc stáleho merania jediným zdrojom informácií, udržiava sa aspoň jedna monitorovacia stanica. Ak v zónach s doplnkovým hodnotením dochádza k tomu, že v zóne nezostane žiadna stanica, je potrebné koordináciou s určitým počtom staníc v susediacich zónach zabezpečiť primerané hodnotenie koncentrácií ozónu z hľadiska dlhodobých cieľov. Na území Slovenskej republiky sa zriadi a prevádzkuje najmenej jedna vidiecka pozaďová stanica.</w:t>
            </w:r>
          </w:p>
          <w:p w:rsidR="0044018B" w:rsidRPr="0044018B" w:rsidP="0044018B">
            <w:pPr>
              <w:pStyle w:val="NormalWeb"/>
              <w:keepLines/>
              <w:spacing w:before="0" w:beforeAutospacing="0" w:after="0" w:afterAutospacing="0"/>
              <w:ind w:left="567"/>
              <w:contextualSpacing/>
              <w:rPr>
                <w:sz w:val="20"/>
                <w:szCs w:val="20"/>
              </w:rPr>
            </w:pPr>
          </w:p>
          <w:p w:rsidR="0044018B" w:rsidRPr="0044018B" w:rsidP="0044018B">
            <w:pPr>
              <w:pStyle w:val="NormalWeb"/>
              <w:keepLines/>
              <w:spacing w:before="0" w:beforeAutospacing="0" w:after="0" w:afterAutospacing="0"/>
              <w:ind w:left="284"/>
              <w:contextualSpacing/>
              <w:rPr>
                <w:sz w:val="20"/>
                <w:szCs w:val="20"/>
              </w:rPr>
            </w:pPr>
            <w:r w:rsidRPr="0044018B">
              <w:rPr>
                <w:sz w:val="20"/>
                <w:szCs w:val="20"/>
              </w:rPr>
              <w:t xml:space="preserve">Oxid dusičitý sa meria na minimálne 50 % vzorkovacích miest pre ozón požadovaných podľa písmena A. Takéto meranie je kontinuálne, s výnimkou vidieckych pozaďových staníc, ako sa uvádza v prílohe č. 8 časť II písm. A, kde sa môžu použiť iné metódy merania. </w:t>
            </w:r>
          </w:p>
          <w:p w:rsidR="00CB3E7D" w:rsidRPr="00F3128E" w:rsidP="00CB3E7D">
            <w:pPr>
              <w:pStyle w:val="NormalWeb"/>
              <w:spacing w:before="0" w:beforeAutospacing="0" w:after="0" w:afterAutospacing="0"/>
              <w:jc w:val="both"/>
              <w:rPr>
                <w:sz w:val="20"/>
                <w:szCs w:val="20"/>
              </w:rPr>
            </w:pPr>
          </w:p>
          <w:p w:rsidR="00CB3E7D" w:rsidRPr="0044018B" w:rsidP="00CB3E7D">
            <w:pPr>
              <w:rPr>
                <w:sz w:val="20"/>
                <w:lang w:eastAsia="sk-SK"/>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10</w:t>
            </w:r>
          </w:p>
        </w:tc>
        <w:tc>
          <w:tcPr>
            <w:tcW w:w="4074" w:type="dxa"/>
            <w:tcBorders>
              <w:bottom w:val="single" w:sz="4" w:space="0" w:color="auto"/>
            </w:tcBorders>
          </w:tcPr>
          <w:p w:rsidR="00CB3E7D" w:rsidRPr="00DC695B" w:rsidP="00CB3E7D">
            <w:pPr>
              <w:pStyle w:val="NormalWeb"/>
              <w:rPr>
                <w:sz w:val="20"/>
                <w:szCs w:val="20"/>
              </w:rPr>
            </w:pPr>
            <w:r w:rsidRPr="00DC695B">
              <w:rPr>
                <w:sz w:val="20"/>
                <w:szCs w:val="20"/>
              </w:rPr>
              <w:t>Merania prekurzorov ozónu</w:t>
            </w:r>
          </w:p>
          <w:p w:rsidR="00CB3E7D" w:rsidRPr="00DC695B" w:rsidP="00CB3E7D">
            <w:pPr>
              <w:pStyle w:val="NormalWeb"/>
              <w:rPr>
                <w:sz w:val="20"/>
                <w:szCs w:val="20"/>
              </w:rPr>
            </w:pPr>
            <w:r w:rsidRPr="00DC695B">
              <w:rPr>
                <w:sz w:val="20"/>
                <w:szCs w:val="20"/>
              </w:rPr>
              <w:t>A. Ciele</w:t>
            </w:r>
          </w:p>
          <w:p w:rsidR="00CB3E7D" w:rsidRPr="00DC695B" w:rsidP="00CB3E7D">
            <w:pPr>
              <w:pStyle w:val="NormalWeb"/>
              <w:rPr>
                <w:sz w:val="20"/>
                <w:szCs w:val="20"/>
              </w:rPr>
            </w:pPr>
            <w:r w:rsidRPr="00DC695B">
              <w:rPr>
                <w:sz w:val="20"/>
                <w:szCs w:val="20"/>
              </w:rPr>
              <w:t>Hlavnými cieľmi týchto meraní je analýza všetkých trendov prekurzorov ozónu, kontrola účinnosti stratégií znižovania emisií, kontrola súladu emisných inventúr a pomoc pri priraďovaní zdrojov emisií k sledovaným koncentráciám znečistenia.</w:t>
            </w:r>
          </w:p>
          <w:p w:rsidR="00CB3E7D" w:rsidRPr="00DC695B" w:rsidP="00CB3E7D">
            <w:pPr>
              <w:pStyle w:val="NormalWeb"/>
              <w:rPr>
                <w:sz w:val="20"/>
                <w:szCs w:val="20"/>
              </w:rPr>
            </w:pPr>
            <w:r w:rsidRPr="00DC695B">
              <w:rPr>
                <w:sz w:val="20"/>
                <w:szCs w:val="20"/>
              </w:rPr>
              <w:t>Dodatočným cieľom je podpora pochopenia procesov tvorby ozónu a rozptylu prekurzorov, ako aj uplatnenie fotochemických modelov.</w:t>
            </w:r>
          </w:p>
          <w:p w:rsidR="00CB3E7D" w:rsidRPr="00DC695B" w:rsidP="00CB3E7D">
            <w:pPr>
              <w:pStyle w:val="NormalWeb"/>
              <w:rPr>
                <w:sz w:val="20"/>
                <w:szCs w:val="20"/>
              </w:rPr>
            </w:pPr>
            <w:r w:rsidRPr="00DC695B">
              <w:rPr>
                <w:sz w:val="20"/>
                <w:szCs w:val="20"/>
              </w:rPr>
              <w:t>B. Látky</w:t>
            </w:r>
          </w:p>
          <w:p w:rsidR="00CB3E7D" w:rsidRPr="00DC695B" w:rsidP="00CB3E7D">
            <w:pPr>
              <w:pStyle w:val="NormalWeb"/>
              <w:rPr>
                <w:sz w:val="20"/>
                <w:szCs w:val="20"/>
              </w:rPr>
            </w:pPr>
            <w:r w:rsidRPr="00DC695B">
              <w:rPr>
                <w:sz w:val="20"/>
                <w:szCs w:val="20"/>
              </w:rPr>
              <w:t>Merania prekurzorov ozónu zahŕňajú aspoň oxidy dusíka (NO a NO</w:t>
            </w:r>
            <w:r w:rsidRPr="00C8183A">
              <w:rPr>
                <w:sz w:val="20"/>
                <w:szCs w:val="20"/>
                <w:vertAlign w:val="subscript"/>
              </w:rPr>
              <w:t>2</w:t>
            </w:r>
            <w:r w:rsidRPr="00DC695B">
              <w:rPr>
                <w:sz w:val="20"/>
                <w:szCs w:val="20"/>
              </w:rPr>
              <w:t>) a príslušné prchavé organické zlúčeniny (VOC). Zoznam VOC odporúčaných na meranie sa uvádza nižšie:</w:t>
            </w:r>
          </w:p>
          <w:p w:rsidR="00CB3E7D" w:rsidRPr="00DC695B" w:rsidP="00CB3E7D">
            <w:pPr>
              <w:pStyle w:val="NormalWeb"/>
              <w:rPr>
                <w:sz w:val="20"/>
                <w:szCs w:val="20"/>
              </w:rPr>
            </w:pPr>
            <w:r w:rsidRPr="00DC695B">
              <w:rPr>
                <w:sz w:val="20"/>
                <w:szCs w:val="20"/>
              </w:rPr>
              <w:t>| 1-butén | izoprén | etylbenzén |</w:t>
            </w:r>
          </w:p>
          <w:p w:rsidR="00CB3E7D" w:rsidRPr="00DC695B" w:rsidP="00CB3E7D">
            <w:pPr>
              <w:pStyle w:val="NormalWeb"/>
              <w:rPr>
                <w:sz w:val="20"/>
                <w:szCs w:val="20"/>
              </w:rPr>
            </w:pPr>
            <w:r w:rsidRPr="00DC695B">
              <w:rPr>
                <w:sz w:val="20"/>
                <w:szCs w:val="20"/>
              </w:rPr>
              <w:t>etán | trans-2-butén | n-hexán | m + p-xylén |</w:t>
            </w:r>
          </w:p>
          <w:p w:rsidR="00CB3E7D" w:rsidRPr="00DC695B" w:rsidP="00CB3E7D">
            <w:pPr>
              <w:pStyle w:val="NormalWeb"/>
              <w:rPr>
                <w:sz w:val="20"/>
                <w:szCs w:val="20"/>
              </w:rPr>
            </w:pPr>
            <w:r w:rsidRPr="00DC695B">
              <w:rPr>
                <w:sz w:val="20"/>
                <w:szCs w:val="20"/>
              </w:rPr>
              <w:t>etylén | cis-2-butén | i-hexán | o-xylén |</w:t>
            </w:r>
          </w:p>
          <w:p w:rsidR="00CB3E7D" w:rsidRPr="00DC695B" w:rsidP="00CB3E7D">
            <w:pPr>
              <w:pStyle w:val="NormalWeb"/>
              <w:rPr>
                <w:sz w:val="20"/>
                <w:szCs w:val="20"/>
              </w:rPr>
            </w:pPr>
            <w:r w:rsidRPr="00DC695B">
              <w:rPr>
                <w:sz w:val="20"/>
                <w:szCs w:val="20"/>
              </w:rPr>
              <w:t>acetylén | 1,3-butadién | n-heptán | 1,2,4-trimetylebenzén |</w:t>
            </w:r>
          </w:p>
          <w:p w:rsidR="00CB3E7D" w:rsidRPr="00DC695B" w:rsidP="00CB3E7D">
            <w:pPr>
              <w:pStyle w:val="NormalWeb"/>
              <w:rPr>
                <w:sz w:val="20"/>
                <w:szCs w:val="20"/>
              </w:rPr>
            </w:pPr>
            <w:r w:rsidRPr="00DC695B">
              <w:rPr>
                <w:sz w:val="20"/>
                <w:szCs w:val="20"/>
              </w:rPr>
              <w:t>propán | n-pentán | n-oktán | 1,2,3-trimetylebenzén |</w:t>
            </w:r>
          </w:p>
          <w:p w:rsidR="00CB3E7D" w:rsidRPr="00DC695B" w:rsidP="00CB3E7D">
            <w:pPr>
              <w:pStyle w:val="NormalWeb"/>
              <w:rPr>
                <w:sz w:val="20"/>
                <w:szCs w:val="20"/>
              </w:rPr>
            </w:pPr>
            <w:r w:rsidRPr="00DC695B">
              <w:rPr>
                <w:sz w:val="20"/>
                <w:szCs w:val="20"/>
              </w:rPr>
              <w:t>propén | i-pentán | i-oktán | 1,3,5-trimetylebenzén |</w:t>
            </w:r>
          </w:p>
          <w:p w:rsidR="00CB3E7D" w:rsidRPr="00DC695B" w:rsidP="00CB3E7D">
            <w:pPr>
              <w:pStyle w:val="NormalWeb"/>
              <w:rPr>
                <w:sz w:val="20"/>
                <w:szCs w:val="20"/>
              </w:rPr>
            </w:pPr>
            <w:r w:rsidRPr="00DC695B">
              <w:rPr>
                <w:sz w:val="20"/>
                <w:szCs w:val="20"/>
              </w:rPr>
              <w:t>n-bután | 1-pentén | benzén | formaldehyd |</w:t>
            </w:r>
          </w:p>
          <w:p w:rsidR="00CB3E7D" w:rsidRPr="00DC695B" w:rsidP="00CB3E7D">
            <w:pPr>
              <w:pStyle w:val="NormalWeb"/>
              <w:rPr>
                <w:sz w:val="20"/>
                <w:szCs w:val="20"/>
              </w:rPr>
            </w:pPr>
            <w:r w:rsidRPr="00DC695B">
              <w:rPr>
                <w:sz w:val="20"/>
                <w:szCs w:val="20"/>
              </w:rPr>
              <w:t>i-bután | 2-pentén | toluén | bezmetánové uhľovodíky spolu |</w:t>
            </w:r>
          </w:p>
          <w:p w:rsidR="00CB3E7D" w:rsidRPr="00DC695B" w:rsidP="00CB3E7D">
            <w:pPr>
              <w:pStyle w:val="NormalWeb"/>
              <w:rPr>
                <w:sz w:val="20"/>
                <w:szCs w:val="20"/>
              </w:rPr>
            </w:pPr>
            <w:r w:rsidRPr="00DC695B">
              <w:rPr>
                <w:sz w:val="20"/>
                <w:szCs w:val="20"/>
              </w:rPr>
              <w:t>C. Umiestnenie</w:t>
            </w:r>
          </w:p>
          <w:p w:rsidR="00CB3E7D" w:rsidRPr="00DC695B" w:rsidP="00CB3E7D">
            <w:pPr>
              <w:pStyle w:val="NormalWeb"/>
            </w:pPr>
            <w:r w:rsidRPr="00DC695B">
              <w:rPr>
                <w:sz w:val="20"/>
                <w:szCs w:val="20"/>
              </w:rPr>
              <w:t>Merania sa uskutočňujú najmä v mestských alebo predmestských oblastiach na akomkoľvek monitorovacom mieste zriadenom v súlade s požiadavkami tejto smernice, ktoré sa považuje za vhodné vzhľadom na monitorovacie ciele uvedené v oddiele A.</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855110">
              <w:rPr>
                <w:sz w:val="20"/>
              </w:rPr>
              <w:t>NV</w:t>
            </w:r>
          </w:p>
        </w:tc>
        <w:tc>
          <w:tcPr>
            <w:tcW w:w="701" w:type="dxa"/>
            <w:tcBorders>
              <w:bottom w:val="single" w:sz="4" w:space="0" w:color="auto"/>
            </w:tcBorders>
          </w:tcPr>
          <w:p w:rsidR="00CB3E7D" w:rsidP="00CB3E7D">
            <w:pPr>
              <w:jc w:val="both"/>
              <w:rPr>
                <w:sz w:val="20"/>
              </w:rPr>
            </w:pPr>
            <w:r>
              <w:rPr>
                <w:sz w:val="20"/>
              </w:rPr>
              <w:t>Príl.</w:t>
            </w:r>
            <w:r w:rsidR="00855110">
              <w:rPr>
                <w:sz w:val="20"/>
              </w:rPr>
              <w:t xml:space="preserve"> 8</w:t>
            </w:r>
          </w:p>
          <w:p w:rsidR="00855110" w:rsidP="00CB3E7D">
            <w:pPr>
              <w:jc w:val="both"/>
              <w:rPr>
                <w:sz w:val="20"/>
              </w:rPr>
            </w:pPr>
            <w:r>
              <w:rPr>
                <w:sz w:val="20"/>
              </w:rPr>
              <w:t>Časť IV</w:t>
            </w:r>
          </w:p>
          <w:p w:rsidR="0066225B" w:rsidRPr="00390FC1" w:rsidP="00CB3E7D">
            <w:pPr>
              <w:jc w:val="both"/>
              <w:rPr>
                <w:sz w:val="20"/>
              </w:rPr>
            </w:pPr>
            <w:r w:rsidR="00C67CDD">
              <w:rPr>
                <w:sz w:val="20"/>
              </w:rPr>
              <w:t>A,B,C</w:t>
            </w:r>
          </w:p>
        </w:tc>
        <w:tc>
          <w:tcPr>
            <w:tcW w:w="7797" w:type="dxa"/>
            <w:tcBorders>
              <w:bottom w:val="single" w:sz="4" w:space="0" w:color="auto"/>
            </w:tcBorders>
          </w:tcPr>
          <w:p w:rsidR="00BF6B28" w:rsidRPr="00BF6B28" w:rsidP="00BF6B28">
            <w:pPr>
              <w:pStyle w:val="Heading1"/>
              <w:keepNext w:val="0"/>
              <w:contextualSpacing/>
              <w:rPr>
                <w:b w:val="0"/>
                <w:sz w:val="20"/>
                <w:lang w:eastAsia="sk-SK"/>
              </w:rPr>
            </w:pPr>
            <w:r w:rsidRPr="00BF6B28">
              <w:rPr>
                <w:b w:val="0"/>
                <w:sz w:val="20"/>
                <w:lang w:eastAsia="sk-SK"/>
              </w:rPr>
              <w:t>Časť IV</w:t>
            </w:r>
          </w:p>
          <w:p w:rsidR="00BF6B28" w:rsidRPr="00BF6B28" w:rsidP="00BF6B28">
            <w:pPr>
              <w:rPr>
                <w:sz w:val="20"/>
                <w:lang w:eastAsia="sk-SK"/>
              </w:rPr>
            </w:pPr>
          </w:p>
          <w:p w:rsidR="00BF6B28" w:rsidRPr="00BF6B28" w:rsidP="00BF6B28">
            <w:pPr>
              <w:pStyle w:val="Heading1"/>
              <w:keepNext w:val="0"/>
              <w:contextualSpacing/>
              <w:jc w:val="both"/>
              <w:rPr>
                <w:b w:val="0"/>
                <w:sz w:val="20"/>
                <w:lang w:eastAsia="sk-SK"/>
              </w:rPr>
            </w:pPr>
            <w:r w:rsidRPr="00BF6B28">
              <w:rPr>
                <w:b w:val="0"/>
                <w:sz w:val="20"/>
                <w:lang w:eastAsia="sk-SK"/>
              </w:rPr>
              <w:t>Požiadavky na merania prekurzorov ozónu</w:t>
            </w:r>
          </w:p>
          <w:p w:rsidR="00BF6B28" w:rsidRPr="00BF6B28" w:rsidP="00BF6B28">
            <w:pPr>
              <w:pStyle w:val="NormalWeb"/>
              <w:spacing w:before="240" w:beforeAutospacing="0" w:after="120" w:afterAutospacing="0"/>
              <w:rPr>
                <w:sz w:val="20"/>
                <w:szCs w:val="20"/>
              </w:rPr>
            </w:pPr>
            <w:r w:rsidRPr="00BF6B28">
              <w:rPr>
                <w:sz w:val="20"/>
                <w:szCs w:val="20"/>
              </w:rPr>
              <w:t>A. Ciele</w:t>
            </w:r>
          </w:p>
          <w:p w:rsidR="00BF6B28" w:rsidRPr="00BF6B28" w:rsidP="00BF6B28">
            <w:pPr>
              <w:pStyle w:val="NormalWeb"/>
              <w:spacing w:before="0" w:beforeAutospacing="0" w:after="0" w:afterAutospacing="0"/>
              <w:ind w:left="284"/>
              <w:contextualSpacing/>
              <w:rPr>
                <w:sz w:val="20"/>
                <w:szCs w:val="20"/>
              </w:rPr>
            </w:pPr>
            <w:r w:rsidRPr="00BF6B28">
              <w:rPr>
                <w:sz w:val="20"/>
                <w:szCs w:val="20"/>
              </w:rPr>
              <w:t>Hlavným cieľom týchto meraní je analýza všetkých trendov prekurzorov ozónu, kontrola účinnosti stratégií znižovania emisií, kontrola súladu emisných inventúr a pomoc pri priraďovaní zdrojov emisií k sledovaným koncentráciám znečistenia ovzdušia.</w:t>
            </w:r>
          </w:p>
          <w:p w:rsidR="00BF6B28" w:rsidRPr="00BF6B28" w:rsidP="00BF6B28">
            <w:pPr>
              <w:pStyle w:val="NormalWeb"/>
              <w:spacing w:before="0" w:beforeAutospacing="0" w:after="0" w:afterAutospacing="0"/>
              <w:ind w:left="284"/>
              <w:contextualSpacing/>
              <w:rPr>
                <w:sz w:val="20"/>
                <w:szCs w:val="20"/>
              </w:rPr>
            </w:pPr>
            <w:r w:rsidRPr="00BF6B28">
              <w:rPr>
                <w:sz w:val="20"/>
                <w:szCs w:val="20"/>
              </w:rPr>
              <w:t>Dodatočným cieľom je podpora pochopenia procesov tvorby ozónu a rozptylu prekurzorov, ako aj uplatnenie fotochemických modelov.</w:t>
            </w:r>
          </w:p>
          <w:p w:rsidR="00BF6B28" w:rsidRPr="00BF6B28" w:rsidP="00BF6B28">
            <w:pPr>
              <w:pStyle w:val="NormalWeb"/>
              <w:spacing w:before="240" w:beforeAutospacing="0" w:after="120" w:afterAutospacing="0"/>
              <w:rPr>
                <w:sz w:val="20"/>
                <w:szCs w:val="20"/>
              </w:rPr>
            </w:pPr>
            <w:r w:rsidRPr="00BF6B28">
              <w:rPr>
                <w:sz w:val="20"/>
                <w:szCs w:val="20"/>
              </w:rPr>
              <w:t>B. Látky</w:t>
            </w:r>
          </w:p>
          <w:p w:rsidR="00BF6B28" w:rsidRPr="00BF6B28" w:rsidP="00BF6B28">
            <w:pPr>
              <w:pStyle w:val="NormalWeb"/>
              <w:spacing w:before="0" w:beforeAutospacing="0" w:after="0" w:afterAutospacing="0"/>
              <w:ind w:left="284"/>
              <w:contextualSpacing/>
              <w:rPr>
                <w:sz w:val="20"/>
                <w:szCs w:val="20"/>
              </w:rPr>
            </w:pPr>
            <w:r w:rsidRPr="00BF6B28">
              <w:rPr>
                <w:sz w:val="20"/>
                <w:szCs w:val="20"/>
              </w:rPr>
              <w:t>Merania prekurzorov ozónu zahŕňajú aspoň merania oxidov dusíka, t.j. oxidu dusnatého a oxidu dusičitého a príslušných prchavých organických zlúčenín. Zoznam prchavých organických zlúčenín odporúčaných na meranie je uvedený v tabuľke</w:t>
            </w:r>
          </w:p>
          <w:p w:rsidR="00BF6B28" w:rsidRPr="00BF6B28" w:rsidP="00BF6B28">
            <w:pPr>
              <w:pStyle w:val="NormalWeb"/>
              <w:spacing w:before="0" w:beforeAutospacing="0" w:after="0" w:afterAutospacing="0"/>
              <w:contextualSpacing/>
              <w:rPr>
                <w:sz w:val="20"/>
                <w:szCs w:val="20"/>
              </w:rPr>
            </w:pPr>
          </w:p>
          <w:tbl>
            <w:tblPr>
              <w:tblStyle w:val="TableNormal"/>
              <w:tblW w:w="72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4"/>
              <w:gridCol w:w="1650"/>
              <w:gridCol w:w="1649"/>
              <w:gridCol w:w="2828"/>
            </w:tblGrid>
            <w:tr w:rsidTr="001F4330">
              <w:tblPrEx>
                <w:tblW w:w="72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1-butén </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Izoprén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etylbenzén</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etán </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trans-2-butén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n-hexán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m + p-xylén</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etylén </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cis-2-butén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i-hexán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o-xylén</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acetylén</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1,3-butadién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n-heptán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1,2,4-trimetylebenzén</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propán </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n-pentán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n-oktán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1,2,3-trimetylebenzén</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propén </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i-pentán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i-oktán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1,3,5-trimetylebenzén</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n-bután </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1-pentén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Benzén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formaldehyd</w:t>
                  </w:r>
                </w:p>
              </w:tc>
            </w:tr>
            <w:tr w:rsidTr="001F4330">
              <w:tblPrEx>
                <w:tblW w:w="7211" w:type="dxa"/>
                <w:tblInd w:w="392" w:type="dxa"/>
                <w:tblLayout w:type="fixed"/>
                <w:tblLook w:val="01E0"/>
              </w:tblPrEx>
              <w:trPr>
                <w:trHeight w:val="302"/>
              </w:trPr>
              <w:tc>
                <w:tcPr>
                  <w:tcW w:w="1084"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 xml:space="preserve">i-bután </w:t>
                  </w:r>
                </w:p>
              </w:tc>
              <w:tc>
                <w:tcPr>
                  <w:tcW w:w="1650"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2-pentén</w:t>
                  </w:r>
                </w:p>
              </w:tc>
              <w:tc>
                <w:tcPr>
                  <w:tcW w:w="1649"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Toluén</w:t>
                  </w:r>
                </w:p>
              </w:tc>
              <w:tc>
                <w:tcPr>
                  <w:tcW w:w="2828" w:type="dxa"/>
                  <w:vAlign w:val="center"/>
                </w:tcPr>
                <w:p w:rsidR="00BF6B28" w:rsidRPr="007B57C0" w:rsidP="00BF6B28">
                  <w:pPr>
                    <w:pStyle w:val="NormalWeb"/>
                    <w:spacing w:before="0" w:beforeAutospacing="0" w:after="0" w:afterAutospacing="0"/>
                    <w:contextualSpacing/>
                    <w:rPr>
                      <w:sz w:val="20"/>
                      <w:szCs w:val="20"/>
                    </w:rPr>
                  </w:pPr>
                  <w:r w:rsidRPr="007B57C0">
                    <w:rPr>
                      <w:sz w:val="20"/>
                      <w:szCs w:val="20"/>
                    </w:rPr>
                    <w:t>nemetánové uhľovodíky spolu</w:t>
                  </w:r>
                </w:p>
              </w:tc>
            </w:tr>
          </w:tbl>
          <w:p w:rsidR="00BF6B28" w:rsidRPr="007B57C0" w:rsidP="00BF6B28">
            <w:pPr>
              <w:pStyle w:val="NormalWeb"/>
              <w:spacing w:before="0" w:beforeAutospacing="0" w:after="0" w:afterAutospacing="0"/>
              <w:contextualSpacing/>
              <w:rPr>
                <w:sz w:val="20"/>
                <w:szCs w:val="20"/>
              </w:rPr>
            </w:pPr>
          </w:p>
          <w:p w:rsidR="00BF6B28" w:rsidRPr="00BF6B28" w:rsidP="00BF6B28">
            <w:pPr>
              <w:pStyle w:val="NormalWeb"/>
              <w:spacing w:before="0" w:beforeAutospacing="0" w:after="120" w:afterAutospacing="0"/>
              <w:rPr>
                <w:sz w:val="20"/>
                <w:szCs w:val="20"/>
              </w:rPr>
            </w:pPr>
            <w:r w:rsidRPr="00BF6B28">
              <w:rPr>
                <w:sz w:val="20"/>
                <w:szCs w:val="20"/>
              </w:rPr>
              <w:t>C. Umiestnenie</w:t>
            </w:r>
          </w:p>
          <w:p w:rsidR="00BF6B28" w:rsidRPr="00BF6B28" w:rsidP="00BF6B28">
            <w:pPr>
              <w:pStyle w:val="NormalWeb"/>
              <w:spacing w:before="0" w:beforeAutospacing="0" w:after="0" w:afterAutospacing="0"/>
              <w:ind w:left="284"/>
              <w:contextualSpacing/>
              <w:rPr>
                <w:sz w:val="20"/>
                <w:szCs w:val="20"/>
              </w:rPr>
            </w:pPr>
            <w:r w:rsidRPr="00BF6B28">
              <w:rPr>
                <w:sz w:val="20"/>
                <w:szCs w:val="20"/>
              </w:rPr>
              <w:t>Merania sa uskutočňujú najmä v mestských alebo predmestských oblastiach na akomkoľvek monitorovacom mieste zriadenom podľa požiadaviek tejto vyhlášky, ktoré sa považuje za vhodné vzhľadom na monitorovacie ciele uvedené v písmene A.</w:t>
            </w:r>
          </w:p>
          <w:p w:rsidR="00CB3E7D"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P="00CB3E7D">
            <w:pPr>
              <w:pStyle w:val="NormalWeb"/>
              <w:spacing w:before="0" w:beforeAutospacing="0" w:after="0" w:afterAutospacing="0"/>
              <w:jc w:val="both"/>
              <w:rPr>
                <w:sz w:val="20"/>
                <w:szCs w:val="20"/>
              </w:rPr>
            </w:pPr>
          </w:p>
          <w:p w:rsidR="00855110" w:rsidRPr="00855110" w:rsidP="00CB3E7D">
            <w:pPr>
              <w:pStyle w:val="NormalWeb"/>
              <w:spacing w:before="0" w:beforeAutospacing="0" w:after="0" w:afterAutospacing="0"/>
              <w:jc w:val="both"/>
              <w:rPr>
                <w:sz w:val="20"/>
                <w:szCs w:val="20"/>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11</w:t>
            </w:r>
          </w:p>
        </w:tc>
        <w:tc>
          <w:tcPr>
            <w:tcW w:w="4074" w:type="dxa"/>
            <w:tcBorders>
              <w:bottom w:val="single" w:sz="4" w:space="0" w:color="auto"/>
            </w:tcBorders>
          </w:tcPr>
          <w:p w:rsidR="00CB3E7D" w:rsidRPr="00DC695B" w:rsidP="00CB3E7D">
            <w:pPr>
              <w:pStyle w:val="NormalWeb"/>
              <w:rPr>
                <w:sz w:val="20"/>
                <w:szCs w:val="20"/>
              </w:rPr>
            </w:pPr>
            <w:r w:rsidRPr="00390FC1">
              <w:rPr>
                <w:sz w:val="20"/>
                <w:szCs w:val="20"/>
              </w:rPr>
              <w:t>Limitné hodnoty na ochra</w:t>
            </w:r>
            <w:r w:rsidRPr="00DC695B">
              <w:rPr>
                <w:sz w:val="20"/>
                <w:szCs w:val="20"/>
              </w:rPr>
              <w:t>nu zdravia ľudí</w:t>
            </w:r>
          </w:p>
          <w:p w:rsidR="00CB3E7D" w:rsidRPr="00DC695B" w:rsidP="00CB3E7D">
            <w:pPr>
              <w:pStyle w:val="NormalWeb"/>
              <w:rPr>
                <w:sz w:val="20"/>
                <w:szCs w:val="20"/>
              </w:rPr>
            </w:pPr>
            <w:r w:rsidRPr="00DC695B">
              <w:rPr>
                <w:sz w:val="20"/>
                <w:szCs w:val="20"/>
              </w:rPr>
              <w:t>A. Kritériá</w:t>
            </w:r>
          </w:p>
          <w:p w:rsidR="00CB3E7D" w:rsidRPr="00DC695B" w:rsidP="00CB3E7D">
            <w:pPr>
              <w:pStyle w:val="NormalWeb"/>
              <w:rPr>
                <w:sz w:val="20"/>
                <w:szCs w:val="20"/>
              </w:rPr>
            </w:pPr>
            <w:r w:rsidRPr="00DC695B">
              <w:rPr>
                <w:sz w:val="20"/>
                <w:szCs w:val="20"/>
              </w:rPr>
              <w:t>Bez toho, aby bola dotknutá príloha I, sa pri zhromažďovaní údajov a výpočte štatistických parametrov použijú na kontrolu platnosti tieto kritériá:</w:t>
            </w:r>
          </w:p>
          <w:p w:rsidR="00CB3E7D" w:rsidRPr="00DC695B" w:rsidP="00CB3E7D">
            <w:pPr>
              <w:pStyle w:val="NormalWeb"/>
              <w:rPr>
                <w:sz w:val="20"/>
                <w:szCs w:val="20"/>
              </w:rPr>
            </w:pPr>
            <w:r w:rsidRPr="00DC695B">
              <w:rPr>
                <w:sz w:val="20"/>
                <w:szCs w:val="20"/>
              </w:rPr>
              <w:t>Parameter | Vyžadovaný podiel platných údajov |</w:t>
            </w:r>
          </w:p>
          <w:p w:rsidR="00CB3E7D" w:rsidRPr="00DC695B" w:rsidP="00CB3E7D">
            <w:pPr>
              <w:pStyle w:val="NormalWeb"/>
              <w:rPr>
                <w:sz w:val="20"/>
                <w:szCs w:val="20"/>
              </w:rPr>
            </w:pPr>
            <w:r w:rsidRPr="00DC695B">
              <w:rPr>
                <w:sz w:val="20"/>
                <w:szCs w:val="20"/>
              </w:rPr>
              <w:t>1-hodinové hodnoty | 75 % (t. j. 45 minút) |</w:t>
            </w:r>
          </w:p>
          <w:p w:rsidR="00CB3E7D" w:rsidRPr="00DC695B" w:rsidP="00CB3E7D">
            <w:pPr>
              <w:pStyle w:val="NormalWeb"/>
              <w:rPr>
                <w:sz w:val="20"/>
                <w:szCs w:val="20"/>
              </w:rPr>
            </w:pPr>
            <w:r w:rsidRPr="00DC695B">
              <w:rPr>
                <w:sz w:val="20"/>
                <w:szCs w:val="20"/>
              </w:rPr>
              <w:t>8-hodinové hodnoty | 75 % hodnôt (t. j. 6 hodín) |</w:t>
            </w:r>
          </w:p>
          <w:p w:rsidR="00CB3E7D" w:rsidRPr="00DC695B" w:rsidP="00CB3E7D">
            <w:pPr>
              <w:pStyle w:val="NormalWeb"/>
              <w:rPr>
                <w:sz w:val="20"/>
                <w:szCs w:val="20"/>
              </w:rPr>
            </w:pPr>
            <w:r w:rsidRPr="00DC695B">
              <w:rPr>
                <w:sz w:val="20"/>
                <w:szCs w:val="20"/>
              </w:rPr>
              <w:t>Maximálna denná 8-hodinová stredná hodnota | 75 % hodinových pohyblivých priemerov z 8 po sebe nasledujúcich hodín (t. j. 18 8-hodinových priemerov za deň) |</w:t>
            </w:r>
          </w:p>
          <w:p w:rsidR="00CB3E7D" w:rsidRPr="00DC695B" w:rsidP="00CB3E7D">
            <w:pPr>
              <w:pStyle w:val="NormalWeb"/>
              <w:rPr>
                <w:sz w:val="20"/>
                <w:szCs w:val="20"/>
              </w:rPr>
            </w:pPr>
            <w:r w:rsidRPr="00DC695B">
              <w:rPr>
                <w:sz w:val="20"/>
                <w:szCs w:val="20"/>
              </w:rPr>
              <w:t>24-hodinové hodnoty | 75 % hodinových priemerov (t. j. aspoň 18 hodinových hodnôt) |</w:t>
            </w:r>
          </w:p>
          <w:p w:rsidR="00CB3E7D" w:rsidRPr="00DC695B" w:rsidP="00CB3E7D">
            <w:pPr>
              <w:pStyle w:val="NormalWeb"/>
              <w:rPr>
                <w:sz w:val="20"/>
                <w:szCs w:val="20"/>
              </w:rPr>
            </w:pPr>
            <w:r w:rsidRPr="00DC695B">
              <w:rPr>
                <w:sz w:val="20"/>
                <w:szCs w:val="20"/>
              </w:rPr>
              <w:t>Ročná stredná hodnota | 90 % [1] 1-hodinových hodnôt alebo (ak nie sú k dispozícii) 24-hodinových hodnôt za rok |</w:t>
            </w:r>
          </w:p>
          <w:p w:rsidR="00CB3E7D" w:rsidRPr="00DC695B" w:rsidP="00CB3E7D">
            <w:pPr>
              <w:pStyle w:val="NormalWeb"/>
              <w:rPr>
                <w:sz w:val="20"/>
                <w:szCs w:val="20"/>
              </w:rPr>
            </w:pPr>
            <w:r w:rsidRPr="00DC695B">
              <w:rPr>
                <w:sz w:val="20"/>
                <w:szCs w:val="20"/>
              </w:rPr>
              <w:t>B. Limitné hodnoty</w:t>
            </w:r>
          </w:p>
          <w:p w:rsidR="00CB3E7D" w:rsidRPr="00DC695B" w:rsidP="00CB3E7D">
            <w:pPr>
              <w:pStyle w:val="NormalWeb"/>
              <w:rPr>
                <w:sz w:val="20"/>
                <w:szCs w:val="20"/>
              </w:rPr>
            </w:pPr>
            <w:r w:rsidRPr="00DC695B">
              <w:rPr>
                <w:sz w:val="20"/>
                <w:szCs w:val="20"/>
              </w:rPr>
              <w:t>Priemerované obdobie | Limitná hodnota | Medza tolerancie | Dátum, ku ktorému sa má limitná hodnota dosiahnuť |</w:t>
            </w:r>
          </w:p>
          <w:p w:rsidR="00CB3E7D" w:rsidRPr="00DC695B" w:rsidP="00CB3E7D">
            <w:pPr>
              <w:pStyle w:val="NormalWeb"/>
              <w:rPr>
                <w:sz w:val="20"/>
                <w:szCs w:val="20"/>
              </w:rPr>
            </w:pPr>
            <w:r w:rsidRPr="00DC695B">
              <w:rPr>
                <w:sz w:val="20"/>
                <w:szCs w:val="20"/>
              </w:rPr>
              <w:t>Oxid siričitý</w:t>
            </w:r>
          </w:p>
          <w:p w:rsidR="00CB3E7D" w:rsidRPr="00DC695B" w:rsidP="00CB3E7D">
            <w:pPr>
              <w:pStyle w:val="NormalWeb"/>
              <w:rPr>
                <w:sz w:val="20"/>
                <w:szCs w:val="20"/>
              </w:rPr>
            </w:pPr>
            <w:r w:rsidRPr="00DC695B">
              <w:rPr>
                <w:sz w:val="20"/>
                <w:szCs w:val="20"/>
              </w:rPr>
              <w:t>1 hodina | 350 µg/m</w:t>
            </w:r>
            <w:r w:rsidRPr="00C8183A">
              <w:rPr>
                <w:sz w:val="20"/>
                <w:szCs w:val="20"/>
                <w:vertAlign w:val="superscript"/>
              </w:rPr>
              <w:t xml:space="preserve">3 </w:t>
            </w:r>
            <w:r w:rsidRPr="00DC695B">
              <w:rPr>
                <w:sz w:val="20"/>
                <w:szCs w:val="20"/>
              </w:rPr>
              <w:t>sa nesmie prekročiť viac ako 24-krát za kalendárny rok | 150 µg/m</w:t>
            </w:r>
            <w:r w:rsidRPr="00C8183A">
              <w:rPr>
                <w:sz w:val="20"/>
                <w:szCs w:val="20"/>
                <w:vertAlign w:val="superscript"/>
              </w:rPr>
              <w:t>3</w:t>
            </w:r>
            <w:r w:rsidRPr="00DC695B">
              <w:rPr>
                <w:sz w:val="20"/>
                <w:szCs w:val="20"/>
              </w:rPr>
              <w:t xml:space="preserve"> (43 %) | — [2] |</w:t>
            </w:r>
          </w:p>
          <w:p w:rsidR="00CB3E7D" w:rsidRPr="00DC695B" w:rsidP="00CB3E7D">
            <w:pPr>
              <w:pStyle w:val="NormalWeb"/>
              <w:rPr>
                <w:sz w:val="20"/>
                <w:szCs w:val="20"/>
              </w:rPr>
            </w:pPr>
            <w:r w:rsidRPr="00DC695B">
              <w:rPr>
                <w:sz w:val="20"/>
                <w:szCs w:val="20"/>
              </w:rPr>
              <w:t>1 deň | 125 µg/m</w:t>
            </w:r>
            <w:r w:rsidRPr="00C8183A">
              <w:rPr>
                <w:sz w:val="20"/>
                <w:szCs w:val="20"/>
                <w:vertAlign w:val="superscript"/>
              </w:rPr>
              <w:t>3</w:t>
            </w:r>
            <w:r w:rsidRPr="00DC695B">
              <w:rPr>
                <w:sz w:val="20"/>
                <w:szCs w:val="20"/>
              </w:rPr>
              <w:t xml:space="preserve"> sa nesmie prekročiť viac ako 3-krát za kalendárny rok | Žiadna | — [2] |</w:t>
            </w:r>
          </w:p>
          <w:p w:rsidR="00CB3E7D" w:rsidRPr="00DC695B" w:rsidP="00CB3E7D">
            <w:pPr>
              <w:pStyle w:val="NormalWeb"/>
              <w:rPr>
                <w:sz w:val="20"/>
                <w:szCs w:val="20"/>
              </w:rPr>
            </w:pPr>
            <w:r w:rsidRPr="00DC695B">
              <w:rPr>
                <w:sz w:val="20"/>
                <w:szCs w:val="20"/>
              </w:rPr>
              <w:t>Oxid dusičitý</w:t>
            </w:r>
          </w:p>
          <w:p w:rsidR="00CB3E7D" w:rsidRPr="00DC695B" w:rsidP="00CB3E7D">
            <w:pPr>
              <w:pStyle w:val="NormalWeb"/>
              <w:rPr>
                <w:sz w:val="20"/>
                <w:szCs w:val="20"/>
              </w:rPr>
            </w:pPr>
            <w:r w:rsidRPr="00DC695B">
              <w:rPr>
                <w:sz w:val="20"/>
                <w:szCs w:val="20"/>
              </w:rPr>
              <w:t>1 hodina | 200 µg/m</w:t>
            </w:r>
            <w:r w:rsidRPr="00C8183A">
              <w:rPr>
                <w:sz w:val="20"/>
                <w:szCs w:val="20"/>
                <w:vertAlign w:val="superscript"/>
              </w:rPr>
              <w:t>3</w:t>
            </w:r>
            <w:r w:rsidRPr="00DC695B">
              <w:rPr>
                <w:sz w:val="20"/>
                <w:szCs w:val="20"/>
              </w:rPr>
              <w:t xml:space="preserve"> sa nesmie prekročiť viac ako 18-krát za kalendárny rok | 50 % k 19. júlu 1999 so znížením k 1. januáru </w:t>
            </w:r>
            <w:smartTag w:uri="urn:schemas-microsoft-com:office:smarttags" w:element="metricconverter">
              <w:smartTagPr>
                <w:attr w:name="ProductID" w:val="2001 a"/>
              </w:smartTagPr>
              <w:r w:rsidRPr="00DC695B">
                <w:rPr>
                  <w:sz w:val="20"/>
                  <w:szCs w:val="20"/>
                </w:rPr>
                <w:t>2001 a</w:t>
              </w:r>
            </w:smartTag>
            <w:r w:rsidRPr="00DC695B">
              <w:rPr>
                <w:sz w:val="20"/>
                <w:szCs w:val="20"/>
              </w:rPr>
              <w:t xml:space="preserve"> potom každých 12 mesiacov rovnakým ročným percentom až k hodnote 0 % k 1. januáru 2010 | 1. január 2010 |</w:t>
            </w:r>
          </w:p>
          <w:p w:rsidR="00CB3E7D" w:rsidRPr="00DC695B" w:rsidP="00CB3E7D">
            <w:pPr>
              <w:pStyle w:val="NormalWeb"/>
              <w:rPr>
                <w:sz w:val="20"/>
                <w:szCs w:val="20"/>
              </w:rPr>
            </w:pPr>
            <w:r w:rsidRPr="00DC695B">
              <w:rPr>
                <w:sz w:val="20"/>
                <w:szCs w:val="20"/>
              </w:rPr>
              <w:t>Kalendárny rok | 40 µg/m</w:t>
            </w:r>
            <w:r w:rsidRPr="00C8183A">
              <w:rPr>
                <w:sz w:val="20"/>
                <w:szCs w:val="20"/>
                <w:vertAlign w:val="superscript"/>
              </w:rPr>
              <w:t>3</w:t>
            </w:r>
            <w:r w:rsidRPr="00DC695B">
              <w:rPr>
                <w:sz w:val="20"/>
                <w:szCs w:val="20"/>
              </w:rPr>
              <w:t xml:space="preserve"> | 50 % k 19. júlu 1999 so znížením k 1. januáru </w:t>
            </w:r>
            <w:smartTag w:uri="urn:schemas-microsoft-com:office:smarttags" w:element="metricconverter">
              <w:smartTagPr>
                <w:attr w:name="ProductID" w:val="2001 a"/>
              </w:smartTagPr>
              <w:r w:rsidRPr="00DC695B">
                <w:rPr>
                  <w:sz w:val="20"/>
                  <w:szCs w:val="20"/>
                </w:rPr>
                <w:t>2001 a</w:t>
              </w:r>
            </w:smartTag>
            <w:r w:rsidRPr="00DC695B">
              <w:rPr>
                <w:sz w:val="20"/>
                <w:szCs w:val="20"/>
              </w:rPr>
              <w:t xml:space="preserve"> potom každých 12 mesiacov rovnakým ročným percentom až k hodnote 0 % k 1. januáru 2010 | 1. január 2010 |</w:t>
            </w:r>
          </w:p>
          <w:p w:rsidR="00CB3E7D" w:rsidRPr="00DC695B" w:rsidP="00CB3E7D">
            <w:pPr>
              <w:pStyle w:val="NormalWeb"/>
              <w:rPr>
                <w:sz w:val="20"/>
                <w:szCs w:val="20"/>
              </w:rPr>
            </w:pPr>
            <w:r w:rsidRPr="00DC695B">
              <w:rPr>
                <w:sz w:val="20"/>
                <w:szCs w:val="20"/>
              </w:rPr>
              <w:t>Benzén</w:t>
            </w:r>
          </w:p>
          <w:p w:rsidR="00CB3E7D" w:rsidRPr="00DC695B" w:rsidP="00CB3E7D">
            <w:pPr>
              <w:pStyle w:val="NormalWeb"/>
              <w:rPr>
                <w:sz w:val="20"/>
                <w:szCs w:val="20"/>
              </w:rPr>
            </w:pPr>
            <w:r w:rsidRPr="00DC695B">
              <w:rPr>
                <w:sz w:val="20"/>
                <w:szCs w:val="20"/>
              </w:rPr>
              <w:t>Kalendárny rok | 5 µg/m</w:t>
            </w:r>
            <w:r w:rsidRPr="00C8183A">
              <w:rPr>
                <w:sz w:val="20"/>
                <w:szCs w:val="20"/>
                <w:vertAlign w:val="superscript"/>
              </w:rPr>
              <w:t>3</w:t>
            </w:r>
            <w:r w:rsidRPr="00DC695B">
              <w:rPr>
                <w:sz w:val="20"/>
                <w:szCs w:val="20"/>
              </w:rPr>
              <w:t xml:space="preserve"> | 5 µg/m</w:t>
            </w:r>
            <w:r w:rsidRPr="00C8183A">
              <w:rPr>
                <w:sz w:val="20"/>
                <w:szCs w:val="20"/>
                <w:vertAlign w:val="superscript"/>
              </w:rPr>
              <w:t>3</w:t>
            </w:r>
            <w:r w:rsidRPr="00DC695B">
              <w:rPr>
                <w:sz w:val="20"/>
                <w:szCs w:val="20"/>
              </w:rPr>
              <w:t xml:space="preserve"> (100 %) k 13. decembru 2000 so znížením k 1. januáru </w:t>
            </w:r>
            <w:smartTag w:uri="urn:schemas-microsoft-com:office:smarttags" w:element="metricconverter">
              <w:smartTagPr>
                <w:attr w:name="ProductID" w:val="2006 a"/>
              </w:smartTagPr>
              <w:r w:rsidRPr="00DC695B">
                <w:rPr>
                  <w:sz w:val="20"/>
                  <w:szCs w:val="20"/>
                </w:rPr>
                <w:t>2006 a</w:t>
              </w:r>
            </w:smartTag>
            <w:r w:rsidRPr="00DC695B">
              <w:rPr>
                <w:sz w:val="20"/>
                <w:szCs w:val="20"/>
              </w:rPr>
              <w:t xml:space="preserve"> potom každých 12 mesiacov o 1 µg/m</w:t>
            </w:r>
            <w:r w:rsidRPr="00C8183A">
              <w:rPr>
                <w:sz w:val="20"/>
                <w:szCs w:val="20"/>
                <w:vertAlign w:val="superscript"/>
              </w:rPr>
              <w:t xml:space="preserve">3 </w:t>
            </w:r>
            <w:r w:rsidRPr="00DC695B">
              <w:rPr>
                <w:sz w:val="20"/>
                <w:szCs w:val="20"/>
              </w:rPr>
              <w:t>až k hodnote 0 % k 1. januáru 2010 | 1. január 2010 |</w:t>
            </w:r>
          </w:p>
          <w:p w:rsidR="00CB3E7D" w:rsidRPr="00DC695B" w:rsidP="00CB3E7D">
            <w:pPr>
              <w:pStyle w:val="NormalWeb"/>
              <w:rPr>
                <w:sz w:val="20"/>
                <w:szCs w:val="20"/>
              </w:rPr>
            </w:pPr>
            <w:r w:rsidRPr="00DC695B">
              <w:rPr>
                <w:sz w:val="20"/>
                <w:szCs w:val="20"/>
              </w:rPr>
              <w:t>Oxid uhoľnatý</w:t>
            </w:r>
          </w:p>
          <w:p w:rsidR="00CB3E7D" w:rsidRPr="00DC695B" w:rsidP="00CB3E7D">
            <w:pPr>
              <w:pStyle w:val="NormalWeb"/>
              <w:rPr>
                <w:sz w:val="20"/>
                <w:szCs w:val="20"/>
              </w:rPr>
            </w:pPr>
            <w:r w:rsidRPr="00DC695B">
              <w:rPr>
                <w:sz w:val="20"/>
                <w:szCs w:val="20"/>
              </w:rPr>
              <w:t>Maximálna denná 8-hodinová stredná hodnota [3] | 10 mg/m3 | 60 % | — [2] |</w:t>
            </w:r>
          </w:p>
          <w:p w:rsidR="00CB3E7D" w:rsidRPr="00DC695B" w:rsidP="00CB3E7D">
            <w:pPr>
              <w:pStyle w:val="NormalWeb"/>
              <w:rPr>
                <w:sz w:val="20"/>
                <w:szCs w:val="20"/>
              </w:rPr>
            </w:pPr>
            <w:r w:rsidRPr="00DC695B">
              <w:rPr>
                <w:sz w:val="20"/>
                <w:szCs w:val="20"/>
              </w:rPr>
              <w:t>Olovo</w:t>
            </w:r>
          </w:p>
          <w:p w:rsidR="00CB3E7D" w:rsidP="00CB3E7D">
            <w:pPr>
              <w:pStyle w:val="NormalWeb"/>
              <w:rPr>
                <w:sz w:val="20"/>
                <w:szCs w:val="20"/>
              </w:rPr>
            </w:pPr>
            <w:r w:rsidRPr="00DC695B">
              <w:rPr>
                <w:sz w:val="20"/>
                <w:szCs w:val="20"/>
              </w:rPr>
              <w:t>Kalendárny rok | 0,5 µg/m</w:t>
            </w:r>
            <w:r w:rsidRPr="00C8183A">
              <w:rPr>
                <w:sz w:val="20"/>
                <w:szCs w:val="20"/>
                <w:vertAlign w:val="superscript"/>
              </w:rPr>
              <w:t>3</w:t>
            </w:r>
            <w:r w:rsidRPr="00DC695B">
              <w:rPr>
                <w:sz w:val="20"/>
                <w:szCs w:val="20"/>
              </w:rPr>
              <w:t xml:space="preserve"> [4] | 100 % | — [4] |</w:t>
            </w:r>
          </w:p>
          <w:p w:rsidR="00CB3E7D" w:rsidRPr="00DC695B" w:rsidP="00CB3E7D">
            <w:pPr>
              <w:pStyle w:val="NormalWeb"/>
              <w:rPr>
                <w:sz w:val="20"/>
                <w:szCs w:val="20"/>
              </w:rPr>
            </w:pPr>
            <w:r w:rsidRPr="00DC695B">
              <w:rPr>
                <w:sz w:val="20"/>
                <w:szCs w:val="20"/>
              </w:rPr>
              <w:t>PM</w:t>
            </w:r>
            <w:r w:rsidRPr="00C8183A">
              <w:rPr>
                <w:sz w:val="20"/>
                <w:szCs w:val="20"/>
                <w:vertAlign w:val="subscript"/>
              </w:rPr>
              <w:t>10</w:t>
            </w:r>
          </w:p>
          <w:p w:rsidR="00CB3E7D" w:rsidRPr="00DC695B" w:rsidP="00CB3E7D">
            <w:pPr>
              <w:pStyle w:val="NormalWeb"/>
              <w:rPr>
                <w:sz w:val="20"/>
                <w:szCs w:val="20"/>
              </w:rPr>
            </w:pPr>
            <w:r w:rsidRPr="00DC695B">
              <w:rPr>
                <w:sz w:val="20"/>
                <w:szCs w:val="20"/>
              </w:rPr>
              <w:t>1 deň | 50 µg/m</w:t>
            </w:r>
            <w:r w:rsidRPr="00C8183A">
              <w:rPr>
                <w:sz w:val="20"/>
                <w:szCs w:val="20"/>
                <w:vertAlign w:val="superscript"/>
              </w:rPr>
              <w:t>3</w:t>
            </w:r>
            <w:r w:rsidRPr="00DC695B">
              <w:rPr>
                <w:sz w:val="20"/>
                <w:szCs w:val="20"/>
              </w:rPr>
              <w:t xml:space="preserve"> sa nesmie prekročiť viac ako 35-krát za kalendárny rok | 50 % | — [2] |</w:t>
            </w:r>
          </w:p>
          <w:p w:rsidR="00CB3E7D" w:rsidRPr="00DC695B" w:rsidP="00CB3E7D">
            <w:pPr>
              <w:pStyle w:val="NormalWeb"/>
              <w:rPr>
                <w:sz w:val="20"/>
                <w:szCs w:val="20"/>
              </w:rPr>
            </w:pPr>
            <w:r w:rsidRPr="00DC695B">
              <w:rPr>
                <w:sz w:val="20"/>
                <w:szCs w:val="20"/>
              </w:rPr>
              <w:t>Kalendárny rok | 40 µg/m</w:t>
            </w:r>
            <w:r w:rsidRPr="00C8183A">
              <w:rPr>
                <w:sz w:val="20"/>
                <w:szCs w:val="20"/>
                <w:vertAlign w:val="superscript"/>
              </w:rPr>
              <w:t>3</w:t>
            </w:r>
            <w:r w:rsidRPr="00DC695B">
              <w:rPr>
                <w:sz w:val="20"/>
                <w:szCs w:val="20"/>
              </w:rPr>
              <w:t xml:space="preserve"> | 20 % | — [2] |</w:t>
            </w:r>
          </w:p>
          <w:p w:rsidR="00CB3E7D" w:rsidRPr="00DC695B" w:rsidP="00CB3E7D">
            <w:pPr>
              <w:pStyle w:val="NormalWeb"/>
              <w:rPr>
                <w:sz w:val="20"/>
                <w:szCs w:val="20"/>
              </w:rPr>
            </w:pPr>
            <w:r w:rsidRPr="00DC695B">
              <w:rPr>
                <w:sz w:val="20"/>
                <w:szCs w:val="20"/>
              </w:rPr>
              <w:t>[1] Požiadavky na výpočet ročnej strednej hodnoty nezahŕňajú straty údajov spôsobené pravidelnou kalibráciou alebo bežnou údržbou prístrojov.</w:t>
            </w:r>
          </w:p>
          <w:p w:rsidR="00CB3E7D" w:rsidRPr="00DC695B" w:rsidP="00CB3E7D">
            <w:pPr>
              <w:pStyle w:val="NormalWeb"/>
              <w:rPr>
                <w:sz w:val="20"/>
                <w:szCs w:val="20"/>
              </w:rPr>
            </w:pPr>
            <w:r w:rsidRPr="00DC695B">
              <w:rPr>
                <w:sz w:val="20"/>
                <w:szCs w:val="20"/>
              </w:rPr>
              <w:t>[2] Účinné už od 1. januára 2005.</w:t>
            </w:r>
          </w:p>
          <w:p w:rsidR="00CB3E7D" w:rsidRPr="00DC695B" w:rsidP="00CB3E7D">
            <w:pPr>
              <w:pStyle w:val="NormalWeb"/>
              <w:rPr>
                <w:sz w:val="20"/>
                <w:szCs w:val="20"/>
              </w:rPr>
            </w:pPr>
            <w:r w:rsidRPr="00DC695B">
              <w:rPr>
                <w:sz w:val="20"/>
                <w:szCs w:val="20"/>
              </w:rPr>
              <w:t>[3] Maximálna denná 8-hodinová stredná koncentrácia sa vyberie preskúmaním 8-hodinových pohyblivých priemerov vypočítaných z hodinových údajov a aktualizovaných každú hodinu. Každý takto vypočítaný 8-hodinový priemer sa priradí ku dňu, v ktorom končí, t. j. prvým výpočtovým obdobím pre ktorýkoľvek jeden deň je obdobie od 17.00 hod. predchádzajúceho dňa do 1.00 hod. daného dňa; posledným výpočtovým obdobím pre ktorýkoľvek jeden deň je obdobie od 16.00 hod. do 24.00 hod. daného dňa.</w:t>
            </w:r>
          </w:p>
          <w:p w:rsidR="00CB3E7D" w:rsidRPr="00390FC1" w:rsidP="00CB3E7D">
            <w:pPr>
              <w:pStyle w:val="NormalWeb"/>
              <w:rPr>
                <w:sz w:val="20"/>
                <w:szCs w:val="20"/>
              </w:rPr>
            </w:pPr>
            <w:r w:rsidRPr="00DC695B">
              <w:rPr>
                <w:sz w:val="20"/>
                <w:szCs w:val="20"/>
              </w:rPr>
              <w:t>[4] Účinné už od 1. januára 2005. Limitná hodnota, ktorá sa má dosiahnuť do 1. januára 2010 v bezprostrednej blízkosti špecifických priemyselných zdrojov, ktoré sa nachádzajú na miestach kontaminovaných v dôsledku desaťročia trvajúcich priemyselných činností. V takýchto prípadoch bude do 1. januára 2010 limitná hodnota 1,0 µg/m</w:t>
            </w:r>
            <w:r w:rsidRPr="00C8183A">
              <w:rPr>
                <w:sz w:val="20"/>
                <w:szCs w:val="20"/>
                <w:vertAlign w:val="superscript"/>
              </w:rPr>
              <w:t>3</w:t>
            </w:r>
            <w:r w:rsidRPr="00DC695B">
              <w:rPr>
                <w:sz w:val="20"/>
                <w:szCs w:val="20"/>
              </w:rPr>
              <w:t xml:space="preserve">. Oblasti, na ktoré sa vzťahujú vyššie limitné hodnoty, sa nesmú rozšíriť ďalej ako </w:t>
            </w:r>
            <w:smartTag w:uri="urn:schemas-microsoft-com:office:smarttags" w:element="metricconverter">
              <w:smartTagPr>
                <w:attr w:name="ProductID" w:val="1000 m"/>
              </w:smartTagPr>
              <w:r w:rsidRPr="00DC695B">
                <w:rPr>
                  <w:sz w:val="20"/>
                  <w:szCs w:val="20"/>
                </w:rPr>
                <w:t>1000 m</w:t>
              </w:r>
            </w:smartTag>
            <w:r w:rsidRPr="00DC695B">
              <w:rPr>
                <w:sz w:val="20"/>
                <w:szCs w:val="20"/>
              </w:rPr>
              <w:t xml:space="preserve"> od takýchto špecifických zdrojov.</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C01233">
              <w:rPr>
                <w:sz w:val="20"/>
              </w:rPr>
              <w:t>NV</w:t>
            </w:r>
          </w:p>
        </w:tc>
        <w:tc>
          <w:tcPr>
            <w:tcW w:w="701" w:type="dxa"/>
            <w:tcBorders>
              <w:bottom w:val="single" w:sz="4" w:space="0" w:color="auto"/>
            </w:tcBorders>
          </w:tcPr>
          <w:p w:rsidR="00CB3E7D" w:rsidP="00CB3E7D">
            <w:pPr>
              <w:jc w:val="both"/>
              <w:rPr>
                <w:sz w:val="20"/>
              </w:rPr>
            </w:pPr>
            <w:r>
              <w:rPr>
                <w:sz w:val="20"/>
              </w:rPr>
              <w:t>Príl.</w:t>
            </w:r>
            <w:r w:rsidR="00855110">
              <w:rPr>
                <w:sz w:val="20"/>
              </w:rPr>
              <w:t xml:space="preserve"> 1</w:t>
            </w:r>
          </w:p>
          <w:p w:rsidR="00C01233" w:rsidP="00C01233">
            <w:pPr>
              <w:jc w:val="both"/>
              <w:rPr>
                <w:sz w:val="20"/>
              </w:rPr>
            </w:pPr>
            <w:r>
              <w:rPr>
                <w:sz w:val="20"/>
              </w:rPr>
              <w:t>A</w:t>
            </w:r>
            <w:r w:rsidR="005416C3">
              <w:rPr>
                <w:sz w:val="20"/>
              </w:rPr>
              <w:t>,</w:t>
            </w:r>
            <w:r>
              <w:rPr>
                <w:sz w:val="20"/>
              </w:rPr>
              <w:t>B</w:t>
            </w: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P="00C01233">
            <w:pPr>
              <w:jc w:val="both"/>
              <w:rPr>
                <w:sz w:val="20"/>
              </w:rPr>
            </w:pPr>
          </w:p>
          <w:p w:rsidR="001F4330" w:rsidRPr="00390FC1" w:rsidP="00C01233">
            <w:pPr>
              <w:jc w:val="both"/>
              <w:rPr>
                <w:sz w:val="20"/>
              </w:rPr>
            </w:pPr>
            <w:r>
              <w:rPr>
                <w:sz w:val="20"/>
              </w:rPr>
              <w:t>Príl. č. 2</w:t>
            </w:r>
          </w:p>
        </w:tc>
        <w:tc>
          <w:tcPr>
            <w:tcW w:w="7797" w:type="dxa"/>
            <w:tcBorders>
              <w:bottom w:val="single" w:sz="4" w:space="0" w:color="auto"/>
            </w:tcBorders>
          </w:tcPr>
          <w:p w:rsidR="00BF6B28" w:rsidRPr="00BF6B28" w:rsidP="00BF6B28">
            <w:pPr>
              <w:keepNext/>
              <w:keepLines/>
              <w:jc w:val="center"/>
              <w:rPr>
                <w:sz w:val="20"/>
                <w:lang w:eastAsia="sk-SK"/>
              </w:rPr>
            </w:pPr>
            <w:r w:rsidRPr="00BF6B28">
              <w:rPr>
                <w:sz w:val="20"/>
                <w:lang w:eastAsia="sk-SK"/>
              </w:rPr>
              <w:t xml:space="preserve">LIMITNÉ  HODNOTY  ZNEČISŤUJÚCICH   LÁTOK   </w:t>
            </w:r>
          </w:p>
          <w:p w:rsidR="00BF6B28" w:rsidRPr="00BF6B28" w:rsidP="00BF6B28">
            <w:pPr>
              <w:keepNext/>
              <w:keepLines/>
              <w:jc w:val="center"/>
              <w:rPr>
                <w:sz w:val="20"/>
                <w:lang w:eastAsia="sk-SK"/>
              </w:rPr>
            </w:pPr>
            <w:r w:rsidRPr="00BF6B28">
              <w:rPr>
                <w:sz w:val="20"/>
                <w:lang w:eastAsia="sk-SK"/>
              </w:rPr>
              <w:t xml:space="preserve">NA  OCHRANU  ZDRAVIA ĽUDÍ  </w:t>
            </w:r>
          </w:p>
          <w:p w:rsidR="00BF6B28" w:rsidRPr="00BF6B28" w:rsidP="00BF6B28">
            <w:pPr>
              <w:pStyle w:val="NormalWeb"/>
              <w:keepLines/>
              <w:spacing w:before="0" w:beforeAutospacing="0" w:after="0" w:afterAutospacing="0"/>
              <w:contextualSpacing/>
              <w:rPr>
                <w:sz w:val="20"/>
                <w:szCs w:val="20"/>
              </w:rPr>
            </w:pPr>
          </w:p>
          <w:p w:rsidR="00BF6B28" w:rsidRPr="00BF6B28" w:rsidP="00BF6B28">
            <w:pPr>
              <w:pStyle w:val="NormalWeb"/>
              <w:keepLines/>
              <w:spacing w:before="0" w:beforeAutospacing="0" w:after="0" w:afterAutospacing="0"/>
              <w:contextualSpacing/>
              <w:rPr>
                <w:sz w:val="20"/>
                <w:szCs w:val="20"/>
              </w:rPr>
            </w:pPr>
            <w:r w:rsidRPr="00BF6B28">
              <w:rPr>
                <w:sz w:val="20"/>
                <w:szCs w:val="20"/>
              </w:rPr>
              <w:t>A. Kritériá</w:t>
            </w:r>
          </w:p>
          <w:p w:rsidR="00BF6B28" w:rsidRPr="00BF6B28" w:rsidP="00BF6B28">
            <w:pPr>
              <w:pStyle w:val="NormalWeb"/>
              <w:keepLines/>
              <w:spacing w:before="0" w:beforeAutospacing="0" w:after="120" w:afterAutospacing="0"/>
              <w:rPr>
                <w:sz w:val="20"/>
                <w:szCs w:val="20"/>
              </w:rPr>
            </w:pPr>
            <w:r w:rsidRPr="00BF6B28">
              <w:rPr>
                <w:sz w:val="20"/>
                <w:szCs w:val="20"/>
              </w:rPr>
              <w:t>Bez toho, aby bola dotknutá príloha č. 6 sa pri zhromažďovaní údajov a výpočte štatistických parametrov použijú na kontrolu platnosti nasledovné kritériá</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2"/>
              <w:gridCol w:w="5119"/>
            </w:tblGrid>
            <w:tr w:rsidTr="001F43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4"/>
              </w:trPr>
              <w:tc>
                <w:tcPr>
                  <w:tcW w:w="2512" w:type="dxa"/>
                  <w:vAlign w:val="center"/>
                </w:tcPr>
                <w:p w:rsidR="00BF6B28" w:rsidRPr="00BF6B28" w:rsidP="00BF6B28">
                  <w:pPr>
                    <w:pStyle w:val="NormalWeb"/>
                    <w:keepLines/>
                    <w:spacing w:before="0" w:beforeAutospacing="0" w:after="0" w:afterAutospacing="0"/>
                    <w:contextualSpacing/>
                    <w:rPr>
                      <w:sz w:val="20"/>
                      <w:szCs w:val="20"/>
                    </w:rPr>
                  </w:pPr>
                  <w:r w:rsidRPr="00BF6B28">
                    <w:rPr>
                      <w:sz w:val="20"/>
                      <w:szCs w:val="20"/>
                    </w:rPr>
                    <w:t>Parameter</w:t>
                  </w:r>
                </w:p>
              </w:tc>
              <w:tc>
                <w:tcPr>
                  <w:tcW w:w="5119" w:type="dxa"/>
                  <w:vAlign w:val="center"/>
                </w:tcPr>
                <w:p w:rsidR="00BF6B28" w:rsidRPr="00BF6B28" w:rsidP="00BF6B28">
                  <w:pPr>
                    <w:pStyle w:val="NormalWeb"/>
                    <w:keepLines/>
                    <w:spacing w:before="0" w:beforeAutospacing="0" w:after="0" w:afterAutospacing="0"/>
                    <w:contextualSpacing/>
                    <w:rPr>
                      <w:sz w:val="20"/>
                      <w:szCs w:val="20"/>
                    </w:rPr>
                  </w:pPr>
                  <w:r w:rsidRPr="00BF6B28">
                    <w:rPr>
                      <w:sz w:val="20"/>
                      <w:szCs w:val="20"/>
                    </w:rPr>
                    <w:t>Vyžadovaný podiel platných údajov</w:t>
                  </w:r>
                </w:p>
              </w:tc>
            </w:tr>
            <w:tr w:rsidTr="001F4330">
              <w:tblPrEx>
                <w:tblW w:w="0" w:type="auto"/>
                <w:tblLayout w:type="fixed"/>
                <w:tblLook w:val="01E0"/>
              </w:tblPrEx>
              <w:trPr>
                <w:trHeight w:val="344"/>
              </w:trPr>
              <w:tc>
                <w:tcPr>
                  <w:tcW w:w="2512"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1-hodinové hodnoty</w:t>
                  </w:r>
                </w:p>
              </w:tc>
              <w:tc>
                <w:tcPr>
                  <w:tcW w:w="5119"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75 % (t. j. 45 minút)</w:t>
                  </w:r>
                </w:p>
              </w:tc>
            </w:tr>
            <w:tr w:rsidTr="001F4330">
              <w:tblPrEx>
                <w:tblW w:w="0" w:type="auto"/>
                <w:tblLayout w:type="fixed"/>
                <w:tblLook w:val="01E0"/>
              </w:tblPrEx>
              <w:trPr>
                <w:trHeight w:val="344"/>
              </w:trPr>
              <w:tc>
                <w:tcPr>
                  <w:tcW w:w="2512"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8-hodinové hodnoty</w:t>
                  </w:r>
                </w:p>
              </w:tc>
              <w:tc>
                <w:tcPr>
                  <w:tcW w:w="5119"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75 % (t. j. 6 hodín)</w:t>
                  </w:r>
                </w:p>
              </w:tc>
            </w:tr>
            <w:tr w:rsidTr="001F4330">
              <w:tblPrEx>
                <w:tblW w:w="0" w:type="auto"/>
                <w:tblLayout w:type="fixed"/>
                <w:tblLook w:val="01E0"/>
              </w:tblPrEx>
              <w:trPr>
                <w:trHeight w:val="344"/>
              </w:trPr>
              <w:tc>
                <w:tcPr>
                  <w:tcW w:w="2512"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 xml:space="preserve">Najväčšia denná </w:t>
                  </w:r>
                </w:p>
                <w:p w:rsidR="00BF6B28" w:rsidRPr="007B57C0" w:rsidP="00BF6B28">
                  <w:pPr>
                    <w:pStyle w:val="NormalWeb"/>
                    <w:keepLines/>
                    <w:spacing w:before="0" w:beforeAutospacing="0" w:after="0" w:afterAutospacing="0"/>
                    <w:contextualSpacing/>
                    <w:rPr>
                      <w:sz w:val="20"/>
                      <w:szCs w:val="20"/>
                    </w:rPr>
                  </w:pPr>
                  <w:r w:rsidRPr="007B57C0">
                    <w:rPr>
                      <w:sz w:val="20"/>
                      <w:szCs w:val="20"/>
                    </w:rPr>
                    <w:t>8-hodinová stredná hodnota</w:t>
                  </w:r>
                </w:p>
              </w:tc>
              <w:tc>
                <w:tcPr>
                  <w:tcW w:w="5119"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75 % hodinových plávajúcich priemerov z 8 po sebe nasledujúcich hodín (t. j. 18 8-hodinových priemerov za deň)</w:t>
                  </w:r>
                </w:p>
              </w:tc>
            </w:tr>
            <w:tr w:rsidTr="001F4330">
              <w:tblPrEx>
                <w:tblW w:w="0" w:type="auto"/>
                <w:tblLayout w:type="fixed"/>
                <w:tblLook w:val="01E0"/>
              </w:tblPrEx>
              <w:trPr>
                <w:trHeight w:val="344"/>
              </w:trPr>
              <w:tc>
                <w:tcPr>
                  <w:tcW w:w="2512"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24-hodinové hodnoty</w:t>
                  </w:r>
                </w:p>
              </w:tc>
              <w:tc>
                <w:tcPr>
                  <w:tcW w:w="5119"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75 % hodinových priemerov (t. j. aspoň 18 hodinových hodnôt)</w:t>
                  </w:r>
                </w:p>
              </w:tc>
            </w:tr>
            <w:tr w:rsidTr="001F4330">
              <w:tblPrEx>
                <w:tblW w:w="0" w:type="auto"/>
                <w:tblLayout w:type="fixed"/>
                <w:tblLook w:val="01E0"/>
              </w:tblPrEx>
              <w:trPr>
                <w:trHeight w:val="399"/>
              </w:trPr>
              <w:tc>
                <w:tcPr>
                  <w:tcW w:w="2512"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Ročná stredná hodnota</w:t>
                  </w:r>
                </w:p>
              </w:tc>
              <w:tc>
                <w:tcPr>
                  <w:tcW w:w="5119"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 xml:space="preserve">90 % 1-hodinových hodnôt alebo, ak nie sú k dispozícii, </w:t>
                  </w:r>
                </w:p>
                <w:p w:rsidR="00BF6B28" w:rsidRPr="007B57C0" w:rsidP="00BF6B28">
                  <w:pPr>
                    <w:pStyle w:val="NormalWeb"/>
                    <w:keepLines/>
                    <w:spacing w:before="0" w:beforeAutospacing="0" w:after="0" w:afterAutospacing="0"/>
                    <w:contextualSpacing/>
                    <w:rPr>
                      <w:sz w:val="20"/>
                      <w:szCs w:val="20"/>
                    </w:rPr>
                  </w:pPr>
                  <w:r w:rsidRPr="007B57C0">
                    <w:rPr>
                      <w:sz w:val="20"/>
                      <w:szCs w:val="20"/>
                    </w:rPr>
                    <w:t>90% 24-hodinových hodnôt za rok</w:t>
                  </w:r>
                  <w:r w:rsidRPr="008328CD">
                    <w:rPr>
                      <w:sz w:val="20"/>
                      <w:szCs w:val="20"/>
                      <w:vertAlign w:val="superscript"/>
                    </w:rPr>
                    <w:t>1</w:t>
                  </w:r>
                  <w:r w:rsidRPr="007B57C0">
                    <w:rPr>
                      <w:sz w:val="20"/>
                      <w:szCs w:val="20"/>
                    </w:rPr>
                    <w:t>)</w:t>
                  </w:r>
                </w:p>
              </w:tc>
            </w:tr>
          </w:tbl>
          <w:p w:rsidR="00BF6B28" w:rsidRPr="00BF6B28" w:rsidP="00BF6B28">
            <w:pPr>
              <w:pStyle w:val="NormalWeb"/>
              <w:keepLines/>
              <w:spacing w:before="0" w:beforeAutospacing="0" w:after="0" w:afterAutospacing="0"/>
              <w:contextualSpacing/>
              <w:rPr>
                <w:sz w:val="20"/>
                <w:szCs w:val="20"/>
              </w:rPr>
            </w:pPr>
            <w:r w:rsidRPr="00BF6B28">
              <w:rPr>
                <w:sz w:val="20"/>
                <w:szCs w:val="20"/>
              </w:rPr>
              <w:t>Poznámka:</w:t>
            </w:r>
          </w:p>
          <w:p w:rsidR="00BF6B28" w:rsidRPr="00BF6B28" w:rsidP="00BF6B28">
            <w:pPr>
              <w:pStyle w:val="NormalWeb"/>
              <w:keepLines/>
              <w:spacing w:before="0" w:beforeAutospacing="0" w:after="0" w:afterAutospacing="0"/>
              <w:contextualSpacing/>
              <w:rPr>
                <w:sz w:val="20"/>
                <w:szCs w:val="20"/>
              </w:rPr>
            </w:pPr>
            <w:r w:rsidRPr="008328CD">
              <w:rPr>
                <w:sz w:val="20"/>
                <w:szCs w:val="20"/>
                <w:vertAlign w:val="superscript"/>
              </w:rPr>
              <w:t>1</w:t>
            </w:r>
            <w:r w:rsidRPr="00BF6B28">
              <w:rPr>
                <w:sz w:val="20"/>
                <w:szCs w:val="20"/>
              </w:rPr>
              <w:t xml:space="preserve">) Požiadavky na výpočet ročnej strednej hodnoty nezahŕňajú straty údajov spôsobené pravidelnou kalibráciou   </w:t>
            </w:r>
          </w:p>
          <w:p w:rsidR="00BF6B28" w:rsidP="00BF6B28">
            <w:pPr>
              <w:pStyle w:val="NormalWeb"/>
              <w:keepLines/>
              <w:spacing w:before="0" w:beforeAutospacing="0" w:after="0" w:afterAutospacing="0"/>
              <w:contextualSpacing/>
              <w:rPr>
                <w:sz w:val="20"/>
                <w:szCs w:val="20"/>
              </w:rPr>
            </w:pPr>
            <w:r w:rsidRPr="00BF6B28">
              <w:rPr>
                <w:sz w:val="20"/>
                <w:szCs w:val="20"/>
              </w:rPr>
              <w:t xml:space="preserve">   alebo bežnou údržbou prístrojov.</w:t>
            </w:r>
          </w:p>
          <w:p w:rsidR="00663832" w:rsidRPr="00BF6B28" w:rsidP="00BF6B28">
            <w:pPr>
              <w:pStyle w:val="NormalWeb"/>
              <w:keepLines/>
              <w:spacing w:before="0" w:beforeAutospacing="0" w:after="0" w:afterAutospacing="0"/>
              <w:contextualSpacing/>
              <w:rPr>
                <w:sz w:val="20"/>
                <w:szCs w:val="20"/>
              </w:rPr>
            </w:pPr>
          </w:p>
          <w:p w:rsidR="00BF6B28" w:rsidRPr="007B57C0" w:rsidP="00BF6B28">
            <w:pPr>
              <w:pStyle w:val="NormalWeb"/>
              <w:keepLines/>
              <w:spacing w:before="0" w:beforeAutospacing="0" w:after="0" w:afterAutospacing="0"/>
              <w:ind w:left="720"/>
              <w:contextualSpacing/>
              <w:rPr>
                <w:sz w:val="20"/>
                <w:szCs w:val="20"/>
              </w:rPr>
            </w:pPr>
          </w:p>
          <w:p w:rsidR="00BF6B28" w:rsidRPr="00BF6B28" w:rsidP="00BF6B28">
            <w:pPr>
              <w:keepNext/>
              <w:keepLines/>
              <w:spacing w:after="120"/>
              <w:rPr>
                <w:sz w:val="20"/>
                <w:lang w:eastAsia="sk-SK"/>
              </w:rPr>
            </w:pPr>
            <w:r w:rsidRPr="00BF6B28">
              <w:rPr>
                <w:sz w:val="20"/>
                <w:lang w:eastAsia="sk-SK"/>
              </w:rPr>
              <w:t>B. Limitné hodnoty na ochranu zdravia ľudí a termíny ich dosiahnutia</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5"/>
              <w:gridCol w:w="2905"/>
              <w:gridCol w:w="3043"/>
            </w:tblGrid>
            <w:tr w:rsidTr="001F433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42"/>
              </w:trPr>
              <w:tc>
                <w:tcPr>
                  <w:tcW w:w="1455" w:type="dxa"/>
                  <w:vAlign w:val="center"/>
                </w:tcPr>
                <w:p w:rsidR="00BF6B28" w:rsidRPr="00BF6B28" w:rsidP="00BF6B28">
                  <w:pPr>
                    <w:pStyle w:val="NormalWeb"/>
                    <w:keepLines/>
                    <w:spacing w:before="0" w:beforeAutospacing="0" w:after="0" w:afterAutospacing="0"/>
                    <w:contextualSpacing/>
                    <w:rPr>
                      <w:sz w:val="20"/>
                      <w:szCs w:val="20"/>
                    </w:rPr>
                  </w:pPr>
                  <w:r w:rsidRPr="00BF6B28">
                    <w:rPr>
                      <w:sz w:val="20"/>
                      <w:szCs w:val="20"/>
                    </w:rPr>
                    <w:t>Znečisťujúca látka</w:t>
                  </w:r>
                </w:p>
              </w:tc>
              <w:tc>
                <w:tcPr>
                  <w:tcW w:w="2905" w:type="dxa"/>
                  <w:vAlign w:val="center"/>
                </w:tcPr>
                <w:p w:rsidR="00BF6B28" w:rsidRPr="00BF6B28" w:rsidP="00BF6B28">
                  <w:pPr>
                    <w:pStyle w:val="NormalWeb"/>
                    <w:keepLines/>
                    <w:spacing w:before="0" w:beforeAutospacing="0" w:after="0" w:afterAutospacing="0"/>
                    <w:contextualSpacing/>
                    <w:rPr>
                      <w:sz w:val="20"/>
                      <w:szCs w:val="20"/>
                    </w:rPr>
                  </w:pPr>
                  <w:r w:rsidRPr="00BF6B28">
                    <w:rPr>
                      <w:sz w:val="20"/>
                      <w:szCs w:val="20"/>
                    </w:rPr>
                    <w:t>Priemerované obdobie</w:t>
                  </w:r>
                </w:p>
              </w:tc>
              <w:tc>
                <w:tcPr>
                  <w:tcW w:w="3043" w:type="dxa"/>
                  <w:vAlign w:val="center"/>
                </w:tcPr>
                <w:p w:rsidR="00BF6B28" w:rsidRPr="00BF6B28" w:rsidP="00BF6B28">
                  <w:pPr>
                    <w:pStyle w:val="NormalWeb"/>
                    <w:keepLines/>
                    <w:spacing w:before="0" w:beforeAutospacing="0" w:after="0" w:afterAutospacing="0"/>
                    <w:contextualSpacing/>
                    <w:rPr>
                      <w:sz w:val="20"/>
                      <w:szCs w:val="20"/>
                    </w:rPr>
                  </w:pPr>
                  <w:r w:rsidRPr="00BF6B28">
                    <w:rPr>
                      <w:sz w:val="20"/>
                      <w:szCs w:val="20"/>
                    </w:rPr>
                    <w:t>Limitná hodnota</w:t>
                  </w:r>
                </w:p>
              </w:tc>
            </w:tr>
            <w:tr w:rsidTr="001F4330">
              <w:tblPrEx>
                <w:tblW w:w="0" w:type="auto"/>
                <w:tblInd w:w="108" w:type="dxa"/>
                <w:tblLayout w:type="fixed"/>
                <w:tblLook w:val="01E0"/>
              </w:tblPrEx>
              <w:trPr>
                <w:trHeight w:val="442"/>
              </w:trPr>
              <w:tc>
                <w:tcPr>
                  <w:tcW w:w="1455" w:type="dxa"/>
                  <w:vMerge w:val="restart"/>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PM</w:t>
                  </w:r>
                  <w:r w:rsidRPr="008328CD">
                    <w:rPr>
                      <w:sz w:val="20"/>
                      <w:szCs w:val="20"/>
                      <w:vertAlign w:val="subscript"/>
                    </w:rPr>
                    <w:t>10</w:t>
                  </w:r>
                </w:p>
              </w:tc>
              <w:tc>
                <w:tcPr>
                  <w:tcW w:w="2905" w:type="dxa"/>
                  <w:vAlign w:val="center"/>
                </w:tcPr>
                <w:p w:rsidR="00BF6B28" w:rsidRPr="00BF6B28" w:rsidP="00BF6B28">
                  <w:pPr>
                    <w:pStyle w:val="NormalWeb"/>
                    <w:keepLines/>
                    <w:spacing w:before="0" w:beforeAutospacing="0" w:after="0" w:afterAutospacing="0"/>
                    <w:contextualSpacing/>
                    <w:rPr>
                      <w:sz w:val="20"/>
                      <w:szCs w:val="20"/>
                    </w:rPr>
                  </w:pPr>
                  <w:r w:rsidRPr="007B57C0">
                    <w:rPr>
                      <w:sz w:val="20"/>
                      <w:szCs w:val="20"/>
                    </w:rPr>
                    <w:t>1 deň</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50 µg/m</w:t>
                  </w:r>
                  <w:r w:rsidRPr="00C8183A">
                    <w:rPr>
                      <w:sz w:val="20"/>
                      <w:szCs w:val="20"/>
                      <w:vertAlign w:val="superscript"/>
                    </w:rPr>
                    <w:t>3</w:t>
                  </w:r>
                  <w:r w:rsidRPr="007B57C0">
                    <w:rPr>
                      <w:sz w:val="20"/>
                      <w:szCs w:val="20"/>
                    </w:rPr>
                    <w:t xml:space="preserve"> sa nesmie prekročiť viac ako 35-krát za kalendárny rok</w:t>
                  </w:r>
                </w:p>
              </w:tc>
            </w:tr>
            <w:tr w:rsidTr="001F4330">
              <w:tblPrEx>
                <w:tblW w:w="0" w:type="auto"/>
                <w:tblInd w:w="108" w:type="dxa"/>
                <w:tblLayout w:type="fixed"/>
                <w:tblLook w:val="01E0"/>
              </w:tblPrEx>
              <w:trPr>
                <w:trHeight w:val="442"/>
              </w:trPr>
              <w:tc>
                <w:tcPr>
                  <w:tcW w:w="1455" w:type="dxa"/>
                  <w:vMerge/>
                  <w:vAlign w:val="center"/>
                </w:tcPr>
                <w:p w:rsidR="00BF6B28" w:rsidRPr="007B57C0" w:rsidP="00BF6B28">
                  <w:pPr>
                    <w:pStyle w:val="NormalWeb"/>
                    <w:keepLines/>
                    <w:spacing w:before="0" w:beforeAutospacing="0" w:after="0" w:afterAutospacing="0"/>
                    <w:contextualSpacing/>
                    <w:rPr>
                      <w:sz w:val="20"/>
                      <w:szCs w:val="20"/>
                    </w:rPr>
                  </w:pP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kalendárny rok</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40 µg/m</w:t>
                  </w:r>
                  <w:r w:rsidRPr="008328CD">
                    <w:rPr>
                      <w:sz w:val="20"/>
                      <w:szCs w:val="20"/>
                      <w:vertAlign w:val="superscript"/>
                    </w:rPr>
                    <w:t>3</w:t>
                  </w:r>
                </w:p>
              </w:tc>
            </w:tr>
            <w:tr w:rsidTr="001F4330">
              <w:tblPrEx>
                <w:tblW w:w="0" w:type="auto"/>
                <w:tblInd w:w="108" w:type="dxa"/>
                <w:tblLayout w:type="fixed"/>
                <w:tblLook w:val="01E0"/>
              </w:tblPrEx>
              <w:trPr>
                <w:trHeight w:val="442"/>
              </w:trPr>
              <w:tc>
                <w:tcPr>
                  <w:tcW w:w="145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PM</w:t>
                  </w:r>
                  <w:r w:rsidRPr="008328CD">
                    <w:rPr>
                      <w:sz w:val="20"/>
                      <w:szCs w:val="20"/>
                      <w:vertAlign w:val="subscript"/>
                    </w:rPr>
                    <w:t>2,5</w:t>
                  </w: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kalendárny rok</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20 µg/m</w:t>
                  </w:r>
                  <w:r w:rsidRPr="008328CD">
                    <w:rPr>
                      <w:sz w:val="20"/>
                      <w:szCs w:val="20"/>
                      <w:vertAlign w:val="superscript"/>
                    </w:rPr>
                    <w:t>3</w:t>
                  </w:r>
                </w:p>
              </w:tc>
            </w:tr>
            <w:tr w:rsidTr="001F4330">
              <w:tblPrEx>
                <w:tblW w:w="0" w:type="auto"/>
                <w:tblInd w:w="108" w:type="dxa"/>
                <w:tblLayout w:type="fixed"/>
                <w:tblLook w:val="01E0"/>
              </w:tblPrEx>
              <w:trPr>
                <w:trHeight w:val="442"/>
              </w:trPr>
              <w:tc>
                <w:tcPr>
                  <w:tcW w:w="1455" w:type="dxa"/>
                  <w:vMerge w:val="restart"/>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oxid siričitý SO</w:t>
                  </w:r>
                  <w:r w:rsidRPr="00BF6B28">
                    <w:rPr>
                      <w:sz w:val="20"/>
                      <w:szCs w:val="20"/>
                    </w:rPr>
                    <w:t>2</w:t>
                  </w: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1 h</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350 µg/m</w:t>
                  </w:r>
                  <w:r w:rsidRPr="008328CD">
                    <w:rPr>
                      <w:sz w:val="20"/>
                      <w:szCs w:val="20"/>
                      <w:vertAlign w:val="superscript"/>
                    </w:rPr>
                    <w:t>3</w:t>
                  </w:r>
                  <w:r w:rsidRPr="007B57C0">
                    <w:rPr>
                      <w:sz w:val="20"/>
                      <w:szCs w:val="20"/>
                    </w:rPr>
                    <w:t xml:space="preserve"> sa nesmie prekročiť viac ako 24-krát za kalendárny rok</w:t>
                  </w:r>
                </w:p>
              </w:tc>
            </w:tr>
            <w:tr w:rsidTr="001F4330">
              <w:tblPrEx>
                <w:tblW w:w="0" w:type="auto"/>
                <w:tblInd w:w="108" w:type="dxa"/>
                <w:tblLayout w:type="fixed"/>
                <w:tblLook w:val="01E0"/>
              </w:tblPrEx>
              <w:trPr>
                <w:trHeight w:val="442"/>
              </w:trPr>
              <w:tc>
                <w:tcPr>
                  <w:tcW w:w="1455" w:type="dxa"/>
                  <w:vMerge/>
                  <w:vAlign w:val="center"/>
                </w:tcPr>
                <w:p w:rsidR="00BF6B28" w:rsidRPr="007B57C0" w:rsidP="00BF6B28">
                  <w:pPr>
                    <w:pStyle w:val="NormalWeb"/>
                    <w:keepLines/>
                    <w:spacing w:before="0" w:beforeAutospacing="0" w:after="0" w:afterAutospacing="0"/>
                    <w:contextualSpacing/>
                    <w:rPr>
                      <w:sz w:val="20"/>
                      <w:szCs w:val="20"/>
                    </w:rPr>
                  </w:pP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1 deň</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125 µg/m</w:t>
                  </w:r>
                  <w:r w:rsidRPr="008328CD">
                    <w:rPr>
                      <w:sz w:val="20"/>
                      <w:szCs w:val="20"/>
                      <w:vertAlign w:val="superscript"/>
                    </w:rPr>
                    <w:t>3</w:t>
                  </w:r>
                  <w:r w:rsidRPr="007B57C0">
                    <w:rPr>
                      <w:sz w:val="20"/>
                      <w:szCs w:val="20"/>
                    </w:rPr>
                    <w:t xml:space="preserve"> sa nesmie prekročiť viac ako 3-krát za kalendárny rok</w:t>
                  </w:r>
                </w:p>
              </w:tc>
            </w:tr>
            <w:tr w:rsidTr="001F4330">
              <w:tblPrEx>
                <w:tblW w:w="0" w:type="auto"/>
                <w:tblInd w:w="108" w:type="dxa"/>
                <w:tblLayout w:type="fixed"/>
                <w:tblLook w:val="01E0"/>
              </w:tblPrEx>
              <w:trPr>
                <w:trHeight w:val="442"/>
              </w:trPr>
              <w:tc>
                <w:tcPr>
                  <w:tcW w:w="1455" w:type="dxa"/>
                  <w:vMerge w:val="restart"/>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oxid dusičitý NO</w:t>
                  </w:r>
                  <w:r w:rsidRPr="00BF6B28">
                    <w:rPr>
                      <w:sz w:val="20"/>
                      <w:szCs w:val="20"/>
                    </w:rPr>
                    <w:t>2</w:t>
                  </w:r>
                  <w:r w:rsidRPr="007B57C0">
                    <w:rPr>
                      <w:sz w:val="20"/>
                      <w:szCs w:val="20"/>
                    </w:rPr>
                    <w:t xml:space="preserve"> </w:t>
                  </w: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1 h</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200 µg/m</w:t>
                  </w:r>
                  <w:r w:rsidRPr="008328CD">
                    <w:rPr>
                      <w:sz w:val="20"/>
                      <w:szCs w:val="20"/>
                      <w:vertAlign w:val="superscript"/>
                    </w:rPr>
                    <w:t>3</w:t>
                  </w:r>
                  <w:r w:rsidRPr="007B57C0">
                    <w:rPr>
                      <w:sz w:val="20"/>
                      <w:szCs w:val="20"/>
                    </w:rPr>
                    <w:t xml:space="preserve"> sa nesmie prekročiť viac ako 18-krát za kalendárny rok</w:t>
                  </w:r>
                </w:p>
              </w:tc>
            </w:tr>
            <w:tr w:rsidTr="001F4330">
              <w:tblPrEx>
                <w:tblW w:w="0" w:type="auto"/>
                <w:tblInd w:w="108" w:type="dxa"/>
                <w:tblLayout w:type="fixed"/>
                <w:tblLook w:val="01E0"/>
              </w:tblPrEx>
              <w:trPr>
                <w:trHeight w:val="442"/>
              </w:trPr>
              <w:tc>
                <w:tcPr>
                  <w:tcW w:w="1455" w:type="dxa"/>
                  <w:vMerge/>
                  <w:vAlign w:val="center"/>
                </w:tcPr>
                <w:p w:rsidR="00BF6B28" w:rsidRPr="007B57C0" w:rsidP="00BF6B28">
                  <w:pPr>
                    <w:pStyle w:val="NormalWeb"/>
                    <w:keepLines/>
                    <w:spacing w:before="0" w:beforeAutospacing="0" w:after="0" w:afterAutospacing="0"/>
                    <w:contextualSpacing/>
                    <w:rPr>
                      <w:sz w:val="20"/>
                      <w:szCs w:val="20"/>
                    </w:rPr>
                  </w:pP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kalendárny rok</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40 µg/m</w:t>
                  </w:r>
                  <w:r w:rsidRPr="008328CD">
                    <w:rPr>
                      <w:sz w:val="20"/>
                      <w:szCs w:val="20"/>
                      <w:vertAlign w:val="superscript"/>
                    </w:rPr>
                    <w:t>3</w:t>
                  </w:r>
                </w:p>
              </w:tc>
            </w:tr>
            <w:tr w:rsidTr="001F4330">
              <w:tblPrEx>
                <w:tblW w:w="0" w:type="auto"/>
                <w:tblInd w:w="108" w:type="dxa"/>
                <w:tblLayout w:type="fixed"/>
                <w:tblLook w:val="01E0"/>
              </w:tblPrEx>
              <w:trPr>
                <w:trHeight w:val="442"/>
              </w:trPr>
              <w:tc>
                <w:tcPr>
                  <w:tcW w:w="145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Oxid uhoľnatý CO</w:t>
                  </w:r>
                </w:p>
              </w:tc>
              <w:tc>
                <w:tcPr>
                  <w:tcW w:w="290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 xml:space="preserve">Najväčšia denná </w:t>
                  </w:r>
                </w:p>
                <w:p w:rsidR="00BF6B28" w:rsidRPr="00BF6B28" w:rsidP="00BF6B28">
                  <w:pPr>
                    <w:pStyle w:val="NormalWeb"/>
                    <w:keepLines/>
                    <w:spacing w:before="0" w:beforeAutospacing="0" w:after="0" w:afterAutospacing="0"/>
                    <w:contextualSpacing/>
                    <w:rPr>
                      <w:sz w:val="20"/>
                      <w:szCs w:val="20"/>
                    </w:rPr>
                  </w:pPr>
                  <w:r w:rsidRPr="007B57C0">
                    <w:rPr>
                      <w:sz w:val="20"/>
                      <w:szCs w:val="20"/>
                    </w:rPr>
                    <w:t>8-hodinová stredná hodnota</w:t>
                  </w:r>
                  <w:r w:rsidRPr="00BF6B28">
                    <w:rPr>
                      <w:sz w:val="20"/>
                      <w:szCs w:val="20"/>
                    </w:rPr>
                    <w:t>1)</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10 mg/m</w:t>
                  </w:r>
                  <w:r w:rsidRPr="008328CD">
                    <w:rPr>
                      <w:sz w:val="20"/>
                      <w:szCs w:val="20"/>
                      <w:vertAlign w:val="superscript"/>
                    </w:rPr>
                    <w:t>3</w:t>
                  </w:r>
                </w:p>
              </w:tc>
            </w:tr>
            <w:tr w:rsidTr="001F4330">
              <w:tblPrEx>
                <w:tblW w:w="0" w:type="auto"/>
                <w:tblInd w:w="108" w:type="dxa"/>
                <w:tblLayout w:type="fixed"/>
                <w:tblLook w:val="01E0"/>
              </w:tblPrEx>
              <w:trPr>
                <w:trHeight w:val="442"/>
              </w:trPr>
              <w:tc>
                <w:tcPr>
                  <w:tcW w:w="145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Olovo Pb</w:t>
                  </w:r>
                </w:p>
              </w:tc>
              <w:tc>
                <w:tcPr>
                  <w:tcW w:w="2905" w:type="dxa"/>
                  <w:vAlign w:val="center"/>
                </w:tcPr>
                <w:p w:rsidR="00BF6B28" w:rsidRPr="00BF6B28" w:rsidP="00BF6B28">
                  <w:pPr>
                    <w:pStyle w:val="NormalWeb"/>
                    <w:keepLines/>
                    <w:spacing w:before="0" w:beforeAutospacing="0" w:after="0" w:afterAutospacing="0"/>
                    <w:contextualSpacing/>
                    <w:rPr>
                      <w:sz w:val="20"/>
                      <w:szCs w:val="20"/>
                    </w:rPr>
                  </w:pPr>
                  <w:r w:rsidRPr="007B57C0">
                    <w:rPr>
                      <w:sz w:val="20"/>
                      <w:szCs w:val="20"/>
                    </w:rPr>
                    <w:t>kalendárny rok</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0,5 µg/m</w:t>
                  </w:r>
                  <w:r w:rsidRPr="008328CD">
                    <w:rPr>
                      <w:sz w:val="20"/>
                      <w:szCs w:val="20"/>
                      <w:vertAlign w:val="superscript"/>
                    </w:rPr>
                    <w:t>3</w:t>
                  </w:r>
                  <w:r w:rsidRPr="00BF6B28">
                    <w:rPr>
                      <w:sz w:val="20"/>
                      <w:szCs w:val="20"/>
                    </w:rPr>
                    <w:t xml:space="preserve"> </w:t>
                  </w:r>
                </w:p>
              </w:tc>
            </w:tr>
            <w:tr w:rsidTr="001F4330">
              <w:tblPrEx>
                <w:tblW w:w="0" w:type="auto"/>
                <w:tblInd w:w="108" w:type="dxa"/>
                <w:tblLayout w:type="fixed"/>
                <w:tblLook w:val="01E0"/>
              </w:tblPrEx>
              <w:trPr>
                <w:trHeight w:val="442"/>
              </w:trPr>
              <w:tc>
                <w:tcPr>
                  <w:tcW w:w="1455"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Benzén</w:t>
                  </w:r>
                </w:p>
              </w:tc>
              <w:tc>
                <w:tcPr>
                  <w:tcW w:w="2905" w:type="dxa"/>
                  <w:vAlign w:val="center"/>
                </w:tcPr>
                <w:p w:rsidR="00BF6B28" w:rsidRPr="00BF6B28" w:rsidP="00BF6B28">
                  <w:pPr>
                    <w:pStyle w:val="NormalWeb"/>
                    <w:keepLines/>
                    <w:spacing w:before="0" w:beforeAutospacing="0" w:after="0" w:afterAutospacing="0"/>
                    <w:contextualSpacing/>
                    <w:rPr>
                      <w:sz w:val="20"/>
                      <w:szCs w:val="20"/>
                    </w:rPr>
                  </w:pPr>
                  <w:r w:rsidRPr="007B57C0">
                    <w:rPr>
                      <w:sz w:val="20"/>
                      <w:szCs w:val="20"/>
                    </w:rPr>
                    <w:t>kalendárny rok</w:t>
                  </w:r>
                </w:p>
              </w:tc>
              <w:tc>
                <w:tcPr>
                  <w:tcW w:w="3043" w:type="dxa"/>
                  <w:vAlign w:val="center"/>
                </w:tcPr>
                <w:p w:rsidR="00BF6B28" w:rsidRPr="007B57C0" w:rsidP="00BF6B28">
                  <w:pPr>
                    <w:pStyle w:val="NormalWeb"/>
                    <w:keepLines/>
                    <w:spacing w:before="0" w:beforeAutospacing="0" w:after="0" w:afterAutospacing="0"/>
                    <w:contextualSpacing/>
                    <w:rPr>
                      <w:sz w:val="20"/>
                      <w:szCs w:val="20"/>
                    </w:rPr>
                  </w:pPr>
                  <w:r w:rsidRPr="007B57C0">
                    <w:rPr>
                      <w:sz w:val="20"/>
                      <w:szCs w:val="20"/>
                    </w:rPr>
                    <w:t>5 µg/m</w:t>
                  </w:r>
                  <w:r w:rsidRPr="008328CD">
                    <w:rPr>
                      <w:sz w:val="20"/>
                      <w:szCs w:val="20"/>
                      <w:vertAlign w:val="superscript"/>
                    </w:rPr>
                    <w:t>3</w:t>
                  </w:r>
                </w:p>
              </w:tc>
            </w:tr>
          </w:tbl>
          <w:p w:rsidR="00BF6B28" w:rsidRPr="005B394F" w:rsidP="005B394F">
            <w:pPr>
              <w:pStyle w:val="NormalWeb"/>
              <w:keepLines/>
              <w:spacing w:before="0" w:beforeAutospacing="0" w:after="0" w:afterAutospacing="0"/>
              <w:contextualSpacing/>
              <w:rPr>
                <w:sz w:val="18"/>
                <w:szCs w:val="18"/>
              </w:rPr>
            </w:pPr>
            <w:r w:rsidRPr="005B394F">
              <w:rPr>
                <w:sz w:val="18"/>
                <w:szCs w:val="18"/>
              </w:rPr>
              <w:t>Poznámka:</w:t>
            </w:r>
          </w:p>
          <w:p w:rsidR="00BF6B28" w:rsidRPr="005B394F" w:rsidP="005B394F">
            <w:pPr>
              <w:pStyle w:val="NormalWeb"/>
              <w:keepLines/>
              <w:spacing w:before="0" w:beforeAutospacing="0" w:after="0" w:afterAutospacing="0"/>
              <w:contextualSpacing/>
              <w:rPr>
                <w:sz w:val="18"/>
                <w:szCs w:val="18"/>
              </w:rPr>
            </w:pPr>
            <w:r w:rsidRPr="005B394F">
              <w:rPr>
                <w:sz w:val="18"/>
                <w:szCs w:val="18"/>
                <w:vertAlign w:val="superscript"/>
              </w:rPr>
              <w:t>1</w:t>
            </w:r>
            <w:r w:rsidRPr="005B394F">
              <w:rPr>
                <w:sz w:val="18"/>
                <w:szCs w:val="18"/>
              </w:rPr>
              <w:t>) Najväčšia denná 8-hodinová stredná koncentrácia sa vyberie preskúmaním 8-hodinových pohyblivých priemerov vypočítaných z hodinových údajov a aktualizovaných každú hodinu. Každý takto vypočítaný 8- hodinový priemer sa priradí ku dňu, v ktorom končí, t. j. prvým výpočtovým obdobím pre ktorýkoľvek jeden deň je obdobie od 17.00 hod. predchádzajúceho dňa do 1.00 hod. daného dňa; posledným výpočtovým obdobím pre ktorýkoľvek jeden deň je obdobie od 16.00 hod. do konca daného dňa.</w:t>
            </w:r>
          </w:p>
          <w:p w:rsidR="00020A83" w:rsidRPr="00BF6B28" w:rsidP="00C01233">
            <w:pPr>
              <w:pStyle w:val="NormalWeb"/>
              <w:keepLines/>
              <w:spacing w:before="0" w:beforeAutospacing="0" w:after="0" w:afterAutospacing="0"/>
              <w:contextualSpacing/>
              <w:rPr>
                <w:sz w:val="20"/>
                <w:szCs w:val="20"/>
              </w:rPr>
            </w:pPr>
          </w:p>
          <w:p w:rsidR="001F4330" w:rsidRPr="001F4330" w:rsidP="001F4330">
            <w:pPr>
              <w:pStyle w:val="NormalWeb"/>
              <w:keepLines/>
              <w:spacing w:before="0" w:beforeAutospacing="0" w:after="120" w:afterAutospacing="0"/>
              <w:rPr>
                <w:sz w:val="20"/>
                <w:szCs w:val="20"/>
              </w:rPr>
            </w:pPr>
            <w:r w:rsidRPr="001F4330">
              <w:rPr>
                <w:sz w:val="20"/>
                <w:szCs w:val="20"/>
              </w:rPr>
              <w:t>KRITICKÉ  ÚROVNE  ZNEČISTENIA  OVZDUŠIA  NA  OCHRANU  VEGETÁCIE</w:t>
            </w:r>
          </w:p>
          <w:p w:rsidR="001F4330" w:rsidRPr="001F4330" w:rsidP="001F4330">
            <w:pPr>
              <w:pStyle w:val="NormalWeb"/>
              <w:keepLines/>
              <w:spacing w:before="0" w:beforeAutospacing="0" w:after="120" w:afterAutospacing="0"/>
              <w:rPr>
                <w:sz w:val="20"/>
                <w:szCs w:val="20"/>
              </w:rPr>
            </w:pPr>
          </w:p>
          <w:tbl>
            <w:tblPr>
              <w:tblStyle w:val="TableNormal"/>
              <w:tblW w:w="7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4"/>
              <w:gridCol w:w="2902"/>
              <w:gridCol w:w="2575"/>
            </w:tblGrid>
            <w:tr w:rsidTr="001F4330">
              <w:tblPrEx>
                <w:tblW w:w="7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2"/>
              </w:trPr>
              <w:tc>
                <w:tcPr>
                  <w:tcW w:w="2074"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Znečisťujúca látka</w:t>
                  </w:r>
                </w:p>
              </w:tc>
              <w:tc>
                <w:tcPr>
                  <w:tcW w:w="2902"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Priemerované obdobie</w:t>
                  </w:r>
                </w:p>
              </w:tc>
              <w:tc>
                <w:tcPr>
                  <w:tcW w:w="2575"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Kritická úroveň</w:t>
                  </w:r>
                </w:p>
              </w:tc>
            </w:tr>
            <w:tr w:rsidTr="001F4330">
              <w:tblPrEx>
                <w:tblW w:w="7551" w:type="dxa"/>
                <w:tblInd w:w="108" w:type="dxa"/>
                <w:tblLayout w:type="fixed"/>
                <w:tblLook w:val="01E0"/>
              </w:tblPrEx>
              <w:trPr>
                <w:trHeight w:val="252"/>
              </w:trPr>
              <w:tc>
                <w:tcPr>
                  <w:tcW w:w="2074" w:type="dxa"/>
                  <w:vAlign w:val="center"/>
                </w:tcPr>
                <w:p w:rsidR="001F4330" w:rsidRPr="001F4330" w:rsidP="001F4330">
                  <w:pPr>
                    <w:pStyle w:val="NormalWeb"/>
                    <w:keepLines/>
                    <w:spacing w:before="0" w:beforeAutospacing="0" w:after="0" w:afterAutospacing="0"/>
                    <w:contextualSpacing/>
                    <w:rPr>
                      <w:sz w:val="20"/>
                      <w:szCs w:val="20"/>
                    </w:rPr>
                  </w:pPr>
                  <w:r w:rsidRPr="007B57C0">
                    <w:rPr>
                      <w:sz w:val="20"/>
                      <w:szCs w:val="20"/>
                    </w:rPr>
                    <w:t>SO</w:t>
                  </w:r>
                  <w:r w:rsidRPr="001F4330">
                    <w:rPr>
                      <w:sz w:val="20"/>
                      <w:szCs w:val="20"/>
                    </w:rPr>
                    <w:t>2</w:t>
                  </w:r>
                </w:p>
              </w:tc>
              <w:tc>
                <w:tcPr>
                  <w:tcW w:w="2902"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Kalendárny rok a zimné obdobie</w:t>
                  </w:r>
                </w:p>
                <w:p w:rsidR="001F4330" w:rsidRPr="007B57C0" w:rsidP="001F4330">
                  <w:pPr>
                    <w:pStyle w:val="NormalWeb"/>
                    <w:keepLines/>
                    <w:spacing w:before="0" w:beforeAutospacing="0" w:after="0" w:afterAutospacing="0"/>
                    <w:contextualSpacing/>
                    <w:rPr>
                      <w:sz w:val="20"/>
                      <w:szCs w:val="20"/>
                    </w:rPr>
                  </w:pPr>
                  <w:r w:rsidRPr="007B57C0">
                    <w:rPr>
                      <w:sz w:val="20"/>
                      <w:szCs w:val="20"/>
                    </w:rPr>
                    <w:t>od 1. októbra do 31. marca</w:t>
                  </w:r>
                </w:p>
              </w:tc>
              <w:tc>
                <w:tcPr>
                  <w:tcW w:w="2575"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20 µg/m</w:t>
                  </w:r>
                  <w:r w:rsidRPr="008328CD">
                    <w:rPr>
                      <w:sz w:val="20"/>
                      <w:szCs w:val="20"/>
                      <w:vertAlign w:val="superscript"/>
                    </w:rPr>
                    <w:t>3</w:t>
                  </w:r>
                </w:p>
              </w:tc>
            </w:tr>
            <w:tr w:rsidTr="001F4330">
              <w:tblPrEx>
                <w:tblW w:w="7551" w:type="dxa"/>
                <w:tblInd w:w="108" w:type="dxa"/>
                <w:tblLayout w:type="fixed"/>
                <w:tblLook w:val="01E0"/>
              </w:tblPrEx>
              <w:trPr>
                <w:trHeight w:val="252"/>
              </w:trPr>
              <w:tc>
                <w:tcPr>
                  <w:tcW w:w="2074"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Oxidy dusíka NO</w:t>
                  </w:r>
                  <w:r w:rsidRPr="001F4330">
                    <w:rPr>
                      <w:sz w:val="20"/>
                      <w:szCs w:val="20"/>
                    </w:rPr>
                    <w:t>x</w:t>
                  </w:r>
                </w:p>
              </w:tc>
              <w:tc>
                <w:tcPr>
                  <w:tcW w:w="2902"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Kalendárny rok</w:t>
                  </w:r>
                </w:p>
              </w:tc>
              <w:tc>
                <w:tcPr>
                  <w:tcW w:w="2575" w:type="dxa"/>
                  <w:vAlign w:val="center"/>
                </w:tcPr>
                <w:p w:rsidR="001F4330" w:rsidRPr="007B57C0" w:rsidP="001F4330">
                  <w:pPr>
                    <w:pStyle w:val="NormalWeb"/>
                    <w:keepLines/>
                    <w:spacing w:before="0" w:beforeAutospacing="0" w:after="0" w:afterAutospacing="0"/>
                    <w:contextualSpacing/>
                    <w:rPr>
                      <w:sz w:val="20"/>
                      <w:szCs w:val="20"/>
                    </w:rPr>
                  </w:pPr>
                  <w:r w:rsidRPr="007B57C0">
                    <w:rPr>
                      <w:sz w:val="20"/>
                      <w:szCs w:val="20"/>
                    </w:rPr>
                    <w:t>30 µg/m</w:t>
                  </w:r>
                  <w:r w:rsidRPr="008328CD">
                    <w:rPr>
                      <w:sz w:val="20"/>
                      <w:szCs w:val="20"/>
                      <w:vertAlign w:val="superscript"/>
                    </w:rPr>
                    <w:t>3</w:t>
                  </w:r>
                </w:p>
              </w:tc>
            </w:tr>
          </w:tbl>
          <w:p w:rsidR="005416C3" w:rsidRPr="00BF6B28" w:rsidP="00C01233">
            <w:pPr>
              <w:pStyle w:val="NormalWeb"/>
              <w:keepLines/>
              <w:spacing w:before="0" w:beforeAutospacing="0" w:after="0" w:afterAutospacing="0"/>
              <w:contextualSpacing/>
              <w:rPr>
                <w:sz w:val="20"/>
                <w:szCs w:val="20"/>
              </w:rPr>
            </w:pPr>
          </w:p>
          <w:p w:rsidR="005416C3" w:rsidRPr="00BF6B28" w:rsidP="00C01233">
            <w:pPr>
              <w:pStyle w:val="NormalWeb"/>
              <w:keepLines/>
              <w:spacing w:before="0" w:beforeAutospacing="0" w:after="0" w:afterAutospacing="0"/>
              <w:contextualSpacing/>
              <w:rPr>
                <w:sz w:val="20"/>
                <w:szCs w:val="20"/>
              </w:rPr>
            </w:pPr>
          </w:p>
          <w:p w:rsidR="005416C3" w:rsidRPr="00BF6B28" w:rsidP="00C01233">
            <w:pPr>
              <w:pStyle w:val="NormalWeb"/>
              <w:keepLines/>
              <w:spacing w:before="0" w:beforeAutospacing="0" w:after="0" w:afterAutospacing="0"/>
              <w:contextualSpacing/>
              <w:rPr>
                <w:sz w:val="20"/>
                <w:szCs w:val="20"/>
              </w:rPr>
            </w:pPr>
          </w:p>
          <w:p w:rsidR="000E1715" w:rsidRPr="00BF6B28" w:rsidP="00C01233">
            <w:pPr>
              <w:pStyle w:val="NormalWeb"/>
              <w:keepLines/>
              <w:spacing w:before="0" w:beforeAutospacing="0" w:after="0" w:afterAutospacing="0"/>
              <w:contextualSpacing/>
              <w:rPr>
                <w:sz w:val="20"/>
                <w:szCs w:val="20"/>
              </w:rPr>
            </w:pPr>
          </w:p>
          <w:p w:rsidR="000E1715" w:rsidRPr="00BF6B28" w:rsidP="00C01233">
            <w:pPr>
              <w:pStyle w:val="NormalWeb"/>
              <w:keepLines/>
              <w:spacing w:before="0" w:beforeAutospacing="0" w:after="0" w:afterAutospacing="0"/>
              <w:contextualSpacing/>
              <w:rPr>
                <w:sz w:val="20"/>
                <w:szCs w:val="20"/>
              </w:rPr>
            </w:pPr>
          </w:p>
          <w:p w:rsidR="000E1715" w:rsidRPr="00BF6B28" w:rsidP="00C01233">
            <w:pPr>
              <w:pStyle w:val="NormalWeb"/>
              <w:keepLines/>
              <w:spacing w:before="0" w:beforeAutospacing="0" w:after="0" w:afterAutospacing="0"/>
              <w:contextualSpacing/>
              <w:rPr>
                <w:sz w:val="20"/>
                <w:szCs w:val="20"/>
              </w:rPr>
            </w:pPr>
          </w:p>
          <w:p w:rsidR="000E1715" w:rsidRPr="00BF6B28" w:rsidP="00C01233">
            <w:pPr>
              <w:pStyle w:val="NormalWeb"/>
              <w:keepLines/>
              <w:spacing w:before="0" w:beforeAutospacing="0" w:after="0" w:afterAutospacing="0"/>
              <w:contextualSpacing/>
              <w:rPr>
                <w:sz w:val="20"/>
                <w:szCs w:val="20"/>
              </w:rPr>
            </w:pPr>
          </w:p>
          <w:p w:rsidR="00020A83" w:rsidRPr="00BF6B28" w:rsidP="00C01233">
            <w:pPr>
              <w:pStyle w:val="NormalWeb"/>
              <w:keepLines/>
              <w:spacing w:before="0" w:beforeAutospacing="0" w:after="0" w:afterAutospacing="0"/>
              <w:contextualSpacing/>
              <w:rPr>
                <w:sz w:val="20"/>
                <w:szCs w:val="20"/>
              </w:rPr>
            </w:pPr>
          </w:p>
          <w:p w:rsidR="00C01233" w:rsidRPr="00C66057" w:rsidP="00C01233">
            <w:pPr>
              <w:pStyle w:val="NormalWeb"/>
              <w:keepLines/>
              <w:spacing w:before="0" w:beforeAutospacing="0" w:after="0" w:afterAutospacing="0"/>
              <w:ind w:left="720"/>
              <w:contextualSpacing/>
              <w:rPr>
                <w:sz w:val="20"/>
                <w:szCs w:val="20"/>
              </w:rPr>
            </w:pPr>
          </w:p>
          <w:p w:rsidR="00020A83" w:rsidRPr="00BF6B28" w:rsidP="00C01233">
            <w:pPr>
              <w:keepNext/>
              <w:keepLines/>
              <w:contextualSpacing/>
              <w:outlineLvl w:val="2"/>
              <w:rPr>
                <w:sz w:val="20"/>
                <w:lang w:eastAsia="sk-SK"/>
              </w:rPr>
            </w:pPr>
            <w:r w:rsidRPr="00BF6B28" w:rsidR="00C01233">
              <w:rPr>
                <w:sz w:val="20"/>
                <w:lang w:eastAsia="sk-SK"/>
              </w:rPr>
              <w:br w:type="page"/>
              <w:t xml:space="preserve">   </w:t>
            </w: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020A83" w:rsidRPr="00BF6B28" w:rsidP="00C01233">
            <w:pPr>
              <w:keepNext/>
              <w:keepLines/>
              <w:contextualSpacing/>
              <w:outlineLvl w:val="2"/>
              <w:rPr>
                <w:sz w:val="20"/>
                <w:lang w:eastAsia="sk-SK"/>
              </w:rPr>
            </w:pPr>
          </w:p>
          <w:p w:rsidR="00CB3E7D" w:rsidRPr="00BF6B28" w:rsidP="00855110">
            <w:pPr>
              <w:pStyle w:val="NormalWeb"/>
              <w:spacing w:before="0" w:beforeAutospacing="0" w:after="0" w:afterAutospacing="0"/>
              <w:rPr>
                <w:sz w:val="20"/>
                <w:szCs w:val="20"/>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12</w:t>
            </w:r>
          </w:p>
        </w:tc>
        <w:tc>
          <w:tcPr>
            <w:tcW w:w="4074" w:type="dxa"/>
            <w:tcBorders>
              <w:bottom w:val="single" w:sz="4" w:space="0" w:color="auto"/>
            </w:tcBorders>
          </w:tcPr>
          <w:p w:rsidR="00CB3E7D" w:rsidRPr="00DC695B" w:rsidP="00CB3E7D">
            <w:pPr>
              <w:pStyle w:val="NormalWeb"/>
              <w:rPr>
                <w:sz w:val="20"/>
                <w:szCs w:val="20"/>
              </w:rPr>
            </w:pPr>
            <w:r w:rsidRPr="00390FC1">
              <w:rPr>
                <w:sz w:val="20"/>
                <w:szCs w:val="20"/>
              </w:rPr>
              <w:t>I</w:t>
            </w:r>
            <w:r w:rsidRPr="00DC695B">
              <w:rPr>
                <w:sz w:val="20"/>
                <w:szCs w:val="20"/>
              </w:rPr>
              <w:t>nformačné a výstražné prahy</w:t>
            </w:r>
          </w:p>
          <w:p w:rsidR="00CB3E7D" w:rsidRPr="00DC695B" w:rsidP="00CB3E7D">
            <w:pPr>
              <w:pStyle w:val="NormalWeb"/>
              <w:rPr>
                <w:sz w:val="20"/>
                <w:szCs w:val="20"/>
              </w:rPr>
            </w:pPr>
            <w:r w:rsidRPr="00DC695B">
              <w:rPr>
                <w:sz w:val="20"/>
                <w:szCs w:val="20"/>
              </w:rPr>
              <w:t>A. Výstražné prahy pre znečisťujúce látky okrem ozónu</w:t>
            </w:r>
          </w:p>
          <w:p w:rsidR="00CB3E7D" w:rsidRPr="00DC695B" w:rsidP="00CB3E7D">
            <w:pPr>
              <w:pStyle w:val="NormalWeb"/>
              <w:rPr>
                <w:sz w:val="20"/>
                <w:szCs w:val="20"/>
              </w:rPr>
            </w:pPr>
            <w:r w:rsidRPr="00DC695B">
              <w:rPr>
                <w:sz w:val="20"/>
                <w:szCs w:val="20"/>
              </w:rPr>
              <w:t>Hodnoty sa merajú počas troch po sebe nasledujúcich hodín na miestach reprezentujúcich kvalitu ovzdušia pre aspoň 100 km</w:t>
            </w:r>
            <w:r w:rsidRPr="00C8183A">
              <w:rPr>
                <w:sz w:val="20"/>
                <w:szCs w:val="20"/>
                <w:vertAlign w:val="superscript"/>
              </w:rPr>
              <w:t>2</w:t>
            </w:r>
            <w:r w:rsidRPr="00DC695B">
              <w:rPr>
                <w:sz w:val="20"/>
                <w:szCs w:val="20"/>
              </w:rPr>
              <w:t xml:space="preserve"> alebo celú zónu či aglomeráciu, podľa toho, čo je menšie.</w:t>
            </w:r>
          </w:p>
          <w:p w:rsidR="00CB3E7D" w:rsidRPr="00DC695B" w:rsidP="00CB3E7D">
            <w:pPr>
              <w:pStyle w:val="NormalWeb"/>
              <w:rPr>
                <w:sz w:val="20"/>
                <w:szCs w:val="20"/>
              </w:rPr>
            </w:pPr>
            <w:r w:rsidRPr="00DC695B">
              <w:rPr>
                <w:sz w:val="20"/>
                <w:szCs w:val="20"/>
              </w:rPr>
              <w:t>Znečisťujúca látka | Výstražný prah |</w:t>
            </w:r>
          </w:p>
          <w:p w:rsidR="00CB3E7D" w:rsidRPr="00DC695B" w:rsidP="00CB3E7D">
            <w:pPr>
              <w:pStyle w:val="NormalWeb"/>
              <w:rPr>
                <w:sz w:val="20"/>
                <w:szCs w:val="20"/>
              </w:rPr>
            </w:pPr>
            <w:r w:rsidRPr="00DC695B">
              <w:rPr>
                <w:sz w:val="20"/>
                <w:szCs w:val="20"/>
              </w:rPr>
              <w:t>Oxid siričitý | 500 µg/m</w:t>
            </w:r>
            <w:r w:rsidRPr="00C8183A">
              <w:rPr>
                <w:sz w:val="20"/>
                <w:szCs w:val="20"/>
                <w:vertAlign w:val="superscript"/>
              </w:rPr>
              <w:t>3</w:t>
            </w:r>
            <w:r w:rsidRPr="00DC695B">
              <w:rPr>
                <w:sz w:val="20"/>
                <w:szCs w:val="20"/>
              </w:rPr>
              <w:t xml:space="preserve"> |</w:t>
            </w:r>
          </w:p>
          <w:p w:rsidR="00CB3E7D" w:rsidRPr="00DC695B" w:rsidP="00CB3E7D">
            <w:pPr>
              <w:pStyle w:val="NormalWeb"/>
              <w:rPr>
                <w:sz w:val="20"/>
                <w:szCs w:val="20"/>
              </w:rPr>
            </w:pPr>
            <w:r w:rsidRPr="00DC695B">
              <w:rPr>
                <w:sz w:val="20"/>
                <w:szCs w:val="20"/>
              </w:rPr>
              <w:t>Oxid dusičitý | 400 µg/m</w:t>
            </w:r>
            <w:r w:rsidRPr="00C8183A">
              <w:rPr>
                <w:sz w:val="20"/>
                <w:szCs w:val="20"/>
                <w:vertAlign w:val="superscript"/>
              </w:rPr>
              <w:t>3</w:t>
            </w:r>
            <w:r w:rsidRPr="00DC695B">
              <w:rPr>
                <w:sz w:val="20"/>
                <w:szCs w:val="20"/>
              </w:rPr>
              <w:t xml:space="preserve"> |</w:t>
            </w:r>
          </w:p>
          <w:p w:rsidR="00CB3E7D" w:rsidRPr="00DC695B" w:rsidP="00CB3E7D">
            <w:pPr>
              <w:pStyle w:val="NormalWeb"/>
              <w:rPr>
                <w:sz w:val="20"/>
                <w:szCs w:val="20"/>
              </w:rPr>
            </w:pPr>
            <w:r w:rsidRPr="00DC695B">
              <w:rPr>
                <w:sz w:val="20"/>
                <w:szCs w:val="20"/>
              </w:rPr>
              <w:t>B. Informačné a výstražné prahy pre ozón</w:t>
            </w:r>
          </w:p>
          <w:p w:rsidR="00CB3E7D" w:rsidRPr="00DC695B" w:rsidP="00CB3E7D">
            <w:pPr>
              <w:pStyle w:val="NormalWeb"/>
              <w:rPr>
                <w:sz w:val="20"/>
                <w:szCs w:val="20"/>
              </w:rPr>
            </w:pPr>
            <w:r w:rsidRPr="00DC695B">
              <w:rPr>
                <w:sz w:val="20"/>
                <w:szCs w:val="20"/>
              </w:rPr>
              <w:t>Účel | Priemerované obdobie | Prah |</w:t>
            </w:r>
          </w:p>
          <w:p w:rsidR="00CB3E7D" w:rsidRPr="00DC695B" w:rsidP="00CB3E7D">
            <w:pPr>
              <w:pStyle w:val="NormalWeb"/>
              <w:rPr>
                <w:sz w:val="20"/>
                <w:szCs w:val="20"/>
              </w:rPr>
            </w:pPr>
            <w:r w:rsidRPr="00DC695B">
              <w:rPr>
                <w:sz w:val="20"/>
                <w:szCs w:val="20"/>
              </w:rPr>
              <w:t>Informácie | 1 hodina | 180 µg/m</w:t>
            </w:r>
            <w:r w:rsidRPr="00C8183A">
              <w:rPr>
                <w:sz w:val="20"/>
                <w:szCs w:val="20"/>
                <w:vertAlign w:val="superscript"/>
              </w:rPr>
              <w:t>3</w:t>
            </w:r>
            <w:r w:rsidRPr="00DC695B">
              <w:rPr>
                <w:sz w:val="20"/>
                <w:szCs w:val="20"/>
              </w:rPr>
              <w:t xml:space="preserve"> |</w:t>
            </w:r>
          </w:p>
          <w:p w:rsidR="00CB3E7D" w:rsidRPr="00DC695B" w:rsidP="00CB3E7D">
            <w:pPr>
              <w:pStyle w:val="NormalWeb"/>
              <w:rPr>
                <w:sz w:val="20"/>
                <w:szCs w:val="20"/>
              </w:rPr>
            </w:pPr>
            <w:r w:rsidRPr="00DC695B">
              <w:rPr>
                <w:sz w:val="20"/>
                <w:szCs w:val="20"/>
              </w:rPr>
              <w:t>Výstraha | 1 hodina [1] | 240 µg/m</w:t>
            </w:r>
            <w:r w:rsidRPr="00C8183A">
              <w:rPr>
                <w:sz w:val="20"/>
                <w:szCs w:val="20"/>
                <w:vertAlign w:val="superscript"/>
              </w:rPr>
              <w:t>3</w:t>
            </w:r>
            <w:r w:rsidRPr="00DC695B">
              <w:rPr>
                <w:sz w:val="20"/>
                <w:szCs w:val="20"/>
              </w:rPr>
              <w:t xml:space="preserve"> |</w:t>
            </w:r>
          </w:p>
          <w:p w:rsidR="00CB3E7D" w:rsidRPr="00DC695B" w:rsidP="00CB3E7D">
            <w:pPr>
              <w:pStyle w:val="NormalWeb"/>
            </w:pPr>
            <w:r w:rsidRPr="00DC695B">
              <w:rPr>
                <w:sz w:val="20"/>
                <w:szCs w:val="20"/>
              </w:rPr>
              <w:t>[1] Na vykonávanie článku 24 sa prekročenie prahu meria alebo predpovedá tri po sebe nasledujúce hodiny.</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514277">
              <w:rPr>
                <w:sz w:val="20"/>
              </w:rPr>
              <w:t>NV</w:t>
            </w:r>
          </w:p>
        </w:tc>
        <w:tc>
          <w:tcPr>
            <w:tcW w:w="701" w:type="dxa"/>
            <w:tcBorders>
              <w:bottom w:val="single" w:sz="4" w:space="0" w:color="auto"/>
            </w:tcBorders>
          </w:tcPr>
          <w:p w:rsidR="00CB3E7D" w:rsidP="00CB3E7D">
            <w:pPr>
              <w:jc w:val="both"/>
              <w:rPr>
                <w:sz w:val="20"/>
              </w:rPr>
            </w:pPr>
            <w:r>
              <w:rPr>
                <w:sz w:val="20"/>
              </w:rPr>
              <w:t>Príl.</w:t>
            </w:r>
          </w:p>
          <w:p w:rsidR="00CB3E7D" w:rsidP="00CB3E7D">
            <w:pPr>
              <w:jc w:val="both"/>
              <w:rPr>
                <w:sz w:val="20"/>
              </w:rPr>
            </w:pPr>
            <w:r w:rsidR="00514277">
              <w:rPr>
                <w:sz w:val="20"/>
              </w:rPr>
              <w:t>10</w:t>
            </w:r>
          </w:p>
          <w:p w:rsidR="0066225B" w:rsidRPr="00390FC1" w:rsidP="00CB3E7D">
            <w:pPr>
              <w:jc w:val="both"/>
              <w:rPr>
                <w:sz w:val="20"/>
              </w:rPr>
            </w:pPr>
            <w:r>
              <w:rPr>
                <w:sz w:val="20"/>
              </w:rPr>
              <w:t>A,B,</w:t>
            </w:r>
          </w:p>
        </w:tc>
        <w:tc>
          <w:tcPr>
            <w:tcW w:w="7797" w:type="dxa"/>
            <w:tcBorders>
              <w:bottom w:val="single" w:sz="4" w:space="0" w:color="auto"/>
            </w:tcBorders>
          </w:tcPr>
          <w:p w:rsidR="00393B10" w:rsidRPr="00393B10" w:rsidP="00393B10">
            <w:pPr>
              <w:spacing w:before="240" w:after="120"/>
              <w:ind w:hanging="11"/>
              <w:jc w:val="center"/>
              <w:rPr>
                <w:sz w:val="20"/>
                <w:lang w:eastAsia="sk-SK"/>
              </w:rPr>
            </w:pPr>
            <w:r w:rsidRPr="00393B10">
              <w:rPr>
                <w:sz w:val="20"/>
                <w:lang w:eastAsia="sk-SK"/>
              </w:rPr>
              <w:t>INFORMAČNÉ PRAHY, VÝSTRAŽNÉ PRAHY A </w:t>
            </w:r>
          </w:p>
          <w:p w:rsidR="00393B10" w:rsidRPr="00393B10" w:rsidP="00393B10">
            <w:pPr>
              <w:spacing w:after="240"/>
              <w:ind w:hanging="11"/>
              <w:jc w:val="center"/>
              <w:rPr>
                <w:sz w:val="20"/>
                <w:lang w:eastAsia="sk-SK"/>
              </w:rPr>
            </w:pPr>
            <w:r w:rsidRPr="00393B10">
              <w:rPr>
                <w:sz w:val="20"/>
                <w:lang w:eastAsia="sk-SK"/>
              </w:rPr>
              <w:t xml:space="preserve">PRAVIDLÁ UPLATŇOVANIA SMOGOVÉHO VAROVNÉHO SYSTÉMU  </w:t>
            </w:r>
          </w:p>
          <w:p w:rsidR="00393B10" w:rsidRPr="00393B10" w:rsidP="00393B10">
            <w:pPr>
              <w:spacing w:before="240" w:after="240"/>
              <w:ind w:hanging="11"/>
              <w:rPr>
                <w:sz w:val="20"/>
                <w:lang w:eastAsia="sk-SK"/>
              </w:rPr>
            </w:pPr>
            <w:r w:rsidRPr="00393B10">
              <w:rPr>
                <w:sz w:val="20"/>
                <w:lang w:eastAsia="sk-SK"/>
              </w:rPr>
              <w:t>A. Informačné prahy a výstražné prahy</w:t>
            </w:r>
          </w:p>
          <w:tbl>
            <w:tblPr>
              <w:tblStyle w:val="TableNormal"/>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2713"/>
              <w:gridCol w:w="2629"/>
            </w:tblGrid>
            <w:tr w:rsidTr="002F5C08">
              <w:tblPrEx>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7"/>
              </w:trPr>
              <w:tc>
                <w:tcPr>
                  <w:tcW w:w="2124" w:type="dxa"/>
                  <w:tcBorders>
                    <w:top w:val="single" w:sz="4" w:space="0" w:color="auto"/>
                    <w:left w:val="single" w:sz="4" w:space="0" w:color="auto"/>
                    <w:bottom w:val="single" w:sz="4" w:space="0" w:color="auto"/>
                    <w:right w:val="single" w:sz="4" w:space="0" w:color="auto"/>
                  </w:tcBorders>
                  <w:hideMark/>
                </w:tcPr>
                <w:p w:rsidR="00393B10" w:rsidRPr="00393B10" w:rsidP="00393B10">
                  <w:pPr>
                    <w:rPr>
                      <w:sz w:val="20"/>
                      <w:lang w:eastAsia="sk-SK"/>
                    </w:rPr>
                  </w:pPr>
                  <w:r w:rsidRPr="00393B10">
                    <w:rPr>
                      <w:sz w:val="20"/>
                      <w:lang w:eastAsia="sk-SK"/>
                    </w:rPr>
                    <w:t>Znečisťujúca látka</w:t>
                  </w:r>
                </w:p>
              </w:tc>
              <w:tc>
                <w:tcPr>
                  <w:tcW w:w="2713" w:type="dxa"/>
                  <w:tcBorders>
                    <w:top w:val="single" w:sz="4" w:space="0" w:color="auto"/>
                    <w:left w:val="single" w:sz="4" w:space="0" w:color="auto"/>
                    <w:bottom w:val="single" w:sz="4" w:space="0" w:color="auto"/>
                    <w:right w:val="single" w:sz="4" w:space="0" w:color="auto"/>
                  </w:tcBorders>
                  <w:hideMark/>
                </w:tcPr>
                <w:p w:rsidR="00393B10" w:rsidRPr="00393B10" w:rsidP="00393B10">
                  <w:pPr>
                    <w:rPr>
                      <w:sz w:val="20"/>
                      <w:lang w:eastAsia="sk-SK"/>
                    </w:rPr>
                  </w:pPr>
                  <w:r w:rsidRPr="00393B10">
                    <w:rPr>
                      <w:sz w:val="20"/>
                      <w:lang w:eastAsia="sk-SK"/>
                    </w:rPr>
                    <w:t>Informačné prahy v µg/m</w:t>
                  </w:r>
                  <w:r w:rsidRPr="002F5C08">
                    <w:rPr>
                      <w:sz w:val="20"/>
                      <w:vertAlign w:val="superscript"/>
                      <w:lang w:eastAsia="sk-SK"/>
                    </w:rPr>
                    <w:t>3</w:t>
                  </w:r>
                </w:p>
              </w:tc>
              <w:tc>
                <w:tcPr>
                  <w:tcW w:w="2629" w:type="dxa"/>
                  <w:tcBorders>
                    <w:top w:val="single" w:sz="4" w:space="0" w:color="auto"/>
                    <w:left w:val="single" w:sz="4" w:space="0" w:color="auto"/>
                    <w:bottom w:val="single" w:sz="4" w:space="0" w:color="auto"/>
                    <w:right w:val="single" w:sz="4" w:space="0" w:color="auto"/>
                  </w:tcBorders>
                  <w:hideMark/>
                </w:tcPr>
                <w:p w:rsidR="00393B10" w:rsidRPr="00393B10" w:rsidP="00393B10">
                  <w:pPr>
                    <w:rPr>
                      <w:sz w:val="20"/>
                      <w:lang w:eastAsia="sk-SK"/>
                    </w:rPr>
                  </w:pPr>
                  <w:r w:rsidRPr="00393B10">
                    <w:rPr>
                      <w:sz w:val="20"/>
                      <w:lang w:eastAsia="sk-SK"/>
                    </w:rPr>
                    <w:t>Výstražné prahy v µg/m3</w:t>
                  </w:r>
                </w:p>
              </w:tc>
            </w:tr>
            <w:tr w:rsidTr="002F5C08">
              <w:tblPrEx>
                <w:tblW w:w="0" w:type="auto"/>
                <w:tblInd w:w="137" w:type="dxa"/>
                <w:tblLayout w:type="fixed"/>
                <w:tblLook w:val="01E0"/>
              </w:tblPrEx>
              <w:trPr>
                <w:trHeight w:val="247"/>
              </w:trPr>
              <w:tc>
                <w:tcPr>
                  <w:tcW w:w="2124" w:type="dxa"/>
                  <w:tcBorders>
                    <w:top w:val="single" w:sz="4" w:space="0" w:color="auto"/>
                    <w:left w:val="single" w:sz="4" w:space="0" w:color="auto"/>
                    <w:bottom w:val="single" w:sz="4" w:space="0" w:color="auto"/>
                    <w:right w:val="single" w:sz="4" w:space="0" w:color="auto"/>
                  </w:tcBorders>
                </w:tcPr>
                <w:p w:rsidR="00393B10" w:rsidRPr="00393B10" w:rsidP="00393B10">
                  <w:pPr>
                    <w:rPr>
                      <w:sz w:val="20"/>
                      <w:lang w:eastAsia="sk-SK"/>
                    </w:rPr>
                  </w:pPr>
                  <w:r w:rsidRPr="00393B10">
                    <w:rPr>
                      <w:sz w:val="20"/>
                      <w:lang w:eastAsia="sk-SK"/>
                    </w:rPr>
                    <w:t xml:space="preserve">PM10 </w:t>
                  </w:r>
                </w:p>
              </w:tc>
              <w:tc>
                <w:tcPr>
                  <w:tcW w:w="2713" w:type="dxa"/>
                  <w:tcBorders>
                    <w:top w:val="single" w:sz="4" w:space="0" w:color="auto"/>
                    <w:left w:val="single" w:sz="4" w:space="0" w:color="auto"/>
                    <w:bottom w:val="single" w:sz="4" w:space="0" w:color="auto"/>
                    <w:right w:val="single" w:sz="4" w:space="0" w:color="auto"/>
                  </w:tcBorders>
                </w:tcPr>
                <w:p w:rsidR="00393B10" w:rsidRPr="00393B10" w:rsidP="00393B10">
                  <w:pPr>
                    <w:jc w:val="center"/>
                    <w:rPr>
                      <w:sz w:val="20"/>
                      <w:lang w:eastAsia="sk-SK"/>
                    </w:rPr>
                  </w:pPr>
                  <w:r w:rsidRPr="00393B10">
                    <w:rPr>
                      <w:sz w:val="20"/>
                      <w:lang w:eastAsia="sk-SK"/>
                    </w:rPr>
                    <w:t>1001)</w:t>
                  </w:r>
                </w:p>
              </w:tc>
              <w:tc>
                <w:tcPr>
                  <w:tcW w:w="2629" w:type="dxa"/>
                  <w:tcBorders>
                    <w:top w:val="single" w:sz="4" w:space="0" w:color="auto"/>
                    <w:left w:val="single" w:sz="4" w:space="0" w:color="auto"/>
                    <w:bottom w:val="single" w:sz="4" w:space="0" w:color="auto"/>
                    <w:right w:val="single" w:sz="4" w:space="0" w:color="auto"/>
                  </w:tcBorders>
                </w:tcPr>
                <w:p w:rsidR="00393B10" w:rsidRPr="00393B10" w:rsidP="00393B10">
                  <w:pPr>
                    <w:jc w:val="center"/>
                    <w:rPr>
                      <w:sz w:val="20"/>
                      <w:lang w:eastAsia="sk-SK"/>
                    </w:rPr>
                  </w:pPr>
                  <w:r w:rsidRPr="00393B10">
                    <w:rPr>
                      <w:sz w:val="20"/>
                      <w:lang w:eastAsia="sk-SK"/>
                    </w:rPr>
                    <w:t>1501)</w:t>
                  </w:r>
                </w:p>
              </w:tc>
            </w:tr>
            <w:tr w:rsidTr="002F5C08">
              <w:tblPrEx>
                <w:tblW w:w="0" w:type="auto"/>
                <w:tblInd w:w="137" w:type="dxa"/>
                <w:tblLayout w:type="fixed"/>
                <w:tblLook w:val="01E0"/>
              </w:tblPrEx>
              <w:trPr>
                <w:trHeight w:val="247"/>
              </w:trPr>
              <w:tc>
                <w:tcPr>
                  <w:tcW w:w="2124" w:type="dxa"/>
                  <w:tcBorders>
                    <w:top w:val="single" w:sz="4" w:space="0" w:color="auto"/>
                    <w:left w:val="single" w:sz="4" w:space="0" w:color="auto"/>
                    <w:bottom w:val="single" w:sz="4" w:space="0" w:color="auto"/>
                    <w:right w:val="single" w:sz="4" w:space="0" w:color="auto"/>
                  </w:tcBorders>
                </w:tcPr>
                <w:p w:rsidR="00393B10" w:rsidRPr="00393B10" w:rsidP="00393B10">
                  <w:pPr>
                    <w:rPr>
                      <w:sz w:val="20"/>
                      <w:lang w:eastAsia="sk-SK"/>
                    </w:rPr>
                  </w:pPr>
                  <w:r w:rsidRPr="00393B10">
                    <w:rPr>
                      <w:sz w:val="20"/>
                      <w:lang w:eastAsia="sk-SK"/>
                    </w:rPr>
                    <w:t>SO2</w:t>
                  </w:r>
                </w:p>
              </w:tc>
              <w:tc>
                <w:tcPr>
                  <w:tcW w:w="2713" w:type="dxa"/>
                  <w:tcBorders>
                    <w:top w:val="single" w:sz="4" w:space="0" w:color="auto"/>
                    <w:left w:val="single" w:sz="4" w:space="0" w:color="auto"/>
                    <w:bottom w:val="single" w:sz="4" w:space="0" w:color="auto"/>
                    <w:right w:val="single" w:sz="4" w:space="0" w:color="auto"/>
                  </w:tcBorders>
                  <w:hideMark/>
                </w:tcPr>
                <w:p w:rsidR="00393B10" w:rsidRPr="00393B10" w:rsidP="00393B10">
                  <w:pPr>
                    <w:jc w:val="center"/>
                    <w:rPr>
                      <w:sz w:val="20"/>
                      <w:lang w:eastAsia="sk-SK"/>
                    </w:rPr>
                  </w:pPr>
                  <w:r w:rsidRPr="00393B10">
                    <w:rPr>
                      <w:sz w:val="20"/>
                      <w:lang w:eastAsia="sk-SK"/>
                    </w:rPr>
                    <w:t>-</w:t>
                  </w:r>
                </w:p>
              </w:tc>
              <w:tc>
                <w:tcPr>
                  <w:tcW w:w="2629" w:type="dxa"/>
                  <w:tcBorders>
                    <w:top w:val="single" w:sz="4" w:space="0" w:color="auto"/>
                    <w:left w:val="single" w:sz="4" w:space="0" w:color="auto"/>
                    <w:bottom w:val="single" w:sz="4" w:space="0" w:color="auto"/>
                    <w:right w:val="single" w:sz="4" w:space="0" w:color="auto"/>
                  </w:tcBorders>
                  <w:hideMark/>
                </w:tcPr>
                <w:p w:rsidR="00393B10" w:rsidRPr="00393B10" w:rsidP="00393B10">
                  <w:pPr>
                    <w:jc w:val="center"/>
                    <w:rPr>
                      <w:sz w:val="20"/>
                      <w:lang w:eastAsia="sk-SK"/>
                    </w:rPr>
                  </w:pPr>
                  <w:r w:rsidRPr="00393B10">
                    <w:rPr>
                      <w:sz w:val="20"/>
                      <w:lang w:eastAsia="sk-SK"/>
                    </w:rPr>
                    <w:t>5002)</w:t>
                  </w:r>
                </w:p>
              </w:tc>
            </w:tr>
            <w:tr w:rsidTr="002F5C08">
              <w:tblPrEx>
                <w:tblW w:w="0" w:type="auto"/>
                <w:tblInd w:w="137" w:type="dxa"/>
                <w:tblLayout w:type="fixed"/>
                <w:tblLook w:val="01E0"/>
              </w:tblPrEx>
              <w:trPr>
                <w:trHeight w:val="262"/>
              </w:trPr>
              <w:tc>
                <w:tcPr>
                  <w:tcW w:w="2124" w:type="dxa"/>
                  <w:tcBorders>
                    <w:top w:val="single" w:sz="4" w:space="0" w:color="auto"/>
                    <w:left w:val="single" w:sz="4" w:space="0" w:color="auto"/>
                    <w:bottom w:val="single" w:sz="4" w:space="0" w:color="auto"/>
                    <w:right w:val="single" w:sz="4" w:space="0" w:color="auto"/>
                  </w:tcBorders>
                </w:tcPr>
                <w:p w:rsidR="00393B10" w:rsidRPr="00393B10" w:rsidP="00393B10">
                  <w:pPr>
                    <w:rPr>
                      <w:sz w:val="20"/>
                      <w:lang w:eastAsia="sk-SK"/>
                    </w:rPr>
                  </w:pPr>
                  <w:r w:rsidRPr="00393B10">
                    <w:rPr>
                      <w:sz w:val="20"/>
                      <w:lang w:eastAsia="sk-SK"/>
                    </w:rPr>
                    <w:t>NO2</w:t>
                  </w:r>
                </w:p>
              </w:tc>
              <w:tc>
                <w:tcPr>
                  <w:tcW w:w="2713" w:type="dxa"/>
                  <w:tcBorders>
                    <w:top w:val="single" w:sz="4" w:space="0" w:color="auto"/>
                    <w:left w:val="single" w:sz="4" w:space="0" w:color="auto"/>
                    <w:bottom w:val="single" w:sz="4" w:space="0" w:color="auto"/>
                    <w:right w:val="single" w:sz="4" w:space="0" w:color="auto"/>
                  </w:tcBorders>
                  <w:hideMark/>
                </w:tcPr>
                <w:p w:rsidR="00393B10" w:rsidRPr="00393B10" w:rsidP="00393B10">
                  <w:pPr>
                    <w:jc w:val="center"/>
                    <w:rPr>
                      <w:sz w:val="20"/>
                      <w:lang w:eastAsia="sk-SK"/>
                    </w:rPr>
                  </w:pPr>
                  <w:r w:rsidRPr="00393B10">
                    <w:rPr>
                      <w:sz w:val="20"/>
                      <w:lang w:eastAsia="sk-SK"/>
                    </w:rPr>
                    <w:t>-</w:t>
                  </w:r>
                </w:p>
              </w:tc>
              <w:tc>
                <w:tcPr>
                  <w:tcW w:w="2629" w:type="dxa"/>
                  <w:tcBorders>
                    <w:top w:val="single" w:sz="4" w:space="0" w:color="auto"/>
                    <w:left w:val="single" w:sz="4" w:space="0" w:color="auto"/>
                    <w:bottom w:val="single" w:sz="4" w:space="0" w:color="auto"/>
                    <w:right w:val="single" w:sz="4" w:space="0" w:color="auto"/>
                  </w:tcBorders>
                  <w:hideMark/>
                </w:tcPr>
                <w:p w:rsidR="00393B10" w:rsidRPr="00393B10" w:rsidP="00393B10">
                  <w:pPr>
                    <w:jc w:val="center"/>
                    <w:rPr>
                      <w:sz w:val="20"/>
                      <w:lang w:eastAsia="sk-SK"/>
                    </w:rPr>
                  </w:pPr>
                  <w:r w:rsidRPr="00393B10">
                    <w:rPr>
                      <w:sz w:val="20"/>
                      <w:lang w:eastAsia="sk-SK"/>
                    </w:rPr>
                    <w:t>4002)</w:t>
                  </w:r>
                </w:p>
              </w:tc>
            </w:tr>
            <w:tr w:rsidTr="002F5C08">
              <w:tblPrEx>
                <w:tblW w:w="0" w:type="auto"/>
                <w:tblInd w:w="137" w:type="dxa"/>
                <w:tblLayout w:type="fixed"/>
                <w:tblLook w:val="01E0"/>
              </w:tblPrEx>
              <w:trPr>
                <w:trHeight w:val="247"/>
              </w:trPr>
              <w:tc>
                <w:tcPr>
                  <w:tcW w:w="2124" w:type="dxa"/>
                  <w:tcBorders>
                    <w:top w:val="single" w:sz="4" w:space="0" w:color="auto"/>
                    <w:left w:val="single" w:sz="4" w:space="0" w:color="auto"/>
                    <w:bottom w:val="single" w:sz="4" w:space="0" w:color="auto"/>
                    <w:right w:val="single" w:sz="4" w:space="0" w:color="auto"/>
                  </w:tcBorders>
                  <w:hideMark/>
                </w:tcPr>
                <w:p w:rsidR="00393B10" w:rsidRPr="00393B10" w:rsidP="00393B10">
                  <w:pPr>
                    <w:rPr>
                      <w:sz w:val="20"/>
                      <w:lang w:eastAsia="sk-SK"/>
                    </w:rPr>
                  </w:pPr>
                  <w:r w:rsidRPr="00393B10">
                    <w:rPr>
                      <w:sz w:val="20"/>
                      <w:lang w:eastAsia="sk-SK"/>
                    </w:rPr>
                    <w:t>ozón</w:t>
                  </w:r>
                </w:p>
              </w:tc>
              <w:tc>
                <w:tcPr>
                  <w:tcW w:w="2713" w:type="dxa"/>
                  <w:tcBorders>
                    <w:top w:val="single" w:sz="4" w:space="0" w:color="auto"/>
                    <w:left w:val="single" w:sz="4" w:space="0" w:color="auto"/>
                    <w:bottom w:val="single" w:sz="4" w:space="0" w:color="auto"/>
                    <w:right w:val="single" w:sz="4" w:space="0" w:color="auto"/>
                  </w:tcBorders>
                  <w:hideMark/>
                </w:tcPr>
                <w:p w:rsidR="00393B10" w:rsidRPr="00393B10" w:rsidP="00393B10">
                  <w:pPr>
                    <w:jc w:val="center"/>
                    <w:rPr>
                      <w:sz w:val="20"/>
                      <w:lang w:eastAsia="sk-SK"/>
                    </w:rPr>
                  </w:pPr>
                  <w:r w:rsidRPr="00393B10">
                    <w:rPr>
                      <w:sz w:val="20"/>
                      <w:lang w:eastAsia="sk-SK"/>
                    </w:rPr>
                    <w:t>1803)</w:t>
                  </w:r>
                </w:p>
              </w:tc>
              <w:tc>
                <w:tcPr>
                  <w:tcW w:w="2629" w:type="dxa"/>
                  <w:tcBorders>
                    <w:top w:val="single" w:sz="4" w:space="0" w:color="auto"/>
                    <w:left w:val="single" w:sz="4" w:space="0" w:color="auto"/>
                    <w:bottom w:val="single" w:sz="4" w:space="0" w:color="auto"/>
                    <w:right w:val="single" w:sz="4" w:space="0" w:color="auto"/>
                  </w:tcBorders>
                  <w:hideMark/>
                </w:tcPr>
                <w:p w:rsidR="00393B10" w:rsidRPr="00393B10" w:rsidP="00393B10">
                  <w:pPr>
                    <w:jc w:val="center"/>
                    <w:rPr>
                      <w:sz w:val="20"/>
                      <w:lang w:eastAsia="sk-SK"/>
                    </w:rPr>
                  </w:pPr>
                  <w:r w:rsidRPr="00393B10">
                    <w:rPr>
                      <w:sz w:val="20"/>
                      <w:lang w:eastAsia="sk-SK"/>
                    </w:rPr>
                    <w:t>2404)</w:t>
                  </w:r>
                </w:p>
              </w:tc>
            </w:tr>
          </w:tbl>
          <w:p w:rsidR="00393B10" w:rsidRPr="000C12D6" w:rsidP="00393B10">
            <w:pPr>
              <w:tabs>
                <w:tab w:val="left" w:pos="284"/>
              </w:tabs>
              <w:ind w:left="3993" w:hanging="3993"/>
              <w:rPr>
                <w:sz w:val="18"/>
                <w:szCs w:val="18"/>
                <w:lang w:eastAsia="sk-SK"/>
              </w:rPr>
            </w:pPr>
            <w:r w:rsidRPr="000C12D6">
              <w:rPr>
                <w:sz w:val="18"/>
                <w:szCs w:val="18"/>
                <w:lang w:eastAsia="sk-SK"/>
              </w:rPr>
              <w:t>Poznámky:</w:t>
            </w:r>
          </w:p>
          <w:p w:rsidR="00393B10" w:rsidRPr="000C12D6" w:rsidP="00393B10">
            <w:pPr>
              <w:tabs>
                <w:tab w:val="left" w:pos="284"/>
              </w:tabs>
              <w:ind w:left="3993" w:hanging="3993"/>
              <w:rPr>
                <w:sz w:val="18"/>
                <w:szCs w:val="18"/>
                <w:lang w:eastAsia="sk-SK"/>
              </w:rPr>
            </w:pPr>
            <w:r w:rsidRPr="000C12D6">
              <w:rPr>
                <w:sz w:val="18"/>
                <w:szCs w:val="18"/>
                <w:vertAlign w:val="superscript"/>
                <w:lang w:eastAsia="sk-SK"/>
              </w:rPr>
              <w:t>1</w:t>
            </w:r>
            <w:r w:rsidRPr="000C12D6">
              <w:rPr>
                <w:sz w:val="18"/>
                <w:szCs w:val="18"/>
                <w:lang w:eastAsia="sk-SK"/>
              </w:rPr>
              <w:t>)  Platí ako kĺzavý priemer 12 h nasledujúcich bezprostredne po sebe.</w:t>
            </w:r>
          </w:p>
          <w:p w:rsidR="00393B10" w:rsidRPr="000C12D6" w:rsidP="00393B10">
            <w:pPr>
              <w:tabs>
                <w:tab w:val="left" w:pos="284"/>
              </w:tabs>
              <w:ind w:left="284" w:hanging="284"/>
              <w:rPr>
                <w:sz w:val="18"/>
                <w:szCs w:val="18"/>
                <w:lang w:eastAsia="sk-SK"/>
              </w:rPr>
            </w:pPr>
            <w:r w:rsidRPr="000C12D6">
              <w:rPr>
                <w:sz w:val="18"/>
                <w:szCs w:val="18"/>
                <w:vertAlign w:val="superscript"/>
                <w:lang w:eastAsia="sk-SK"/>
              </w:rPr>
              <w:t>2</w:t>
            </w:r>
            <w:r w:rsidRPr="000C12D6">
              <w:rPr>
                <w:sz w:val="18"/>
                <w:szCs w:val="18"/>
                <w:lang w:eastAsia="sk-SK"/>
              </w:rPr>
              <w:t>)  Platí ako priemerná hodinová hodnota koncentrácie danej látky počas 3 h nasledujúcich bezprostredne po sebe na miestach reprezentujúcich kvalitu ovzdušia pre aspoň 100 km</w:t>
            </w:r>
            <w:r w:rsidRPr="000C12D6">
              <w:rPr>
                <w:sz w:val="18"/>
                <w:szCs w:val="18"/>
                <w:vertAlign w:val="superscript"/>
                <w:lang w:eastAsia="sk-SK"/>
              </w:rPr>
              <w:t xml:space="preserve">2 </w:t>
            </w:r>
            <w:r w:rsidRPr="000C12D6">
              <w:rPr>
                <w:sz w:val="18"/>
                <w:szCs w:val="18"/>
                <w:lang w:eastAsia="sk-SK"/>
              </w:rPr>
              <w:t xml:space="preserve">alebo celú zónu alebo aglomeráciu podľa toho čo je menšie.   </w:t>
            </w:r>
          </w:p>
          <w:p w:rsidR="00393B10" w:rsidRPr="000C12D6" w:rsidP="00393B10">
            <w:pPr>
              <w:ind w:hanging="11"/>
              <w:rPr>
                <w:sz w:val="18"/>
                <w:szCs w:val="18"/>
                <w:lang w:eastAsia="sk-SK"/>
              </w:rPr>
            </w:pPr>
            <w:r w:rsidRPr="000C12D6">
              <w:rPr>
                <w:sz w:val="18"/>
                <w:szCs w:val="18"/>
                <w:vertAlign w:val="superscript"/>
                <w:lang w:eastAsia="sk-SK"/>
              </w:rPr>
              <w:t>3</w:t>
            </w:r>
            <w:r w:rsidRPr="000C12D6">
              <w:rPr>
                <w:sz w:val="18"/>
                <w:szCs w:val="18"/>
                <w:lang w:eastAsia="sk-SK"/>
              </w:rPr>
              <w:t>)  Priemerované obdobie je jedna h.</w:t>
            </w:r>
          </w:p>
          <w:p w:rsidR="00393B10" w:rsidRPr="000C12D6" w:rsidP="00393B10">
            <w:pPr>
              <w:ind w:left="284" w:hanging="295"/>
              <w:rPr>
                <w:sz w:val="18"/>
                <w:szCs w:val="18"/>
                <w:lang w:eastAsia="sk-SK"/>
              </w:rPr>
            </w:pPr>
            <w:r w:rsidRPr="000C12D6">
              <w:rPr>
                <w:sz w:val="18"/>
                <w:szCs w:val="18"/>
                <w:vertAlign w:val="superscript"/>
                <w:lang w:eastAsia="sk-SK"/>
              </w:rPr>
              <w:t>4</w:t>
            </w:r>
            <w:r w:rsidRPr="000C12D6">
              <w:rPr>
                <w:sz w:val="18"/>
                <w:szCs w:val="18"/>
                <w:lang w:eastAsia="sk-SK"/>
              </w:rPr>
              <w:t>)  Platí ako priemerná hodinová hodnota koncentrácie danej látky počas 3 h nasledujúcich bezprostredne po sebe.</w:t>
            </w:r>
          </w:p>
          <w:p w:rsidR="00393B10" w:rsidRPr="00393B10" w:rsidP="00393B10">
            <w:pPr>
              <w:spacing w:before="240" w:after="240"/>
              <w:ind w:left="284" w:hanging="295"/>
              <w:rPr>
                <w:sz w:val="20"/>
                <w:lang w:eastAsia="sk-SK"/>
              </w:rPr>
            </w:pPr>
            <w:r w:rsidRPr="00393B10">
              <w:rPr>
                <w:sz w:val="20"/>
                <w:lang w:eastAsia="sk-SK"/>
              </w:rPr>
              <w:t xml:space="preserve">B.  Pravidlá uplatňovania smogového varovného systému </w:t>
            </w:r>
          </w:p>
          <w:p w:rsidR="00393B10" w:rsidRPr="00393B10" w:rsidP="00393B10">
            <w:pPr>
              <w:spacing w:before="240" w:after="240"/>
              <w:ind w:left="284" w:hanging="295"/>
              <w:rPr>
                <w:sz w:val="20"/>
                <w:lang w:eastAsia="sk-SK"/>
              </w:rPr>
            </w:pPr>
            <w:r w:rsidRPr="00393B10">
              <w:rPr>
                <w:sz w:val="20"/>
                <w:lang w:eastAsia="sk-SK"/>
              </w:rPr>
              <w:t xml:space="preserve">     Podmienky na vydanie oznámenia o vzniku smogovej situácie, oznámenia o pominutí smogovej situácie,  výstrahy pred závažnou smogovou situáciou a oznámenia o zrušení výstrahy pre závažnou smogovou situáciou</w:t>
            </w:r>
          </w:p>
          <w:p w:rsidR="00393B10" w:rsidRPr="00393B10" w:rsidP="00393B10">
            <w:pPr>
              <w:spacing w:after="120"/>
              <w:ind w:hanging="11"/>
              <w:rPr>
                <w:sz w:val="20"/>
                <w:lang w:eastAsia="sk-SK"/>
              </w:rPr>
            </w:pPr>
            <w:r w:rsidRPr="00393B10">
              <w:rPr>
                <w:sz w:val="20"/>
                <w:lang w:eastAsia="sk-SK"/>
              </w:rPr>
              <w:t>1.  PM</w:t>
            </w:r>
            <w:r w:rsidRPr="00BF6DB9">
              <w:rPr>
                <w:sz w:val="20"/>
                <w:vertAlign w:val="subscript"/>
                <w:lang w:eastAsia="sk-SK"/>
              </w:rPr>
              <w:t>10</w:t>
            </w:r>
            <w:r w:rsidRPr="00393B10">
              <w:rPr>
                <w:sz w:val="20"/>
                <w:lang w:eastAsia="sk-SK"/>
              </w:rPr>
              <w:t>, SO</w:t>
            </w:r>
            <w:r w:rsidRPr="000C12D6">
              <w:rPr>
                <w:sz w:val="20"/>
                <w:vertAlign w:val="subscript"/>
                <w:lang w:eastAsia="sk-SK"/>
              </w:rPr>
              <w:t>2</w:t>
            </w:r>
            <w:r w:rsidRPr="00393B10">
              <w:rPr>
                <w:sz w:val="20"/>
                <w:lang w:eastAsia="sk-SK"/>
              </w:rPr>
              <w:t xml:space="preserve"> a NO</w:t>
            </w:r>
            <w:r w:rsidRPr="000C12D6">
              <w:rPr>
                <w:sz w:val="20"/>
                <w:vertAlign w:val="subscript"/>
                <w:lang w:eastAsia="sk-SK"/>
              </w:rPr>
              <w:t>2</w:t>
            </w:r>
          </w:p>
          <w:p w:rsidR="00393B10" w:rsidRPr="00393B10" w:rsidP="00393B10">
            <w:pPr>
              <w:spacing w:after="120"/>
              <w:ind w:left="425" w:hanging="425"/>
              <w:jc w:val="both"/>
              <w:rPr>
                <w:sz w:val="20"/>
                <w:lang w:eastAsia="sk-SK"/>
              </w:rPr>
            </w:pPr>
            <w:r w:rsidRPr="00393B10">
              <w:rPr>
                <w:sz w:val="20"/>
                <w:lang w:eastAsia="sk-SK"/>
              </w:rPr>
              <w:t>1.1 Podmienky na vydanie oznámenia o vzniku smogovej situácie nastanú, ak je prekročená hodnota informačného prahu pre PM</w:t>
            </w:r>
            <w:r w:rsidRPr="00BF6DB9">
              <w:rPr>
                <w:sz w:val="20"/>
                <w:vertAlign w:val="subscript"/>
                <w:lang w:eastAsia="sk-SK"/>
              </w:rPr>
              <w:t>10</w:t>
            </w:r>
            <w:r w:rsidRPr="00393B10">
              <w:rPr>
                <w:sz w:val="20"/>
                <w:lang w:eastAsia="sk-SK"/>
              </w:rPr>
              <w:t>, a súčasne podľa vyhodnotenia vývoja znečistenia ovzdušia na základe meteorologickej predpovede nie je odôvodnené predpokladať zníženie koncentrácie tejto znečisťujúcej látky  počas nasledujúcich 24 h pod hodnotu informačného prahu.</w:t>
            </w:r>
          </w:p>
          <w:p w:rsidR="00393B10" w:rsidRPr="00393B10" w:rsidP="00393B10">
            <w:pPr>
              <w:spacing w:after="120"/>
              <w:ind w:left="425" w:hanging="425"/>
              <w:jc w:val="both"/>
              <w:rPr>
                <w:sz w:val="20"/>
                <w:lang w:eastAsia="sk-SK"/>
              </w:rPr>
            </w:pPr>
            <w:r w:rsidRPr="00393B10">
              <w:rPr>
                <w:sz w:val="20"/>
                <w:lang w:eastAsia="sk-SK"/>
              </w:rPr>
              <w:t>1.2 Podmienky na vydanie výstrahy pred závažnou smogovou situáciou nastanú, ak je prekročená hodnota výstražného prahu pre ktorejkoľvek znečisťujúcej látky PM</w:t>
            </w:r>
            <w:r w:rsidRPr="00BF6DB9">
              <w:rPr>
                <w:sz w:val="20"/>
                <w:vertAlign w:val="subscript"/>
                <w:lang w:eastAsia="sk-SK"/>
              </w:rPr>
              <w:t>10</w:t>
            </w:r>
            <w:r w:rsidRPr="00393B10">
              <w:rPr>
                <w:sz w:val="20"/>
                <w:lang w:eastAsia="sk-SK"/>
              </w:rPr>
              <w:t>, SO</w:t>
            </w:r>
            <w:r w:rsidRPr="00395683">
              <w:rPr>
                <w:sz w:val="20"/>
                <w:vertAlign w:val="subscript"/>
                <w:lang w:eastAsia="sk-SK"/>
              </w:rPr>
              <w:t>2</w:t>
            </w:r>
            <w:r w:rsidRPr="00393B10">
              <w:rPr>
                <w:sz w:val="20"/>
                <w:lang w:eastAsia="sk-SK"/>
              </w:rPr>
              <w:t xml:space="preserve"> alebo NO</w:t>
            </w:r>
            <w:r w:rsidRPr="00395683">
              <w:rPr>
                <w:sz w:val="20"/>
                <w:vertAlign w:val="subscript"/>
                <w:lang w:eastAsia="sk-SK"/>
              </w:rPr>
              <w:t>2</w:t>
            </w:r>
            <w:r w:rsidRPr="00393B10">
              <w:rPr>
                <w:sz w:val="20"/>
                <w:lang w:eastAsia="sk-SK"/>
              </w:rPr>
              <w:t xml:space="preserve">, a súčasne podľa vyhodnotenia vývoja znečistenia ovzdušia na základe meteorologickej predpovede nie je odôvodnené predpokladať zníženie koncentrácie všetkých znečisťujúcich počas nasledujúcich 24 h pod hodnotu výstražného prahu. </w:t>
            </w:r>
          </w:p>
          <w:p w:rsidR="00393B10" w:rsidRPr="00393B10" w:rsidP="00393B10">
            <w:pPr>
              <w:spacing w:after="120"/>
              <w:ind w:left="425" w:hanging="425"/>
              <w:jc w:val="both"/>
              <w:rPr>
                <w:sz w:val="20"/>
                <w:lang w:eastAsia="sk-SK"/>
              </w:rPr>
            </w:pPr>
            <w:r w:rsidRPr="00393B10">
              <w:rPr>
                <w:sz w:val="20"/>
                <w:lang w:eastAsia="sk-SK"/>
              </w:rPr>
              <w:t>1.3 Podmienky na vydanie oznámenia o pominutí smogovej situácie alebo oznámenia  o zrušení výstrahy pred závažnou smogovou situáciu nastanú, ak koncentrácia žiadnej   znečisťujúcej látky neprekračuje príslušnú  prahovú hodnotu a tento stav trvá</w:t>
            </w:r>
          </w:p>
          <w:p w:rsidR="00393B10" w:rsidRPr="00393B10" w:rsidP="00393B10">
            <w:pPr>
              <w:spacing w:after="120"/>
              <w:ind w:left="709" w:hanging="284"/>
              <w:jc w:val="both"/>
              <w:rPr>
                <w:sz w:val="20"/>
                <w:lang w:eastAsia="sk-SK"/>
              </w:rPr>
            </w:pPr>
            <w:r w:rsidRPr="00393B10">
              <w:rPr>
                <w:sz w:val="20"/>
                <w:lang w:eastAsia="sk-SK"/>
              </w:rPr>
              <w:t>a) súvisle 24 h a podľa vyhodnotenia vývoja znečistenia ovzdušia na základe meteorologickej predpovede nie je odôvodnené predpokladať opätovné prekročenie príslušnej prahovej hodnoty žiadnej zo znečisťujúcich látok PM</w:t>
            </w:r>
            <w:r w:rsidRPr="00BF6DB9">
              <w:rPr>
                <w:sz w:val="20"/>
                <w:vertAlign w:val="subscript"/>
                <w:lang w:eastAsia="sk-SK"/>
              </w:rPr>
              <w:t>10</w:t>
            </w:r>
            <w:r w:rsidRPr="00393B10">
              <w:rPr>
                <w:sz w:val="20"/>
                <w:lang w:eastAsia="sk-SK"/>
              </w:rPr>
              <w:t>, SO</w:t>
            </w:r>
            <w:r w:rsidRPr="00395683">
              <w:rPr>
                <w:sz w:val="20"/>
                <w:vertAlign w:val="subscript"/>
                <w:lang w:eastAsia="sk-SK"/>
              </w:rPr>
              <w:t>2</w:t>
            </w:r>
            <w:r w:rsidRPr="00393B10">
              <w:rPr>
                <w:sz w:val="20"/>
                <w:lang w:eastAsia="sk-SK"/>
              </w:rPr>
              <w:t xml:space="preserve"> alebo NO</w:t>
            </w:r>
            <w:r w:rsidRPr="00395683">
              <w:rPr>
                <w:sz w:val="20"/>
                <w:vertAlign w:val="subscript"/>
                <w:lang w:eastAsia="sk-SK"/>
              </w:rPr>
              <w:t>2</w:t>
            </w:r>
            <w:r w:rsidRPr="00393B10">
              <w:rPr>
                <w:sz w:val="20"/>
                <w:lang w:eastAsia="sk-SK"/>
              </w:rPr>
              <w:t xml:space="preserve"> počas nasledujúcich 24 h, alebo</w:t>
            </w:r>
          </w:p>
          <w:p w:rsidR="00393B10" w:rsidRPr="00393B10" w:rsidP="00393B10">
            <w:pPr>
              <w:ind w:left="709" w:hanging="283"/>
              <w:jc w:val="both"/>
              <w:rPr>
                <w:sz w:val="20"/>
                <w:lang w:eastAsia="sk-SK"/>
              </w:rPr>
            </w:pPr>
            <w:r w:rsidRPr="00393B10">
              <w:rPr>
                <w:sz w:val="20"/>
                <w:lang w:eastAsia="sk-SK"/>
              </w:rPr>
              <w:t>b) najmenej 3 h a podľa vyhodnotenia vývoja znečistenia ovzdušia na základe meteorologickej predpovede je takmer vylúčené opätovné prekročenie hodnoty informačného prahu pre PM</w:t>
            </w:r>
            <w:r w:rsidRPr="00BF6DB9">
              <w:rPr>
                <w:sz w:val="20"/>
                <w:vertAlign w:val="subscript"/>
                <w:lang w:eastAsia="sk-SK"/>
              </w:rPr>
              <w:t>10</w:t>
            </w:r>
            <w:r w:rsidRPr="00393B10">
              <w:rPr>
                <w:sz w:val="20"/>
                <w:lang w:eastAsia="sk-SK"/>
              </w:rPr>
              <w:t xml:space="preserve"> a hodnoty výstražného prahu žiadnej zo znečisťujúcich látok  PM</w:t>
            </w:r>
            <w:r w:rsidRPr="00BF6DB9">
              <w:rPr>
                <w:sz w:val="20"/>
                <w:vertAlign w:val="subscript"/>
                <w:lang w:eastAsia="sk-SK"/>
              </w:rPr>
              <w:t>10</w:t>
            </w:r>
            <w:r w:rsidRPr="00393B10">
              <w:rPr>
                <w:sz w:val="20"/>
                <w:lang w:eastAsia="sk-SK"/>
              </w:rPr>
              <w:t>, SO</w:t>
            </w:r>
            <w:r w:rsidRPr="00395683">
              <w:rPr>
                <w:sz w:val="20"/>
                <w:vertAlign w:val="subscript"/>
                <w:lang w:eastAsia="sk-SK"/>
              </w:rPr>
              <w:t>2</w:t>
            </w:r>
            <w:r w:rsidRPr="00393B10">
              <w:rPr>
                <w:sz w:val="20"/>
                <w:lang w:eastAsia="sk-SK"/>
              </w:rPr>
              <w:t xml:space="preserve"> alebo NO</w:t>
            </w:r>
            <w:r w:rsidRPr="00395683">
              <w:rPr>
                <w:sz w:val="20"/>
                <w:vertAlign w:val="subscript"/>
                <w:lang w:eastAsia="sk-SK"/>
              </w:rPr>
              <w:t xml:space="preserve">2 </w:t>
            </w:r>
            <w:r w:rsidRPr="00393B10">
              <w:rPr>
                <w:sz w:val="20"/>
                <w:lang w:eastAsia="sk-SK"/>
              </w:rPr>
              <w:t>počas nasledujúcich 24 h.</w:t>
            </w:r>
          </w:p>
          <w:p w:rsidR="00393B10" w:rsidRPr="00393B10" w:rsidP="00393B10">
            <w:pPr>
              <w:spacing w:before="240" w:after="120"/>
              <w:ind w:hanging="11"/>
              <w:rPr>
                <w:sz w:val="20"/>
                <w:lang w:eastAsia="sk-SK"/>
              </w:rPr>
            </w:pPr>
            <w:r w:rsidRPr="00393B10">
              <w:rPr>
                <w:sz w:val="20"/>
                <w:lang w:eastAsia="sk-SK"/>
              </w:rPr>
              <w:t>2. Ozón</w:t>
            </w:r>
          </w:p>
          <w:p w:rsidR="00393B10" w:rsidRPr="00393B10" w:rsidP="00393B10">
            <w:pPr>
              <w:spacing w:after="120"/>
              <w:ind w:left="426" w:hanging="437"/>
              <w:jc w:val="both"/>
              <w:rPr>
                <w:sz w:val="20"/>
                <w:lang w:eastAsia="sk-SK"/>
              </w:rPr>
            </w:pPr>
            <w:r w:rsidRPr="00393B10">
              <w:rPr>
                <w:sz w:val="20"/>
                <w:lang w:eastAsia="sk-SK"/>
              </w:rPr>
              <w:t xml:space="preserve">1.1 Podmienky na vydanie oznámenia o vzniku smogovej situácie a výstrahy pred závažnou smogovou situáciou nastanú, ak je prekročená príslušná prahová hodnota pre ozón. </w:t>
            </w:r>
          </w:p>
          <w:p w:rsidR="00393B10" w:rsidRPr="00393B10" w:rsidP="00393B10">
            <w:pPr>
              <w:spacing w:after="120"/>
              <w:ind w:left="426" w:hanging="426"/>
              <w:jc w:val="both"/>
              <w:rPr>
                <w:sz w:val="20"/>
                <w:lang w:eastAsia="sk-SK"/>
              </w:rPr>
            </w:pPr>
            <w:r w:rsidRPr="00393B10">
              <w:rPr>
                <w:sz w:val="20"/>
                <w:lang w:eastAsia="sk-SK"/>
              </w:rPr>
              <w:t>1.2 Podmienky na vydanie oznámenia o pominutí smogovej situácie a oznámenia o zrušení výstrahy pred závažnou smogovou situáciou nastanú, ak koncentrácia ozónu neprekračuje  príslušnú prahovú hodnotu a tento stav trvá</w:t>
            </w:r>
          </w:p>
          <w:p w:rsidR="00393B10" w:rsidRPr="00393B10" w:rsidP="00393B10">
            <w:pPr>
              <w:spacing w:after="120"/>
              <w:ind w:left="851" w:hanging="426"/>
              <w:jc w:val="both"/>
              <w:rPr>
                <w:sz w:val="20"/>
                <w:lang w:eastAsia="sk-SK"/>
              </w:rPr>
            </w:pPr>
            <w:r w:rsidRPr="00393B10">
              <w:rPr>
                <w:sz w:val="20"/>
                <w:lang w:eastAsia="sk-SK"/>
              </w:rPr>
              <w:t xml:space="preserve"> a) súvisle 24 h a podľa vyhodnotenia vývoja znečistenia ovzdušia na základe meteorologickej predpovede nie je odôvodnené predpokladať opätovné prekročenie príslušnej prahovej hodnoty počas nasledujúcich 24 hodín, alebo</w:t>
            </w:r>
          </w:p>
          <w:p w:rsidR="00393B10" w:rsidRPr="00393B10" w:rsidP="00393B10">
            <w:pPr>
              <w:ind w:left="851" w:hanging="426"/>
              <w:jc w:val="both"/>
              <w:rPr>
                <w:sz w:val="20"/>
                <w:lang w:eastAsia="sk-SK"/>
              </w:rPr>
            </w:pPr>
            <w:r w:rsidRPr="00393B10">
              <w:rPr>
                <w:sz w:val="20"/>
                <w:lang w:eastAsia="sk-SK"/>
              </w:rPr>
              <w:t>b) najmenej 3 h a podľa vyhodnotenia vývoja znečistenia ovzdušia na základe meteorologickej predpovede je takmer vylúčené opätovné prekročenie hodnoty  informačného prahu v priebehu nasledujúcich 24 h.</w:t>
            </w:r>
          </w:p>
          <w:p w:rsidR="00CB3E7D" w:rsidRPr="00393B10" w:rsidP="00393B10">
            <w:pPr>
              <w:ind w:left="851" w:hanging="426"/>
              <w:jc w:val="both"/>
              <w:rPr>
                <w:sz w:val="20"/>
                <w:lang w:eastAsia="sk-SK"/>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13</w:t>
            </w:r>
          </w:p>
        </w:tc>
        <w:tc>
          <w:tcPr>
            <w:tcW w:w="4074" w:type="dxa"/>
            <w:tcBorders>
              <w:bottom w:val="single" w:sz="4" w:space="0" w:color="auto"/>
            </w:tcBorders>
          </w:tcPr>
          <w:p w:rsidR="00CB3E7D" w:rsidRPr="00DC695B" w:rsidP="00CB3E7D">
            <w:pPr>
              <w:pStyle w:val="NormalWeb"/>
              <w:rPr>
                <w:sz w:val="20"/>
                <w:szCs w:val="20"/>
              </w:rPr>
            </w:pPr>
            <w:r w:rsidRPr="00390FC1">
              <w:rPr>
                <w:sz w:val="20"/>
                <w:szCs w:val="20"/>
              </w:rPr>
              <w:t>Kritické ú</w:t>
            </w:r>
            <w:r w:rsidRPr="00DC695B">
              <w:rPr>
                <w:sz w:val="20"/>
                <w:szCs w:val="20"/>
              </w:rPr>
              <w:t>rovne na ochranu vegetácie</w:t>
            </w:r>
          </w:p>
          <w:p w:rsidR="00CB3E7D" w:rsidRPr="00DC695B" w:rsidP="00CB3E7D">
            <w:pPr>
              <w:pStyle w:val="NormalWeb"/>
              <w:rPr>
                <w:sz w:val="20"/>
                <w:szCs w:val="20"/>
              </w:rPr>
            </w:pPr>
            <w:r w:rsidRPr="00DC695B">
              <w:rPr>
                <w:sz w:val="20"/>
                <w:szCs w:val="20"/>
              </w:rPr>
              <w:t>Priemerované obdobie | Kritická úroveň | Medza tolerancie |</w:t>
            </w:r>
          </w:p>
          <w:p w:rsidR="00CB3E7D" w:rsidRPr="00DC695B" w:rsidP="00CB3E7D">
            <w:pPr>
              <w:pStyle w:val="NormalWeb"/>
              <w:rPr>
                <w:sz w:val="20"/>
                <w:szCs w:val="20"/>
              </w:rPr>
            </w:pPr>
            <w:r w:rsidRPr="00DC695B">
              <w:rPr>
                <w:sz w:val="20"/>
                <w:szCs w:val="20"/>
              </w:rPr>
              <w:t>Oxid siričitý |</w:t>
            </w:r>
          </w:p>
          <w:p w:rsidR="00CB3E7D" w:rsidRPr="00DC695B" w:rsidP="00CB3E7D">
            <w:pPr>
              <w:pStyle w:val="NormalWeb"/>
              <w:rPr>
                <w:sz w:val="20"/>
                <w:szCs w:val="20"/>
              </w:rPr>
            </w:pPr>
            <w:r w:rsidRPr="00DC695B">
              <w:rPr>
                <w:sz w:val="20"/>
                <w:szCs w:val="20"/>
              </w:rPr>
              <w:t>Kalendárny rok a zimné obdobie (od 1. októbra do 31. marca) | 20 µg/m</w:t>
            </w:r>
            <w:r w:rsidRPr="00C8183A">
              <w:rPr>
                <w:sz w:val="20"/>
                <w:szCs w:val="20"/>
                <w:vertAlign w:val="superscript"/>
              </w:rPr>
              <w:t xml:space="preserve">3 </w:t>
            </w:r>
            <w:r w:rsidRPr="00DC695B">
              <w:rPr>
                <w:sz w:val="20"/>
                <w:szCs w:val="20"/>
              </w:rPr>
              <w:t>| Žiadna |</w:t>
            </w:r>
          </w:p>
          <w:p w:rsidR="00CB3E7D" w:rsidRPr="00DC695B" w:rsidP="00CB3E7D">
            <w:pPr>
              <w:pStyle w:val="NormalWeb"/>
              <w:rPr>
                <w:sz w:val="20"/>
                <w:szCs w:val="20"/>
              </w:rPr>
            </w:pPr>
            <w:r w:rsidRPr="00DC695B">
              <w:rPr>
                <w:sz w:val="20"/>
                <w:szCs w:val="20"/>
              </w:rPr>
              <w:t>Oxidy dusíka |</w:t>
            </w:r>
          </w:p>
          <w:p w:rsidR="00CB3E7D" w:rsidRPr="00DC695B" w:rsidP="00CB3E7D">
            <w:pPr>
              <w:pStyle w:val="NormalWeb"/>
            </w:pPr>
            <w:r w:rsidRPr="00DC695B">
              <w:rPr>
                <w:sz w:val="20"/>
                <w:szCs w:val="20"/>
              </w:rPr>
              <w:t>Kalendárny rok | 30 µg/m</w:t>
            </w:r>
            <w:r w:rsidRPr="00C8183A">
              <w:rPr>
                <w:sz w:val="20"/>
                <w:szCs w:val="20"/>
                <w:vertAlign w:val="superscript"/>
              </w:rPr>
              <w:t>3</w:t>
            </w:r>
            <w:r w:rsidRPr="00DC695B">
              <w:rPr>
                <w:sz w:val="20"/>
                <w:szCs w:val="20"/>
              </w:rPr>
              <w:t xml:space="preserve"> NO</w:t>
            </w:r>
            <w:r w:rsidRPr="00C8183A">
              <w:rPr>
                <w:sz w:val="20"/>
                <w:szCs w:val="20"/>
                <w:vertAlign w:val="subscript"/>
              </w:rPr>
              <w:t>x</w:t>
            </w:r>
            <w:r w:rsidRPr="00DC695B">
              <w:rPr>
                <w:sz w:val="20"/>
                <w:szCs w:val="20"/>
              </w:rPr>
              <w:t xml:space="preserve"> | Žiadna |</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514277">
              <w:rPr>
                <w:sz w:val="20"/>
              </w:rPr>
              <w:t>NV</w:t>
            </w:r>
          </w:p>
        </w:tc>
        <w:tc>
          <w:tcPr>
            <w:tcW w:w="701" w:type="dxa"/>
            <w:tcBorders>
              <w:bottom w:val="single" w:sz="4" w:space="0" w:color="auto"/>
            </w:tcBorders>
          </w:tcPr>
          <w:p w:rsidR="00CB3E7D" w:rsidP="00CB3E7D">
            <w:pPr>
              <w:jc w:val="both"/>
              <w:rPr>
                <w:sz w:val="20"/>
              </w:rPr>
            </w:pPr>
            <w:r>
              <w:rPr>
                <w:sz w:val="20"/>
              </w:rPr>
              <w:t xml:space="preserve">Príl. </w:t>
            </w:r>
          </w:p>
          <w:p w:rsidR="00CB3E7D" w:rsidRPr="00390FC1" w:rsidP="00CB3E7D">
            <w:pPr>
              <w:jc w:val="both"/>
              <w:rPr>
                <w:sz w:val="20"/>
              </w:rPr>
            </w:pPr>
            <w:r w:rsidR="00514277">
              <w:rPr>
                <w:sz w:val="20"/>
              </w:rPr>
              <w:t>2</w:t>
            </w:r>
          </w:p>
        </w:tc>
        <w:tc>
          <w:tcPr>
            <w:tcW w:w="7797" w:type="dxa"/>
            <w:tcBorders>
              <w:bottom w:val="single" w:sz="4" w:space="0" w:color="auto"/>
            </w:tcBorders>
          </w:tcPr>
          <w:p w:rsidR="00393B10" w:rsidRPr="00393B10" w:rsidP="00393B10">
            <w:pPr>
              <w:pStyle w:val="NormalWeb"/>
              <w:rPr>
                <w:sz w:val="20"/>
                <w:szCs w:val="20"/>
              </w:rPr>
            </w:pPr>
            <w:r w:rsidRPr="00393B10">
              <w:rPr>
                <w:sz w:val="20"/>
                <w:szCs w:val="20"/>
              </w:rPr>
              <w:t>KRITICKÉ  ÚROVNE  ZNEČISTENIA  OVZDUŠIA  NA  OCHRANU  VEGETÁCIE</w:t>
            </w:r>
          </w:p>
          <w:p w:rsidR="00393B10" w:rsidRPr="00393B10" w:rsidP="00393B10">
            <w:pPr>
              <w:pStyle w:val="NormalWeb"/>
              <w:rPr>
                <w:sz w:val="20"/>
                <w:szCs w:val="20"/>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2776"/>
              <w:gridCol w:w="2463"/>
            </w:tblGrid>
            <w:tr w:rsidTr="00393B1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6"/>
              </w:trPr>
              <w:tc>
                <w:tcPr>
                  <w:tcW w:w="1984" w:type="dxa"/>
                  <w:vAlign w:val="center"/>
                </w:tcPr>
                <w:p w:rsidR="00393B10" w:rsidRPr="007B57C0" w:rsidP="00393B10">
                  <w:pPr>
                    <w:pStyle w:val="NormalWeb"/>
                    <w:rPr>
                      <w:sz w:val="20"/>
                      <w:szCs w:val="20"/>
                    </w:rPr>
                  </w:pPr>
                  <w:r w:rsidRPr="007B57C0">
                    <w:rPr>
                      <w:sz w:val="20"/>
                      <w:szCs w:val="20"/>
                    </w:rPr>
                    <w:t>Znečisťujúca látka</w:t>
                  </w:r>
                </w:p>
              </w:tc>
              <w:tc>
                <w:tcPr>
                  <w:tcW w:w="2776" w:type="dxa"/>
                  <w:vAlign w:val="center"/>
                </w:tcPr>
                <w:p w:rsidR="00393B10" w:rsidRPr="007B57C0" w:rsidP="00393B10">
                  <w:pPr>
                    <w:pStyle w:val="NormalWeb"/>
                    <w:rPr>
                      <w:sz w:val="20"/>
                      <w:szCs w:val="20"/>
                    </w:rPr>
                  </w:pPr>
                  <w:r w:rsidRPr="007B57C0">
                    <w:rPr>
                      <w:sz w:val="20"/>
                      <w:szCs w:val="20"/>
                    </w:rPr>
                    <w:t>Priemerované obdobie</w:t>
                  </w:r>
                </w:p>
              </w:tc>
              <w:tc>
                <w:tcPr>
                  <w:tcW w:w="2463" w:type="dxa"/>
                  <w:vAlign w:val="center"/>
                </w:tcPr>
                <w:p w:rsidR="00393B10" w:rsidRPr="007B57C0" w:rsidP="00393B10">
                  <w:pPr>
                    <w:pStyle w:val="NormalWeb"/>
                    <w:rPr>
                      <w:sz w:val="20"/>
                      <w:szCs w:val="20"/>
                    </w:rPr>
                  </w:pPr>
                  <w:r w:rsidRPr="007B57C0">
                    <w:rPr>
                      <w:sz w:val="20"/>
                      <w:szCs w:val="20"/>
                    </w:rPr>
                    <w:t>Kritická úroveň</w:t>
                  </w:r>
                </w:p>
              </w:tc>
            </w:tr>
            <w:tr w:rsidTr="00393B10">
              <w:tblPrEx>
                <w:tblW w:w="0" w:type="auto"/>
                <w:tblInd w:w="108" w:type="dxa"/>
                <w:tblLayout w:type="fixed"/>
                <w:tblLook w:val="01E0"/>
              </w:tblPrEx>
              <w:trPr>
                <w:trHeight w:val="206"/>
              </w:trPr>
              <w:tc>
                <w:tcPr>
                  <w:tcW w:w="1984" w:type="dxa"/>
                  <w:vAlign w:val="center"/>
                </w:tcPr>
                <w:p w:rsidR="00393B10" w:rsidRPr="00393B10" w:rsidP="00393B10">
                  <w:pPr>
                    <w:pStyle w:val="NormalWeb"/>
                    <w:rPr>
                      <w:sz w:val="20"/>
                      <w:szCs w:val="20"/>
                    </w:rPr>
                  </w:pPr>
                  <w:r w:rsidRPr="007B57C0">
                    <w:rPr>
                      <w:sz w:val="20"/>
                      <w:szCs w:val="20"/>
                    </w:rPr>
                    <w:t>SO</w:t>
                  </w:r>
                  <w:r w:rsidRPr="008908DA">
                    <w:rPr>
                      <w:sz w:val="20"/>
                      <w:szCs w:val="20"/>
                      <w:vertAlign w:val="subscript"/>
                    </w:rPr>
                    <w:t>2</w:t>
                  </w:r>
                </w:p>
              </w:tc>
              <w:tc>
                <w:tcPr>
                  <w:tcW w:w="2776" w:type="dxa"/>
                  <w:vAlign w:val="center"/>
                </w:tcPr>
                <w:p w:rsidR="00393B10" w:rsidRPr="007B57C0" w:rsidP="00393B10">
                  <w:pPr>
                    <w:pStyle w:val="NormalWeb"/>
                    <w:rPr>
                      <w:sz w:val="20"/>
                      <w:szCs w:val="20"/>
                    </w:rPr>
                  </w:pPr>
                  <w:r w:rsidRPr="007B57C0">
                    <w:rPr>
                      <w:sz w:val="20"/>
                      <w:szCs w:val="20"/>
                    </w:rPr>
                    <w:t>Kalendárny rok a zimné obdobie</w:t>
                  </w:r>
                </w:p>
                <w:p w:rsidR="00393B10" w:rsidRPr="007B57C0" w:rsidP="00393B10">
                  <w:pPr>
                    <w:pStyle w:val="NormalWeb"/>
                    <w:rPr>
                      <w:sz w:val="20"/>
                      <w:szCs w:val="20"/>
                    </w:rPr>
                  </w:pPr>
                  <w:r w:rsidRPr="007B57C0">
                    <w:rPr>
                      <w:sz w:val="20"/>
                      <w:szCs w:val="20"/>
                    </w:rPr>
                    <w:t>od 1. októbra do 31. marca</w:t>
                  </w:r>
                </w:p>
              </w:tc>
              <w:tc>
                <w:tcPr>
                  <w:tcW w:w="2463" w:type="dxa"/>
                  <w:vAlign w:val="center"/>
                </w:tcPr>
                <w:p w:rsidR="00393B10" w:rsidRPr="007B57C0" w:rsidP="00393B10">
                  <w:pPr>
                    <w:pStyle w:val="NormalWeb"/>
                    <w:rPr>
                      <w:sz w:val="20"/>
                      <w:szCs w:val="20"/>
                    </w:rPr>
                  </w:pPr>
                  <w:r w:rsidRPr="007B57C0">
                    <w:rPr>
                      <w:sz w:val="20"/>
                      <w:szCs w:val="20"/>
                    </w:rPr>
                    <w:t>20 µg/m</w:t>
                  </w:r>
                  <w:r w:rsidRPr="00C8183A">
                    <w:rPr>
                      <w:sz w:val="20"/>
                      <w:szCs w:val="20"/>
                      <w:vertAlign w:val="superscript"/>
                    </w:rPr>
                    <w:t>3</w:t>
                  </w:r>
                </w:p>
              </w:tc>
            </w:tr>
            <w:tr w:rsidTr="00393B10">
              <w:tblPrEx>
                <w:tblW w:w="0" w:type="auto"/>
                <w:tblInd w:w="108" w:type="dxa"/>
                <w:tblLayout w:type="fixed"/>
                <w:tblLook w:val="01E0"/>
              </w:tblPrEx>
              <w:trPr>
                <w:trHeight w:val="206"/>
              </w:trPr>
              <w:tc>
                <w:tcPr>
                  <w:tcW w:w="1984" w:type="dxa"/>
                  <w:vAlign w:val="center"/>
                </w:tcPr>
                <w:p w:rsidR="00393B10" w:rsidRPr="007B57C0" w:rsidP="00393B10">
                  <w:pPr>
                    <w:pStyle w:val="NormalWeb"/>
                    <w:rPr>
                      <w:sz w:val="20"/>
                      <w:szCs w:val="20"/>
                    </w:rPr>
                  </w:pPr>
                  <w:r w:rsidRPr="007B57C0">
                    <w:rPr>
                      <w:sz w:val="20"/>
                      <w:szCs w:val="20"/>
                    </w:rPr>
                    <w:t>Oxidy dusíka NO</w:t>
                  </w:r>
                  <w:r w:rsidRPr="00393B10">
                    <w:rPr>
                      <w:sz w:val="20"/>
                      <w:szCs w:val="20"/>
                    </w:rPr>
                    <w:t>x</w:t>
                  </w:r>
                </w:p>
              </w:tc>
              <w:tc>
                <w:tcPr>
                  <w:tcW w:w="2776" w:type="dxa"/>
                  <w:vAlign w:val="center"/>
                </w:tcPr>
                <w:p w:rsidR="00393B10" w:rsidRPr="007B57C0" w:rsidP="00393B10">
                  <w:pPr>
                    <w:pStyle w:val="NormalWeb"/>
                    <w:rPr>
                      <w:sz w:val="20"/>
                      <w:szCs w:val="20"/>
                    </w:rPr>
                  </w:pPr>
                  <w:r w:rsidRPr="007B57C0">
                    <w:rPr>
                      <w:sz w:val="20"/>
                      <w:szCs w:val="20"/>
                    </w:rPr>
                    <w:t>Kalendárny rok</w:t>
                  </w:r>
                </w:p>
              </w:tc>
              <w:tc>
                <w:tcPr>
                  <w:tcW w:w="2463" w:type="dxa"/>
                  <w:vAlign w:val="center"/>
                </w:tcPr>
                <w:p w:rsidR="00393B10" w:rsidRPr="007B57C0" w:rsidP="00393B10">
                  <w:pPr>
                    <w:pStyle w:val="NormalWeb"/>
                    <w:rPr>
                      <w:sz w:val="20"/>
                      <w:szCs w:val="20"/>
                    </w:rPr>
                  </w:pPr>
                  <w:r w:rsidRPr="007B57C0">
                    <w:rPr>
                      <w:sz w:val="20"/>
                      <w:szCs w:val="20"/>
                    </w:rPr>
                    <w:t>30 µg/m</w:t>
                  </w:r>
                  <w:r w:rsidRPr="00C8183A">
                    <w:rPr>
                      <w:sz w:val="20"/>
                      <w:szCs w:val="20"/>
                      <w:vertAlign w:val="superscript"/>
                    </w:rPr>
                    <w:t>3</w:t>
                  </w:r>
                </w:p>
              </w:tc>
            </w:tr>
          </w:tbl>
          <w:p w:rsidR="00CB3E7D" w:rsidRPr="003977FB" w:rsidP="00393B10">
            <w:pPr>
              <w:pStyle w:val="NormalWeb"/>
              <w:rPr>
                <w:sz w:val="20"/>
              </w:rPr>
            </w:pPr>
            <w:r w:rsidRPr="00393B10" w:rsidR="00393B10">
              <w:rPr>
                <w:sz w:val="20"/>
                <w:szCs w:val="20"/>
              </w:rPr>
              <w:br w:type="page"/>
            </w:r>
            <w:r w:rsidRPr="00393B10" w:rsidR="00514277">
              <w:rPr>
                <w:sz w:val="20"/>
                <w:szCs w:val="20"/>
              </w:rPr>
              <w:br w:type="page"/>
            </w: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14</w:t>
            </w:r>
          </w:p>
        </w:tc>
        <w:tc>
          <w:tcPr>
            <w:tcW w:w="4074" w:type="dxa"/>
            <w:tcBorders>
              <w:bottom w:val="single" w:sz="4" w:space="0" w:color="auto"/>
            </w:tcBorders>
          </w:tcPr>
          <w:p w:rsidR="00873F15" w:rsidRPr="00873F15" w:rsidP="00873F15">
            <w:pPr>
              <w:pStyle w:val="NormalWeb"/>
              <w:rPr>
                <w:sz w:val="20"/>
                <w:szCs w:val="20"/>
              </w:rPr>
            </w:pPr>
            <w:r w:rsidRPr="00873F15">
              <w:rPr>
                <w:sz w:val="20"/>
                <w:szCs w:val="20"/>
              </w:rPr>
              <w:t>NÁRODNÝ CIEĽ ZNÍŽENIA EXPOZÍCIE, CIEĽOVÁ HODNOTA</w:t>
            </w:r>
          </w:p>
          <w:p w:rsidR="00873F15" w:rsidRPr="00873F15" w:rsidP="00873F15">
            <w:pPr>
              <w:pStyle w:val="NormalWeb"/>
              <w:rPr>
                <w:sz w:val="20"/>
                <w:szCs w:val="20"/>
              </w:rPr>
            </w:pPr>
            <w:r w:rsidRPr="00873F15">
              <w:rPr>
                <w:sz w:val="20"/>
                <w:szCs w:val="20"/>
              </w:rPr>
              <w:t>A LIMITNÁ HODNOTA PRE PM</w:t>
            </w:r>
            <w:r w:rsidRPr="0094775A">
              <w:rPr>
                <w:sz w:val="20"/>
                <w:szCs w:val="20"/>
                <w:vertAlign w:val="subscript"/>
              </w:rPr>
              <w:t>2,5</w:t>
            </w:r>
          </w:p>
          <w:p w:rsidR="00873F15" w:rsidRPr="00873F15" w:rsidP="00873F15">
            <w:pPr>
              <w:pStyle w:val="NormalWeb"/>
              <w:rPr>
                <w:sz w:val="20"/>
                <w:szCs w:val="20"/>
              </w:rPr>
            </w:pPr>
            <w:r w:rsidRPr="00873F15">
              <w:rPr>
                <w:sz w:val="20"/>
                <w:szCs w:val="20"/>
              </w:rPr>
              <w:t>A. Indikátor priemernej expozície</w:t>
            </w:r>
          </w:p>
          <w:p w:rsidR="00873F15" w:rsidP="00873F15">
            <w:pPr>
              <w:pStyle w:val="NormalWeb"/>
              <w:jc w:val="both"/>
              <w:rPr>
                <w:sz w:val="20"/>
                <w:szCs w:val="20"/>
              </w:rPr>
            </w:pPr>
            <w:r w:rsidRPr="00873F15">
              <w:rPr>
                <w:sz w:val="20"/>
                <w:szCs w:val="20"/>
              </w:rPr>
              <w:t>Indikátor priemernej expozície vyjadrený v μg/m</w:t>
            </w:r>
            <w:r w:rsidRPr="009C3B6F">
              <w:rPr>
                <w:sz w:val="20"/>
                <w:szCs w:val="20"/>
                <w:vertAlign w:val="superscript"/>
              </w:rPr>
              <w:t>3</w:t>
            </w:r>
            <w:r w:rsidRPr="00873F15">
              <w:rPr>
                <w:sz w:val="20"/>
                <w:szCs w:val="20"/>
              </w:rPr>
              <w:t xml:space="preserve"> (IPE) sa zakladá na meraniach na mestských pozaďových miest</w:t>
            </w:r>
            <w:r>
              <w:rPr>
                <w:sz w:val="20"/>
                <w:szCs w:val="20"/>
              </w:rPr>
              <w:t xml:space="preserve">ach v zónach a aglomeráciách na </w:t>
            </w:r>
            <w:r w:rsidRPr="00873F15">
              <w:rPr>
                <w:sz w:val="20"/>
                <w:szCs w:val="20"/>
              </w:rPr>
              <w:t>celom území členského štátu. Mal by sa hodnotiť ako nepretržitá ročná</w:t>
            </w:r>
            <w:r>
              <w:rPr>
                <w:sz w:val="20"/>
                <w:szCs w:val="20"/>
              </w:rPr>
              <w:t xml:space="preserve"> </w:t>
            </w:r>
            <w:r w:rsidRPr="00873F15">
              <w:rPr>
                <w:sz w:val="20"/>
                <w:szCs w:val="20"/>
              </w:rPr>
              <w:t>stredná hodnota koncentrácie z troch kalendárnych rokov spriemerovaná za</w:t>
            </w:r>
            <w:r>
              <w:rPr>
                <w:sz w:val="20"/>
                <w:szCs w:val="20"/>
              </w:rPr>
              <w:t xml:space="preserve"> </w:t>
            </w:r>
            <w:r w:rsidRPr="00873F15">
              <w:rPr>
                <w:sz w:val="20"/>
                <w:szCs w:val="20"/>
              </w:rPr>
              <w:t>všetky vzorkovacie miesta stanovené podľa oddielu B prílohy V. IPE na</w:t>
            </w:r>
            <w:r>
              <w:rPr>
                <w:sz w:val="20"/>
                <w:szCs w:val="20"/>
              </w:rPr>
              <w:t xml:space="preserve"> </w:t>
            </w:r>
            <w:r w:rsidRPr="00873F15">
              <w:rPr>
                <w:sz w:val="20"/>
                <w:szCs w:val="20"/>
              </w:rPr>
              <w:t>referenčný rok 2010 predstavuje strednú hodnotu koncentrácie za roky</w:t>
            </w:r>
            <w:r>
              <w:rPr>
                <w:sz w:val="20"/>
                <w:szCs w:val="20"/>
              </w:rPr>
              <w:t xml:space="preserve"> </w:t>
            </w:r>
            <w:r w:rsidRPr="00873F15">
              <w:rPr>
                <w:sz w:val="20"/>
                <w:szCs w:val="20"/>
              </w:rPr>
              <w:t>2008, 2009 a 2010.</w:t>
            </w:r>
            <w:r>
              <w:rPr>
                <w:sz w:val="20"/>
                <w:szCs w:val="20"/>
              </w:rPr>
              <w:t xml:space="preserve"> </w:t>
            </w:r>
            <w:r w:rsidRPr="00873F15">
              <w:rPr>
                <w:sz w:val="20"/>
                <w:szCs w:val="20"/>
              </w:rPr>
              <w:t>Ak však nie sú k dispozícii údaje za rok 2008, členské štáty môžu použiť</w:t>
            </w:r>
            <w:r>
              <w:rPr>
                <w:sz w:val="20"/>
                <w:szCs w:val="20"/>
              </w:rPr>
              <w:t xml:space="preserve"> </w:t>
            </w:r>
            <w:r w:rsidRPr="00873F15">
              <w:rPr>
                <w:sz w:val="20"/>
                <w:szCs w:val="20"/>
              </w:rPr>
              <w:t>strednú hodnotu koncentrácie za roky 2009 a 2010 alebo strednú hodnotu</w:t>
            </w:r>
            <w:r>
              <w:rPr>
                <w:sz w:val="20"/>
                <w:szCs w:val="20"/>
              </w:rPr>
              <w:t xml:space="preserve"> </w:t>
            </w:r>
            <w:r w:rsidRPr="00873F15">
              <w:rPr>
                <w:sz w:val="20"/>
                <w:szCs w:val="20"/>
              </w:rPr>
              <w:t>koncentrácie za roky 2009, 2010 a 2011. Členské štáty, ktoré tieto možnosti</w:t>
            </w:r>
            <w:r>
              <w:rPr>
                <w:sz w:val="20"/>
                <w:szCs w:val="20"/>
              </w:rPr>
              <w:t xml:space="preserve"> </w:t>
            </w:r>
            <w:r w:rsidRPr="00873F15">
              <w:rPr>
                <w:sz w:val="20"/>
                <w:szCs w:val="20"/>
              </w:rPr>
              <w:t>využijú, musia svoje rozhodnutie oznámiť Komisii do 11. septembra 2008.</w:t>
            </w:r>
            <w:r>
              <w:rPr>
                <w:sz w:val="20"/>
                <w:szCs w:val="20"/>
              </w:rPr>
              <w:t xml:space="preserve"> </w:t>
            </w:r>
            <w:r w:rsidRPr="00873F15">
              <w:rPr>
                <w:sz w:val="20"/>
                <w:szCs w:val="20"/>
              </w:rPr>
              <w:t>IPE na rok 2020 je nepretržitá stredná hodnota koncentrácie z troch rokov</w:t>
            </w:r>
            <w:r>
              <w:rPr>
                <w:sz w:val="20"/>
                <w:szCs w:val="20"/>
              </w:rPr>
              <w:t xml:space="preserve"> </w:t>
            </w:r>
            <w:r w:rsidRPr="00873F15">
              <w:rPr>
                <w:sz w:val="20"/>
                <w:szCs w:val="20"/>
              </w:rPr>
              <w:t>spriemerovaná za všetky tieto vzorkovacie miesta za roky 2018, 2019</w:t>
            </w:r>
            <w:r>
              <w:rPr>
                <w:sz w:val="20"/>
                <w:szCs w:val="20"/>
              </w:rPr>
              <w:t xml:space="preserve"> </w:t>
            </w:r>
            <w:r w:rsidRPr="00873F15">
              <w:rPr>
                <w:sz w:val="20"/>
                <w:szCs w:val="20"/>
              </w:rPr>
              <w:t>a 2020. IPE sa využíva na preskúmanie toho, či sa dosiahol národný cieľ</w:t>
            </w:r>
            <w:r>
              <w:rPr>
                <w:sz w:val="20"/>
                <w:szCs w:val="20"/>
              </w:rPr>
              <w:t xml:space="preserve"> </w:t>
            </w:r>
            <w:r w:rsidRPr="00873F15">
              <w:rPr>
                <w:sz w:val="20"/>
                <w:szCs w:val="20"/>
              </w:rPr>
              <w:t>zníženia expozície.</w:t>
            </w:r>
            <w:r>
              <w:rPr>
                <w:sz w:val="20"/>
                <w:szCs w:val="20"/>
              </w:rPr>
              <w:t xml:space="preserve"> </w:t>
            </w:r>
            <w:r w:rsidRPr="00873F15">
              <w:rPr>
                <w:sz w:val="20"/>
                <w:szCs w:val="20"/>
              </w:rPr>
              <w:t>IPE na rok 2015 je nepretržitá stredná hodnota koncentrácie z troch rokov</w:t>
            </w:r>
            <w:r>
              <w:rPr>
                <w:sz w:val="20"/>
                <w:szCs w:val="20"/>
              </w:rPr>
              <w:t xml:space="preserve"> </w:t>
            </w:r>
            <w:r w:rsidRPr="00873F15">
              <w:rPr>
                <w:sz w:val="20"/>
                <w:szCs w:val="20"/>
              </w:rPr>
              <w:t>spriemerovaná za všetky tieto vzorkovacie miesta za roky 2013, 2014</w:t>
            </w:r>
            <w:r>
              <w:rPr>
                <w:sz w:val="20"/>
                <w:szCs w:val="20"/>
              </w:rPr>
              <w:t xml:space="preserve"> </w:t>
            </w:r>
            <w:r w:rsidRPr="00873F15">
              <w:rPr>
                <w:sz w:val="20"/>
                <w:szCs w:val="20"/>
              </w:rPr>
              <w:t>a 2015. IPE sa využíva na preskúmanie toho, či sa dosiahol záväzok zníženia</w:t>
            </w:r>
            <w:r>
              <w:rPr>
                <w:sz w:val="20"/>
                <w:szCs w:val="20"/>
              </w:rPr>
              <w:t xml:space="preserve"> </w:t>
            </w:r>
            <w:r w:rsidRPr="00873F15">
              <w:rPr>
                <w:sz w:val="20"/>
                <w:szCs w:val="20"/>
              </w:rPr>
              <w:t>koncentrácie expozície.</w:t>
            </w:r>
          </w:p>
          <w:p w:rsidR="00EE599F" w:rsidP="00873F15">
            <w:pPr>
              <w:pStyle w:val="NormalWeb"/>
              <w:jc w:val="both"/>
              <w:rPr>
                <w:sz w:val="20"/>
                <w:szCs w:val="20"/>
              </w:rPr>
            </w:pPr>
          </w:p>
          <w:p w:rsidR="00EE599F" w:rsidP="00873F15">
            <w:pPr>
              <w:pStyle w:val="NormalWeb"/>
              <w:jc w:val="both"/>
              <w:rPr>
                <w:sz w:val="20"/>
                <w:szCs w:val="20"/>
              </w:rPr>
            </w:pPr>
          </w:p>
          <w:p w:rsidR="00EE599F" w:rsidRPr="00873F15" w:rsidP="00873F15">
            <w:pPr>
              <w:pStyle w:val="NormalWeb"/>
              <w:jc w:val="both"/>
              <w:rPr>
                <w:sz w:val="20"/>
                <w:szCs w:val="20"/>
              </w:rPr>
            </w:pPr>
          </w:p>
          <w:p w:rsidR="00EE599F" w:rsidRPr="00873F15" w:rsidP="00873F15">
            <w:pPr>
              <w:pStyle w:val="NormalWeb"/>
              <w:rPr>
                <w:sz w:val="20"/>
                <w:szCs w:val="20"/>
              </w:rPr>
            </w:pPr>
            <w:r w:rsidRPr="00873F15" w:rsidR="00873F15">
              <w:rPr>
                <w:sz w:val="20"/>
                <w:szCs w:val="20"/>
              </w:rPr>
              <w:t>B. Národný cieľ zníženia expozície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134"/>
              <w:gridCol w:w="1134"/>
            </w:tblGrid>
            <w:tr w:rsidTr="00EE599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2632" w:type="dxa"/>
                  <w:gridSpan w:val="2"/>
                  <w:shd w:val="clear" w:color="auto" w:fill="auto"/>
                </w:tcPr>
                <w:p w:rsidR="00EE599F" w:rsidRPr="00EE599F" w:rsidP="00EE599F">
                  <w:pPr>
                    <w:rPr>
                      <w:sz w:val="18"/>
                      <w:szCs w:val="18"/>
                    </w:rPr>
                  </w:pPr>
                  <w:r w:rsidRPr="00EE599F">
                    <w:rPr>
                      <w:sz w:val="18"/>
                      <w:szCs w:val="18"/>
                    </w:rPr>
                    <w:t xml:space="preserve">Cieľ zníženia expozície tykajúci sa IPE v roku 2010  </w:t>
                  </w:r>
                </w:p>
              </w:tc>
              <w:tc>
                <w:tcPr>
                  <w:tcW w:w="1134" w:type="dxa"/>
                  <w:shd w:val="clear" w:color="auto" w:fill="auto"/>
                </w:tcPr>
                <w:p w:rsidR="00EE599F" w:rsidRPr="00EE599F" w:rsidP="00EE599F">
                  <w:pPr>
                    <w:rPr>
                      <w:sz w:val="18"/>
                      <w:szCs w:val="18"/>
                    </w:rPr>
                  </w:pPr>
                  <w:r w:rsidRPr="00EE599F">
                    <w:rPr>
                      <w:sz w:val="18"/>
                      <w:szCs w:val="18"/>
                    </w:rPr>
                    <w:t xml:space="preserve">Rok, v ktorom by sa mal dosiahnuť cieľ zníženia expozície </w:t>
                  </w:r>
                </w:p>
                <w:p w:rsidR="00EE599F" w:rsidRPr="00EE599F" w:rsidP="00EE599F">
                  <w:pPr>
                    <w:rPr>
                      <w:sz w:val="18"/>
                      <w:szCs w:val="18"/>
                    </w:rPr>
                  </w:pPr>
                </w:p>
              </w:tc>
            </w:tr>
            <w:tr w:rsidTr="00EE599F">
              <w:tblPrEx>
                <w:tblW w:w="0" w:type="auto"/>
                <w:tblLayout w:type="fixed"/>
                <w:tblLook w:val="04A0"/>
              </w:tblPrEx>
              <w:trPr>
                <w:trHeight w:val="362"/>
              </w:trPr>
              <w:tc>
                <w:tcPr>
                  <w:tcW w:w="1498" w:type="dxa"/>
                  <w:shd w:val="clear" w:color="auto" w:fill="auto"/>
                </w:tcPr>
                <w:p w:rsidR="00EE599F" w:rsidRPr="00EE599F" w:rsidP="00EE599F">
                  <w:pPr>
                    <w:rPr>
                      <w:sz w:val="18"/>
                      <w:szCs w:val="18"/>
                    </w:rPr>
                  </w:pPr>
                  <w:r w:rsidRPr="00EE599F">
                    <w:rPr>
                      <w:sz w:val="18"/>
                      <w:szCs w:val="18"/>
                    </w:rPr>
                    <w:t>Počiatočná koncentrácia</w:t>
                  </w:r>
                </w:p>
                <w:p w:rsidR="00EE599F" w:rsidRPr="00EE599F" w:rsidP="00EE599F">
                  <w:pPr>
                    <w:rPr>
                      <w:sz w:val="18"/>
                      <w:szCs w:val="18"/>
                    </w:rPr>
                  </w:pPr>
                  <w:r w:rsidRPr="00EE599F">
                    <w:rPr>
                      <w:sz w:val="18"/>
                      <w:szCs w:val="18"/>
                    </w:rPr>
                    <w:t xml:space="preserve"> v μg/m3</w:t>
                  </w:r>
                </w:p>
              </w:tc>
              <w:tc>
                <w:tcPr>
                  <w:tcW w:w="1134" w:type="dxa"/>
                  <w:shd w:val="clear" w:color="auto" w:fill="auto"/>
                </w:tcPr>
                <w:p w:rsidR="00EE599F" w:rsidRPr="00EE599F" w:rsidP="00EE599F">
                  <w:pPr>
                    <w:rPr>
                      <w:sz w:val="18"/>
                      <w:szCs w:val="18"/>
                    </w:rPr>
                  </w:pPr>
                  <w:r w:rsidRPr="00EE599F">
                    <w:rPr>
                      <w:sz w:val="18"/>
                      <w:szCs w:val="18"/>
                    </w:rPr>
                    <w:t>Cieľ zníženia v percentách</w:t>
                  </w:r>
                </w:p>
                <w:p w:rsidR="00EE599F" w:rsidRPr="00EE599F" w:rsidP="00EE599F">
                  <w:pPr>
                    <w:rPr>
                      <w:sz w:val="18"/>
                      <w:szCs w:val="18"/>
                    </w:rPr>
                  </w:pPr>
                </w:p>
              </w:tc>
              <w:tc>
                <w:tcPr>
                  <w:tcW w:w="1134" w:type="dxa"/>
                  <w:vMerge w:val="restart"/>
                  <w:shd w:val="clear" w:color="auto" w:fill="auto"/>
                </w:tcPr>
                <w:p w:rsidR="00EE599F" w:rsidRPr="00EE599F" w:rsidP="00EE599F">
                  <w:pPr>
                    <w:rPr>
                      <w:sz w:val="18"/>
                      <w:szCs w:val="18"/>
                    </w:rPr>
                  </w:pPr>
                  <w:r w:rsidRPr="00EE599F">
                    <w:rPr>
                      <w:sz w:val="18"/>
                      <w:szCs w:val="18"/>
                    </w:rPr>
                    <w:t>2020</w:t>
                  </w:r>
                </w:p>
              </w:tc>
            </w:tr>
            <w:tr w:rsidTr="00EE599F">
              <w:tblPrEx>
                <w:tblW w:w="0" w:type="auto"/>
                <w:tblLayout w:type="fixed"/>
                <w:tblLook w:val="04A0"/>
              </w:tblPrEx>
              <w:trPr>
                <w:trHeight w:val="175"/>
              </w:trPr>
              <w:tc>
                <w:tcPr>
                  <w:tcW w:w="1498" w:type="dxa"/>
                  <w:shd w:val="clear" w:color="auto" w:fill="auto"/>
                </w:tcPr>
                <w:p w:rsidR="00EE599F" w:rsidRPr="00EE599F" w:rsidP="00EE599F">
                  <w:pPr>
                    <w:rPr>
                      <w:sz w:val="18"/>
                      <w:szCs w:val="18"/>
                    </w:rPr>
                  </w:pPr>
                  <w:r w:rsidRPr="00EE599F">
                    <w:rPr>
                      <w:sz w:val="18"/>
                      <w:szCs w:val="18"/>
                    </w:rPr>
                    <w:t>&lt; 8,5 = 8,5</w:t>
                  </w:r>
                </w:p>
              </w:tc>
              <w:tc>
                <w:tcPr>
                  <w:tcW w:w="1134" w:type="dxa"/>
                  <w:shd w:val="clear" w:color="auto" w:fill="auto"/>
                </w:tcPr>
                <w:p w:rsidR="00EE599F" w:rsidRPr="00EE599F" w:rsidP="00EE599F">
                  <w:pPr>
                    <w:rPr>
                      <w:sz w:val="18"/>
                      <w:szCs w:val="18"/>
                    </w:rPr>
                  </w:pPr>
                  <w:r w:rsidRPr="00EE599F">
                    <w:rPr>
                      <w:sz w:val="18"/>
                      <w:szCs w:val="18"/>
                    </w:rPr>
                    <w:t>0 %</w:t>
                  </w:r>
                </w:p>
              </w:tc>
              <w:tc>
                <w:tcPr>
                  <w:tcW w:w="1134" w:type="dxa"/>
                  <w:vMerge/>
                  <w:shd w:val="clear" w:color="auto" w:fill="auto"/>
                </w:tcPr>
                <w:p w:rsidR="00EE599F" w:rsidRPr="00EE599F" w:rsidP="00EE599F">
                  <w:pPr>
                    <w:rPr>
                      <w:sz w:val="18"/>
                      <w:szCs w:val="18"/>
                    </w:rPr>
                  </w:pPr>
                </w:p>
              </w:tc>
            </w:tr>
            <w:tr w:rsidTr="00EE599F">
              <w:tblPrEx>
                <w:tblW w:w="0" w:type="auto"/>
                <w:tblLayout w:type="fixed"/>
                <w:tblLook w:val="04A0"/>
              </w:tblPrEx>
              <w:trPr>
                <w:trHeight w:val="187"/>
              </w:trPr>
              <w:tc>
                <w:tcPr>
                  <w:tcW w:w="1498" w:type="dxa"/>
                  <w:shd w:val="clear" w:color="auto" w:fill="auto"/>
                </w:tcPr>
                <w:p w:rsidR="00EE599F" w:rsidRPr="00EE599F" w:rsidP="00EE599F">
                  <w:pPr>
                    <w:rPr>
                      <w:sz w:val="18"/>
                      <w:szCs w:val="18"/>
                    </w:rPr>
                  </w:pPr>
                  <w:r w:rsidRPr="00EE599F">
                    <w:rPr>
                      <w:sz w:val="18"/>
                      <w:szCs w:val="18"/>
                    </w:rPr>
                    <w:t>&gt; 8,5 – &lt; 13</w:t>
                  </w:r>
                </w:p>
              </w:tc>
              <w:tc>
                <w:tcPr>
                  <w:tcW w:w="1134" w:type="dxa"/>
                  <w:shd w:val="clear" w:color="auto" w:fill="auto"/>
                </w:tcPr>
                <w:p w:rsidR="00EE599F" w:rsidRPr="00EE599F" w:rsidP="00EE599F">
                  <w:pPr>
                    <w:rPr>
                      <w:sz w:val="18"/>
                      <w:szCs w:val="18"/>
                    </w:rPr>
                  </w:pPr>
                  <w:r w:rsidRPr="00EE599F">
                    <w:rPr>
                      <w:sz w:val="18"/>
                      <w:szCs w:val="18"/>
                    </w:rPr>
                    <w:t>10 %</w:t>
                  </w:r>
                </w:p>
              </w:tc>
              <w:tc>
                <w:tcPr>
                  <w:tcW w:w="1134" w:type="dxa"/>
                  <w:vMerge/>
                  <w:shd w:val="clear" w:color="auto" w:fill="auto"/>
                </w:tcPr>
                <w:p w:rsidR="00EE599F" w:rsidRPr="00EE599F" w:rsidP="00EE599F">
                  <w:pPr>
                    <w:rPr>
                      <w:sz w:val="18"/>
                      <w:szCs w:val="18"/>
                    </w:rPr>
                  </w:pPr>
                </w:p>
              </w:tc>
            </w:tr>
            <w:tr w:rsidTr="00EE599F">
              <w:tblPrEx>
                <w:tblW w:w="0" w:type="auto"/>
                <w:tblLayout w:type="fixed"/>
                <w:tblLook w:val="04A0"/>
              </w:tblPrEx>
              <w:trPr>
                <w:trHeight w:val="175"/>
              </w:trPr>
              <w:tc>
                <w:tcPr>
                  <w:tcW w:w="1498" w:type="dxa"/>
                  <w:shd w:val="clear" w:color="auto" w:fill="auto"/>
                </w:tcPr>
                <w:p w:rsidR="00EE599F" w:rsidRPr="00EE599F" w:rsidP="00EE599F">
                  <w:pPr>
                    <w:rPr>
                      <w:sz w:val="18"/>
                      <w:szCs w:val="18"/>
                    </w:rPr>
                  </w:pPr>
                  <w:r w:rsidRPr="00EE599F">
                    <w:rPr>
                      <w:sz w:val="18"/>
                      <w:szCs w:val="18"/>
                    </w:rPr>
                    <w:t>= 13 – &lt; 18</w:t>
                  </w:r>
                </w:p>
              </w:tc>
              <w:tc>
                <w:tcPr>
                  <w:tcW w:w="1134" w:type="dxa"/>
                  <w:shd w:val="clear" w:color="auto" w:fill="auto"/>
                </w:tcPr>
                <w:p w:rsidR="00EE599F" w:rsidRPr="00EE599F" w:rsidP="00EE599F">
                  <w:pPr>
                    <w:rPr>
                      <w:sz w:val="18"/>
                      <w:szCs w:val="18"/>
                    </w:rPr>
                  </w:pPr>
                  <w:r w:rsidRPr="00EE599F">
                    <w:rPr>
                      <w:sz w:val="18"/>
                      <w:szCs w:val="18"/>
                    </w:rPr>
                    <w:t>15%</w:t>
                  </w:r>
                </w:p>
              </w:tc>
              <w:tc>
                <w:tcPr>
                  <w:tcW w:w="1134" w:type="dxa"/>
                  <w:vMerge/>
                  <w:shd w:val="clear" w:color="auto" w:fill="auto"/>
                </w:tcPr>
                <w:p w:rsidR="00EE599F" w:rsidRPr="00EE599F" w:rsidP="00EE599F">
                  <w:pPr>
                    <w:rPr>
                      <w:sz w:val="18"/>
                      <w:szCs w:val="18"/>
                    </w:rPr>
                  </w:pPr>
                </w:p>
              </w:tc>
            </w:tr>
            <w:tr w:rsidTr="00EE599F">
              <w:tblPrEx>
                <w:tblW w:w="0" w:type="auto"/>
                <w:tblLayout w:type="fixed"/>
                <w:tblLook w:val="04A0"/>
              </w:tblPrEx>
              <w:trPr>
                <w:trHeight w:val="175"/>
              </w:trPr>
              <w:tc>
                <w:tcPr>
                  <w:tcW w:w="1498" w:type="dxa"/>
                  <w:shd w:val="clear" w:color="auto" w:fill="auto"/>
                </w:tcPr>
                <w:p w:rsidR="00EE599F" w:rsidRPr="00EE599F" w:rsidP="00EE599F">
                  <w:pPr>
                    <w:rPr>
                      <w:sz w:val="18"/>
                      <w:szCs w:val="18"/>
                    </w:rPr>
                  </w:pPr>
                  <w:r w:rsidRPr="00EE599F">
                    <w:rPr>
                      <w:sz w:val="18"/>
                      <w:szCs w:val="18"/>
                    </w:rPr>
                    <w:t>= 18– &lt; 22</w:t>
                  </w:r>
                </w:p>
              </w:tc>
              <w:tc>
                <w:tcPr>
                  <w:tcW w:w="1134" w:type="dxa"/>
                  <w:shd w:val="clear" w:color="auto" w:fill="auto"/>
                </w:tcPr>
                <w:p w:rsidR="00EE599F" w:rsidRPr="00EE599F" w:rsidP="00EE599F">
                  <w:pPr>
                    <w:rPr>
                      <w:sz w:val="18"/>
                      <w:szCs w:val="18"/>
                    </w:rPr>
                  </w:pPr>
                  <w:r w:rsidRPr="00EE599F">
                    <w:rPr>
                      <w:sz w:val="18"/>
                      <w:szCs w:val="18"/>
                    </w:rPr>
                    <w:t>20 %</w:t>
                  </w:r>
                </w:p>
              </w:tc>
              <w:tc>
                <w:tcPr>
                  <w:tcW w:w="1134" w:type="dxa"/>
                  <w:vMerge/>
                  <w:shd w:val="clear" w:color="auto" w:fill="auto"/>
                </w:tcPr>
                <w:p w:rsidR="00EE599F" w:rsidRPr="00EE599F" w:rsidP="00EE599F">
                  <w:pPr>
                    <w:rPr>
                      <w:sz w:val="18"/>
                      <w:szCs w:val="18"/>
                    </w:rPr>
                  </w:pPr>
                </w:p>
              </w:tc>
            </w:tr>
            <w:tr w:rsidTr="00EE599F">
              <w:tblPrEx>
                <w:tblW w:w="0" w:type="auto"/>
                <w:tblLayout w:type="fixed"/>
                <w:tblLook w:val="04A0"/>
              </w:tblPrEx>
              <w:trPr>
                <w:trHeight w:val="1178"/>
              </w:trPr>
              <w:tc>
                <w:tcPr>
                  <w:tcW w:w="1498" w:type="dxa"/>
                  <w:shd w:val="clear" w:color="auto" w:fill="auto"/>
                </w:tcPr>
                <w:p w:rsidR="00EE599F" w:rsidRPr="00EE599F" w:rsidP="00EE599F">
                  <w:pPr>
                    <w:rPr>
                      <w:sz w:val="18"/>
                      <w:szCs w:val="18"/>
                    </w:rPr>
                  </w:pPr>
                  <w:r w:rsidRPr="00EE599F">
                    <w:rPr>
                      <w:sz w:val="18"/>
                      <w:szCs w:val="18"/>
                    </w:rPr>
                    <w:t>≥ 22</w:t>
                  </w:r>
                </w:p>
              </w:tc>
              <w:tc>
                <w:tcPr>
                  <w:tcW w:w="1134" w:type="dxa"/>
                  <w:shd w:val="clear" w:color="auto" w:fill="auto"/>
                </w:tcPr>
                <w:p w:rsidR="00EE599F" w:rsidRPr="00EE599F" w:rsidP="00EE599F">
                  <w:pPr>
                    <w:rPr>
                      <w:sz w:val="18"/>
                      <w:szCs w:val="18"/>
                    </w:rPr>
                  </w:pPr>
                  <w:r w:rsidRPr="00EE599F">
                    <w:rPr>
                      <w:sz w:val="18"/>
                      <w:szCs w:val="18"/>
                    </w:rPr>
                    <w:t>Všetky vhodné opatrenia na dosiahnutie 18 μg/m</w:t>
                  </w:r>
                  <w:r w:rsidRPr="001B365C">
                    <w:rPr>
                      <w:sz w:val="18"/>
                      <w:szCs w:val="18"/>
                      <w:vertAlign w:val="superscript"/>
                    </w:rPr>
                    <w:t>3</w:t>
                  </w:r>
                </w:p>
              </w:tc>
              <w:tc>
                <w:tcPr>
                  <w:tcW w:w="1134" w:type="dxa"/>
                  <w:vMerge/>
                  <w:shd w:val="clear" w:color="auto" w:fill="auto"/>
                </w:tcPr>
                <w:p w:rsidR="00EE599F" w:rsidRPr="00680D60" w:rsidP="00EE599F"/>
              </w:tc>
            </w:tr>
          </w:tbl>
          <w:p w:rsidR="00EE599F" w:rsidP="00EE599F"/>
          <w:p w:rsidR="00873F15" w:rsidRPr="00873F15" w:rsidP="00C3442B">
            <w:pPr>
              <w:pStyle w:val="NormalWeb"/>
              <w:jc w:val="both"/>
              <w:rPr>
                <w:sz w:val="20"/>
                <w:szCs w:val="20"/>
              </w:rPr>
            </w:pPr>
            <w:r w:rsidRPr="00873F15">
              <w:rPr>
                <w:sz w:val="20"/>
                <w:szCs w:val="20"/>
              </w:rPr>
              <w:t>Ak je IPE v referenčnom roku 8,5 μg/m</w:t>
            </w:r>
            <w:r w:rsidRPr="005D72EA">
              <w:rPr>
                <w:sz w:val="20"/>
                <w:szCs w:val="20"/>
                <w:vertAlign w:val="superscript"/>
              </w:rPr>
              <w:t>3</w:t>
            </w:r>
            <w:r w:rsidRPr="00873F15">
              <w:rPr>
                <w:sz w:val="20"/>
                <w:szCs w:val="20"/>
              </w:rPr>
              <w:t xml:space="preserve"> alebo menej, cieľ zníženia expozície sa rovná nule. Cieľ zníženia expozície s</w:t>
            </w:r>
            <w:r w:rsidR="00C3442B">
              <w:rPr>
                <w:sz w:val="20"/>
                <w:szCs w:val="20"/>
              </w:rPr>
              <w:t xml:space="preserve">a rovná nule aj v prípadoch, ak </w:t>
            </w:r>
            <w:r w:rsidRPr="00873F15">
              <w:rPr>
                <w:sz w:val="20"/>
                <w:szCs w:val="20"/>
              </w:rPr>
              <w:t>IPE dosiahne v ktoromkoľvek momente počas obdobia od roku 2010 do</w:t>
            </w:r>
            <w:r w:rsidR="00C3442B">
              <w:rPr>
                <w:sz w:val="20"/>
                <w:szCs w:val="20"/>
              </w:rPr>
              <w:t xml:space="preserve"> </w:t>
            </w:r>
            <w:r w:rsidRPr="00873F15">
              <w:rPr>
                <w:sz w:val="20"/>
                <w:szCs w:val="20"/>
              </w:rPr>
              <w:t>roku 2020 úroveň 8,5 μg/m</w:t>
            </w:r>
            <w:r w:rsidRPr="00AC1AF4">
              <w:rPr>
                <w:sz w:val="20"/>
                <w:szCs w:val="20"/>
                <w:vertAlign w:val="superscript"/>
              </w:rPr>
              <w:t>3</w:t>
            </w:r>
            <w:r w:rsidRPr="00873F15">
              <w:rPr>
                <w:sz w:val="20"/>
                <w:szCs w:val="20"/>
              </w:rPr>
              <w:t xml:space="preserve"> a udrží sa na tejto úrovni alebo nižšie.</w:t>
            </w:r>
          </w:p>
          <w:p w:rsidR="00873F15" w:rsidP="00873F15">
            <w:pPr>
              <w:pStyle w:val="NormalWeb"/>
              <w:rPr>
                <w:sz w:val="20"/>
                <w:szCs w:val="20"/>
              </w:rPr>
            </w:pPr>
            <w:r w:rsidRPr="00873F15">
              <w:rPr>
                <w:sz w:val="20"/>
                <w:szCs w:val="20"/>
              </w:rPr>
              <w:t>C. Záväzok zníženia koncentrácie expozície</w:t>
            </w:r>
          </w:p>
          <w:tbl>
            <w:tblPr>
              <w:tblStyle w:val="TableNormal"/>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2025"/>
            </w:tblGrid>
            <w:tr w:rsidTr="00755E48">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45"/>
              </w:trPr>
              <w:tc>
                <w:tcPr>
                  <w:tcW w:w="1620" w:type="dxa"/>
                </w:tcPr>
                <w:p w:rsidR="00755E48" w:rsidRPr="00512643" w:rsidP="00873F15">
                  <w:pPr>
                    <w:pStyle w:val="NormalWeb"/>
                    <w:rPr>
                      <w:sz w:val="18"/>
                      <w:szCs w:val="18"/>
                    </w:rPr>
                  </w:pPr>
                  <w:r w:rsidRPr="00512643">
                    <w:rPr>
                      <w:sz w:val="20"/>
                      <w:szCs w:val="20"/>
                    </w:rPr>
                    <w:t>Záväzok zníženia koncentrácie expozície</w:t>
                  </w:r>
                </w:p>
              </w:tc>
              <w:tc>
                <w:tcPr>
                  <w:tcW w:w="2025" w:type="dxa"/>
                </w:tcPr>
                <w:p w:rsidR="00755E48" w:rsidRPr="00512643" w:rsidP="00755E48">
                  <w:pPr>
                    <w:pStyle w:val="NormalWeb"/>
                    <w:rPr>
                      <w:sz w:val="20"/>
                      <w:szCs w:val="20"/>
                    </w:rPr>
                  </w:pPr>
                  <w:r w:rsidRPr="00512643">
                    <w:rPr>
                      <w:sz w:val="20"/>
                      <w:szCs w:val="20"/>
                    </w:rPr>
                    <w:t>Rok, v ktorom sa má záväzok dosiahnuť</w:t>
                  </w:r>
                </w:p>
                <w:p w:rsidR="00755E48" w:rsidRPr="00512643" w:rsidP="00873F15">
                  <w:pPr>
                    <w:pStyle w:val="NormalWeb"/>
                    <w:rPr>
                      <w:sz w:val="18"/>
                      <w:szCs w:val="18"/>
                    </w:rPr>
                  </w:pPr>
                </w:p>
              </w:tc>
            </w:tr>
            <w:tr w:rsidTr="00755E48">
              <w:tblPrEx>
                <w:tblW w:w="0" w:type="auto"/>
                <w:tblInd w:w="15" w:type="dxa"/>
                <w:tblLayout w:type="fixed"/>
                <w:tblCellMar>
                  <w:left w:w="70" w:type="dxa"/>
                  <w:right w:w="70" w:type="dxa"/>
                </w:tblCellMar>
                <w:tblLook w:val="0000"/>
              </w:tblPrEx>
              <w:trPr>
                <w:trHeight w:val="360"/>
              </w:trPr>
              <w:tc>
                <w:tcPr>
                  <w:tcW w:w="1620" w:type="dxa"/>
                </w:tcPr>
                <w:p w:rsidR="00755E48" w:rsidRPr="00512643" w:rsidP="00873F15">
                  <w:pPr>
                    <w:pStyle w:val="NormalWeb"/>
                    <w:rPr>
                      <w:sz w:val="18"/>
                      <w:szCs w:val="18"/>
                    </w:rPr>
                  </w:pPr>
                  <w:r w:rsidRPr="00512643">
                    <w:rPr>
                      <w:sz w:val="20"/>
                      <w:szCs w:val="20"/>
                    </w:rPr>
                    <w:t>20 μg/m</w:t>
                  </w:r>
                  <w:r w:rsidRPr="00AB254F">
                    <w:rPr>
                      <w:sz w:val="20"/>
                      <w:szCs w:val="20"/>
                      <w:vertAlign w:val="superscript"/>
                    </w:rPr>
                    <w:t>3</w:t>
                  </w:r>
                </w:p>
              </w:tc>
              <w:tc>
                <w:tcPr>
                  <w:tcW w:w="2025" w:type="dxa"/>
                </w:tcPr>
                <w:p w:rsidR="00755E48" w:rsidRPr="00512643" w:rsidP="00873F15">
                  <w:pPr>
                    <w:pStyle w:val="NormalWeb"/>
                    <w:rPr>
                      <w:sz w:val="18"/>
                      <w:szCs w:val="18"/>
                    </w:rPr>
                  </w:pPr>
                  <w:r w:rsidRPr="00512643">
                    <w:rPr>
                      <w:sz w:val="20"/>
                      <w:szCs w:val="20"/>
                    </w:rPr>
                    <w:t>2015</w:t>
                  </w:r>
                </w:p>
              </w:tc>
            </w:tr>
          </w:tbl>
          <w:p w:rsidR="00EE599F" w:rsidP="00873F15">
            <w:pPr>
              <w:pStyle w:val="NormalWeb"/>
              <w:rPr>
                <w:sz w:val="20"/>
                <w:szCs w:val="20"/>
              </w:rPr>
            </w:pPr>
            <w:r>
              <w:rPr>
                <w:sz w:val="20"/>
                <w:szCs w:val="20"/>
              </w:rPr>
              <w:t xml:space="preserve"> </w:t>
            </w:r>
          </w:p>
          <w:p w:rsidR="00EE599F" w:rsidRPr="00873F15" w:rsidP="00873F15">
            <w:pPr>
              <w:pStyle w:val="NormalWeb"/>
              <w:rPr>
                <w:sz w:val="20"/>
                <w:szCs w:val="20"/>
              </w:rPr>
            </w:pPr>
          </w:p>
          <w:p w:rsidR="00873F15" w:rsidP="00873F15">
            <w:pPr>
              <w:pStyle w:val="NormalWeb"/>
              <w:rPr>
                <w:sz w:val="20"/>
                <w:szCs w:val="20"/>
              </w:rPr>
            </w:pPr>
            <w:r w:rsidRPr="00873F15">
              <w:rPr>
                <w:sz w:val="20"/>
                <w:szCs w:val="20"/>
              </w:rPr>
              <w:t>D. Cieľová hodnota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7"/>
              <w:gridCol w:w="1088"/>
              <w:gridCol w:w="1425"/>
            </w:tblGrid>
            <w:tr w:rsidTr="0003108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615"/>
              </w:trPr>
              <w:tc>
                <w:tcPr>
                  <w:tcW w:w="1357" w:type="dxa"/>
                </w:tcPr>
                <w:p w:rsidR="00031080" w:rsidRPr="00512643" w:rsidP="00873F15">
                  <w:pPr>
                    <w:pStyle w:val="NormalWeb"/>
                    <w:rPr>
                      <w:sz w:val="18"/>
                      <w:szCs w:val="18"/>
                    </w:rPr>
                  </w:pPr>
                  <w:r w:rsidRPr="00512643">
                    <w:rPr>
                      <w:sz w:val="18"/>
                      <w:szCs w:val="18"/>
                    </w:rPr>
                    <w:t>Priemerované obdobie</w:t>
                  </w:r>
                </w:p>
              </w:tc>
              <w:tc>
                <w:tcPr>
                  <w:tcW w:w="1088" w:type="dxa"/>
                </w:tcPr>
                <w:p w:rsidR="00031080" w:rsidRPr="00512643" w:rsidP="00873F15">
                  <w:pPr>
                    <w:pStyle w:val="NormalWeb"/>
                    <w:rPr>
                      <w:sz w:val="18"/>
                      <w:szCs w:val="18"/>
                    </w:rPr>
                  </w:pPr>
                  <w:r w:rsidRPr="00512643">
                    <w:rPr>
                      <w:sz w:val="18"/>
                      <w:szCs w:val="18"/>
                    </w:rPr>
                    <w:t>Cieľová hodnota</w:t>
                  </w:r>
                </w:p>
              </w:tc>
              <w:tc>
                <w:tcPr>
                  <w:tcW w:w="1425" w:type="dxa"/>
                </w:tcPr>
                <w:p w:rsidR="00031080" w:rsidRPr="00512643" w:rsidP="00031080">
                  <w:pPr>
                    <w:pStyle w:val="NormalWeb"/>
                    <w:jc w:val="both"/>
                    <w:rPr>
                      <w:sz w:val="18"/>
                      <w:szCs w:val="18"/>
                    </w:rPr>
                  </w:pPr>
                  <w:r w:rsidRPr="00512643">
                    <w:rPr>
                      <w:sz w:val="18"/>
                      <w:szCs w:val="18"/>
                    </w:rPr>
                    <w:t>Dátum, ku ktorému by sa mala cieľová hodnota dosiahnuť</w:t>
                  </w:r>
                </w:p>
                <w:p w:rsidR="00031080" w:rsidRPr="00512643" w:rsidP="00873F15">
                  <w:pPr>
                    <w:pStyle w:val="NormalWeb"/>
                    <w:rPr>
                      <w:sz w:val="18"/>
                      <w:szCs w:val="18"/>
                    </w:rPr>
                  </w:pPr>
                </w:p>
              </w:tc>
            </w:tr>
            <w:tr w:rsidTr="00031080">
              <w:tblPrEx>
                <w:tblW w:w="0" w:type="auto"/>
                <w:tblLayout w:type="fixed"/>
                <w:tblCellMar>
                  <w:left w:w="70" w:type="dxa"/>
                  <w:right w:w="70" w:type="dxa"/>
                </w:tblCellMar>
                <w:tblLook w:val="0000"/>
              </w:tblPrEx>
              <w:trPr>
                <w:trHeight w:val="555"/>
              </w:trPr>
              <w:tc>
                <w:tcPr>
                  <w:tcW w:w="1357" w:type="dxa"/>
                </w:tcPr>
                <w:p w:rsidR="00031080" w:rsidRPr="00512643" w:rsidP="00031080">
                  <w:pPr>
                    <w:pStyle w:val="NormalWeb"/>
                    <w:rPr>
                      <w:sz w:val="18"/>
                      <w:szCs w:val="18"/>
                    </w:rPr>
                  </w:pPr>
                  <w:r w:rsidRPr="00512643">
                    <w:rPr>
                      <w:sz w:val="18"/>
                      <w:szCs w:val="18"/>
                    </w:rPr>
                    <w:t xml:space="preserve">Kalendárny rok </w:t>
                  </w:r>
                </w:p>
              </w:tc>
              <w:tc>
                <w:tcPr>
                  <w:tcW w:w="1088" w:type="dxa"/>
                </w:tcPr>
                <w:p w:rsidR="00031080" w:rsidRPr="00512643" w:rsidP="00873F15">
                  <w:pPr>
                    <w:pStyle w:val="NormalWeb"/>
                    <w:rPr>
                      <w:sz w:val="18"/>
                      <w:szCs w:val="18"/>
                    </w:rPr>
                  </w:pPr>
                  <w:r w:rsidRPr="00512643">
                    <w:rPr>
                      <w:sz w:val="18"/>
                      <w:szCs w:val="18"/>
                    </w:rPr>
                    <w:t>25 μg/m</w:t>
                  </w:r>
                  <w:r w:rsidRPr="008219B2">
                    <w:rPr>
                      <w:sz w:val="18"/>
                      <w:szCs w:val="18"/>
                      <w:vertAlign w:val="superscript"/>
                    </w:rPr>
                    <w:t>3</w:t>
                  </w:r>
                </w:p>
              </w:tc>
              <w:tc>
                <w:tcPr>
                  <w:tcW w:w="1425" w:type="dxa"/>
                </w:tcPr>
                <w:p w:rsidR="00031080" w:rsidRPr="00512643" w:rsidP="00873F15">
                  <w:pPr>
                    <w:pStyle w:val="NormalWeb"/>
                    <w:rPr>
                      <w:sz w:val="18"/>
                      <w:szCs w:val="18"/>
                    </w:rPr>
                  </w:pPr>
                  <w:r w:rsidRPr="00512643">
                    <w:rPr>
                      <w:sz w:val="18"/>
                      <w:szCs w:val="18"/>
                    </w:rPr>
                    <w:t>1. január 2010</w:t>
                  </w:r>
                </w:p>
              </w:tc>
            </w:tr>
          </w:tbl>
          <w:p w:rsidR="00873F15" w:rsidP="00873F15">
            <w:pPr>
              <w:pStyle w:val="NormalWeb"/>
              <w:rPr>
                <w:sz w:val="20"/>
                <w:szCs w:val="20"/>
              </w:rPr>
            </w:pPr>
            <w:r w:rsidRPr="00873F15">
              <w:rPr>
                <w:sz w:val="20"/>
                <w:szCs w:val="20"/>
              </w:rPr>
              <w:t>E. Limitná hodnota</w:t>
            </w:r>
          </w:p>
          <w:tbl>
            <w:tblPr>
              <w:tblStyle w:val="TableNormal"/>
              <w:tblW w:w="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1"/>
              <w:gridCol w:w="869"/>
              <w:gridCol w:w="1116"/>
              <w:gridCol w:w="1042"/>
            </w:tblGrid>
            <w:tr w:rsidTr="00031080">
              <w:tblPrEx>
                <w:tblW w:w="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473"/>
              </w:trPr>
              <w:tc>
                <w:tcPr>
                  <w:tcW w:w="931" w:type="dxa"/>
                </w:tcPr>
                <w:p w:rsidR="00031080" w:rsidRPr="00512643" w:rsidP="00031080">
                  <w:pPr>
                    <w:pStyle w:val="NormalWeb"/>
                    <w:rPr>
                      <w:sz w:val="18"/>
                      <w:szCs w:val="18"/>
                    </w:rPr>
                  </w:pPr>
                  <w:r w:rsidRPr="00512643">
                    <w:rPr>
                      <w:sz w:val="18"/>
                      <w:szCs w:val="18"/>
                    </w:rPr>
                    <w:t>Priemerované obdobie</w:t>
                  </w:r>
                </w:p>
                <w:p w:rsidR="00031080" w:rsidRPr="00512643" w:rsidP="00873F15">
                  <w:pPr>
                    <w:pStyle w:val="NormalWeb"/>
                    <w:rPr>
                      <w:sz w:val="18"/>
                      <w:szCs w:val="18"/>
                    </w:rPr>
                  </w:pPr>
                </w:p>
              </w:tc>
              <w:tc>
                <w:tcPr>
                  <w:tcW w:w="869" w:type="dxa"/>
                </w:tcPr>
                <w:p w:rsidR="00031080" w:rsidRPr="00512643" w:rsidP="00031080">
                  <w:pPr>
                    <w:pStyle w:val="NormalWeb"/>
                    <w:rPr>
                      <w:sz w:val="18"/>
                      <w:szCs w:val="18"/>
                    </w:rPr>
                  </w:pPr>
                  <w:r w:rsidRPr="00512643">
                    <w:rPr>
                      <w:sz w:val="18"/>
                      <w:szCs w:val="18"/>
                    </w:rPr>
                    <w:t xml:space="preserve">Limitná hodnota </w:t>
                  </w:r>
                </w:p>
                <w:p w:rsidR="00031080" w:rsidRPr="00512643" w:rsidP="00873F15">
                  <w:pPr>
                    <w:pStyle w:val="NormalWeb"/>
                    <w:rPr>
                      <w:sz w:val="18"/>
                      <w:szCs w:val="18"/>
                    </w:rPr>
                  </w:pPr>
                </w:p>
              </w:tc>
              <w:tc>
                <w:tcPr>
                  <w:tcW w:w="1116" w:type="dxa"/>
                </w:tcPr>
                <w:p w:rsidR="00031080" w:rsidRPr="00512643" w:rsidP="00031080">
                  <w:pPr>
                    <w:pStyle w:val="NormalWeb"/>
                    <w:rPr>
                      <w:sz w:val="18"/>
                      <w:szCs w:val="18"/>
                    </w:rPr>
                  </w:pPr>
                  <w:r w:rsidRPr="00512643">
                    <w:rPr>
                      <w:sz w:val="18"/>
                      <w:szCs w:val="18"/>
                    </w:rPr>
                    <w:t>Medza tolerancie</w:t>
                  </w:r>
                </w:p>
                <w:p w:rsidR="00031080" w:rsidRPr="00512643" w:rsidP="00873F15">
                  <w:pPr>
                    <w:pStyle w:val="NormalWeb"/>
                    <w:rPr>
                      <w:sz w:val="18"/>
                      <w:szCs w:val="18"/>
                    </w:rPr>
                  </w:pPr>
                </w:p>
              </w:tc>
              <w:tc>
                <w:tcPr>
                  <w:tcW w:w="1042" w:type="dxa"/>
                </w:tcPr>
                <w:p w:rsidR="00031080" w:rsidRPr="00512643" w:rsidP="00031080">
                  <w:pPr>
                    <w:pStyle w:val="NormalWeb"/>
                    <w:rPr>
                      <w:sz w:val="18"/>
                      <w:szCs w:val="18"/>
                    </w:rPr>
                  </w:pPr>
                  <w:r w:rsidRPr="00512643">
                    <w:rPr>
                      <w:sz w:val="18"/>
                      <w:szCs w:val="18"/>
                    </w:rPr>
                    <w:t>Dátum, ku ktorému sa má limitná hodnota dosiahnuť</w:t>
                  </w:r>
                </w:p>
                <w:p w:rsidR="00031080" w:rsidRPr="00512643" w:rsidP="00873F15">
                  <w:pPr>
                    <w:pStyle w:val="NormalWeb"/>
                    <w:rPr>
                      <w:sz w:val="18"/>
                      <w:szCs w:val="18"/>
                    </w:rPr>
                  </w:pPr>
                </w:p>
              </w:tc>
            </w:tr>
          </w:tbl>
          <w:p w:rsidR="00873F15" w:rsidP="00873F15">
            <w:pPr>
              <w:pStyle w:val="NormalWeb"/>
              <w:rPr>
                <w:sz w:val="20"/>
                <w:szCs w:val="20"/>
              </w:rPr>
            </w:pPr>
            <w:r w:rsidRPr="00873F15">
              <w:rPr>
                <w:sz w:val="20"/>
                <w:szCs w:val="20"/>
              </w:rPr>
              <w:t>PRVÉ ŠTÁDIUM</w:t>
            </w:r>
          </w:p>
          <w:tbl>
            <w:tblPr>
              <w:tblStyle w:val="TableNormal"/>
              <w:tblpPr w:leftFromText="141" w:rightFromText="141" w:vertAnchor="text" w:horzAnchor="page" w:tblpX="46" w:tblpY="166"/>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gridCol w:w="709"/>
              <w:gridCol w:w="1418"/>
              <w:gridCol w:w="704"/>
            </w:tblGrid>
            <w:tr w:rsidTr="00512643">
              <w:tblPrEx>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455"/>
              </w:trPr>
              <w:tc>
                <w:tcPr>
                  <w:tcW w:w="1129" w:type="dxa"/>
                </w:tcPr>
                <w:p w:rsidR="00031080" w:rsidRPr="00F67990" w:rsidP="00873F15">
                  <w:pPr>
                    <w:pStyle w:val="NormalWeb"/>
                    <w:rPr>
                      <w:rFonts w:ascii="Calibri" w:hAnsi="Calibri"/>
                      <w:sz w:val="18"/>
                      <w:szCs w:val="18"/>
                    </w:rPr>
                  </w:pPr>
                  <w:r w:rsidRPr="00F67990">
                    <w:rPr>
                      <w:rFonts w:ascii="Calibri" w:hAnsi="Calibri"/>
                      <w:sz w:val="18"/>
                      <w:szCs w:val="18"/>
                    </w:rPr>
                    <w:t>Kalendárny rok</w:t>
                  </w:r>
                </w:p>
              </w:tc>
              <w:tc>
                <w:tcPr>
                  <w:tcW w:w="709" w:type="dxa"/>
                </w:tcPr>
                <w:p w:rsidR="00031080" w:rsidRPr="007000A0" w:rsidP="00873F15">
                  <w:pPr>
                    <w:pStyle w:val="NormalWeb"/>
                    <w:rPr>
                      <w:sz w:val="18"/>
                      <w:szCs w:val="18"/>
                    </w:rPr>
                  </w:pPr>
                  <w:r w:rsidRPr="007000A0">
                    <w:rPr>
                      <w:sz w:val="18"/>
                      <w:szCs w:val="18"/>
                    </w:rPr>
                    <w:t>25 μg/m</w:t>
                  </w:r>
                  <w:r w:rsidRPr="007000A0">
                    <w:rPr>
                      <w:sz w:val="18"/>
                      <w:szCs w:val="18"/>
                      <w:vertAlign w:val="superscript"/>
                    </w:rPr>
                    <w:t>3</w:t>
                  </w:r>
                </w:p>
              </w:tc>
              <w:tc>
                <w:tcPr>
                  <w:tcW w:w="1418" w:type="dxa"/>
                </w:tcPr>
                <w:p w:rsidR="00031080" w:rsidRPr="007000A0" w:rsidP="00873F15">
                  <w:pPr>
                    <w:pStyle w:val="NormalWeb"/>
                    <w:rPr>
                      <w:sz w:val="18"/>
                      <w:szCs w:val="18"/>
                    </w:rPr>
                  </w:pPr>
                  <w:r w:rsidRPr="007000A0">
                    <w:rPr>
                      <w:sz w:val="18"/>
                      <w:szCs w:val="18"/>
                    </w:rPr>
                    <w:t xml:space="preserve">K 11. júnu 2008 so znížením k nasledujúcemu 1. januáru a potom každých 12 mesiacov o rovnaké ročné percento až k hodnote 0% k 1. januáru 2015. </w:t>
                  </w:r>
                </w:p>
              </w:tc>
              <w:tc>
                <w:tcPr>
                  <w:tcW w:w="704" w:type="dxa"/>
                </w:tcPr>
                <w:p w:rsidR="00031080" w:rsidRPr="007000A0" w:rsidP="00873F15">
                  <w:pPr>
                    <w:pStyle w:val="NormalWeb"/>
                    <w:rPr>
                      <w:sz w:val="18"/>
                      <w:szCs w:val="18"/>
                    </w:rPr>
                  </w:pPr>
                  <w:r w:rsidRPr="007000A0">
                    <w:rPr>
                      <w:sz w:val="18"/>
                      <w:szCs w:val="18"/>
                    </w:rPr>
                    <w:t>1. január 2015</w:t>
                  </w:r>
                </w:p>
              </w:tc>
            </w:tr>
          </w:tbl>
          <w:p w:rsidR="00873F15" w:rsidP="00873F15">
            <w:pPr>
              <w:pStyle w:val="NormalWeb"/>
              <w:rPr>
                <w:sz w:val="20"/>
                <w:szCs w:val="20"/>
              </w:rPr>
            </w:pPr>
            <w:r w:rsidRPr="00873F15">
              <w:rPr>
                <w:sz w:val="20"/>
                <w:szCs w:val="20"/>
              </w:rPr>
              <w:t>DRUHÉ ŠTÁDIUM (</w:t>
            </w:r>
            <w:r w:rsidRPr="00031080">
              <w:rPr>
                <w:sz w:val="20"/>
                <w:szCs w:val="20"/>
                <w:vertAlign w:val="superscript"/>
              </w:rPr>
              <w:t>1</w:t>
            </w:r>
            <w:r w:rsidRPr="00873F15">
              <w:rPr>
                <w:sz w:val="20"/>
                <w:szCs w:val="20"/>
              </w:rPr>
              <w:t>)</w:t>
            </w:r>
          </w:p>
          <w:tbl>
            <w:tblPr>
              <w:tblStyle w:val="TableNormal"/>
              <w:tblpPr w:leftFromText="141" w:rightFromText="141" w:vertAnchor="text" w:horzAnchor="page" w:tblpX="61"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gridCol w:w="626"/>
              <w:gridCol w:w="855"/>
              <w:gridCol w:w="1275"/>
            </w:tblGrid>
            <w:tr w:rsidTr="007000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675"/>
              </w:trPr>
              <w:tc>
                <w:tcPr>
                  <w:tcW w:w="1129" w:type="dxa"/>
                </w:tcPr>
                <w:p w:rsidR="007000A0" w:rsidRPr="007000A0" w:rsidP="00873F15">
                  <w:pPr>
                    <w:pStyle w:val="NormalWeb"/>
                    <w:rPr>
                      <w:sz w:val="18"/>
                      <w:szCs w:val="18"/>
                    </w:rPr>
                  </w:pPr>
                  <w:r w:rsidRPr="007000A0">
                    <w:rPr>
                      <w:sz w:val="18"/>
                      <w:szCs w:val="18"/>
                    </w:rPr>
                    <w:t>Kalendárny rok</w:t>
                  </w:r>
                </w:p>
              </w:tc>
              <w:tc>
                <w:tcPr>
                  <w:tcW w:w="626" w:type="dxa"/>
                </w:tcPr>
                <w:p w:rsidR="007000A0" w:rsidRPr="007000A0" w:rsidP="00873F15">
                  <w:pPr>
                    <w:pStyle w:val="NormalWeb"/>
                    <w:rPr>
                      <w:sz w:val="18"/>
                      <w:szCs w:val="18"/>
                    </w:rPr>
                  </w:pPr>
                  <w:r w:rsidRPr="007000A0">
                    <w:rPr>
                      <w:sz w:val="18"/>
                      <w:szCs w:val="18"/>
                    </w:rPr>
                    <w:t>20 μg/m</w:t>
                  </w:r>
                  <w:r w:rsidRPr="00337CC7">
                    <w:rPr>
                      <w:sz w:val="18"/>
                      <w:szCs w:val="18"/>
                      <w:vertAlign w:val="superscript"/>
                    </w:rPr>
                    <w:t>3</w:t>
                  </w:r>
                </w:p>
              </w:tc>
              <w:tc>
                <w:tcPr>
                  <w:tcW w:w="855" w:type="dxa"/>
                </w:tcPr>
                <w:p w:rsidR="007000A0" w:rsidRPr="007000A0" w:rsidP="00873F15">
                  <w:pPr>
                    <w:pStyle w:val="NormalWeb"/>
                    <w:rPr>
                      <w:sz w:val="18"/>
                      <w:szCs w:val="18"/>
                    </w:rPr>
                  </w:pPr>
                </w:p>
              </w:tc>
              <w:tc>
                <w:tcPr>
                  <w:tcW w:w="1275" w:type="dxa"/>
                </w:tcPr>
                <w:p w:rsidR="007000A0" w:rsidRPr="007000A0" w:rsidP="00873F15">
                  <w:pPr>
                    <w:pStyle w:val="NormalWeb"/>
                    <w:rPr>
                      <w:sz w:val="18"/>
                      <w:szCs w:val="18"/>
                    </w:rPr>
                  </w:pPr>
                  <w:r w:rsidRPr="007000A0">
                    <w:rPr>
                      <w:sz w:val="18"/>
                      <w:szCs w:val="18"/>
                    </w:rPr>
                    <w:t>1. január 2020</w:t>
                  </w:r>
                </w:p>
              </w:tc>
            </w:tr>
          </w:tbl>
          <w:p w:rsidR="00512643" w:rsidP="00873F15">
            <w:pPr>
              <w:pStyle w:val="NormalWeb"/>
              <w:rPr>
                <w:sz w:val="20"/>
                <w:szCs w:val="20"/>
              </w:rPr>
            </w:pPr>
          </w:p>
          <w:p w:rsidR="00512643" w:rsidRPr="00873F15" w:rsidP="00873F15">
            <w:pPr>
              <w:pStyle w:val="NormalWeb"/>
              <w:rPr>
                <w:sz w:val="20"/>
                <w:szCs w:val="20"/>
              </w:rPr>
            </w:pPr>
          </w:p>
          <w:p w:rsidR="00873F15" w:rsidRPr="007000A0" w:rsidP="00873F15">
            <w:pPr>
              <w:pStyle w:val="NormalWeb"/>
              <w:rPr>
                <w:sz w:val="18"/>
                <w:szCs w:val="18"/>
              </w:rPr>
            </w:pPr>
            <w:r w:rsidRPr="00873F15" w:rsidR="007000A0">
              <w:rPr>
                <w:sz w:val="20"/>
                <w:szCs w:val="20"/>
              </w:rPr>
              <w:t xml:space="preserve"> </w:t>
            </w:r>
            <w:r w:rsidRPr="007000A0">
              <w:rPr>
                <w:sz w:val="20"/>
                <w:szCs w:val="20"/>
                <w:vertAlign w:val="superscript"/>
              </w:rPr>
              <w:t>(1</w:t>
            </w:r>
            <w:r w:rsidRPr="00873F15">
              <w:rPr>
                <w:sz w:val="20"/>
                <w:szCs w:val="20"/>
              </w:rPr>
              <w:t xml:space="preserve">) </w:t>
            </w:r>
            <w:r w:rsidRPr="007000A0">
              <w:rPr>
                <w:sz w:val="18"/>
                <w:szCs w:val="18"/>
              </w:rPr>
              <w:t>Druhé štádium – Komisia preskúma orientačnú limitnú hodnotu v roku 2013 so</w:t>
            </w:r>
          </w:p>
          <w:p w:rsidR="0070455C" w:rsidRPr="00390FC1" w:rsidP="00873F15">
            <w:pPr>
              <w:pStyle w:val="NormalWeb"/>
              <w:rPr>
                <w:sz w:val="20"/>
                <w:szCs w:val="20"/>
              </w:rPr>
            </w:pPr>
            <w:r w:rsidRPr="007000A0" w:rsidR="00873F15">
              <w:rPr>
                <w:sz w:val="18"/>
                <w:szCs w:val="18"/>
              </w:rPr>
              <w:t>zreteľom na ďalšie informácie o vplyvoch na zdravie a životné prostredie, o technickej uskutočniteľnosti a skúsenostiach súvisiacich s cieľovou hodnotou v člen</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6F3CE1">
              <w:rPr>
                <w:sz w:val="20"/>
              </w:rPr>
              <w:t>NV</w:t>
            </w:r>
          </w:p>
        </w:tc>
        <w:tc>
          <w:tcPr>
            <w:tcW w:w="701" w:type="dxa"/>
            <w:tcBorders>
              <w:bottom w:val="single" w:sz="4" w:space="0" w:color="auto"/>
            </w:tcBorders>
          </w:tcPr>
          <w:p w:rsidR="00CB3E7D" w:rsidP="00CB3E7D">
            <w:pPr>
              <w:jc w:val="both"/>
              <w:rPr>
                <w:sz w:val="20"/>
              </w:rPr>
            </w:pPr>
            <w:r>
              <w:rPr>
                <w:sz w:val="20"/>
              </w:rPr>
              <w:t>Príl.</w:t>
            </w:r>
          </w:p>
          <w:p w:rsidR="00CB3E7D" w:rsidP="00CB3E7D">
            <w:pPr>
              <w:jc w:val="both"/>
              <w:rPr>
                <w:sz w:val="20"/>
              </w:rPr>
            </w:pPr>
            <w:r w:rsidR="00C733CC">
              <w:rPr>
                <w:sz w:val="20"/>
              </w:rPr>
              <w:t>4</w:t>
            </w:r>
          </w:p>
          <w:p w:rsidR="005416C3" w:rsidRPr="00390FC1" w:rsidP="00CB3E7D">
            <w:pPr>
              <w:jc w:val="both"/>
              <w:rPr>
                <w:sz w:val="20"/>
              </w:rPr>
            </w:pPr>
            <w:r w:rsidR="009F2669">
              <w:rPr>
                <w:sz w:val="20"/>
              </w:rPr>
              <w:t>A,B,C</w:t>
            </w:r>
          </w:p>
        </w:tc>
        <w:tc>
          <w:tcPr>
            <w:tcW w:w="7797" w:type="dxa"/>
            <w:tcBorders>
              <w:bottom w:val="single" w:sz="4" w:space="0" w:color="auto"/>
            </w:tcBorders>
          </w:tcPr>
          <w:p w:rsidR="009F2669" w:rsidRPr="009F2669" w:rsidP="009F2669">
            <w:pPr>
              <w:pStyle w:val="Heading1"/>
              <w:spacing w:before="240"/>
              <w:contextualSpacing/>
              <w:rPr>
                <w:b w:val="0"/>
                <w:sz w:val="20"/>
                <w:lang w:eastAsia="sk-SK"/>
              </w:rPr>
            </w:pPr>
            <w:r w:rsidRPr="009F2669">
              <w:rPr>
                <w:b w:val="0"/>
                <w:sz w:val="20"/>
                <w:lang w:eastAsia="sk-SK"/>
              </w:rPr>
              <w:t>INDIKÁTOR  PRIEMERNEJ  EXPOZÍCIE,</w:t>
            </w:r>
          </w:p>
          <w:p w:rsidR="009F2669" w:rsidRPr="009F2669" w:rsidP="009F2669">
            <w:pPr>
              <w:pStyle w:val="Heading1"/>
              <w:spacing w:before="240"/>
              <w:contextualSpacing/>
              <w:rPr>
                <w:b w:val="0"/>
                <w:sz w:val="20"/>
                <w:lang w:eastAsia="sk-SK"/>
              </w:rPr>
            </w:pPr>
            <w:r w:rsidRPr="009F2669">
              <w:rPr>
                <w:b w:val="0"/>
                <w:sz w:val="20"/>
                <w:lang w:eastAsia="sk-SK"/>
              </w:rPr>
              <w:t xml:space="preserve">NÁRODNÝ  CIEĽ  ZNÍŽENIA EXPOZÍCIE A  </w:t>
            </w:r>
          </w:p>
          <w:p w:rsidR="009F2669" w:rsidRPr="009F2669" w:rsidP="009F2669">
            <w:pPr>
              <w:pStyle w:val="Heading1"/>
              <w:spacing w:before="240"/>
              <w:contextualSpacing/>
              <w:rPr>
                <w:b w:val="0"/>
                <w:sz w:val="20"/>
                <w:lang w:eastAsia="sk-SK"/>
              </w:rPr>
            </w:pPr>
            <w:r w:rsidRPr="009F2669">
              <w:rPr>
                <w:b w:val="0"/>
                <w:sz w:val="20"/>
                <w:lang w:eastAsia="sk-SK"/>
              </w:rPr>
              <w:t>ZÁVÄZOK  ZNÍŽENIA  KONCENTRÁCIE EXPOZÍCIE PRE PM</w:t>
            </w:r>
            <w:r w:rsidRPr="008908DA">
              <w:rPr>
                <w:b w:val="0"/>
                <w:sz w:val="20"/>
                <w:vertAlign w:val="subscript"/>
                <w:lang w:eastAsia="sk-SK"/>
              </w:rPr>
              <w:t>2,5</w:t>
            </w:r>
          </w:p>
          <w:p w:rsidR="009F2669" w:rsidRPr="009F2669" w:rsidP="009F2669">
            <w:pPr>
              <w:keepNext/>
              <w:keepLines/>
              <w:contextualSpacing/>
              <w:rPr>
                <w:sz w:val="20"/>
                <w:lang w:eastAsia="sk-SK"/>
              </w:rPr>
            </w:pPr>
          </w:p>
          <w:p w:rsidR="009F2669" w:rsidRPr="009F2669" w:rsidP="009F2669">
            <w:pPr>
              <w:pStyle w:val="NormalWeb"/>
              <w:keepNext/>
              <w:keepLines/>
              <w:numPr>
                <w:ilvl w:val="0"/>
                <w:numId w:val="11"/>
              </w:numPr>
              <w:spacing w:before="0" w:beforeAutospacing="0" w:after="120" w:afterAutospacing="0"/>
              <w:ind w:left="284" w:hanging="284"/>
              <w:jc w:val="both"/>
              <w:rPr>
                <w:sz w:val="20"/>
                <w:szCs w:val="20"/>
              </w:rPr>
            </w:pPr>
            <w:r w:rsidRPr="009F2669">
              <w:rPr>
                <w:sz w:val="20"/>
                <w:szCs w:val="20"/>
              </w:rPr>
              <w:t>Indikátor priemernej expozície pre PM</w:t>
            </w:r>
            <w:r w:rsidRPr="008908DA">
              <w:rPr>
                <w:sz w:val="20"/>
                <w:szCs w:val="20"/>
                <w:vertAlign w:val="subscript"/>
              </w:rPr>
              <w:t>2,5</w:t>
            </w:r>
          </w:p>
          <w:p w:rsidR="009F2669" w:rsidP="009F2669">
            <w:pPr>
              <w:pStyle w:val="NormalWeb"/>
              <w:keepLines/>
              <w:spacing w:before="0" w:beforeAutospacing="0" w:after="0" w:afterAutospacing="0"/>
              <w:contextualSpacing/>
              <w:rPr>
                <w:sz w:val="20"/>
                <w:szCs w:val="20"/>
              </w:rPr>
            </w:pPr>
            <w:r w:rsidRPr="009F2669">
              <w:rPr>
                <w:sz w:val="20"/>
                <w:szCs w:val="20"/>
              </w:rPr>
              <w:t>Indikátor priemernej expozície vyjadrený v µg/m</w:t>
            </w:r>
            <w:r w:rsidRPr="008908DA">
              <w:rPr>
                <w:sz w:val="20"/>
                <w:szCs w:val="20"/>
                <w:vertAlign w:val="superscript"/>
              </w:rPr>
              <w:t>3</w:t>
            </w:r>
            <w:r w:rsidRPr="009F2669">
              <w:rPr>
                <w:sz w:val="20"/>
                <w:szCs w:val="20"/>
              </w:rPr>
              <w:t xml:space="preserve"> sa zakladá na meraniach na mestských pozaďových miestach v zónach a v aglomeráciách na celom území Slovenskej republiky. Hodnotí sa ako nepretržitá ročná stredná hodnota koncentrácie z troch kalendárnych rokov spriemerovaná za všetky vzorkovacie miesta určené podľa prílohy č. 9 prvej časti bod B.</w:t>
            </w: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23009A"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EE599F" w:rsidP="009F2669">
            <w:pPr>
              <w:pStyle w:val="NormalWeb"/>
              <w:keepLines/>
              <w:spacing w:before="0" w:beforeAutospacing="0" w:after="0" w:afterAutospacing="0"/>
              <w:contextualSpacing/>
              <w:rPr>
                <w:sz w:val="20"/>
                <w:szCs w:val="20"/>
              </w:rPr>
            </w:pPr>
          </w:p>
          <w:p w:rsidR="009F2669" w:rsidRPr="009F2669" w:rsidP="009F2669">
            <w:pPr>
              <w:pStyle w:val="NormalWeb"/>
              <w:keepLines/>
              <w:spacing w:before="0" w:beforeAutospacing="0" w:after="0" w:afterAutospacing="0"/>
              <w:contextualSpacing/>
              <w:rPr>
                <w:sz w:val="20"/>
                <w:szCs w:val="20"/>
              </w:rPr>
            </w:pPr>
          </w:p>
          <w:p w:rsidR="009F2669" w:rsidRPr="009F2669" w:rsidP="009F2669">
            <w:pPr>
              <w:pStyle w:val="NormalWeb"/>
              <w:keepNext/>
              <w:keepLines/>
              <w:numPr>
                <w:ilvl w:val="0"/>
                <w:numId w:val="11"/>
              </w:numPr>
              <w:spacing w:before="0" w:beforeAutospacing="0" w:after="240" w:afterAutospacing="0"/>
              <w:ind w:left="284" w:hanging="284"/>
              <w:jc w:val="both"/>
              <w:rPr>
                <w:sz w:val="20"/>
                <w:szCs w:val="20"/>
              </w:rPr>
            </w:pPr>
            <w:r w:rsidRPr="009F2669">
              <w:rPr>
                <w:sz w:val="20"/>
                <w:szCs w:val="20"/>
              </w:rPr>
              <w:t>Národný cieľ zníženia expozície pre PM</w:t>
            </w:r>
            <w:r w:rsidRPr="008908DA">
              <w:rPr>
                <w:sz w:val="20"/>
                <w:szCs w:val="20"/>
                <w:vertAlign w:val="subscript"/>
              </w:rPr>
              <w:t>2,5</w:t>
            </w:r>
          </w:p>
          <w:tbl>
            <w:tblPr>
              <w:tblStyle w:val="TableNormal"/>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5173"/>
            </w:tblGrid>
            <w:tr w:rsidTr="009F2669">
              <w:tblPrEx>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78"/>
              </w:trPr>
              <w:tc>
                <w:tcPr>
                  <w:tcW w:w="7621" w:type="dxa"/>
                  <w:gridSpan w:val="2"/>
                  <w:vAlign w:val="center"/>
                </w:tcPr>
                <w:p w:rsidR="009F2669" w:rsidRPr="007B57C0" w:rsidP="009F2669">
                  <w:pPr>
                    <w:pStyle w:val="NormalWeb"/>
                    <w:keepLines/>
                    <w:spacing w:before="0" w:beforeAutospacing="0" w:after="0" w:afterAutospacing="0"/>
                    <w:contextualSpacing/>
                    <w:rPr>
                      <w:sz w:val="20"/>
                      <w:szCs w:val="20"/>
                    </w:rPr>
                  </w:pPr>
                  <w:r w:rsidRPr="007B57C0">
                    <w:rPr>
                      <w:sz w:val="20"/>
                      <w:szCs w:val="20"/>
                    </w:rPr>
                    <w:t>Cieľ zníženia expozície stanovený na rok 2020 a ďalšie roky</w:t>
                  </w:r>
                </w:p>
                <w:p w:rsidR="009F2669" w:rsidRPr="009F2669" w:rsidP="009F2669">
                  <w:pPr>
                    <w:shd w:val="clear" w:color="auto" w:fill="FFFFFF"/>
                    <w:spacing w:after="160"/>
                    <w:ind w:firstLine="708"/>
                    <w:rPr>
                      <w:sz w:val="20"/>
                      <w:lang w:eastAsia="sk-SK"/>
                    </w:rPr>
                  </w:pPr>
                  <w:r w:rsidRPr="009F2669">
                    <w:rPr>
                      <w:sz w:val="20"/>
                      <w:lang w:eastAsia="sk-SK"/>
                    </w:rPr>
                    <w:t>určený na základe hodnoty indikátora priemernej expozície v roku 2010 v µg/m</w:t>
                  </w:r>
                  <w:r w:rsidRPr="008908DA">
                    <w:rPr>
                      <w:sz w:val="20"/>
                      <w:vertAlign w:val="superscript"/>
                      <w:lang w:eastAsia="sk-SK"/>
                    </w:rPr>
                    <w:t>3</w:t>
                  </w:r>
                </w:p>
                <w:p w:rsidR="009F2669" w:rsidRPr="009F2669" w:rsidP="009F2669">
                  <w:pPr>
                    <w:pStyle w:val="NormalWeb"/>
                    <w:keepLines/>
                    <w:spacing w:before="0" w:beforeAutospacing="0" w:after="0" w:afterAutospacing="0"/>
                    <w:contextualSpacing/>
                    <w:rPr>
                      <w:sz w:val="20"/>
                      <w:szCs w:val="20"/>
                    </w:rPr>
                  </w:pPr>
                </w:p>
              </w:tc>
            </w:tr>
            <w:tr w:rsidTr="009F2669">
              <w:tblPrEx>
                <w:tblW w:w="7621" w:type="dxa"/>
                <w:tblLayout w:type="fixed"/>
                <w:tblLook w:val="01E0"/>
              </w:tblPrEx>
              <w:trPr>
                <w:trHeight w:val="423"/>
              </w:trPr>
              <w:tc>
                <w:tcPr>
                  <w:tcW w:w="2448" w:type="dxa"/>
                  <w:vAlign w:val="center"/>
                </w:tcPr>
                <w:p w:rsidR="009F2669" w:rsidRPr="007B57C0" w:rsidP="009F2669">
                  <w:pPr>
                    <w:pStyle w:val="NormalWeb"/>
                    <w:keepLines/>
                    <w:spacing w:before="0" w:beforeAutospacing="0" w:after="0" w:afterAutospacing="0"/>
                    <w:contextualSpacing/>
                    <w:jc w:val="center"/>
                    <w:rPr>
                      <w:sz w:val="20"/>
                      <w:szCs w:val="20"/>
                    </w:rPr>
                  </w:pPr>
                  <w:r w:rsidRPr="007B57C0">
                    <w:rPr>
                      <w:sz w:val="20"/>
                      <w:szCs w:val="20"/>
                    </w:rPr>
                    <w:t>Počiatočný indikátor</w:t>
                  </w:r>
                </w:p>
                <w:p w:rsidR="009F2669" w:rsidRPr="009F2669" w:rsidP="009F2669">
                  <w:pPr>
                    <w:pStyle w:val="NormalWeb"/>
                    <w:keepLines/>
                    <w:spacing w:before="0" w:beforeAutospacing="0" w:after="0" w:afterAutospacing="0"/>
                    <w:contextualSpacing/>
                    <w:jc w:val="center"/>
                    <w:rPr>
                      <w:sz w:val="20"/>
                      <w:szCs w:val="20"/>
                    </w:rPr>
                  </w:pPr>
                  <w:r w:rsidRPr="007B57C0">
                    <w:rPr>
                      <w:sz w:val="20"/>
                      <w:szCs w:val="20"/>
                    </w:rPr>
                    <w:t>priemernej expozície v µg/m</w:t>
                  </w:r>
                  <w:r w:rsidRPr="008908DA">
                    <w:rPr>
                      <w:sz w:val="20"/>
                      <w:szCs w:val="20"/>
                      <w:vertAlign w:val="superscript"/>
                    </w:rPr>
                    <w:t>3</w:t>
                  </w:r>
                </w:p>
              </w:tc>
              <w:tc>
                <w:tcPr>
                  <w:tcW w:w="5173" w:type="dxa"/>
                  <w:vAlign w:val="center"/>
                </w:tcPr>
                <w:p w:rsidR="009F2669" w:rsidRPr="009F2669" w:rsidP="009F2669">
                  <w:pPr>
                    <w:pStyle w:val="NormalWeb"/>
                    <w:keepLines/>
                    <w:spacing w:before="0" w:beforeAutospacing="0" w:after="0" w:afterAutospacing="0"/>
                    <w:contextualSpacing/>
                    <w:jc w:val="center"/>
                    <w:rPr>
                      <w:sz w:val="20"/>
                      <w:szCs w:val="20"/>
                    </w:rPr>
                  </w:pPr>
                  <w:r w:rsidRPr="007B57C0">
                    <w:rPr>
                      <w:sz w:val="20"/>
                      <w:szCs w:val="20"/>
                    </w:rPr>
                    <w:t>Cieľ zníženia</w:t>
                  </w:r>
                </w:p>
              </w:tc>
            </w:tr>
            <w:tr w:rsidTr="009F2669">
              <w:tblPrEx>
                <w:tblW w:w="7621" w:type="dxa"/>
                <w:tblLayout w:type="fixed"/>
                <w:tblLook w:val="01E0"/>
              </w:tblPrEx>
              <w:trPr>
                <w:trHeight w:val="292"/>
              </w:trPr>
              <w:tc>
                <w:tcPr>
                  <w:tcW w:w="2448" w:type="dxa"/>
                  <w:vAlign w:val="center"/>
                </w:tcPr>
                <w:p w:rsidR="009F2669" w:rsidRPr="007B57C0" w:rsidP="009F2669">
                  <w:pPr>
                    <w:pStyle w:val="NormalWeb"/>
                    <w:keepLines/>
                    <w:spacing w:before="0" w:beforeAutospacing="0" w:after="0" w:afterAutospacing="0"/>
                    <w:ind w:left="176"/>
                    <w:contextualSpacing/>
                    <w:jc w:val="center"/>
                    <w:rPr>
                      <w:sz w:val="20"/>
                      <w:szCs w:val="20"/>
                    </w:rPr>
                  </w:pPr>
                  <w:r w:rsidRPr="007B57C0">
                    <w:rPr>
                      <w:sz w:val="20"/>
                      <w:szCs w:val="20"/>
                    </w:rPr>
                    <w:t>≤ 8,5</w:t>
                  </w:r>
                </w:p>
              </w:tc>
              <w:tc>
                <w:tcPr>
                  <w:tcW w:w="5173" w:type="dxa"/>
                  <w:vAlign w:val="center"/>
                </w:tcPr>
                <w:p w:rsidR="009F2669" w:rsidRPr="009F2669" w:rsidP="009F2669">
                  <w:pPr>
                    <w:pStyle w:val="NormalWeb"/>
                    <w:keepLines/>
                    <w:spacing w:before="0" w:beforeAutospacing="0" w:after="0" w:afterAutospacing="0"/>
                    <w:ind w:left="191"/>
                    <w:contextualSpacing/>
                    <w:jc w:val="center"/>
                    <w:rPr>
                      <w:sz w:val="20"/>
                      <w:szCs w:val="20"/>
                    </w:rPr>
                  </w:pPr>
                  <w:r w:rsidRPr="007B57C0">
                    <w:rPr>
                      <w:sz w:val="20"/>
                      <w:szCs w:val="20"/>
                    </w:rPr>
                    <w:t>0 %</w:t>
                  </w:r>
                </w:p>
              </w:tc>
            </w:tr>
            <w:tr w:rsidTr="009F2669">
              <w:tblPrEx>
                <w:tblW w:w="7621" w:type="dxa"/>
                <w:tblLayout w:type="fixed"/>
                <w:tblLook w:val="01E0"/>
              </w:tblPrEx>
              <w:trPr>
                <w:trHeight w:val="373"/>
              </w:trPr>
              <w:tc>
                <w:tcPr>
                  <w:tcW w:w="2448" w:type="dxa"/>
                  <w:vAlign w:val="center"/>
                </w:tcPr>
                <w:p w:rsidR="009F2669" w:rsidRPr="007B57C0" w:rsidP="009F2669">
                  <w:pPr>
                    <w:pStyle w:val="NormalWeb"/>
                    <w:keepLines/>
                    <w:spacing w:before="0" w:beforeAutospacing="0" w:after="0" w:afterAutospacing="0"/>
                    <w:ind w:left="176"/>
                    <w:contextualSpacing/>
                    <w:jc w:val="center"/>
                    <w:rPr>
                      <w:sz w:val="20"/>
                      <w:szCs w:val="20"/>
                    </w:rPr>
                  </w:pPr>
                  <w:r w:rsidRPr="007B57C0">
                    <w:rPr>
                      <w:sz w:val="20"/>
                      <w:szCs w:val="20"/>
                    </w:rPr>
                    <w:t>&gt; 8,5 – &lt; 13</w:t>
                  </w:r>
                </w:p>
              </w:tc>
              <w:tc>
                <w:tcPr>
                  <w:tcW w:w="5173" w:type="dxa"/>
                  <w:vAlign w:val="center"/>
                </w:tcPr>
                <w:p w:rsidR="009F2669" w:rsidRPr="009F2669" w:rsidP="009F2669">
                  <w:pPr>
                    <w:pStyle w:val="NormalWeb"/>
                    <w:keepLines/>
                    <w:spacing w:before="0" w:beforeAutospacing="0" w:after="0" w:afterAutospacing="0"/>
                    <w:ind w:left="191"/>
                    <w:contextualSpacing/>
                    <w:jc w:val="center"/>
                    <w:rPr>
                      <w:sz w:val="20"/>
                      <w:szCs w:val="20"/>
                    </w:rPr>
                  </w:pPr>
                  <w:r w:rsidRPr="007B57C0">
                    <w:rPr>
                      <w:sz w:val="20"/>
                      <w:szCs w:val="20"/>
                    </w:rPr>
                    <w:t>10 %</w:t>
                  </w:r>
                </w:p>
              </w:tc>
            </w:tr>
            <w:tr w:rsidTr="009F2669">
              <w:tblPrEx>
                <w:tblW w:w="7621" w:type="dxa"/>
                <w:tblLayout w:type="fixed"/>
                <w:tblLook w:val="01E0"/>
              </w:tblPrEx>
              <w:trPr>
                <w:trHeight w:val="379"/>
              </w:trPr>
              <w:tc>
                <w:tcPr>
                  <w:tcW w:w="2448" w:type="dxa"/>
                  <w:vAlign w:val="center"/>
                </w:tcPr>
                <w:p w:rsidR="009F2669" w:rsidRPr="007B57C0" w:rsidP="009F2669">
                  <w:pPr>
                    <w:pStyle w:val="NormalWeb"/>
                    <w:keepLines/>
                    <w:spacing w:before="0" w:beforeAutospacing="0" w:after="0" w:afterAutospacing="0"/>
                    <w:ind w:left="176"/>
                    <w:contextualSpacing/>
                    <w:jc w:val="center"/>
                    <w:rPr>
                      <w:sz w:val="20"/>
                      <w:szCs w:val="20"/>
                    </w:rPr>
                  </w:pPr>
                  <w:r w:rsidRPr="007B57C0">
                    <w:rPr>
                      <w:sz w:val="20"/>
                      <w:szCs w:val="20"/>
                    </w:rPr>
                    <w:t>= 13 – &lt; 18</w:t>
                  </w:r>
                </w:p>
              </w:tc>
              <w:tc>
                <w:tcPr>
                  <w:tcW w:w="5173" w:type="dxa"/>
                  <w:vAlign w:val="center"/>
                </w:tcPr>
                <w:p w:rsidR="009F2669" w:rsidRPr="009F2669" w:rsidP="009F2669">
                  <w:pPr>
                    <w:pStyle w:val="NormalWeb"/>
                    <w:keepLines/>
                    <w:spacing w:before="0" w:beforeAutospacing="0" w:after="0" w:afterAutospacing="0"/>
                    <w:ind w:left="191"/>
                    <w:contextualSpacing/>
                    <w:jc w:val="center"/>
                    <w:rPr>
                      <w:sz w:val="20"/>
                      <w:szCs w:val="20"/>
                    </w:rPr>
                  </w:pPr>
                  <w:r w:rsidRPr="007B57C0">
                    <w:rPr>
                      <w:sz w:val="20"/>
                      <w:szCs w:val="20"/>
                    </w:rPr>
                    <w:t>15 %</w:t>
                  </w:r>
                </w:p>
              </w:tc>
            </w:tr>
            <w:tr w:rsidTr="009F2669">
              <w:tblPrEx>
                <w:tblW w:w="7621" w:type="dxa"/>
                <w:tblLayout w:type="fixed"/>
                <w:tblLook w:val="01E0"/>
              </w:tblPrEx>
              <w:trPr>
                <w:trHeight w:val="386"/>
              </w:trPr>
              <w:tc>
                <w:tcPr>
                  <w:tcW w:w="2448" w:type="dxa"/>
                  <w:vAlign w:val="center"/>
                </w:tcPr>
                <w:p w:rsidR="009F2669" w:rsidRPr="007B57C0" w:rsidP="009F2669">
                  <w:pPr>
                    <w:pStyle w:val="NormalWeb"/>
                    <w:keepLines/>
                    <w:spacing w:before="0" w:beforeAutospacing="0" w:after="0" w:afterAutospacing="0"/>
                    <w:ind w:left="176"/>
                    <w:contextualSpacing/>
                    <w:jc w:val="center"/>
                    <w:rPr>
                      <w:sz w:val="20"/>
                      <w:szCs w:val="20"/>
                    </w:rPr>
                  </w:pPr>
                  <w:r w:rsidRPr="007B57C0">
                    <w:rPr>
                      <w:sz w:val="20"/>
                      <w:szCs w:val="20"/>
                    </w:rPr>
                    <w:t>= 18 – &lt; 22</w:t>
                  </w:r>
                </w:p>
              </w:tc>
              <w:tc>
                <w:tcPr>
                  <w:tcW w:w="5173" w:type="dxa"/>
                  <w:vAlign w:val="center"/>
                </w:tcPr>
                <w:p w:rsidR="009F2669" w:rsidRPr="009F2669" w:rsidP="009F2669">
                  <w:pPr>
                    <w:pStyle w:val="NormalWeb"/>
                    <w:keepLines/>
                    <w:spacing w:before="0" w:beforeAutospacing="0" w:after="0" w:afterAutospacing="0"/>
                    <w:ind w:left="191"/>
                    <w:contextualSpacing/>
                    <w:jc w:val="center"/>
                    <w:rPr>
                      <w:sz w:val="20"/>
                      <w:szCs w:val="20"/>
                    </w:rPr>
                  </w:pPr>
                  <w:r w:rsidRPr="007B57C0">
                    <w:rPr>
                      <w:sz w:val="20"/>
                      <w:szCs w:val="20"/>
                    </w:rPr>
                    <w:t>20 %</w:t>
                  </w:r>
                </w:p>
              </w:tc>
            </w:tr>
            <w:tr w:rsidTr="009F2669">
              <w:tblPrEx>
                <w:tblW w:w="7621" w:type="dxa"/>
                <w:tblLayout w:type="fixed"/>
                <w:tblLook w:val="01E0"/>
              </w:tblPrEx>
              <w:trPr>
                <w:trHeight w:val="378"/>
              </w:trPr>
              <w:tc>
                <w:tcPr>
                  <w:tcW w:w="2448" w:type="dxa"/>
                  <w:vAlign w:val="center"/>
                </w:tcPr>
                <w:p w:rsidR="009F2669" w:rsidRPr="009F2669" w:rsidP="009F2669">
                  <w:pPr>
                    <w:pStyle w:val="NormalWeb"/>
                    <w:keepLines/>
                    <w:spacing w:before="0" w:beforeAutospacing="0" w:after="0" w:afterAutospacing="0"/>
                    <w:ind w:left="176"/>
                    <w:contextualSpacing/>
                    <w:jc w:val="center"/>
                    <w:rPr>
                      <w:sz w:val="20"/>
                      <w:szCs w:val="20"/>
                    </w:rPr>
                  </w:pPr>
                  <w:r w:rsidRPr="007B57C0">
                    <w:rPr>
                      <w:sz w:val="20"/>
                      <w:szCs w:val="20"/>
                    </w:rPr>
                    <w:t>≥ 22</w:t>
                  </w:r>
                </w:p>
              </w:tc>
              <w:tc>
                <w:tcPr>
                  <w:tcW w:w="5173" w:type="dxa"/>
                  <w:vAlign w:val="center"/>
                </w:tcPr>
                <w:p w:rsidR="009F2669" w:rsidRPr="009F2669" w:rsidP="009F2669">
                  <w:pPr>
                    <w:pStyle w:val="NormalWeb"/>
                    <w:keepLines/>
                    <w:spacing w:before="0" w:beforeAutospacing="0" w:after="0" w:afterAutospacing="0"/>
                    <w:contextualSpacing/>
                    <w:jc w:val="center"/>
                    <w:rPr>
                      <w:sz w:val="20"/>
                      <w:szCs w:val="20"/>
                    </w:rPr>
                  </w:pPr>
                  <w:r w:rsidRPr="007B57C0">
                    <w:rPr>
                      <w:sz w:val="20"/>
                      <w:szCs w:val="20"/>
                    </w:rPr>
                    <w:t>Všetky vhodné opatrenia na dosiahnutie 18 μg/m</w:t>
                  </w:r>
                  <w:r w:rsidRPr="008908DA">
                    <w:rPr>
                      <w:sz w:val="20"/>
                      <w:szCs w:val="20"/>
                      <w:vertAlign w:val="superscript"/>
                    </w:rPr>
                    <w:t>3</w:t>
                  </w:r>
                </w:p>
              </w:tc>
            </w:tr>
          </w:tbl>
          <w:p w:rsidR="009F2669" w:rsidRPr="007B57C0" w:rsidP="009F2669">
            <w:pPr>
              <w:pStyle w:val="NormalWeb"/>
              <w:keepLines/>
              <w:spacing w:before="0" w:beforeAutospacing="0" w:after="0" w:afterAutospacing="0"/>
              <w:contextualSpacing/>
              <w:rPr>
                <w:sz w:val="20"/>
                <w:szCs w:val="20"/>
              </w:rPr>
            </w:pPr>
          </w:p>
          <w:p w:rsidR="009F2669" w:rsidRPr="009F2669" w:rsidP="009F2669">
            <w:pPr>
              <w:pStyle w:val="NormalWeb"/>
              <w:keepLines/>
              <w:spacing w:before="0" w:beforeAutospacing="0" w:after="0" w:afterAutospacing="0"/>
              <w:contextualSpacing/>
              <w:rPr>
                <w:sz w:val="20"/>
                <w:szCs w:val="20"/>
              </w:rPr>
            </w:pPr>
            <w:r w:rsidRPr="009F2669">
              <w:rPr>
                <w:sz w:val="20"/>
                <w:szCs w:val="20"/>
              </w:rPr>
              <w:t>Ak je indikátor priemernej expozície v referenčnom roku 8,5 µg/m</w:t>
            </w:r>
            <w:r w:rsidRPr="008908DA">
              <w:rPr>
                <w:sz w:val="20"/>
                <w:szCs w:val="20"/>
                <w:vertAlign w:val="superscript"/>
              </w:rPr>
              <w:t>3</w:t>
            </w:r>
            <w:r w:rsidRPr="009F2669">
              <w:rPr>
                <w:sz w:val="20"/>
                <w:szCs w:val="20"/>
              </w:rPr>
              <w:t xml:space="preserve"> alebo menej, cieľ zníženia expozície sa rovná nule. Cieľ zníženia expozície sa rovná nule aj vtedy, ak indikátor priemernej expozície dosiahne v ktorejkoľvek dobe počas obdobia od roku 2010 do roku 2020 úroveň 8,5 µg/m3 a udrží sa na tejto úrovni alebo nižšie.</w:t>
            </w:r>
          </w:p>
          <w:p w:rsidR="009F2669" w:rsidRPr="009F2669"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755E48" w:rsidP="009F2669">
            <w:pPr>
              <w:pStyle w:val="NormalWeb"/>
              <w:keepLines/>
              <w:spacing w:before="0" w:beforeAutospacing="0" w:after="0" w:afterAutospacing="0"/>
              <w:contextualSpacing/>
              <w:rPr>
                <w:sz w:val="20"/>
                <w:szCs w:val="20"/>
              </w:rPr>
            </w:pPr>
          </w:p>
          <w:p w:rsidR="009F2669" w:rsidRPr="009F2669" w:rsidP="009F2669">
            <w:pPr>
              <w:pStyle w:val="NormalWeb"/>
              <w:keepLines/>
              <w:spacing w:before="0" w:beforeAutospacing="0" w:after="0" w:afterAutospacing="0"/>
              <w:contextualSpacing/>
              <w:rPr>
                <w:sz w:val="20"/>
                <w:szCs w:val="20"/>
              </w:rPr>
            </w:pPr>
            <w:r w:rsidRPr="009F2669">
              <w:rPr>
                <w:sz w:val="20"/>
                <w:szCs w:val="20"/>
              </w:rPr>
              <w:t>C. Záväzok zníženia koncentrácie expozície pre PM</w:t>
            </w:r>
            <w:r w:rsidRPr="008908DA">
              <w:rPr>
                <w:sz w:val="20"/>
                <w:szCs w:val="20"/>
                <w:vertAlign w:val="subscript"/>
              </w:rPr>
              <w:t>2,5</w:t>
            </w:r>
          </w:p>
          <w:p w:rsidR="009F2669" w:rsidRPr="009F2669" w:rsidP="009F2669">
            <w:pPr>
              <w:pStyle w:val="NormalWeb"/>
              <w:keepLines/>
              <w:spacing w:before="0" w:beforeAutospacing="0" w:after="0" w:afterAutospacing="0"/>
              <w:contextualSpacing/>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9"/>
              <w:gridCol w:w="2495"/>
            </w:tblGrid>
            <w:tr w:rsidTr="00B07D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4"/>
              </w:trPr>
              <w:tc>
                <w:tcPr>
                  <w:tcW w:w="5089" w:type="dxa"/>
                  <w:shd w:val="clear" w:color="auto" w:fill="auto"/>
                  <w:vAlign w:val="center"/>
                </w:tcPr>
                <w:p w:rsidR="009F2669" w:rsidRPr="00B07D85" w:rsidP="00B07D85">
                  <w:pPr>
                    <w:pStyle w:val="NormalWeb"/>
                    <w:keepLines/>
                    <w:spacing w:before="0" w:beforeAutospacing="0" w:after="0" w:afterAutospacing="0"/>
                    <w:contextualSpacing/>
                    <w:rPr>
                      <w:sz w:val="20"/>
                      <w:szCs w:val="20"/>
                    </w:rPr>
                  </w:pPr>
                  <w:r w:rsidRPr="00B07D85">
                    <w:rPr>
                      <w:sz w:val="20"/>
                      <w:szCs w:val="20"/>
                    </w:rPr>
                    <w:t>Záväzok zníženia expozície platný od roku 2015</w:t>
                  </w:r>
                </w:p>
              </w:tc>
              <w:tc>
                <w:tcPr>
                  <w:tcW w:w="2495" w:type="dxa"/>
                  <w:shd w:val="clear" w:color="auto" w:fill="auto"/>
                  <w:vAlign w:val="center"/>
                </w:tcPr>
                <w:p w:rsidR="009F2669" w:rsidRPr="00B07D85" w:rsidP="00B07D85">
                  <w:pPr>
                    <w:pStyle w:val="NormalWeb"/>
                    <w:keepLines/>
                    <w:spacing w:before="0" w:beforeAutospacing="0" w:after="0" w:afterAutospacing="0"/>
                    <w:contextualSpacing/>
                    <w:jc w:val="center"/>
                    <w:rPr>
                      <w:sz w:val="20"/>
                      <w:szCs w:val="20"/>
                    </w:rPr>
                  </w:pPr>
                  <w:r w:rsidRPr="00B07D85">
                    <w:rPr>
                      <w:sz w:val="20"/>
                      <w:szCs w:val="20"/>
                    </w:rPr>
                    <w:t>20 µg/m</w:t>
                  </w:r>
                  <w:r w:rsidRPr="008908DA">
                    <w:rPr>
                      <w:sz w:val="20"/>
                      <w:szCs w:val="20"/>
                      <w:vertAlign w:val="superscript"/>
                    </w:rPr>
                    <w:t>3</w:t>
                  </w:r>
                </w:p>
              </w:tc>
            </w:tr>
          </w:tbl>
          <w:p w:rsidR="009F2669" w:rsidRPr="009F2669" w:rsidP="009F2669">
            <w:pPr>
              <w:keepNext/>
              <w:keepLines/>
              <w:rPr>
                <w:sz w:val="20"/>
                <w:lang w:eastAsia="sk-SK"/>
              </w:rPr>
            </w:pPr>
          </w:p>
          <w:p w:rsidR="009F2669" w:rsidRPr="009F2669" w:rsidP="009F2669">
            <w:pPr>
              <w:keepNext/>
              <w:keepLines/>
              <w:rPr>
                <w:sz w:val="20"/>
                <w:lang w:eastAsia="sk-SK"/>
              </w:rPr>
            </w:pPr>
          </w:p>
          <w:p w:rsidR="009F2669" w:rsidRPr="009F2669" w:rsidP="009F2669">
            <w:pPr>
              <w:rPr>
                <w:sz w:val="20"/>
                <w:lang w:eastAsia="sk-SK"/>
              </w:rPr>
            </w:pPr>
            <w:r w:rsidRPr="009F2669">
              <w:rPr>
                <w:sz w:val="20"/>
                <w:lang w:eastAsia="sk-SK"/>
              </w:rPr>
              <w:br w:type="page"/>
            </w:r>
          </w:p>
          <w:p w:rsidR="00020A83" w:rsidRPr="006A0BA8" w:rsidP="00CB3E7D">
            <w:pPr>
              <w:pStyle w:val="NormalWeb"/>
              <w:jc w:val="both"/>
              <w:rPr>
                <w:sz w:val="20"/>
                <w:szCs w:val="20"/>
              </w:rPr>
            </w:pPr>
          </w:p>
          <w:p w:rsidR="00CB3E7D" w:rsidRPr="009F2669" w:rsidP="00CB3E7D">
            <w:pPr>
              <w:tabs>
                <w:tab w:val="left" w:pos="1072"/>
              </w:tabs>
              <w:rPr>
                <w:sz w:val="20"/>
                <w:lang w:eastAsia="sk-SK"/>
              </w:rPr>
            </w:pP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15</w:t>
            </w:r>
          </w:p>
        </w:tc>
        <w:tc>
          <w:tcPr>
            <w:tcW w:w="4074" w:type="dxa"/>
            <w:tcBorders>
              <w:bottom w:val="single" w:sz="4" w:space="0" w:color="auto"/>
            </w:tcBorders>
          </w:tcPr>
          <w:p w:rsidR="00CB3E7D" w:rsidRPr="007847A8" w:rsidP="00CB3E7D">
            <w:pPr>
              <w:pStyle w:val="NormalWeb"/>
              <w:rPr>
                <w:sz w:val="20"/>
                <w:szCs w:val="20"/>
              </w:rPr>
            </w:pPr>
            <w:r w:rsidRPr="00390FC1">
              <w:rPr>
                <w:sz w:val="20"/>
                <w:szCs w:val="20"/>
              </w:rPr>
              <w:t>Informácie, ktoré sa zahrnú do miestnych,</w:t>
            </w:r>
            <w:r w:rsidRPr="007847A8">
              <w:rPr>
                <w:sz w:val="20"/>
                <w:szCs w:val="20"/>
              </w:rPr>
              <w:t xml:space="preserve"> regionálnych alebo národných plánov kvality ovzdušia na zlepšenie kvality okolitého ovzdušia</w:t>
            </w:r>
          </w:p>
          <w:p w:rsidR="00CB3E7D" w:rsidRPr="007847A8" w:rsidP="00CB3E7D">
            <w:pPr>
              <w:pStyle w:val="NormalWeb"/>
              <w:rPr>
                <w:sz w:val="20"/>
                <w:szCs w:val="20"/>
              </w:rPr>
            </w:pPr>
            <w:r w:rsidRPr="007847A8">
              <w:rPr>
                <w:sz w:val="20"/>
                <w:szCs w:val="20"/>
              </w:rPr>
              <w:t>A. Informácie, ktoré sa majú poskytovať podľa článku 23 (plány kvality ovzdušia)</w:t>
            </w:r>
          </w:p>
          <w:p w:rsidR="00CB3E7D" w:rsidRPr="007847A8" w:rsidP="00CB3E7D">
            <w:pPr>
              <w:pStyle w:val="NormalWeb"/>
              <w:rPr>
                <w:sz w:val="20"/>
                <w:szCs w:val="20"/>
              </w:rPr>
            </w:pPr>
            <w:r w:rsidRPr="007847A8">
              <w:rPr>
                <w:sz w:val="20"/>
                <w:szCs w:val="20"/>
              </w:rPr>
              <w:t>1. Lokalizácia nadmerného znečistenia</w:t>
            </w:r>
          </w:p>
          <w:p w:rsidR="00CB3E7D" w:rsidRPr="007847A8" w:rsidP="00CB3E7D">
            <w:pPr>
              <w:pStyle w:val="NormalWeb"/>
              <w:rPr>
                <w:sz w:val="20"/>
                <w:szCs w:val="20"/>
              </w:rPr>
            </w:pPr>
            <w:r w:rsidRPr="007847A8">
              <w:rPr>
                <w:sz w:val="20"/>
                <w:szCs w:val="20"/>
              </w:rPr>
              <w:t>a) región;</w:t>
            </w:r>
          </w:p>
          <w:p w:rsidR="00CB3E7D" w:rsidRPr="007847A8" w:rsidP="00CB3E7D">
            <w:pPr>
              <w:pStyle w:val="NormalWeb"/>
              <w:rPr>
                <w:sz w:val="20"/>
                <w:szCs w:val="20"/>
              </w:rPr>
            </w:pPr>
            <w:r w:rsidRPr="007847A8">
              <w:rPr>
                <w:sz w:val="20"/>
                <w:szCs w:val="20"/>
              </w:rPr>
              <w:t>b) mesto (mapa);</w:t>
            </w:r>
          </w:p>
          <w:p w:rsidR="00CB3E7D" w:rsidRPr="007847A8" w:rsidP="00CB3E7D">
            <w:pPr>
              <w:pStyle w:val="NormalWeb"/>
              <w:rPr>
                <w:sz w:val="20"/>
                <w:szCs w:val="20"/>
              </w:rPr>
            </w:pPr>
            <w:r w:rsidRPr="007847A8">
              <w:rPr>
                <w:sz w:val="20"/>
                <w:szCs w:val="20"/>
              </w:rPr>
              <w:t>c) meracia stanica (mapa, zemepisné súradnice).</w:t>
            </w:r>
          </w:p>
          <w:p w:rsidR="00CB3E7D" w:rsidRPr="007847A8" w:rsidP="00CB3E7D">
            <w:pPr>
              <w:pStyle w:val="NormalWeb"/>
              <w:rPr>
                <w:sz w:val="20"/>
                <w:szCs w:val="20"/>
              </w:rPr>
            </w:pPr>
            <w:r w:rsidRPr="007847A8">
              <w:rPr>
                <w:sz w:val="20"/>
                <w:szCs w:val="20"/>
              </w:rPr>
              <w:t>2. Všeobecné informácie:</w:t>
            </w:r>
          </w:p>
          <w:p w:rsidR="00CB3E7D" w:rsidRPr="007847A8" w:rsidP="00CB3E7D">
            <w:pPr>
              <w:pStyle w:val="NormalWeb"/>
              <w:rPr>
                <w:sz w:val="20"/>
                <w:szCs w:val="20"/>
              </w:rPr>
            </w:pPr>
            <w:r w:rsidRPr="007847A8">
              <w:rPr>
                <w:sz w:val="20"/>
                <w:szCs w:val="20"/>
              </w:rPr>
              <w:t>a) typ zóny (mesto, priemyselná alebo vidiecka oblasť);</w:t>
            </w:r>
          </w:p>
          <w:p w:rsidR="00CB3E7D" w:rsidRPr="007847A8" w:rsidP="00CB3E7D">
            <w:pPr>
              <w:pStyle w:val="NormalWeb"/>
              <w:rPr>
                <w:sz w:val="20"/>
                <w:szCs w:val="20"/>
              </w:rPr>
            </w:pPr>
            <w:r w:rsidRPr="007847A8">
              <w:rPr>
                <w:sz w:val="20"/>
                <w:szCs w:val="20"/>
              </w:rPr>
              <w:t>b) odhad znečistenej oblasti (km</w:t>
            </w:r>
            <w:r w:rsidRPr="00823443">
              <w:rPr>
                <w:sz w:val="20"/>
                <w:szCs w:val="20"/>
                <w:vertAlign w:val="superscript"/>
              </w:rPr>
              <w:t>2</w:t>
            </w:r>
            <w:r w:rsidRPr="007847A8">
              <w:rPr>
                <w:sz w:val="20"/>
                <w:szCs w:val="20"/>
              </w:rPr>
              <w:t>) a obyvateľstva vystaveného znečisteniu;</w:t>
            </w:r>
          </w:p>
          <w:p w:rsidR="00CB3E7D" w:rsidRPr="007847A8" w:rsidP="00CB3E7D">
            <w:pPr>
              <w:pStyle w:val="NormalWeb"/>
              <w:rPr>
                <w:sz w:val="20"/>
                <w:szCs w:val="20"/>
              </w:rPr>
            </w:pPr>
            <w:r w:rsidRPr="007847A8">
              <w:rPr>
                <w:sz w:val="20"/>
                <w:szCs w:val="20"/>
              </w:rPr>
              <w:t>c) užitočné klimatické údaje;</w:t>
            </w:r>
          </w:p>
          <w:p w:rsidR="00CB3E7D" w:rsidRPr="007847A8" w:rsidP="00CB3E7D">
            <w:pPr>
              <w:pStyle w:val="NormalWeb"/>
              <w:rPr>
                <w:sz w:val="20"/>
                <w:szCs w:val="20"/>
              </w:rPr>
            </w:pPr>
            <w:r w:rsidRPr="007847A8">
              <w:rPr>
                <w:sz w:val="20"/>
                <w:szCs w:val="20"/>
              </w:rPr>
              <w:t>d) príslušné údaje o topografii;</w:t>
            </w:r>
          </w:p>
          <w:p w:rsidR="00CB3E7D" w:rsidRPr="007847A8" w:rsidP="00CB3E7D">
            <w:pPr>
              <w:pStyle w:val="NormalWeb"/>
              <w:rPr>
                <w:sz w:val="20"/>
                <w:szCs w:val="20"/>
              </w:rPr>
            </w:pPr>
            <w:r w:rsidRPr="007847A8">
              <w:rPr>
                <w:sz w:val="20"/>
                <w:szCs w:val="20"/>
              </w:rPr>
              <w:t>e) dostatočné informácie o druhu cieľov, ktoré si v zóne vyžadujú ochranu.</w:t>
            </w:r>
          </w:p>
          <w:p w:rsidR="00CB3E7D" w:rsidRPr="007847A8" w:rsidP="00CB3E7D">
            <w:pPr>
              <w:pStyle w:val="NormalWeb"/>
              <w:rPr>
                <w:sz w:val="20"/>
                <w:szCs w:val="20"/>
              </w:rPr>
            </w:pPr>
            <w:r w:rsidRPr="007847A8">
              <w:rPr>
                <w:sz w:val="20"/>
                <w:szCs w:val="20"/>
              </w:rPr>
              <w:t>3. Zodpovedné orgány</w:t>
            </w:r>
          </w:p>
          <w:p w:rsidR="00CB3E7D" w:rsidRPr="007847A8" w:rsidP="00CB3E7D">
            <w:pPr>
              <w:pStyle w:val="NormalWeb"/>
              <w:rPr>
                <w:sz w:val="20"/>
                <w:szCs w:val="20"/>
              </w:rPr>
            </w:pPr>
            <w:r w:rsidRPr="007847A8">
              <w:rPr>
                <w:sz w:val="20"/>
                <w:szCs w:val="20"/>
              </w:rPr>
              <w:t>Mená a adresy osôb zodpovedných za vypracovanie a vykonávanie plánov na zlepšenie.</w:t>
            </w:r>
          </w:p>
          <w:p w:rsidR="00CB3E7D" w:rsidRPr="007847A8" w:rsidP="00CB3E7D">
            <w:pPr>
              <w:pStyle w:val="NormalWeb"/>
              <w:rPr>
                <w:sz w:val="20"/>
                <w:szCs w:val="20"/>
              </w:rPr>
            </w:pPr>
            <w:r w:rsidRPr="007847A8">
              <w:rPr>
                <w:sz w:val="20"/>
                <w:szCs w:val="20"/>
              </w:rPr>
              <w:t>4. Povaha a hodnotenie znečistenia:</w:t>
            </w:r>
          </w:p>
          <w:p w:rsidR="00CB3E7D" w:rsidRPr="007847A8" w:rsidP="00CB3E7D">
            <w:pPr>
              <w:pStyle w:val="NormalWeb"/>
              <w:rPr>
                <w:sz w:val="20"/>
                <w:szCs w:val="20"/>
              </w:rPr>
            </w:pPr>
            <w:r w:rsidRPr="007847A8">
              <w:rPr>
                <w:sz w:val="20"/>
                <w:szCs w:val="20"/>
              </w:rPr>
              <w:t>a) koncentrácie pozorované za predchádzajúce roky (pred vykonávaním opatrení na zlepšenie);</w:t>
            </w:r>
          </w:p>
          <w:p w:rsidR="00CB3E7D" w:rsidRPr="007847A8" w:rsidP="00CB3E7D">
            <w:pPr>
              <w:pStyle w:val="NormalWeb"/>
              <w:rPr>
                <w:sz w:val="20"/>
                <w:szCs w:val="20"/>
              </w:rPr>
            </w:pPr>
            <w:r w:rsidRPr="007847A8">
              <w:rPr>
                <w:sz w:val="20"/>
                <w:szCs w:val="20"/>
              </w:rPr>
              <w:t>b) koncentrácie namerané od začiatku projektu;</w:t>
            </w:r>
          </w:p>
          <w:p w:rsidR="00CB3E7D" w:rsidRPr="007847A8" w:rsidP="00CB3E7D">
            <w:pPr>
              <w:pStyle w:val="NormalWeb"/>
              <w:rPr>
                <w:sz w:val="20"/>
                <w:szCs w:val="20"/>
              </w:rPr>
            </w:pPr>
            <w:r w:rsidRPr="007847A8">
              <w:rPr>
                <w:sz w:val="20"/>
                <w:szCs w:val="20"/>
              </w:rPr>
              <w:t>c) techniky využité pri hodnotení.</w:t>
            </w:r>
          </w:p>
          <w:p w:rsidR="00CB3E7D" w:rsidRPr="007847A8" w:rsidP="00CB3E7D">
            <w:pPr>
              <w:pStyle w:val="NormalWeb"/>
              <w:rPr>
                <w:sz w:val="20"/>
                <w:szCs w:val="20"/>
              </w:rPr>
            </w:pPr>
            <w:r w:rsidRPr="007847A8">
              <w:rPr>
                <w:sz w:val="20"/>
                <w:szCs w:val="20"/>
              </w:rPr>
              <w:t>5. Pôvod znečistenia</w:t>
            </w:r>
          </w:p>
          <w:p w:rsidR="00CB3E7D" w:rsidRPr="007847A8" w:rsidP="00CB3E7D">
            <w:pPr>
              <w:pStyle w:val="NormalWeb"/>
              <w:rPr>
                <w:sz w:val="20"/>
                <w:szCs w:val="20"/>
              </w:rPr>
            </w:pPr>
            <w:r w:rsidRPr="007847A8">
              <w:rPr>
                <w:sz w:val="20"/>
                <w:szCs w:val="20"/>
              </w:rPr>
              <w:t>a) zoznam hlavných zdrojov emisií, ktoré spôsobujú znečistenie (mapa);</w:t>
            </w:r>
          </w:p>
          <w:p w:rsidR="00CB3E7D" w:rsidRPr="007847A8" w:rsidP="00CB3E7D">
            <w:pPr>
              <w:pStyle w:val="NormalWeb"/>
              <w:rPr>
                <w:sz w:val="20"/>
                <w:szCs w:val="20"/>
              </w:rPr>
            </w:pPr>
            <w:r w:rsidRPr="007847A8">
              <w:rPr>
                <w:sz w:val="20"/>
                <w:szCs w:val="20"/>
              </w:rPr>
              <w:t>b) celkové množstvo emisií z týchto zdrojov (tony/rok);</w:t>
            </w:r>
          </w:p>
          <w:p w:rsidR="00CB3E7D" w:rsidRPr="007847A8" w:rsidP="00CB3E7D">
            <w:pPr>
              <w:pStyle w:val="NormalWeb"/>
              <w:rPr>
                <w:sz w:val="20"/>
                <w:szCs w:val="20"/>
              </w:rPr>
            </w:pPr>
            <w:r w:rsidRPr="007847A8">
              <w:rPr>
                <w:sz w:val="20"/>
                <w:szCs w:val="20"/>
              </w:rPr>
              <w:t>c) informácie o znečistení, ktoré pochádza z iných regiónov.</w:t>
            </w:r>
          </w:p>
          <w:p w:rsidR="00CB3E7D" w:rsidRPr="007847A8" w:rsidP="00CB3E7D">
            <w:pPr>
              <w:pStyle w:val="NormalWeb"/>
              <w:rPr>
                <w:sz w:val="20"/>
                <w:szCs w:val="20"/>
              </w:rPr>
            </w:pPr>
            <w:r w:rsidRPr="007847A8">
              <w:rPr>
                <w:sz w:val="20"/>
                <w:szCs w:val="20"/>
              </w:rPr>
              <w:t>6. Analýza situácie</w:t>
            </w:r>
          </w:p>
          <w:p w:rsidR="00CB3E7D" w:rsidRPr="007847A8" w:rsidP="00CB3E7D">
            <w:pPr>
              <w:pStyle w:val="NormalWeb"/>
              <w:rPr>
                <w:sz w:val="20"/>
                <w:szCs w:val="20"/>
              </w:rPr>
            </w:pPr>
            <w:r w:rsidRPr="007847A8">
              <w:rPr>
                <w:sz w:val="20"/>
                <w:szCs w:val="20"/>
              </w:rPr>
              <w:t>a) podrobnosti o faktoroch zodpovedných za prekročenie (napr. doprava vrátane cezhraničnej dopravy, tvorba sekundárnych znečisťujúcich látok v atmosfére);</w:t>
            </w:r>
          </w:p>
          <w:p w:rsidR="00CB3E7D" w:rsidRPr="007847A8" w:rsidP="00CB3E7D">
            <w:pPr>
              <w:pStyle w:val="NormalWeb"/>
              <w:rPr>
                <w:sz w:val="20"/>
                <w:szCs w:val="20"/>
              </w:rPr>
            </w:pPr>
            <w:r w:rsidRPr="007847A8">
              <w:rPr>
                <w:sz w:val="20"/>
                <w:szCs w:val="20"/>
              </w:rPr>
              <w:t>b) podrobnosti o možných opatreniach na zlepšenie kvality ovzdušia.</w:t>
            </w:r>
          </w:p>
          <w:p w:rsidR="00CB3E7D" w:rsidRPr="007847A8" w:rsidP="00CB3E7D">
            <w:pPr>
              <w:pStyle w:val="NormalWeb"/>
              <w:rPr>
                <w:sz w:val="20"/>
                <w:szCs w:val="20"/>
              </w:rPr>
            </w:pPr>
            <w:r w:rsidRPr="007847A8">
              <w:rPr>
                <w:sz w:val="20"/>
                <w:szCs w:val="20"/>
              </w:rPr>
              <w:t>7. Podrobnosti o týchto opatreniach alebo projektoch na zlepšenie, ktoré existovali pred 11. júnom 2008, t. j.:</w:t>
            </w:r>
          </w:p>
          <w:p w:rsidR="00CB3E7D" w:rsidRPr="007847A8" w:rsidP="00CB3E7D">
            <w:pPr>
              <w:pStyle w:val="NormalWeb"/>
              <w:rPr>
                <w:sz w:val="20"/>
                <w:szCs w:val="20"/>
              </w:rPr>
            </w:pPr>
            <w:r w:rsidRPr="007847A8">
              <w:rPr>
                <w:sz w:val="20"/>
                <w:szCs w:val="20"/>
              </w:rPr>
              <w:t>a) miestne, regionálne, národné, medzinárodné opatrenia;</w:t>
            </w:r>
          </w:p>
          <w:p w:rsidR="00CB3E7D" w:rsidRPr="007847A8" w:rsidP="00CB3E7D">
            <w:pPr>
              <w:pStyle w:val="NormalWeb"/>
              <w:rPr>
                <w:sz w:val="20"/>
                <w:szCs w:val="20"/>
              </w:rPr>
            </w:pPr>
            <w:r w:rsidRPr="007847A8">
              <w:rPr>
                <w:sz w:val="20"/>
                <w:szCs w:val="20"/>
              </w:rPr>
              <w:t>b) pozorované účinky týchto opatrení.</w:t>
            </w:r>
          </w:p>
          <w:p w:rsidR="00CB3E7D" w:rsidRPr="007847A8" w:rsidP="00CB3E7D">
            <w:pPr>
              <w:pStyle w:val="NormalWeb"/>
              <w:rPr>
                <w:sz w:val="20"/>
                <w:szCs w:val="20"/>
              </w:rPr>
            </w:pPr>
            <w:r w:rsidRPr="007847A8">
              <w:rPr>
                <w:sz w:val="20"/>
                <w:szCs w:val="20"/>
              </w:rPr>
              <w:t>8. Podrobnosti o týchto opatreniach alebo projektoch prijatých s cieľom znížiť znečistenie po nadobudnutí účinnosti tejto smernice:</w:t>
            </w:r>
          </w:p>
          <w:p w:rsidR="00CB3E7D" w:rsidRPr="007847A8" w:rsidP="00CB3E7D">
            <w:pPr>
              <w:pStyle w:val="NormalWeb"/>
              <w:rPr>
                <w:sz w:val="20"/>
                <w:szCs w:val="20"/>
              </w:rPr>
            </w:pPr>
            <w:r w:rsidRPr="007847A8">
              <w:rPr>
                <w:sz w:val="20"/>
                <w:szCs w:val="20"/>
              </w:rPr>
              <w:t>a) zoznam a opis všetkých opatrení stanovených v projekte;</w:t>
            </w:r>
          </w:p>
          <w:p w:rsidR="00CB3E7D" w:rsidRPr="007847A8" w:rsidP="00CB3E7D">
            <w:pPr>
              <w:pStyle w:val="NormalWeb"/>
              <w:rPr>
                <w:sz w:val="20"/>
                <w:szCs w:val="20"/>
              </w:rPr>
            </w:pPr>
            <w:r w:rsidRPr="007847A8">
              <w:rPr>
                <w:sz w:val="20"/>
                <w:szCs w:val="20"/>
              </w:rPr>
              <w:t>b) časový harmonogram vykonávania;</w:t>
            </w:r>
          </w:p>
          <w:p w:rsidR="00CB3E7D" w:rsidRPr="007847A8" w:rsidP="00CB3E7D">
            <w:pPr>
              <w:pStyle w:val="NormalWeb"/>
              <w:rPr>
                <w:sz w:val="20"/>
                <w:szCs w:val="20"/>
              </w:rPr>
            </w:pPr>
            <w:r w:rsidRPr="007847A8">
              <w:rPr>
                <w:sz w:val="20"/>
                <w:szCs w:val="20"/>
              </w:rPr>
              <w:t>c) odhad plánovaných zlepšení kvality ovzdušia a predpokladaného času potrebného na dosiahnutie týchto cieľov.</w:t>
            </w:r>
          </w:p>
          <w:p w:rsidR="00CB3E7D" w:rsidRPr="007847A8" w:rsidP="00CB3E7D">
            <w:pPr>
              <w:pStyle w:val="NormalWeb"/>
              <w:rPr>
                <w:sz w:val="20"/>
                <w:szCs w:val="20"/>
              </w:rPr>
            </w:pPr>
            <w:r w:rsidRPr="007847A8">
              <w:rPr>
                <w:sz w:val="20"/>
                <w:szCs w:val="20"/>
              </w:rPr>
              <w:t>9. Podrobnosti o dlhodobo plánovaných alebo skúmaných opatreniach alebo projektoch.</w:t>
            </w:r>
          </w:p>
          <w:p w:rsidR="00CB3E7D" w:rsidRPr="007847A8" w:rsidP="00CB3E7D">
            <w:pPr>
              <w:pStyle w:val="NormalWeb"/>
              <w:rPr>
                <w:sz w:val="20"/>
                <w:szCs w:val="20"/>
              </w:rPr>
            </w:pPr>
            <w:r w:rsidRPr="007847A8">
              <w:rPr>
                <w:sz w:val="20"/>
                <w:szCs w:val="20"/>
              </w:rPr>
              <w:t>10. Zoznam publikácií, dokumentov, prác atď. použitých na doplnenie údajov požadovaných v tejto prílohe.</w:t>
            </w:r>
          </w:p>
          <w:p w:rsidR="00CB3E7D" w:rsidRPr="007847A8" w:rsidP="00CB3E7D">
            <w:pPr>
              <w:pStyle w:val="NormalWeb"/>
              <w:rPr>
                <w:sz w:val="20"/>
                <w:szCs w:val="20"/>
              </w:rPr>
            </w:pPr>
            <w:r w:rsidRPr="007847A8">
              <w:rPr>
                <w:sz w:val="20"/>
                <w:szCs w:val="20"/>
              </w:rPr>
              <w:t>B. Informácie, ktoré sa majú poskytovať podľa článku 22 ods. 1</w:t>
            </w:r>
          </w:p>
          <w:p w:rsidR="00CB3E7D" w:rsidRPr="007847A8" w:rsidP="00CB3E7D">
            <w:pPr>
              <w:pStyle w:val="NormalWeb"/>
              <w:rPr>
                <w:sz w:val="20"/>
                <w:szCs w:val="20"/>
              </w:rPr>
            </w:pPr>
            <w:r w:rsidRPr="007847A8">
              <w:rPr>
                <w:sz w:val="20"/>
                <w:szCs w:val="20"/>
              </w:rPr>
              <w:t>1. Všetky informácie, ako sú ustanovené v oddiele A.</w:t>
            </w:r>
          </w:p>
          <w:p w:rsidR="00CB3E7D" w:rsidRPr="007847A8" w:rsidP="00CB3E7D">
            <w:pPr>
              <w:pStyle w:val="NormalWeb"/>
              <w:rPr>
                <w:sz w:val="20"/>
                <w:szCs w:val="20"/>
              </w:rPr>
            </w:pPr>
            <w:r w:rsidRPr="007847A8">
              <w:rPr>
                <w:sz w:val="20"/>
                <w:szCs w:val="20"/>
              </w:rPr>
              <w:t>2. Informácie o stave vykonávania týchto smerníc:</w:t>
            </w:r>
          </w:p>
          <w:p w:rsidR="00CB3E7D" w:rsidRPr="007847A8" w:rsidP="00CB3E7D">
            <w:pPr>
              <w:pStyle w:val="NormalWeb"/>
              <w:rPr>
                <w:sz w:val="20"/>
                <w:szCs w:val="20"/>
              </w:rPr>
            </w:pPr>
            <w:r w:rsidRPr="007847A8">
              <w:rPr>
                <w:sz w:val="20"/>
                <w:szCs w:val="20"/>
              </w:rPr>
              <w:t>1. smernica Rady 70/220/EHS z 20. marca 1970 o aproximácii právnych predpisov členských štátov o opatreniach proti znečisťovaniu ovzdušia emisiami z motorových vozidiel [1];</w:t>
            </w:r>
          </w:p>
          <w:p w:rsidR="00CB3E7D" w:rsidRPr="007847A8" w:rsidP="00CB3E7D">
            <w:pPr>
              <w:pStyle w:val="NormalWeb"/>
              <w:rPr>
                <w:sz w:val="20"/>
                <w:szCs w:val="20"/>
              </w:rPr>
            </w:pPr>
            <w:r w:rsidRPr="007847A8">
              <w:rPr>
                <w:sz w:val="20"/>
                <w:szCs w:val="20"/>
              </w:rPr>
              <w:t>2. smernica Európskeho parlamentu a Rady 94/63/ES z 20. decembra 1994 o obmedzení emisií prchavých organických zlúčenín (POZ), ktoré vznikajú pri skladovaní benzínu a jeho distribúcii z distribučných skladov do čerpacích staníc [2];</w:t>
            </w:r>
          </w:p>
          <w:p w:rsidR="00CB3E7D" w:rsidRPr="007847A8" w:rsidP="00CB3E7D">
            <w:pPr>
              <w:pStyle w:val="NormalWeb"/>
              <w:rPr>
                <w:sz w:val="20"/>
                <w:szCs w:val="20"/>
              </w:rPr>
            </w:pPr>
            <w:r w:rsidRPr="007847A8">
              <w:rPr>
                <w:sz w:val="20"/>
                <w:szCs w:val="20"/>
              </w:rPr>
              <w:t>3. smernica Európskeho parlamentu a Rady 2008/1/ES z 15. januára 2008 o integrovanej prevencii a kontrole znečisťovania životného prostredia [3];</w:t>
            </w:r>
          </w:p>
          <w:p w:rsidR="00CB3E7D" w:rsidRPr="007847A8" w:rsidP="00CB3E7D">
            <w:pPr>
              <w:pStyle w:val="NormalWeb"/>
              <w:rPr>
                <w:sz w:val="20"/>
                <w:szCs w:val="20"/>
              </w:rPr>
            </w:pPr>
            <w:r w:rsidRPr="007847A8">
              <w:rPr>
                <w:sz w:val="20"/>
                <w:szCs w:val="20"/>
              </w:rPr>
              <w:t>4. smernica Európskeho parlamentu a Rady 97/68/ES zo 16. decembra 1997 o aproximácii právnych predpisov členských štátov, ktoré sa týkajú opatrení voči emisiám plynných a suspendovaných znečisťujúcich látok zo spaľovacích motorov, inštalovaných v necestných pojazdných strojoch [4];</w:t>
            </w:r>
          </w:p>
          <w:p w:rsidR="00CB3E7D" w:rsidRPr="007847A8" w:rsidP="00CB3E7D">
            <w:pPr>
              <w:pStyle w:val="NormalWeb"/>
              <w:rPr>
                <w:sz w:val="20"/>
                <w:szCs w:val="20"/>
              </w:rPr>
            </w:pPr>
            <w:r w:rsidRPr="007847A8">
              <w:rPr>
                <w:sz w:val="20"/>
                <w:szCs w:val="20"/>
              </w:rPr>
              <w:t>5. smernica Európskeho parlamentu a Rady 98/70/ES z 13. októbra 1998 týkajúca sa kvality benzínu a naftových palív [5];</w:t>
            </w:r>
          </w:p>
          <w:p w:rsidR="00CB3E7D" w:rsidRPr="007847A8" w:rsidP="00CB3E7D">
            <w:pPr>
              <w:pStyle w:val="NormalWeb"/>
              <w:rPr>
                <w:sz w:val="20"/>
                <w:szCs w:val="20"/>
              </w:rPr>
            </w:pPr>
            <w:r w:rsidRPr="007847A8">
              <w:rPr>
                <w:sz w:val="20"/>
                <w:szCs w:val="20"/>
              </w:rPr>
              <w:t>6. smernica Rady 1999/13/ES z 11. marca 1999 o obmedzení emisií prchavých organických zlúčenín unikajúcich pri používaní organických rozpúšťadiel pri určitých činnostiach a v určitých zariadeniach [6];</w:t>
            </w:r>
          </w:p>
          <w:p w:rsidR="00CB3E7D" w:rsidRPr="007847A8" w:rsidP="00CB3E7D">
            <w:pPr>
              <w:pStyle w:val="NormalWeb"/>
              <w:rPr>
                <w:sz w:val="20"/>
                <w:szCs w:val="20"/>
              </w:rPr>
            </w:pPr>
            <w:r w:rsidRPr="007847A8">
              <w:rPr>
                <w:sz w:val="20"/>
                <w:szCs w:val="20"/>
              </w:rPr>
              <w:t>7. smernica Rady 1999/32/ES z 26. apríla 1999 o znížení obsahu síry v niektorých kvapalných palivách [7];</w:t>
            </w:r>
          </w:p>
          <w:p w:rsidR="00CB3E7D" w:rsidRPr="007847A8" w:rsidP="00CB3E7D">
            <w:pPr>
              <w:pStyle w:val="NormalWeb"/>
              <w:rPr>
                <w:sz w:val="20"/>
                <w:szCs w:val="20"/>
              </w:rPr>
            </w:pPr>
            <w:r w:rsidRPr="007847A8">
              <w:rPr>
                <w:sz w:val="20"/>
                <w:szCs w:val="20"/>
              </w:rPr>
              <w:t>8. smernica Európskeho parlamentu a Rady 2000/76/ES zo 4. decembra 2000 o spaľovaní odpadov [8];</w:t>
            </w:r>
          </w:p>
          <w:p w:rsidR="00CB3E7D" w:rsidRPr="007847A8" w:rsidP="00CB3E7D">
            <w:pPr>
              <w:pStyle w:val="NormalWeb"/>
              <w:rPr>
                <w:sz w:val="20"/>
                <w:szCs w:val="20"/>
              </w:rPr>
            </w:pPr>
            <w:r w:rsidRPr="007847A8">
              <w:rPr>
                <w:sz w:val="20"/>
                <w:szCs w:val="20"/>
              </w:rPr>
              <w:t>9. smernica Európskeho parlamentu a Rady 2001/80/ES z 23. októbra 2001 o obmedzení emisií určitých znečisťujúcich látok do ovzdušia z veľkých spaľovacích zariadení;</w:t>
            </w:r>
          </w:p>
          <w:p w:rsidR="00CB3E7D" w:rsidRPr="007847A8" w:rsidP="00CB3E7D">
            <w:pPr>
              <w:pStyle w:val="NormalWeb"/>
              <w:rPr>
                <w:sz w:val="20"/>
                <w:szCs w:val="20"/>
              </w:rPr>
            </w:pPr>
            <w:r w:rsidRPr="007847A8">
              <w:rPr>
                <w:sz w:val="20"/>
                <w:szCs w:val="20"/>
              </w:rPr>
              <w:t>10. smernica Európskeho parlamentu a Rady 2001/81/ES z 23. októbra 2001 o národných emisných stropoch pre určité látky znečisťujúce ovzdušie;</w:t>
            </w:r>
          </w:p>
          <w:p w:rsidR="00CB3E7D" w:rsidRPr="007847A8" w:rsidP="00CB3E7D">
            <w:pPr>
              <w:pStyle w:val="NormalWeb"/>
              <w:rPr>
                <w:sz w:val="20"/>
                <w:szCs w:val="20"/>
              </w:rPr>
            </w:pPr>
            <w:r w:rsidRPr="007847A8">
              <w:rPr>
                <w:sz w:val="20"/>
                <w:szCs w:val="20"/>
              </w:rPr>
              <w:t>11. smernica Európskeho parlamentu a Rady 2004/42/ES z 21. apríla 2004 o obmedzení emisií prchavých organických zlúčenín unikajúcich pri používaní organických rozpúšťadiel v určitých farbách a lakoch a vo výrobkoch na povrchovú úpravu vozidiel [9];</w:t>
            </w:r>
          </w:p>
          <w:p w:rsidR="00CB3E7D" w:rsidRPr="007847A8" w:rsidP="00CB3E7D">
            <w:pPr>
              <w:pStyle w:val="NormalWeb"/>
              <w:rPr>
                <w:sz w:val="20"/>
                <w:szCs w:val="20"/>
              </w:rPr>
            </w:pPr>
            <w:r w:rsidRPr="007847A8">
              <w:rPr>
                <w:sz w:val="20"/>
                <w:szCs w:val="20"/>
              </w:rPr>
              <w:t>12. smernica Európskeho parlamentu a Rady 2005/33/ES zo 6. júla 2005, ktorou sa mení a dopĺňa smernica 1999/32/ES vzhľadom na o obsah síry v lodných palivách [10];</w:t>
            </w:r>
          </w:p>
          <w:p w:rsidR="00CB3E7D" w:rsidRPr="007847A8" w:rsidP="00CB3E7D">
            <w:pPr>
              <w:pStyle w:val="NormalWeb"/>
              <w:rPr>
                <w:sz w:val="20"/>
                <w:szCs w:val="20"/>
              </w:rPr>
            </w:pPr>
            <w:r w:rsidRPr="007847A8">
              <w:rPr>
                <w:sz w:val="20"/>
                <w:szCs w:val="20"/>
              </w:rPr>
              <w:t>13. smernica Európskeho parlamentu a Rady 2005/55/ES z 28. septembra 2005 o aproximácii právnych predpisov členských štátov vzťahujúcich sa na opatrenia, ktoré sa majú prijať proti emisiám plynných a tuhých znečisťujúcich látok zo vznetových motorov určených na používanie vo vozidlách a proti emisiám plynných znečisťujúcich látok zo zážihových motorov poháňaných zemným plynom alebo skvapalneným ropným plynom, určených na používanie vo vozidlách [11];</w:t>
            </w:r>
          </w:p>
          <w:p w:rsidR="00CB3E7D" w:rsidRPr="007847A8" w:rsidP="00CB3E7D">
            <w:pPr>
              <w:pStyle w:val="NormalWeb"/>
              <w:rPr>
                <w:sz w:val="20"/>
                <w:szCs w:val="20"/>
              </w:rPr>
            </w:pPr>
            <w:r w:rsidRPr="007847A8">
              <w:rPr>
                <w:sz w:val="20"/>
                <w:szCs w:val="20"/>
              </w:rPr>
              <w:t>14. smernica Európskeho parlamentu a Rady 2006/32/ES z 5. apríla 2006 o energetickej účinnosti konečného využitia energie a energetických službách [12].</w:t>
            </w:r>
          </w:p>
          <w:p w:rsidR="00CB3E7D" w:rsidRPr="007847A8" w:rsidP="00CB3E7D">
            <w:pPr>
              <w:pStyle w:val="NormalWeb"/>
              <w:rPr>
                <w:sz w:val="20"/>
                <w:szCs w:val="20"/>
              </w:rPr>
            </w:pPr>
            <w:r w:rsidRPr="007847A8">
              <w:rPr>
                <w:sz w:val="20"/>
                <w:szCs w:val="20"/>
              </w:rPr>
              <w:t>3. Informácie o všetkých opatreniach na znižovanie znečistenia ovzdušia, ktorých vykonávanie sa zvažovalo na primeranej miestnej, regionálnej a celoštátnej úrovni v súvislosti s dosahovaním cieľov kvality ovzdušia vrátane:</w:t>
            </w:r>
          </w:p>
          <w:p w:rsidR="00CB3E7D" w:rsidRPr="007847A8" w:rsidP="00CB3E7D">
            <w:pPr>
              <w:pStyle w:val="NormalWeb"/>
              <w:rPr>
                <w:sz w:val="20"/>
                <w:szCs w:val="20"/>
              </w:rPr>
            </w:pPr>
            <w:r w:rsidRPr="007847A8">
              <w:rPr>
                <w:sz w:val="20"/>
                <w:szCs w:val="20"/>
              </w:rPr>
              <w:t>a) znižovania emisií zo stacionárnych zdrojov tým, že sa zabezpečí, aby boli malé a stredné stacionárne spaľovacie zdroje (vrátane spaľovní biomasy) vybavené zariadením na kontrolu emisií alebo aby boli nahradené;</w:t>
            </w:r>
          </w:p>
          <w:p w:rsidR="00CB3E7D" w:rsidRPr="007847A8" w:rsidP="00CB3E7D">
            <w:pPr>
              <w:pStyle w:val="NormalWeb"/>
              <w:rPr>
                <w:sz w:val="20"/>
                <w:szCs w:val="20"/>
              </w:rPr>
            </w:pPr>
            <w:r w:rsidRPr="007847A8">
              <w:rPr>
                <w:sz w:val="20"/>
                <w:szCs w:val="20"/>
              </w:rPr>
              <w:t>b) znižovania emisií z vozidiel prostredníctvom dodatočného vybavenia zariadeniami na kontrolu emisií; malo by sa zvážiť využívanie ekonomických stimulov na urýchlené osvojenie opatrení;</w:t>
            </w:r>
          </w:p>
          <w:p w:rsidR="00CB3E7D" w:rsidRPr="007847A8" w:rsidP="00CB3E7D">
            <w:pPr>
              <w:pStyle w:val="NormalWeb"/>
              <w:rPr>
                <w:sz w:val="20"/>
                <w:szCs w:val="20"/>
              </w:rPr>
            </w:pPr>
            <w:r w:rsidRPr="007847A8">
              <w:rPr>
                <w:sz w:val="20"/>
                <w:szCs w:val="20"/>
              </w:rPr>
              <w:t>c) obstarávania zo strany verejných orgánov v súlade s príručkou o environmentálnom verejnom obstarávaní, ktorého predmetom sú cestné vozidlá, palivá a spaľovacie zariadenia na zníženie emisií, vrátane nákupu:</w:t>
            </w:r>
          </w:p>
          <w:p w:rsidR="00CB3E7D" w:rsidRPr="007847A8" w:rsidP="00CB3E7D">
            <w:pPr>
              <w:pStyle w:val="NormalWeb"/>
              <w:rPr>
                <w:sz w:val="20"/>
                <w:szCs w:val="20"/>
              </w:rPr>
            </w:pPr>
            <w:r w:rsidRPr="007847A8">
              <w:rPr>
                <w:sz w:val="20"/>
                <w:szCs w:val="20"/>
              </w:rPr>
              <w:t>- nových vozidiel, vrátane vozidiel z nízkymi emisiami,</w:t>
            </w:r>
          </w:p>
          <w:p w:rsidR="00CB3E7D" w:rsidRPr="007847A8" w:rsidP="00CB3E7D">
            <w:pPr>
              <w:pStyle w:val="NormalWeb"/>
              <w:rPr>
                <w:sz w:val="20"/>
                <w:szCs w:val="20"/>
              </w:rPr>
            </w:pPr>
            <w:r w:rsidRPr="007847A8">
              <w:rPr>
                <w:sz w:val="20"/>
                <w:szCs w:val="20"/>
              </w:rPr>
              <w:t>- čistejších dopravných automobilových služieb,</w:t>
            </w:r>
          </w:p>
          <w:p w:rsidR="00CB3E7D" w:rsidRPr="007847A8" w:rsidP="00CB3E7D">
            <w:pPr>
              <w:pStyle w:val="NormalWeb"/>
              <w:rPr>
                <w:sz w:val="20"/>
                <w:szCs w:val="20"/>
              </w:rPr>
            </w:pPr>
            <w:r w:rsidRPr="007847A8">
              <w:rPr>
                <w:sz w:val="20"/>
                <w:szCs w:val="20"/>
              </w:rPr>
              <w:t>- nízkoemisných stacionárnych spaľovacích zdrojov,</w:t>
            </w:r>
          </w:p>
          <w:p w:rsidR="00CB3E7D" w:rsidRPr="007847A8" w:rsidP="00CB3E7D">
            <w:pPr>
              <w:pStyle w:val="NormalWeb"/>
              <w:rPr>
                <w:sz w:val="20"/>
                <w:szCs w:val="20"/>
              </w:rPr>
            </w:pPr>
            <w:r w:rsidRPr="007847A8">
              <w:rPr>
                <w:sz w:val="20"/>
                <w:szCs w:val="20"/>
              </w:rPr>
              <w:t>- nízkoemisných palív pre stacionárne a mobilné zdroje;</w:t>
            </w:r>
          </w:p>
          <w:p w:rsidR="00CB3E7D" w:rsidRPr="007847A8" w:rsidP="00CB3E7D">
            <w:pPr>
              <w:pStyle w:val="NormalWeb"/>
              <w:rPr>
                <w:sz w:val="20"/>
                <w:szCs w:val="20"/>
              </w:rPr>
            </w:pPr>
            <w:r w:rsidRPr="007847A8">
              <w:rPr>
                <w:sz w:val="20"/>
                <w:szCs w:val="20"/>
              </w:rPr>
              <w:t>d) opatrení na obmedzenie emisií z dopravy prostredníctvom plánovania a riadenia dopravy (vrátane stanovenia poplatkov za dopravné zaťaženie, diferencovaných parkovacích poplatkov a ostatných ekonomických stimulov; zriaďovania "nízkoemisných zón");</w:t>
            </w:r>
          </w:p>
          <w:p w:rsidR="00CB3E7D" w:rsidRPr="007847A8" w:rsidP="00CB3E7D">
            <w:pPr>
              <w:pStyle w:val="NormalWeb"/>
              <w:rPr>
                <w:sz w:val="20"/>
                <w:szCs w:val="20"/>
              </w:rPr>
            </w:pPr>
            <w:r w:rsidRPr="007847A8">
              <w:rPr>
                <w:sz w:val="20"/>
                <w:szCs w:val="20"/>
              </w:rPr>
              <w:t>e) opatrení na podporu zmeny dopravy na menej znečisťujúce druhy;</w:t>
            </w:r>
          </w:p>
          <w:p w:rsidR="00CB3E7D" w:rsidRPr="007847A8" w:rsidP="00CB3E7D">
            <w:pPr>
              <w:pStyle w:val="NormalWeb"/>
              <w:rPr>
                <w:sz w:val="20"/>
                <w:szCs w:val="20"/>
              </w:rPr>
            </w:pPr>
            <w:r w:rsidRPr="007847A8">
              <w:rPr>
                <w:sz w:val="20"/>
                <w:szCs w:val="20"/>
              </w:rPr>
              <w:t>f) zabezpečenia využívania nízkoemisných palív v malých, stredných a veľkých stacionárnych zdrojoch a v mobilných zdrojoch;</w:t>
            </w:r>
          </w:p>
          <w:p w:rsidR="00CB3E7D" w:rsidRPr="007847A8" w:rsidP="00CB3E7D">
            <w:pPr>
              <w:pStyle w:val="NormalWeb"/>
              <w:rPr>
                <w:sz w:val="20"/>
                <w:szCs w:val="20"/>
              </w:rPr>
            </w:pPr>
            <w:r w:rsidRPr="007847A8">
              <w:rPr>
                <w:sz w:val="20"/>
                <w:szCs w:val="20"/>
              </w:rPr>
              <w:t>g) opatrení na zníženie znečistenia ovzdušia prostredníctvom systému povolení podľa smernice 2008/1/ES, národných plánov podľa smernice 2001/80/ES a prostredníctvom využívania ekonomických nástrojov, ako sú dane, poplatky alebo obchodovanie s emisiami;</w:t>
            </w:r>
          </w:p>
          <w:p w:rsidR="00CB3E7D" w:rsidRPr="007847A8" w:rsidP="00CB3E7D">
            <w:pPr>
              <w:pStyle w:val="NormalWeb"/>
              <w:rPr>
                <w:sz w:val="20"/>
                <w:szCs w:val="20"/>
              </w:rPr>
            </w:pPr>
            <w:r w:rsidRPr="007847A8">
              <w:rPr>
                <w:sz w:val="20"/>
                <w:szCs w:val="20"/>
              </w:rPr>
              <w:t>h) ak je to vhodné, opatrení na ochranu zdravia detí alebo iných citlivých skupín obyvateľstva.</w:t>
            </w:r>
          </w:p>
          <w:p w:rsidR="00CB3E7D" w:rsidRPr="007847A8" w:rsidP="00CB3E7D">
            <w:pPr>
              <w:pStyle w:val="NormalWeb"/>
              <w:rPr>
                <w:sz w:val="20"/>
                <w:szCs w:val="20"/>
              </w:rPr>
            </w:pPr>
            <w:r w:rsidRPr="007847A8">
              <w:rPr>
                <w:sz w:val="20"/>
                <w:szCs w:val="20"/>
              </w:rPr>
              <w:t>[1] Ú. v. ES L 76, 6.4.1970, s. 1. Smernica naposledy zmenená a doplnená smernicou 2006/96/ES (Ú. v. EÚ L 363, 20.12.2006, s. 81).</w:t>
            </w:r>
          </w:p>
          <w:p w:rsidR="00CB3E7D" w:rsidRPr="007847A8" w:rsidP="00CB3E7D">
            <w:pPr>
              <w:pStyle w:val="NormalWeb"/>
              <w:rPr>
                <w:sz w:val="20"/>
                <w:szCs w:val="20"/>
              </w:rPr>
            </w:pPr>
            <w:r w:rsidRPr="007847A8">
              <w:rPr>
                <w:sz w:val="20"/>
                <w:szCs w:val="20"/>
              </w:rPr>
              <w:t>[2] Ú. v. ES L 365, 31.12.1994, s. 24. Smernica zmenená a doplnená nariadením (ES) č. 1882/2003 (Ú. v. EÚ L 284, 31.10.2003, s. 1).</w:t>
            </w:r>
          </w:p>
          <w:p w:rsidR="00CB3E7D" w:rsidRPr="007847A8" w:rsidP="00CB3E7D">
            <w:pPr>
              <w:pStyle w:val="NormalWeb"/>
              <w:rPr>
                <w:sz w:val="20"/>
                <w:szCs w:val="20"/>
              </w:rPr>
            </w:pPr>
            <w:r w:rsidRPr="007847A8">
              <w:rPr>
                <w:sz w:val="20"/>
                <w:szCs w:val="20"/>
              </w:rPr>
              <w:t>[3] Ú. v. EÚ L 24, 29.1.2008, s. 8.</w:t>
            </w:r>
          </w:p>
          <w:p w:rsidR="00CB3E7D" w:rsidRPr="007847A8" w:rsidP="00CB3E7D">
            <w:pPr>
              <w:pStyle w:val="NormalWeb"/>
              <w:rPr>
                <w:sz w:val="20"/>
                <w:szCs w:val="20"/>
              </w:rPr>
            </w:pPr>
            <w:r w:rsidRPr="007847A8">
              <w:rPr>
                <w:sz w:val="20"/>
                <w:szCs w:val="20"/>
              </w:rPr>
              <w:t>[4] Ú. v. ES L 59, 27.2.1998, s. 1. Smernica naposledy zmenená a doplnená smernicou 2006/105/ES.</w:t>
            </w:r>
          </w:p>
          <w:p w:rsidR="00CB3E7D" w:rsidRPr="007847A8" w:rsidP="00CB3E7D">
            <w:pPr>
              <w:pStyle w:val="NormalWeb"/>
              <w:rPr>
                <w:sz w:val="20"/>
                <w:szCs w:val="20"/>
              </w:rPr>
            </w:pPr>
            <w:r w:rsidRPr="007847A8">
              <w:rPr>
                <w:sz w:val="20"/>
                <w:szCs w:val="20"/>
              </w:rPr>
              <w:t>[5] Ú. v. ES L 350, 28.12.1998, s. 58. Smernica zmenená a doplnená nariadením (ES) č. 1882/2003.</w:t>
            </w:r>
          </w:p>
          <w:p w:rsidR="00CB3E7D" w:rsidRPr="007847A8" w:rsidP="00CB3E7D">
            <w:pPr>
              <w:pStyle w:val="NormalWeb"/>
              <w:rPr>
                <w:sz w:val="20"/>
                <w:szCs w:val="20"/>
              </w:rPr>
            </w:pPr>
            <w:r w:rsidRPr="007847A8">
              <w:rPr>
                <w:sz w:val="20"/>
                <w:szCs w:val="20"/>
              </w:rPr>
              <w:t>[6] Ú. v. ES L 85, 29.3.1999, s. 1. Smernica naposledy zmenená a doplnená smernicou Európskeho parlamentu a Rady 2004/42/ES (Ú. v. EÚ L 143, 30.4.2004, s. 87).</w:t>
            </w:r>
          </w:p>
          <w:p w:rsidR="00CB3E7D" w:rsidRPr="007847A8" w:rsidP="00CB3E7D">
            <w:pPr>
              <w:pStyle w:val="NormalWeb"/>
              <w:rPr>
                <w:sz w:val="20"/>
                <w:szCs w:val="20"/>
              </w:rPr>
            </w:pPr>
            <w:r w:rsidRPr="007847A8">
              <w:rPr>
                <w:sz w:val="20"/>
                <w:szCs w:val="20"/>
              </w:rPr>
              <w:t>[7] Ú. v. ES L 121, 11.5.1999, s. 13. Smernica naposledy zmenená a doplnená smernicou Európskeho parlamentu a Rady 2005/33/ES (Ú. v. EÚ L 191, 22.7.2005, s. 59).</w:t>
            </w:r>
          </w:p>
          <w:p w:rsidR="00CB3E7D" w:rsidRPr="007847A8" w:rsidP="00CB3E7D">
            <w:pPr>
              <w:pStyle w:val="NormalWeb"/>
              <w:rPr>
                <w:sz w:val="20"/>
                <w:szCs w:val="20"/>
              </w:rPr>
            </w:pPr>
            <w:r w:rsidRPr="007847A8">
              <w:rPr>
                <w:sz w:val="20"/>
                <w:szCs w:val="20"/>
              </w:rPr>
              <w:t>[8] Ú. v. ES L 332, 28.12.2000, s. 91.</w:t>
            </w:r>
          </w:p>
          <w:p w:rsidR="00CB3E7D" w:rsidRPr="007847A8" w:rsidP="00CB3E7D">
            <w:pPr>
              <w:pStyle w:val="NormalWeb"/>
              <w:rPr>
                <w:sz w:val="20"/>
                <w:szCs w:val="20"/>
              </w:rPr>
            </w:pPr>
            <w:r w:rsidRPr="007847A8">
              <w:rPr>
                <w:sz w:val="20"/>
                <w:szCs w:val="20"/>
              </w:rPr>
              <w:t>[9] Ú. v. EÚ L 143, 30.4.2004, s. 87.</w:t>
            </w:r>
          </w:p>
          <w:p w:rsidR="00CB3E7D" w:rsidRPr="007847A8" w:rsidP="00CB3E7D">
            <w:pPr>
              <w:pStyle w:val="NormalWeb"/>
              <w:rPr>
                <w:sz w:val="20"/>
                <w:szCs w:val="20"/>
              </w:rPr>
            </w:pPr>
            <w:r w:rsidRPr="007847A8">
              <w:rPr>
                <w:sz w:val="20"/>
                <w:szCs w:val="20"/>
              </w:rPr>
              <w:t>[10] Ú. v. EÚ L 191, 22.7.2005, s. 59.</w:t>
            </w:r>
          </w:p>
          <w:p w:rsidR="00CB3E7D" w:rsidRPr="007847A8" w:rsidP="00CB3E7D">
            <w:pPr>
              <w:pStyle w:val="NormalWeb"/>
              <w:rPr>
                <w:sz w:val="20"/>
                <w:szCs w:val="20"/>
              </w:rPr>
            </w:pPr>
            <w:r w:rsidRPr="007847A8">
              <w:rPr>
                <w:sz w:val="20"/>
                <w:szCs w:val="20"/>
              </w:rPr>
              <w:t>[11] Ú. v. EÚ L 275, 20.10.2005, s. 1. Smernica naposledy zmenená a doplnená nariadením (ES) č. 715/2007 (Ú. v. EÚ L 171, 29.6.2007, s. 1).</w:t>
            </w:r>
          </w:p>
          <w:p w:rsidR="00CB3E7D" w:rsidRPr="00837AAA" w:rsidP="00CB3E7D">
            <w:pPr>
              <w:pStyle w:val="NormalWeb"/>
            </w:pPr>
            <w:r w:rsidRPr="007847A8">
              <w:rPr>
                <w:sz w:val="20"/>
                <w:szCs w:val="20"/>
              </w:rPr>
              <w:t>[12] Ú. v. EÚ L 114, 27.4.2006, s. 64.</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6F3CE1">
              <w:rPr>
                <w:sz w:val="20"/>
              </w:rPr>
              <w:t>NV</w:t>
            </w:r>
          </w:p>
        </w:tc>
        <w:tc>
          <w:tcPr>
            <w:tcW w:w="701" w:type="dxa"/>
            <w:tcBorders>
              <w:bottom w:val="single" w:sz="4" w:space="0" w:color="auto"/>
            </w:tcBorders>
          </w:tcPr>
          <w:p w:rsidR="00CB3E7D" w:rsidP="00CB3E7D">
            <w:pPr>
              <w:jc w:val="both"/>
              <w:rPr>
                <w:sz w:val="20"/>
              </w:rPr>
            </w:pPr>
            <w:r>
              <w:rPr>
                <w:sz w:val="20"/>
              </w:rPr>
              <w:t>Príl.</w:t>
            </w:r>
          </w:p>
          <w:p w:rsidR="00CB3E7D" w:rsidP="00CB3E7D">
            <w:pPr>
              <w:jc w:val="both"/>
              <w:rPr>
                <w:sz w:val="20"/>
              </w:rPr>
            </w:pPr>
            <w:r w:rsidR="006C483A">
              <w:rPr>
                <w:sz w:val="20"/>
              </w:rPr>
              <w:t>12</w:t>
            </w:r>
          </w:p>
          <w:p w:rsidR="005416C3" w:rsidRPr="00390FC1" w:rsidP="00CB3E7D">
            <w:pPr>
              <w:jc w:val="both"/>
              <w:rPr>
                <w:sz w:val="20"/>
              </w:rPr>
            </w:pPr>
            <w:r>
              <w:rPr>
                <w:sz w:val="20"/>
              </w:rPr>
              <w:t>A,B</w:t>
            </w:r>
            <w:r w:rsidR="00D93C04">
              <w:rPr>
                <w:sz w:val="20"/>
              </w:rPr>
              <w:t>,C</w:t>
            </w:r>
          </w:p>
        </w:tc>
        <w:tc>
          <w:tcPr>
            <w:tcW w:w="7797" w:type="dxa"/>
            <w:tcBorders>
              <w:bottom w:val="single" w:sz="4" w:space="0" w:color="auto"/>
            </w:tcBorders>
          </w:tcPr>
          <w:p w:rsidR="00D93C04" w:rsidRPr="00D93C04" w:rsidP="00D93C04">
            <w:pPr>
              <w:pStyle w:val="NormalWeb"/>
              <w:rPr>
                <w:sz w:val="20"/>
                <w:szCs w:val="20"/>
              </w:rPr>
            </w:pPr>
            <w:r w:rsidR="00D1778E">
              <w:rPr>
                <w:sz w:val="20"/>
                <w:szCs w:val="20"/>
              </w:rPr>
              <w:t>MINIMÁLNY  ROZSAH  PROGRAMOV NA ZLEPŠENIE KVALITY OVZDUŠIA A PROGRAMOV STAROSTLIVOSTI O KVALITU OVZDUŠIA</w:t>
            </w:r>
            <w:r w:rsidRPr="00D93C04">
              <w:rPr>
                <w:sz w:val="20"/>
                <w:szCs w:val="20"/>
              </w:rPr>
              <w:t xml:space="preserve"> </w:t>
            </w:r>
          </w:p>
          <w:p w:rsidR="00D93C04" w:rsidRPr="00D93C04" w:rsidP="00D93C04">
            <w:pPr>
              <w:pStyle w:val="NormalWeb"/>
              <w:rPr>
                <w:sz w:val="20"/>
                <w:szCs w:val="20"/>
              </w:rPr>
            </w:pPr>
            <w:r w:rsidRPr="00D93C04">
              <w:rPr>
                <w:sz w:val="20"/>
                <w:szCs w:val="20"/>
              </w:rPr>
              <w:t>A.  Informácie, ktoré majú byť obsiahnuté v programoch na zlepšenie kvality ovzdušia</w:t>
            </w:r>
          </w:p>
          <w:p w:rsidR="00D93C04" w:rsidRPr="00D93C04" w:rsidP="00D93C04">
            <w:pPr>
              <w:pStyle w:val="NormalWeb"/>
              <w:rPr>
                <w:sz w:val="20"/>
                <w:szCs w:val="20"/>
              </w:rPr>
            </w:pPr>
            <w:r w:rsidR="00D1778E">
              <w:rPr>
                <w:sz w:val="20"/>
                <w:szCs w:val="20"/>
              </w:rPr>
              <w:t xml:space="preserve">1.  </w:t>
            </w:r>
            <w:r w:rsidRPr="00D93C04">
              <w:rPr>
                <w:sz w:val="20"/>
                <w:szCs w:val="20"/>
              </w:rPr>
              <w:t>Zodpovedné orgány</w:t>
            </w:r>
          </w:p>
          <w:p w:rsidR="00D93C04" w:rsidRPr="00D93C04" w:rsidP="00D93C04">
            <w:pPr>
              <w:pStyle w:val="NormalWeb"/>
              <w:rPr>
                <w:sz w:val="20"/>
                <w:szCs w:val="20"/>
              </w:rPr>
            </w:pPr>
            <w:r w:rsidRPr="00D93C04">
              <w:rPr>
                <w:sz w:val="20"/>
                <w:szCs w:val="20"/>
              </w:rPr>
              <w:t>Názvy, sídla a kontaktné údaje osôb zodpovedných za vypracovanie a vykonávanie programov a riadenie kvality ovzdušia</w:t>
            </w:r>
          </w:p>
          <w:p w:rsidR="00D93C04" w:rsidRPr="00D93C04" w:rsidP="00D93C04">
            <w:pPr>
              <w:pStyle w:val="NormalWeb"/>
              <w:rPr>
                <w:sz w:val="20"/>
                <w:szCs w:val="20"/>
              </w:rPr>
            </w:pPr>
            <w:r w:rsidR="00D1778E">
              <w:rPr>
                <w:sz w:val="20"/>
                <w:szCs w:val="20"/>
              </w:rPr>
              <w:t xml:space="preserve"> 2. Z</w:t>
            </w:r>
            <w:r w:rsidRPr="00D93C04">
              <w:rPr>
                <w:sz w:val="20"/>
                <w:szCs w:val="20"/>
              </w:rPr>
              <w:t xml:space="preserve">ákladné informácie o území zóny /aglomerácie </w:t>
            </w:r>
          </w:p>
          <w:p w:rsidR="00D93C04" w:rsidRPr="00D93C04" w:rsidP="00D93C04">
            <w:pPr>
              <w:pStyle w:val="NormalWeb"/>
              <w:rPr>
                <w:sz w:val="20"/>
                <w:szCs w:val="20"/>
              </w:rPr>
            </w:pPr>
            <w:r w:rsidRPr="00D93C04">
              <w:rPr>
                <w:sz w:val="20"/>
                <w:szCs w:val="20"/>
              </w:rPr>
              <w:t>2.1  Všeobecné informácie charakterizujúce zónu/aglomeráciu (región, mestá)</w:t>
            </w:r>
          </w:p>
          <w:p w:rsidR="00D93C04" w:rsidRPr="00D93C04" w:rsidP="00D93C04">
            <w:pPr>
              <w:pStyle w:val="NormalWeb"/>
              <w:rPr>
                <w:sz w:val="20"/>
                <w:szCs w:val="20"/>
              </w:rPr>
            </w:pPr>
            <w:r w:rsidRPr="00D93C04">
              <w:rPr>
                <w:sz w:val="20"/>
                <w:szCs w:val="20"/>
              </w:rPr>
              <w:t xml:space="preserve">  -  správne členenie územia</w:t>
            </w:r>
          </w:p>
          <w:p w:rsidR="00D93C04" w:rsidRPr="00D93C04" w:rsidP="00D93C04">
            <w:pPr>
              <w:pStyle w:val="NormalWeb"/>
              <w:rPr>
                <w:sz w:val="20"/>
                <w:szCs w:val="20"/>
              </w:rPr>
            </w:pPr>
            <w:r w:rsidRPr="00D93C04">
              <w:rPr>
                <w:sz w:val="20"/>
                <w:szCs w:val="20"/>
              </w:rPr>
              <w:t xml:space="preserve">-  relevantné údaje o topografii a orografii, </w:t>
            </w:r>
          </w:p>
          <w:p w:rsidR="00D93C04" w:rsidRPr="00D93C04" w:rsidP="00D93C04">
            <w:pPr>
              <w:pStyle w:val="NormalWeb"/>
              <w:rPr>
                <w:sz w:val="20"/>
                <w:szCs w:val="20"/>
              </w:rPr>
            </w:pPr>
            <w:r w:rsidRPr="00D93C04">
              <w:rPr>
                <w:sz w:val="20"/>
                <w:szCs w:val="20"/>
              </w:rPr>
              <w:t xml:space="preserve">-  krajinný ráz  a údaje o využití územia  (mesto, vidiecka oblasť, priemyselná oblasť...) </w:t>
            </w:r>
          </w:p>
          <w:p w:rsidR="00D93C04" w:rsidRPr="00D93C04" w:rsidP="00D93C04">
            <w:pPr>
              <w:pStyle w:val="NormalWeb"/>
              <w:rPr>
                <w:sz w:val="20"/>
                <w:szCs w:val="20"/>
              </w:rPr>
            </w:pPr>
            <w:r w:rsidRPr="00D93C04">
              <w:rPr>
                <w:sz w:val="20"/>
                <w:szCs w:val="20"/>
              </w:rPr>
              <w:t xml:space="preserve">-  hlavné dopravné koridory, sídelné útvary, počet a  hustota obyvateľstva v rámci zóny </w:t>
            </w:r>
          </w:p>
          <w:p w:rsidR="00D93C04" w:rsidRPr="00D93C04" w:rsidP="00D93C04">
            <w:pPr>
              <w:pStyle w:val="NormalWeb"/>
              <w:rPr>
                <w:sz w:val="20"/>
                <w:szCs w:val="20"/>
              </w:rPr>
            </w:pPr>
            <w:r w:rsidRPr="00D93C04">
              <w:rPr>
                <w:sz w:val="20"/>
                <w:szCs w:val="20"/>
              </w:rPr>
              <w:t xml:space="preserve">-  mapy s primeraným priestorovým rozlíšením </w:t>
            </w:r>
          </w:p>
          <w:p w:rsidR="00D93C04" w:rsidRPr="00D93C04" w:rsidP="00D93C04">
            <w:pPr>
              <w:pStyle w:val="NormalWeb"/>
              <w:rPr>
                <w:sz w:val="20"/>
                <w:szCs w:val="20"/>
              </w:rPr>
            </w:pPr>
            <w:r w:rsidR="00D1778E">
              <w:rPr>
                <w:sz w:val="20"/>
                <w:szCs w:val="20"/>
              </w:rPr>
              <w:t xml:space="preserve">2.1 </w:t>
            </w:r>
            <w:r w:rsidRPr="00D93C04">
              <w:rPr>
                <w:sz w:val="20"/>
                <w:szCs w:val="20"/>
              </w:rPr>
              <w:t>Informácie o druhu cieľov, ktoré si v zóne vyžadujú ochranu (vrátane miestnych cieľov)</w:t>
            </w:r>
          </w:p>
          <w:p w:rsidR="00D93C04" w:rsidRPr="00D93C04" w:rsidP="00D93C04">
            <w:pPr>
              <w:pStyle w:val="NormalWeb"/>
              <w:rPr>
                <w:sz w:val="20"/>
                <w:szCs w:val="20"/>
              </w:rPr>
            </w:pPr>
            <w:r w:rsidR="00D1778E">
              <w:rPr>
                <w:sz w:val="20"/>
                <w:szCs w:val="20"/>
              </w:rPr>
              <w:t xml:space="preserve">2.2 </w:t>
            </w:r>
            <w:r w:rsidRPr="00D93C04">
              <w:rPr>
                <w:sz w:val="20"/>
                <w:szCs w:val="20"/>
              </w:rPr>
              <w:t xml:space="preserve">Rozmiestnenie monitorovacích staníc NMSKO (ich súradnice, kódy merací program) vrátane typu oblasti a stanice, monitorovacie stanice iných prevádzkovateľov </w:t>
            </w:r>
          </w:p>
          <w:p w:rsidR="00D93C04" w:rsidRPr="00D93C04" w:rsidP="00D93C04">
            <w:pPr>
              <w:pStyle w:val="NormalWeb"/>
              <w:rPr>
                <w:sz w:val="20"/>
                <w:szCs w:val="20"/>
              </w:rPr>
            </w:pPr>
            <w:r w:rsidR="00D1778E">
              <w:rPr>
                <w:sz w:val="20"/>
                <w:szCs w:val="20"/>
              </w:rPr>
              <w:t xml:space="preserve">3. </w:t>
            </w:r>
            <w:r w:rsidRPr="00D93C04">
              <w:rPr>
                <w:sz w:val="20"/>
                <w:szCs w:val="20"/>
              </w:rPr>
              <w:t xml:space="preserve">Základné informácie charakterizujúce zónu/aglomeráciu vzhľadom na znečistenie ovzdušia a rozptyl </w:t>
            </w:r>
          </w:p>
          <w:p w:rsidR="00D93C04" w:rsidRPr="00D93C04" w:rsidP="00D93C04">
            <w:pPr>
              <w:pStyle w:val="NormalWeb"/>
              <w:rPr>
                <w:sz w:val="20"/>
                <w:szCs w:val="20"/>
              </w:rPr>
            </w:pPr>
            <w:r w:rsidR="00D1778E">
              <w:rPr>
                <w:sz w:val="20"/>
                <w:szCs w:val="20"/>
              </w:rPr>
              <w:t xml:space="preserve">3.1 </w:t>
            </w:r>
            <w:r w:rsidRPr="00D93C04">
              <w:rPr>
                <w:sz w:val="20"/>
                <w:szCs w:val="20"/>
              </w:rPr>
              <w:t>Informácie charakterizujúce zónu/aglomeráciu relevantné z hľadiska znečistenia ovzdušia a rozptylu ZL</w:t>
            </w:r>
          </w:p>
          <w:p w:rsidR="00D93C04" w:rsidRPr="00D93C04" w:rsidP="00D93C04">
            <w:pPr>
              <w:pStyle w:val="NormalWeb"/>
              <w:rPr>
                <w:sz w:val="20"/>
                <w:szCs w:val="20"/>
              </w:rPr>
            </w:pPr>
            <w:r w:rsidR="00D1778E">
              <w:rPr>
                <w:sz w:val="20"/>
                <w:szCs w:val="20"/>
              </w:rPr>
              <w:t xml:space="preserve">3.2 </w:t>
            </w:r>
            <w:r w:rsidRPr="00D93C04">
              <w:rPr>
                <w:sz w:val="20"/>
                <w:szCs w:val="20"/>
              </w:rPr>
              <w:t xml:space="preserve">Užitočné klimatické a meteorologické údaje (veterná ružica, výskyt teplotných inverzií...)  </w:t>
            </w:r>
          </w:p>
          <w:p w:rsidR="00D93C04" w:rsidRPr="00D93C04" w:rsidP="00D93C04">
            <w:pPr>
              <w:pStyle w:val="NormalWeb"/>
              <w:rPr>
                <w:sz w:val="20"/>
                <w:szCs w:val="20"/>
              </w:rPr>
            </w:pPr>
            <w:r w:rsidRPr="00D93C04">
              <w:rPr>
                <w:sz w:val="20"/>
                <w:szCs w:val="20"/>
              </w:rPr>
              <w:t>4.    Hodnotenie znečistenia ovzdušia vrátane  vývoja kvality ovzdušia  v zóne/ aglomerácii</w:t>
            </w:r>
          </w:p>
          <w:p w:rsidR="00D93C04" w:rsidRPr="00D93C04" w:rsidP="00D93C04">
            <w:pPr>
              <w:pStyle w:val="NormalWeb"/>
              <w:rPr>
                <w:sz w:val="20"/>
                <w:szCs w:val="20"/>
              </w:rPr>
            </w:pPr>
            <w:r w:rsidR="00D1778E">
              <w:rPr>
                <w:sz w:val="20"/>
                <w:szCs w:val="20"/>
              </w:rPr>
              <w:t xml:space="preserve">4.1 </w:t>
            </w:r>
            <w:r w:rsidRPr="00D93C04">
              <w:rPr>
                <w:sz w:val="20"/>
                <w:szCs w:val="20"/>
              </w:rPr>
              <w:t>Hodnotenia kvality ovzdušia na základe nameraných koncentrácií znečisťujúcich látok a na základe modelovania (priestorové rozloženie koncentrácií znečisťujúcich látok)</w:t>
            </w:r>
          </w:p>
          <w:p w:rsidR="00D93C04" w:rsidRPr="00D93C04" w:rsidP="00D93C04">
            <w:pPr>
              <w:pStyle w:val="NormalWeb"/>
              <w:rPr>
                <w:sz w:val="20"/>
                <w:szCs w:val="20"/>
              </w:rPr>
            </w:pPr>
            <w:r w:rsidR="00D1778E">
              <w:rPr>
                <w:sz w:val="20"/>
                <w:szCs w:val="20"/>
              </w:rPr>
              <w:t xml:space="preserve">4.2 </w:t>
            </w:r>
            <w:r w:rsidRPr="00D93C04">
              <w:rPr>
                <w:sz w:val="20"/>
                <w:szCs w:val="20"/>
              </w:rPr>
              <w:t>Vývoj kvality ovzdušia (koncentrácie pozorované za predchádzajúce roky pred    vykonávaním opatrení na zlepšenie kvality ovzdušia, koncentrácie namerané od začiatku vykonávania opatrení)</w:t>
            </w:r>
          </w:p>
          <w:p w:rsidR="00D93C04" w:rsidRPr="00D93C04" w:rsidP="00D93C04">
            <w:pPr>
              <w:pStyle w:val="NormalWeb"/>
              <w:rPr>
                <w:sz w:val="20"/>
                <w:szCs w:val="20"/>
              </w:rPr>
            </w:pPr>
            <w:r w:rsidR="00D1778E">
              <w:rPr>
                <w:sz w:val="20"/>
                <w:szCs w:val="20"/>
              </w:rPr>
              <w:t xml:space="preserve">4.3 </w:t>
            </w:r>
            <w:r w:rsidRPr="00D93C04">
              <w:rPr>
                <w:sz w:val="20"/>
                <w:szCs w:val="20"/>
              </w:rPr>
              <w:t xml:space="preserve">Techniky/spôsoby hodnotenia </w:t>
            </w:r>
          </w:p>
          <w:p w:rsidR="00D93C04" w:rsidRPr="00D93C04" w:rsidP="00D93C04">
            <w:pPr>
              <w:pStyle w:val="NormalWeb"/>
              <w:rPr>
                <w:sz w:val="20"/>
                <w:szCs w:val="20"/>
              </w:rPr>
            </w:pPr>
            <w:r w:rsidR="00D1778E">
              <w:rPr>
                <w:sz w:val="20"/>
                <w:szCs w:val="20"/>
              </w:rPr>
              <w:t xml:space="preserve">4.4 </w:t>
            </w:r>
            <w:r w:rsidRPr="00D93C04">
              <w:rPr>
                <w:sz w:val="20"/>
                <w:szCs w:val="20"/>
              </w:rPr>
              <w:t>Priestorové  mapy  distribúcii znečistenia  kľúčových znečisťujúcich látok (pre celú  zónu, pre konkrétnu oblasť riadenia kvality ovzdušia, identifikáciu HOT SPOT-ov)</w:t>
            </w:r>
          </w:p>
          <w:p w:rsidR="00D93C04" w:rsidRPr="00D93C04" w:rsidP="00D93C04">
            <w:pPr>
              <w:pStyle w:val="NormalWeb"/>
              <w:rPr>
                <w:sz w:val="20"/>
                <w:szCs w:val="20"/>
              </w:rPr>
            </w:pPr>
            <w:r w:rsidR="00D1778E">
              <w:rPr>
                <w:sz w:val="20"/>
                <w:szCs w:val="20"/>
              </w:rPr>
              <w:t xml:space="preserve">4.5 </w:t>
            </w:r>
            <w:r w:rsidRPr="00D93C04">
              <w:rPr>
                <w:sz w:val="20"/>
                <w:szCs w:val="20"/>
              </w:rPr>
              <w:t>Vymedzenie oblastí riadenia kvality ovzdušia podľa  § 7 ods. 2  zákona</w:t>
            </w:r>
          </w:p>
          <w:p w:rsidR="00D93C04" w:rsidRPr="00D93C04" w:rsidP="00D93C04">
            <w:pPr>
              <w:pStyle w:val="NormalWeb"/>
              <w:rPr>
                <w:sz w:val="20"/>
                <w:szCs w:val="20"/>
              </w:rPr>
            </w:pPr>
            <w:r w:rsidRPr="00D93C04">
              <w:rPr>
                <w:sz w:val="20"/>
                <w:szCs w:val="20"/>
              </w:rPr>
              <w:t>5.    Pôvod znečistenia ovzdušia v danej zóne/ aglomerácii</w:t>
            </w:r>
          </w:p>
          <w:p w:rsidR="00D93C04" w:rsidRPr="00D93C04" w:rsidP="00D93C04">
            <w:pPr>
              <w:pStyle w:val="NormalWeb"/>
              <w:rPr>
                <w:sz w:val="20"/>
                <w:szCs w:val="20"/>
              </w:rPr>
            </w:pPr>
            <w:r w:rsidR="00D1778E">
              <w:rPr>
                <w:sz w:val="20"/>
                <w:szCs w:val="20"/>
              </w:rPr>
              <w:t xml:space="preserve">5.1 </w:t>
            </w:r>
            <w:r w:rsidRPr="00D93C04">
              <w:rPr>
                <w:sz w:val="20"/>
                <w:szCs w:val="20"/>
              </w:rPr>
              <w:t>Zoznam významných zdrojov emisií, ktoré sú zodpovedné za znečistenie ovzdušia topografické mapy s vyznačením: významných bodových zdrojov znečisťovania ovzdušia (priemysel a pod.), líniových zdrojov (frekventované cestné dopravné koridory), difúznych zdrojov (skládky, lokálne kúreniská, lomy...)</w:t>
            </w:r>
          </w:p>
          <w:p w:rsidR="00D93C04" w:rsidRPr="00D93C04" w:rsidP="00D93C04">
            <w:pPr>
              <w:pStyle w:val="NormalWeb"/>
              <w:rPr>
                <w:sz w:val="20"/>
                <w:szCs w:val="20"/>
              </w:rPr>
            </w:pPr>
            <w:r w:rsidRPr="00D93C04">
              <w:rPr>
                <w:sz w:val="20"/>
                <w:szCs w:val="20"/>
              </w:rPr>
              <w:t>5.2  Celkové množstvo emisií z týchto zdrojov/ sektorov v tonách za rok</w:t>
            </w:r>
          </w:p>
          <w:p w:rsidR="00D93C04" w:rsidRPr="00D93C04" w:rsidP="00D93C04">
            <w:pPr>
              <w:pStyle w:val="NormalWeb"/>
              <w:rPr>
                <w:sz w:val="20"/>
                <w:szCs w:val="20"/>
              </w:rPr>
            </w:pPr>
            <w:r w:rsidRPr="00D93C04">
              <w:rPr>
                <w:sz w:val="20"/>
                <w:szCs w:val="20"/>
              </w:rPr>
              <w:t>5.2  Informácie o znečistení ovzdušia, ktoré pochádza z iných regiónov</w:t>
            </w:r>
          </w:p>
          <w:p w:rsidR="00D93C04" w:rsidRPr="00D93C04" w:rsidP="00D93C04">
            <w:pPr>
              <w:pStyle w:val="NormalWeb"/>
              <w:rPr>
                <w:sz w:val="20"/>
                <w:szCs w:val="20"/>
              </w:rPr>
            </w:pPr>
            <w:r w:rsidRPr="00D93C04">
              <w:rPr>
                <w:sz w:val="20"/>
                <w:szCs w:val="20"/>
              </w:rPr>
              <w:t xml:space="preserve">6.    Analýza situácie  </w:t>
            </w:r>
          </w:p>
          <w:p w:rsidR="00D93C04" w:rsidRPr="00D93C04" w:rsidP="00D93C04">
            <w:pPr>
              <w:pStyle w:val="NormalWeb"/>
              <w:rPr>
                <w:sz w:val="20"/>
                <w:szCs w:val="20"/>
              </w:rPr>
            </w:pPr>
            <w:r w:rsidRPr="00D93C04">
              <w:rPr>
                <w:sz w:val="20"/>
                <w:szCs w:val="20"/>
              </w:rPr>
              <w:t xml:space="preserve">       Cieľom tejto kapitoly je a zhrnutie podielu sektorov zdrojov na znečistení ovzdušia.</w:t>
            </w:r>
          </w:p>
          <w:p w:rsidR="00D93C04" w:rsidRPr="00D93C04" w:rsidP="00D93C04">
            <w:pPr>
              <w:pStyle w:val="NormalWeb"/>
              <w:rPr>
                <w:sz w:val="20"/>
                <w:szCs w:val="20"/>
              </w:rPr>
            </w:pPr>
            <w:r w:rsidRPr="00D93C04">
              <w:rPr>
                <w:sz w:val="20"/>
                <w:szCs w:val="20"/>
              </w:rPr>
              <w:t>6.1 Podrobnosti o faktoroch zodpovedných za prekročenie limitnej hodnoty alebo cieľovej        hodnoty napr. doprava vrátane cezhraničnej dopravy, tvorba sekundárnych znečisťujúcich látok v ovzduší</w:t>
            </w:r>
          </w:p>
          <w:p w:rsidR="00D93C04" w:rsidRPr="00D93C04" w:rsidP="00D93C04">
            <w:pPr>
              <w:pStyle w:val="NormalWeb"/>
              <w:rPr>
                <w:sz w:val="20"/>
                <w:szCs w:val="20"/>
              </w:rPr>
            </w:pPr>
            <w:r w:rsidRPr="00D93C04">
              <w:rPr>
                <w:sz w:val="20"/>
                <w:szCs w:val="20"/>
              </w:rPr>
              <w:t>6.2  Podrobnosti o potenciálnych opatreniach na zlepšenie kvality ovzdušia</w:t>
            </w:r>
          </w:p>
          <w:p w:rsidR="00D93C04" w:rsidRPr="00D93C04" w:rsidP="00D93C04">
            <w:pPr>
              <w:pStyle w:val="NormalWeb"/>
              <w:rPr>
                <w:sz w:val="20"/>
                <w:szCs w:val="20"/>
              </w:rPr>
            </w:pPr>
            <w:r w:rsidRPr="00D93C04">
              <w:rPr>
                <w:sz w:val="20"/>
                <w:szCs w:val="20"/>
              </w:rPr>
              <w:t>7.    Podrobnosti o opatreniach alebo projektoch na zlepšenie kvality ovzdušia, ktoré boli     prijaté pred vypracovaním programu</w:t>
            </w:r>
          </w:p>
          <w:p w:rsidR="00D93C04" w:rsidRPr="00D93C04" w:rsidP="00D93C04">
            <w:pPr>
              <w:pStyle w:val="NormalWeb"/>
              <w:rPr>
                <w:sz w:val="20"/>
                <w:szCs w:val="20"/>
              </w:rPr>
            </w:pPr>
            <w:r w:rsidR="000E7174">
              <w:rPr>
                <w:sz w:val="20"/>
                <w:szCs w:val="20"/>
              </w:rPr>
              <w:t xml:space="preserve">7.1 </w:t>
            </w:r>
            <w:r w:rsidRPr="00D93C04">
              <w:rPr>
                <w:sz w:val="20"/>
                <w:szCs w:val="20"/>
              </w:rPr>
              <w:t>V minulosti prijaté opatrenia na miestnej regionálnej národnej a medzinárodnej úrovni</w:t>
            </w:r>
          </w:p>
          <w:p w:rsidR="00D93C04" w:rsidRPr="00D93C04" w:rsidP="00D93C04">
            <w:pPr>
              <w:pStyle w:val="NormalWeb"/>
              <w:rPr>
                <w:sz w:val="20"/>
                <w:szCs w:val="20"/>
              </w:rPr>
            </w:pPr>
            <w:r w:rsidR="000E7174">
              <w:rPr>
                <w:sz w:val="20"/>
                <w:szCs w:val="20"/>
              </w:rPr>
              <w:t xml:space="preserve">7.2 </w:t>
            </w:r>
            <w:r w:rsidRPr="00D93C04">
              <w:rPr>
                <w:sz w:val="20"/>
                <w:szCs w:val="20"/>
              </w:rPr>
              <w:t>Pozorované účinky týchto opatrení</w:t>
            </w:r>
          </w:p>
          <w:p w:rsidR="00D93C04" w:rsidRPr="00D93C04" w:rsidP="00D93C04">
            <w:pPr>
              <w:pStyle w:val="NormalWeb"/>
              <w:rPr>
                <w:sz w:val="20"/>
                <w:szCs w:val="20"/>
              </w:rPr>
            </w:pPr>
            <w:r w:rsidRPr="00D93C04">
              <w:rPr>
                <w:sz w:val="20"/>
                <w:szCs w:val="20"/>
              </w:rPr>
              <w:t xml:space="preserve">8.    Podrobnosti o opatreniach alebo projektoch vybraných do programu zlepšenia kvality  ovzdušia </w:t>
            </w:r>
          </w:p>
          <w:p w:rsidR="00D1778E" w:rsidP="00D93C04">
            <w:pPr>
              <w:pStyle w:val="NormalWeb"/>
              <w:rPr>
                <w:sz w:val="20"/>
                <w:szCs w:val="20"/>
              </w:rPr>
            </w:pPr>
            <w:r>
              <w:rPr>
                <w:sz w:val="20"/>
                <w:szCs w:val="20"/>
              </w:rPr>
              <w:t xml:space="preserve">8.1 </w:t>
            </w:r>
            <w:r w:rsidRPr="00D93C04" w:rsidR="00D93C04">
              <w:rPr>
                <w:sz w:val="20"/>
                <w:szCs w:val="20"/>
              </w:rPr>
              <w:t>Zoznam prioritných opatrení spolu s kódmi opatrení a ich opis</w:t>
            </w:r>
          </w:p>
          <w:p w:rsidR="00D93C04" w:rsidRPr="00D93C04" w:rsidP="00D93C04">
            <w:pPr>
              <w:pStyle w:val="NormalWeb"/>
              <w:rPr>
                <w:sz w:val="20"/>
                <w:szCs w:val="20"/>
              </w:rPr>
            </w:pPr>
            <w:r w:rsidR="00D1778E">
              <w:rPr>
                <w:sz w:val="20"/>
                <w:szCs w:val="20"/>
              </w:rPr>
              <w:t xml:space="preserve">8.2 </w:t>
            </w:r>
            <w:r w:rsidRPr="00D93C04">
              <w:rPr>
                <w:sz w:val="20"/>
                <w:szCs w:val="20"/>
              </w:rPr>
              <w:t>Prierezové opatrenia,  podporné opatrenia</w:t>
            </w:r>
          </w:p>
          <w:p w:rsidR="00D93C04" w:rsidRPr="00D93C04" w:rsidP="00D93C04">
            <w:pPr>
              <w:pStyle w:val="NormalWeb"/>
              <w:rPr>
                <w:sz w:val="20"/>
                <w:szCs w:val="20"/>
              </w:rPr>
            </w:pPr>
            <w:r w:rsidRPr="00D93C04">
              <w:rPr>
                <w:sz w:val="20"/>
                <w:szCs w:val="20"/>
              </w:rPr>
              <w:t>8.3  Zodpovedné osoby (organizácie) za realizáciu opatrenia</w:t>
            </w:r>
          </w:p>
          <w:p w:rsidR="00D93C04" w:rsidRPr="00D93C04" w:rsidP="00D93C04">
            <w:pPr>
              <w:pStyle w:val="NormalWeb"/>
              <w:rPr>
                <w:sz w:val="20"/>
                <w:szCs w:val="20"/>
              </w:rPr>
            </w:pPr>
            <w:r w:rsidRPr="00D93C04">
              <w:rPr>
                <w:sz w:val="20"/>
                <w:szCs w:val="20"/>
              </w:rPr>
              <w:t>8.4  Časový harmonogram realizácie opatrenia</w:t>
            </w:r>
          </w:p>
          <w:p w:rsidR="00D93C04" w:rsidRPr="00D93C04" w:rsidP="00D93C04">
            <w:pPr>
              <w:pStyle w:val="NormalWeb"/>
              <w:rPr>
                <w:sz w:val="20"/>
                <w:szCs w:val="20"/>
              </w:rPr>
            </w:pPr>
            <w:r w:rsidRPr="00D93C04">
              <w:rPr>
                <w:sz w:val="20"/>
                <w:szCs w:val="20"/>
              </w:rPr>
              <w:t xml:space="preserve">8.5  Ustanovené  indikátory na sledovanie  plnenia jednotlivých krokov realizácie vybraných  opatrenia </w:t>
            </w:r>
          </w:p>
          <w:p w:rsidR="00D93C04" w:rsidRPr="00D93C04" w:rsidP="00D93C04">
            <w:pPr>
              <w:pStyle w:val="NormalWeb"/>
              <w:rPr>
                <w:sz w:val="20"/>
                <w:szCs w:val="20"/>
              </w:rPr>
            </w:pPr>
            <w:r w:rsidRPr="00D93C04">
              <w:rPr>
                <w:sz w:val="20"/>
                <w:szCs w:val="20"/>
              </w:rPr>
              <w:t>8.6  Predpoklad zlepšenia kvality ovzdušia a čas potrebný na dosiahnutie týchto cieľov</w:t>
            </w:r>
          </w:p>
          <w:p w:rsidR="00D93C04" w:rsidRPr="00D93C04" w:rsidP="00D93C04">
            <w:pPr>
              <w:pStyle w:val="NormalWeb"/>
              <w:rPr>
                <w:sz w:val="20"/>
                <w:szCs w:val="20"/>
              </w:rPr>
            </w:pPr>
            <w:r w:rsidRPr="00D93C04">
              <w:rPr>
                <w:sz w:val="20"/>
                <w:szCs w:val="20"/>
              </w:rPr>
              <w:t>9.    Podrobnosti o dlhodobo plánovaných alebo skúmaných opatreniach alebo projektoch</w:t>
            </w:r>
          </w:p>
          <w:p w:rsidR="00D93C04" w:rsidRPr="00D93C04" w:rsidP="00D93C04">
            <w:pPr>
              <w:pStyle w:val="NormalWeb"/>
              <w:rPr>
                <w:sz w:val="20"/>
                <w:szCs w:val="20"/>
              </w:rPr>
            </w:pPr>
            <w:r w:rsidRPr="00D93C04">
              <w:rPr>
                <w:sz w:val="20"/>
                <w:szCs w:val="20"/>
              </w:rPr>
              <w:t>10. Zoznam publikácií, dokumentov alebo prác, ktoré sa použili na doplnenie informácií a údajov uvedených v bodoch č. 1 až 9.</w:t>
            </w:r>
          </w:p>
          <w:p w:rsidR="00D1778E" w:rsidP="00D93C04">
            <w:pPr>
              <w:pStyle w:val="NormalWeb"/>
              <w:rPr>
                <w:sz w:val="20"/>
                <w:szCs w:val="20"/>
              </w:rPr>
            </w:pPr>
            <w:r w:rsidRPr="00D93C04" w:rsidR="00D93C04">
              <w:rPr>
                <w:sz w:val="20"/>
                <w:szCs w:val="20"/>
              </w:rPr>
              <w:t xml:space="preserve">11.  Príloha </w:t>
            </w:r>
          </w:p>
          <w:p w:rsidR="00D93C04" w:rsidRPr="00D93C04" w:rsidP="00D93C04">
            <w:pPr>
              <w:pStyle w:val="NormalWeb"/>
              <w:rPr>
                <w:sz w:val="20"/>
                <w:szCs w:val="20"/>
              </w:rPr>
            </w:pPr>
            <w:r w:rsidRPr="00D93C04">
              <w:rPr>
                <w:sz w:val="20"/>
                <w:szCs w:val="20"/>
              </w:rPr>
              <w:t>Pre každé vybrané opatrenie  treba vyplniť identifikačný list opatrenia, ktorý bude súčasťou prílohy programu zlepšenia kvality ovzdušia.</w:t>
            </w:r>
          </w:p>
          <w:p w:rsidR="00D93C04" w:rsidRPr="00D93C04" w:rsidP="00D93C04">
            <w:pPr>
              <w:pStyle w:val="NormalWeb"/>
              <w:rPr>
                <w:sz w:val="20"/>
                <w:szCs w:val="20"/>
              </w:rPr>
            </w:pPr>
            <w:r w:rsidRPr="00D93C04">
              <w:rPr>
                <w:sz w:val="20"/>
                <w:szCs w:val="20"/>
              </w:rPr>
              <w:t>B.   Doplňujúce informácie v programoch na zlepšenie kvality ovzdušia</w:t>
            </w:r>
          </w:p>
          <w:p w:rsidR="00D93C04" w:rsidRPr="00D93C04" w:rsidP="00D93C04">
            <w:pPr>
              <w:pStyle w:val="NormalWeb"/>
              <w:rPr>
                <w:sz w:val="20"/>
                <w:szCs w:val="20"/>
              </w:rPr>
            </w:pPr>
            <w:r w:rsidR="000C12D6">
              <w:rPr>
                <w:sz w:val="20"/>
                <w:szCs w:val="20"/>
              </w:rPr>
              <w:t xml:space="preserve">1. </w:t>
            </w:r>
            <w:r w:rsidRPr="00D93C04">
              <w:rPr>
                <w:sz w:val="20"/>
                <w:szCs w:val="20"/>
              </w:rPr>
              <w:t>Informácie o stave vykonávania predpisov vydaných na vykonanie zákona a iných osobitných predpisov.</w:t>
            </w:r>
            <w:r w:rsidRPr="000C12D6" w:rsidR="000C12D6">
              <w:rPr>
                <w:sz w:val="20"/>
                <w:szCs w:val="20"/>
                <w:vertAlign w:val="superscript"/>
              </w:rPr>
              <w:t>24</w:t>
            </w:r>
            <w:r w:rsidRPr="00D93C04">
              <w:rPr>
                <w:sz w:val="20"/>
                <w:szCs w:val="20"/>
              </w:rPr>
              <w:t>)</w:t>
            </w:r>
          </w:p>
          <w:p w:rsidR="00D93C04" w:rsidRPr="00D93C04" w:rsidP="00D93C04">
            <w:pPr>
              <w:pStyle w:val="NormalWeb"/>
              <w:rPr>
                <w:sz w:val="20"/>
                <w:szCs w:val="20"/>
              </w:rPr>
            </w:pPr>
            <w:r w:rsidR="000C12D6">
              <w:rPr>
                <w:sz w:val="20"/>
                <w:szCs w:val="20"/>
              </w:rPr>
              <w:t xml:space="preserve">2. </w:t>
            </w:r>
            <w:r w:rsidRPr="00D93C04">
              <w:rPr>
                <w:sz w:val="20"/>
                <w:szCs w:val="20"/>
              </w:rPr>
              <w:t>Informácie o všetkých opatreniach na znižovanie znečistenia ovzdušia, ktorých vykonávanie sa zvažovalo na primeranej miestnej, regionálnej a celoštátnej úrovni v súvislosti s dosahovaním cieľov v kvalite ovzdušia vrátane:</w:t>
            </w:r>
          </w:p>
          <w:p w:rsidR="00D93C04" w:rsidRPr="00D93C04" w:rsidP="00D93C04">
            <w:pPr>
              <w:pStyle w:val="NormalWeb"/>
              <w:rPr>
                <w:sz w:val="20"/>
                <w:szCs w:val="20"/>
              </w:rPr>
            </w:pPr>
            <w:r w:rsidR="000C12D6">
              <w:rPr>
                <w:sz w:val="20"/>
                <w:szCs w:val="20"/>
              </w:rPr>
              <w:t xml:space="preserve">a) </w:t>
            </w:r>
            <w:r w:rsidRPr="00D93C04">
              <w:rPr>
                <w:sz w:val="20"/>
                <w:szCs w:val="20"/>
              </w:rPr>
              <w:t>znižovania emisií zo stacionárnych zdrojov tým, že sa zabezpečí, aby zariadenia na spaľovanie palív s tepelným príkonom do 50 MW, vrátane zariadení na spaľovanie biomasy, boli vybavené zariadením na riadenie emisií alebo, aby boli nahradené,</w:t>
            </w:r>
          </w:p>
          <w:p w:rsidR="00D93C04" w:rsidRPr="00D93C04" w:rsidP="00D93C04">
            <w:pPr>
              <w:pStyle w:val="NormalWeb"/>
              <w:rPr>
                <w:sz w:val="20"/>
                <w:szCs w:val="20"/>
              </w:rPr>
            </w:pPr>
            <w:r w:rsidR="000C12D6">
              <w:rPr>
                <w:sz w:val="20"/>
                <w:szCs w:val="20"/>
              </w:rPr>
              <w:t xml:space="preserve">b) </w:t>
            </w:r>
            <w:r w:rsidRPr="00D93C04">
              <w:rPr>
                <w:sz w:val="20"/>
                <w:szCs w:val="20"/>
              </w:rPr>
              <w:t>znižovania emisií z vozidiel prostredníctvom dodatočného vybavenia zariadeniami na kontrolu emisií; malo by sa zvážiť využívanie ekonomických stimulov na urýchlené osvojenie opatrení,</w:t>
            </w:r>
          </w:p>
          <w:p w:rsidR="00D93C04" w:rsidRPr="00D93C04" w:rsidP="00D93C04">
            <w:pPr>
              <w:pStyle w:val="NormalWeb"/>
              <w:rPr>
                <w:sz w:val="20"/>
                <w:szCs w:val="20"/>
              </w:rPr>
            </w:pPr>
            <w:r w:rsidR="000C12D6">
              <w:rPr>
                <w:sz w:val="20"/>
                <w:szCs w:val="20"/>
              </w:rPr>
              <w:t xml:space="preserve">c) </w:t>
            </w:r>
            <w:r w:rsidRPr="00D93C04">
              <w:rPr>
                <w:sz w:val="20"/>
                <w:szCs w:val="20"/>
              </w:rPr>
              <w:t>obstarávania zo strany verejných orgánov v súlade s metodikou o zelenom verejnom obstarávaní</w:t>
            </w:r>
            <w:r w:rsidRPr="000C12D6" w:rsidR="000C12D6">
              <w:rPr>
                <w:sz w:val="20"/>
                <w:szCs w:val="20"/>
                <w:vertAlign w:val="superscript"/>
              </w:rPr>
              <w:t>25</w:t>
            </w:r>
            <w:r w:rsidRPr="00D93C04">
              <w:rPr>
                <w:sz w:val="20"/>
                <w:szCs w:val="20"/>
              </w:rPr>
              <w:t>), ktorého predmetom sú cestné vozidlá, palivá a koncové spaľovacie zariadenia na zníženie emisií, vrátane nákupu nových vozidiel vrátane ekologických nízkoemisných vozidiel</w:t>
            </w:r>
            <w:r w:rsidRPr="000C12D6" w:rsidR="000C12D6">
              <w:rPr>
                <w:sz w:val="20"/>
                <w:szCs w:val="20"/>
                <w:vertAlign w:val="superscript"/>
              </w:rPr>
              <w:t>26</w:t>
            </w:r>
            <w:r w:rsidRPr="00D93C04">
              <w:rPr>
                <w:sz w:val="20"/>
                <w:szCs w:val="20"/>
              </w:rPr>
              <w:t>), čistejších dopravných automobilových služieb, nízkoemisných zariadení na spaľovanie palív a nízkoemisných palív pre stacionárne a mobilné zdroje,</w:t>
            </w:r>
          </w:p>
          <w:p w:rsidR="00D93C04" w:rsidRPr="00D93C04" w:rsidP="00D93C04">
            <w:pPr>
              <w:pStyle w:val="NormalWeb"/>
              <w:rPr>
                <w:sz w:val="20"/>
                <w:szCs w:val="20"/>
              </w:rPr>
            </w:pPr>
            <w:r w:rsidR="000C12D6">
              <w:rPr>
                <w:sz w:val="20"/>
                <w:szCs w:val="20"/>
              </w:rPr>
              <w:t xml:space="preserve">d) </w:t>
            </w:r>
            <w:r w:rsidRPr="00D93C04">
              <w:rPr>
                <w:sz w:val="20"/>
                <w:szCs w:val="20"/>
              </w:rPr>
              <w:t>opatrení na obmedzenie emisií z dopravy prostredníctvom plánovania a riadenia dopravy vrátane stanovenia poplatkov za dopravné zaťaženie, zriaďovania nízkoemisných zón, diferencovania parkovacích poplatkov a ostatných ekonomických stimulov</w:t>
            </w:r>
          </w:p>
          <w:p w:rsidR="00D93C04" w:rsidRPr="00D93C04" w:rsidP="00D93C04">
            <w:pPr>
              <w:pStyle w:val="NormalWeb"/>
              <w:rPr>
                <w:sz w:val="20"/>
                <w:szCs w:val="20"/>
              </w:rPr>
            </w:pPr>
            <w:r w:rsidR="000C12D6">
              <w:rPr>
                <w:sz w:val="20"/>
                <w:szCs w:val="20"/>
              </w:rPr>
              <w:t xml:space="preserve">e) </w:t>
            </w:r>
            <w:r w:rsidRPr="00D93C04">
              <w:rPr>
                <w:sz w:val="20"/>
                <w:szCs w:val="20"/>
              </w:rPr>
              <w:t>opatrení na podporu zmeny dopravy na menej znečisťujúce druhy,</w:t>
            </w:r>
          </w:p>
          <w:p w:rsidR="00D93C04" w:rsidRPr="00D93C04" w:rsidP="00D93C04">
            <w:pPr>
              <w:pStyle w:val="NormalWeb"/>
              <w:rPr>
                <w:sz w:val="20"/>
                <w:szCs w:val="20"/>
              </w:rPr>
            </w:pPr>
            <w:r w:rsidR="000C12D6">
              <w:rPr>
                <w:sz w:val="20"/>
                <w:szCs w:val="20"/>
              </w:rPr>
              <w:t xml:space="preserve">f) </w:t>
            </w:r>
            <w:r w:rsidRPr="00D93C04">
              <w:rPr>
                <w:sz w:val="20"/>
                <w:szCs w:val="20"/>
              </w:rPr>
              <w:t>zabezpečenia využívania nízkoemisných palív v malých, stredných a veľkých stacionárnych zdrojoch a v mobilných zdrojoch,</w:t>
            </w:r>
          </w:p>
          <w:p w:rsidR="00D93C04" w:rsidRPr="00D93C04" w:rsidP="00D93C04">
            <w:pPr>
              <w:pStyle w:val="NormalWeb"/>
              <w:rPr>
                <w:sz w:val="20"/>
                <w:szCs w:val="20"/>
              </w:rPr>
            </w:pPr>
            <w:r w:rsidR="000C12D6">
              <w:rPr>
                <w:sz w:val="20"/>
                <w:szCs w:val="20"/>
              </w:rPr>
              <w:t xml:space="preserve">g) </w:t>
            </w:r>
            <w:r w:rsidRPr="00D93C04">
              <w:rPr>
                <w:sz w:val="20"/>
                <w:szCs w:val="20"/>
              </w:rPr>
              <w:t>opatrení na zníženie znečisťovania ovzdušia uplatňovaných v integrovaných povoleniach a opatrení využívajúcich ekonomické nástroje, ako sú dane, poplatky alebo obchodovanie s emisiami,</w:t>
            </w:r>
          </w:p>
          <w:p w:rsidR="00D93C04" w:rsidRPr="00D93C04" w:rsidP="00D93C04">
            <w:pPr>
              <w:pStyle w:val="NormalWeb"/>
              <w:rPr>
                <w:sz w:val="20"/>
                <w:szCs w:val="20"/>
              </w:rPr>
            </w:pPr>
            <w:r w:rsidR="000C12D6">
              <w:rPr>
                <w:sz w:val="20"/>
                <w:szCs w:val="20"/>
              </w:rPr>
              <w:t xml:space="preserve">h) </w:t>
            </w:r>
            <w:r w:rsidRPr="00D93C04">
              <w:rPr>
                <w:sz w:val="20"/>
                <w:szCs w:val="20"/>
              </w:rPr>
              <w:t>opatrení na ochranu zdravia detí alebo iných citlivých skupín obyvateľstva, ak je to žiaduce.</w:t>
            </w:r>
          </w:p>
          <w:p w:rsidR="00D93C04" w:rsidRPr="00D93C04" w:rsidP="00D93C04">
            <w:pPr>
              <w:pStyle w:val="NormalWeb"/>
              <w:rPr>
                <w:sz w:val="20"/>
                <w:szCs w:val="20"/>
              </w:rPr>
            </w:pPr>
          </w:p>
          <w:p w:rsidR="00D93C04" w:rsidRPr="00D93C04" w:rsidP="00D93C04">
            <w:pPr>
              <w:pStyle w:val="NormalWeb"/>
              <w:rPr>
                <w:sz w:val="20"/>
                <w:szCs w:val="20"/>
              </w:rPr>
            </w:pPr>
            <w:r w:rsidRPr="00D93C04">
              <w:rPr>
                <w:sz w:val="20"/>
                <w:szCs w:val="20"/>
              </w:rPr>
              <w:t>C.   Informácie, ktoré majú byť obsiahnuté v programoch starostlivosti o kvalitu ovzdušia</w:t>
            </w:r>
          </w:p>
          <w:p w:rsidR="00CB3E7D" w:rsidP="00D93C04">
            <w:pPr>
              <w:pStyle w:val="NormalWeb"/>
              <w:rPr>
                <w:sz w:val="20"/>
                <w:szCs w:val="20"/>
              </w:rPr>
            </w:pPr>
            <w:r w:rsidRPr="00D93C04" w:rsidR="00D93C04">
              <w:rPr>
                <w:sz w:val="20"/>
                <w:szCs w:val="20"/>
              </w:rPr>
              <w:t>V programoch starostlivosti o kvalitu ovzdušia majú byť obsiahnuté minimálne údaje z časti A.</w:t>
            </w:r>
          </w:p>
          <w:p w:rsidR="00AC61CE" w:rsidRPr="00AC61CE" w:rsidP="00840F4A">
            <w:pPr>
              <w:pStyle w:val="FootnoteText"/>
              <w:spacing w:before="0"/>
              <w:ind w:left="0" w:firstLine="0"/>
              <w:rPr>
                <w:color w:val="000000"/>
                <w:sz w:val="18"/>
                <w:szCs w:val="18"/>
              </w:rPr>
            </w:pPr>
            <w:r>
              <w:rPr>
                <w:rStyle w:val="FootnoteReference"/>
              </w:rPr>
              <w:t>24</w:t>
            </w:r>
            <w:r>
              <w:t>)</w:t>
            </w:r>
            <w:r w:rsidRPr="00AC61CE">
              <w:rPr>
                <w:color w:val="000000"/>
                <w:sz w:val="18"/>
                <w:szCs w:val="18"/>
              </w:rPr>
              <w:t>Zákon č. 39/2013 Z. z. o integrovanej prevencii a kontrole znečisťovania životného prostredia a zmene a doplnení niektorých zákonov v znení neskorších predpisov.</w:t>
            </w:r>
          </w:p>
          <w:p w:rsidR="00AC61CE" w:rsidRPr="00AC61CE" w:rsidP="00840F4A">
            <w:pPr>
              <w:pStyle w:val="FootnoteText"/>
              <w:spacing w:before="0"/>
              <w:rPr>
                <w:color w:val="000000"/>
                <w:sz w:val="18"/>
                <w:szCs w:val="18"/>
                <w:lang w:eastAsia="sk-SK" w:bidi="sk-SK"/>
              </w:rPr>
            </w:pPr>
            <w:r w:rsidRPr="00AC61CE">
              <w:rPr>
                <w:color w:val="000000"/>
                <w:sz w:val="18"/>
                <w:szCs w:val="18"/>
                <w:lang w:eastAsia="sk-SK"/>
              </w:rPr>
              <w:t>Zákon č. 476/2008 Z. z. o efektívnosti pri používaní energie (zákon o energ</w:t>
            </w:r>
            <w:r>
              <w:rPr>
                <w:color w:val="000000"/>
                <w:sz w:val="18"/>
                <w:szCs w:val="18"/>
                <w:lang w:eastAsia="sk-SK"/>
              </w:rPr>
              <w:t xml:space="preserve">etickej efektívnosti) a o zmene </w:t>
            </w:r>
            <w:r w:rsidRPr="00AC61CE">
              <w:rPr>
                <w:color w:val="000000"/>
                <w:sz w:val="18"/>
                <w:szCs w:val="18"/>
                <w:lang w:eastAsia="sk-SK"/>
              </w:rPr>
              <w:t>a doplnení zákona č. 555/2005 Z. z. o energetickej hospodárnosti budov a o zmene a doplnení niektorých zákonov v znení zákona č. 17/2007 Z. z.</w:t>
            </w:r>
            <w:r w:rsidRPr="00AC61CE">
              <w:rPr>
                <w:sz w:val="18"/>
                <w:szCs w:val="18"/>
                <w:lang w:eastAsia="sk-SK"/>
              </w:rPr>
              <w:t xml:space="preserve"> </w:t>
            </w:r>
            <w:r w:rsidRPr="00AC61CE">
              <w:rPr>
                <w:color w:val="000000"/>
                <w:sz w:val="18"/>
                <w:szCs w:val="18"/>
                <w:lang w:eastAsia="sk-SK" w:bidi="sk-SK"/>
              </w:rPr>
              <w:t>v znení neskorších predpisov.</w:t>
            </w:r>
          </w:p>
          <w:p w:rsidR="00AC61CE" w:rsidRPr="00AC61CE" w:rsidP="00840F4A">
            <w:pPr>
              <w:pStyle w:val="FootnoteText"/>
              <w:spacing w:before="0"/>
              <w:rPr>
                <w:b/>
                <w:color w:val="000000"/>
                <w:sz w:val="18"/>
                <w:szCs w:val="18"/>
                <w:lang w:eastAsia="sk-SK" w:bidi="sk-SK"/>
              </w:rPr>
            </w:pPr>
            <w:r w:rsidRPr="00AC61CE">
              <w:rPr>
                <w:color w:val="000000"/>
                <w:sz w:val="18"/>
                <w:szCs w:val="18"/>
                <w:lang w:eastAsia="sk-SK"/>
              </w:rPr>
              <w:t xml:space="preserve">Nariadenie vlády Slovenskej republiky č. </w:t>
            </w:r>
            <w:r w:rsidRPr="00AC61CE">
              <w:rPr>
                <w:color w:val="000000"/>
                <w:sz w:val="18"/>
                <w:szCs w:val="18"/>
                <w:lang w:eastAsia="sk-SK" w:bidi="sk-SK"/>
              </w:rPr>
              <w:t xml:space="preserve">429/2012 Z. z., ktorým sa zrušuje nariadenie vlády Slovenskej republiky č. </w:t>
            </w:r>
            <w:hyperlink r:id="rId8" w:tooltip="Odkaz na predpis alebo ustanovenie" w:history="1">
              <w:r w:rsidRPr="00AC61CE">
                <w:rPr>
                  <w:rStyle w:val="Hyperlink"/>
                  <w:color w:val="000000"/>
                  <w:sz w:val="18"/>
                  <w:szCs w:val="18"/>
                  <w:lang w:eastAsia="sk-SK" w:bidi="sk-SK"/>
                </w:rPr>
                <w:t>367/2006 Z. z.</w:t>
              </w:r>
            </w:hyperlink>
            <w:r w:rsidRPr="00AC61CE">
              <w:rPr>
                <w:color w:val="000000"/>
                <w:sz w:val="18"/>
                <w:szCs w:val="18"/>
                <w:lang w:eastAsia="sk-SK" w:bidi="sk-SK"/>
              </w:rPr>
              <w:t xml:space="preserve"> o technických požiadavkách na zníženie emisií zo zážihových motorov a vznetových motorov motorových vozidiel v znení nariadenia vlády Slovenskej republiky č. 179/2007 Z. z</w:t>
            </w:r>
            <w:r w:rsidRPr="00AC61CE">
              <w:rPr>
                <w:b/>
                <w:color w:val="000000"/>
                <w:sz w:val="18"/>
                <w:szCs w:val="18"/>
                <w:lang w:eastAsia="sk-SK" w:bidi="sk-SK"/>
              </w:rPr>
              <w:t>.</w:t>
            </w:r>
          </w:p>
          <w:p w:rsidR="00AC61CE" w:rsidRPr="00AC61CE" w:rsidP="00840F4A">
            <w:pPr>
              <w:pStyle w:val="FootnoteText"/>
              <w:spacing w:before="0"/>
              <w:rPr>
                <w:color w:val="000000"/>
                <w:sz w:val="18"/>
                <w:szCs w:val="18"/>
                <w:lang w:eastAsia="sk-SK"/>
              </w:rPr>
            </w:pPr>
            <w:r w:rsidRPr="00AC61CE">
              <w:rPr>
                <w:color w:val="000000"/>
                <w:sz w:val="18"/>
                <w:szCs w:val="18"/>
                <w:lang w:eastAsia="sk-SK"/>
              </w:rPr>
              <w:t>Nariadenie vlády Slovenskej republiky č. 370/2006 Z. z. o opatreniach na zníženie emisií zo spaľovacích motorov inštalovaných v necestných strojoch.</w:t>
            </w:r>
          </w:p>
          <w:p w:rsidR="00AC61CE" w:rsidRPr="00AC61CE" w:rsidP="00840F4A">
            <w:pPr>
              <w:pStyle w:val="FootnoteText"/>
              <w:spacing w:before="0"/>
              <w:rPr>
                <w:sz w:val="18"/>
                <w:szCs w:val="18"/>
              </w:rPr>
            </w:pPr>
            <w:r w:rsidRPr="00AC61CE">
              <w:rPr>
                <w:color w:val="000000"/>
                <w:sz w:val="18"/>
                <w:szCs w:val="18"/>
                <w:lang w:eastAsia="sk-SK"/>
              </w:rPr>
              <w:t xml:space="preserve">Nariadenie vlády </w:t>
            </w:r>
            <w:r w:rsidRPr="00AC61CE">
              <w:rPr>
                <w:color w:val="000000"/>
                <w:sz w:val="18"/>
                <w:szCs w:val="18"/>
                <w:lang w:eastAsia="sk-SK" w:bidi="sk-SK"/>
              </w:rPr>
              <w:t xml:space="preserve">Slovenskej republiky </w:t>
            </w:r>
            <w:r w:rsidRPr="00AC61CE">
              <w:rPr>
                <w:color w:val="000000"/>
                <w:sz w:val="18"/>
                <w:szCs w:val="18"/>
                <w:lang w:eastAsia="sk-SK"/>
              </w:rPr>
              <w:t xml:space="preserve">č. 393/2013 Z. z. </w:t>
            </w:r>
            <w:r w:rsidRPr="00AC61CE">
              <w:rPr>
                <w:color w:val="000000"/>
                <w:sz w:val="18"/>
                <w:szCs w:val="18"/>
                <w:lang w:eastAsia="sk-SK" w:bidi="sk-SK"/>
              </w:rPr>
              <w:t>ktorým sa zrušuje nariadenie vlády Slovenskej republiky č. 369/2006 Z. z. o technických požiadavkách na výkon motorov motorových vozidiel a nariadenie vlády Slovenskej republiky č. 583/2006 Z. z. o technických požiadavkách na zníženie emisií znečisťujúcich látok zo vznetových motorov a zo zážihových motorov poháňaných zemným plynom alebo skvapalneným ropným plynom v znení neskorších predpisov.</w:t>
            </w:r>
          </w:p>
          <w:p w:rsidR="00AC61CE" w:rsidRPr="00AC61CE" w:rsidP="00840F4A">
            <w:pPr>
              <w:pStyle w:val="FootnoteText"/>
              <w:spacing w:before="0"/>
              <w:ind w:left="0" w:firstLine="0"/>
              <w:rPr>
                <w:sz w:val="18"/>
                <w:szCs w:val="18"/>
              </w:rPr>
            </w:pPr>
            <w:r w:rsidRPr="00AC61CE">
              <w:rPr>
                <w:sz w:val="18"/>
                <w:szCs w:val="18"/>
                <w:vertAlign w:val="superscript"/>
              </w:rPr>
              <w:t>25</w:t>
            </w:r>
            <w:r w:rsidRPr="00AC61CE">
              <w:rPr>
                <w:color w:val="000000"/>
                <w:sz w:val="18"/>
                <w:szCs w:val="18"/>
                <w:lang w:eastAsia="sk-SK" w:bidi="sk-SK"/>
              </w:rPr>
              <w:t>) Zákon č. 343/2015 Z. z. o verejnom obstarávaní v zenní neskorších predpisov.</w:t>
            </w:r>
          </w:p>
          <w:p w:rsidR="00AC61CE" w:rsidRPr="006A0BA8" w:rsidP="00840F4A">
            <w:pPr>
              <w:pStyle w:val="NormalWeb"/>
              <w:jc w:val="both"/>
              <w:rPr>
                <w:sz w:val="20"/>
                <w:szCs w:val="20"/>
              </w:rPr>
            </w:pPr>
            <w:r w:rsidRPr="00AC61CE">
              <w:rPr>
                <w:sz w:val="18"/>
                <w:szCs w:val="18"/>
                <w:vertAlign w:val="superscript"/>
              </w:rPr>
              <w:t>26</w:t>
            </w:r>
            <w:r w:rsidRPr="00AC61CE">
              <w:rPr>
                <w:sz w:val="18"/>
                <w:szCs w:val="18"/>
              </w:rPr>
              <w:t xml:space="preserve">) </w:t>
            </w:r>
            <w:r w:rsidRPr="00AC61CE">
              <w:rPr>
                <w:color w:val="000000"/>
                <w:sz w:val="18"/>
                <w:szCs w:val="18"/>
                <w:lang w:bidi="sk-SK"/>
              </w:rPr>
              <w:t>Zákon č. 214/2021 Z. z. o podpore ekologických vozidiel cestnej dopravy a o zmene a doplnení niektorých zákonov.</w:t>
            </w:r>
          </w:p>
        </w:tc>
        <w:tc>
          <w:tcPr>
            <w:tcW w:w="708" w:type="dxa"/>
            <w:tcBorders>
              <w:bottom w:val="single" w:sz="4" w:space="0" w:color="auto"/>
            </w:tcBorders>
          </w:tcPr>
          <w:p w:rsidR="00CB3E7D" w:rsidRPr="00390FC1" w:rsidP="00CB3E7D">
            <w:pPr>
              <w:jc w:val="both"/>
              <w:rPr>
                <w:sz w:val="20"/>
              </w:rPr>
            </w:pPr>
            <w:r>
              <w:rPr>
                <w:sz w:val="20"/>
              </w:rPr>
              <w:t>Ú</w:t>
            </w:r>
          </w:p>
        </w:tc>
        <w:tc>
          <w:tcPr>
            <w:tcW w:w="1130" w:type="dxa"/>
            <w:tcBorders>
              <w:bottom w:val="single" w:sz="4" w:space="0" w:color="auto"/>
            </w:tcBorders>
          </w:tcPr>
          <w:p w:rsidR="00CB3E7D" w:rsidRPr="00390FC1"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16</w:t>
            </w:r>
          </w:p>
        </w:tc>
        <w:tc>
          <w:tcPr>
            <w:tcW w:w="4074" w:type="dxa"/>
            <w:tcBorders>
              <w:bottom w:val="single" w:sz="4" w:space="0" w:color="auto"/>
            </w:tcBorders>
          </w:tcPr>
          <w:p w:rsidR="00CB3E7D" w:rsidRPr="007847A8" w:rsidP="00CB3E7D">
            <w:pPr>
              <w:pStyle w:val="NormalWeb"/>
              <w:rPr>
                <w:sz w:val="20"/>
                <w:szCs w:val="20"/>
              </w:rPr>
            </w:pPr>
            <w:r w:rsidRPr="00390FC1">
              <w:rPr>
                <w:sz w:val="20"/>
                <w:szCs w:val="20"/>
              </w:rPr>
              <w:t>Informácie pre verejnosť</w:t>
            </w:r>
          </w:p>
          <w:p w:rsidR="00CB3E7D" w:rsidRPr="007847A8" w:rsidP="00CB3E7D">
            <w:pPr>
              <w:pStyle w:val="NormalWeb"/>
              <w:rPr>
                <w:sz w:val="20"/>
                <w:szCs w:val="20"/>
              </w:rPr>
            </w:pPr>
            <w:r w:rsidRPr="007847A8">
              <w:rPr>
                <w:sz w:val="20"/>
                <w:szCs w:val="20"/>
              </w:rPr>
              <w:t>1. Členské štáty zabezpečia, aby sa aktuálne informácie o koncentráciách znečisťujúcich látok v okolitom ovzduší, na ktoré sa vzťahuje táto smernica, bežne sprístupňovali verejnosti.</w:t>
            </w:r>
          </w:p>
          <w:p w:rsidR="00CB3E7D" w:rsidRPr="007847A8" w:rsidP="00CB3E7D">
            <w:pPr>
              <w:pStyle w:val="NormalWeb"/>
              <w:rPr>
                <w:sz w:val="20"/>
                <w:szCs w:val="20"/>
              </w:rPr>
            </w:pPr>
            <w:r w:rsidRPr="007847A8">
              <w:rPr>
                <w:sz w:val="20"/>
                <w:szCs w:val="20"/>
              </w:rPr>
              <w:t>2. Poskytnuté koncentrácie v okolitom ovzduší sa oznámia vo forme priemerných hodnôt v rámci príslušného priemerovaného obdobia, ako je ustanovené v prílohe VII a v prílohách XI až XIV. Informácie uvádzajú aspoň všetky úrovne prekračujúce ciele kvality ovzdušia vrátane limitných hodnôt, cieľových hodnôt, výstražných prahov, informačných prahov alebo dlhodobých cieľov pre regulované znečisťujúce látky. Poskytnú aj krátke hodnotenie v súvislosti s cieľmi kvality ovzdušia a vhodné informácie o vplyvoch na zdravie, prípadne na vegetáciu.</w:t>
            </w:r>
          </w:p>
          <w:p w:rsidR="00CB3E7D" w:rsidRPr="007847A8" w:rsidP="00CB3E7D">
            <w:pPr>
              <w:pStyle w:val="NormalWeb"/>
              <w:rPr>
                <w:sz w:val="20"/>
                <w:szCs w:val="20"/>
              </w:rPr>
            </w:pPr>
            <w:r w:rsidRPr="007847A8">
              <w:rPr>
                <w:sz w:val="20"/>
                <w:szCs w:val="20"/>
              </w:rPr>
              <w:t>3. Informácie o koncentráciách oxidu siričitého, oxidu dusičitého, suspendovaných častíc (aspoň PM10), ozónu a oxidu uhoľnatého v okolitom ovzduší sa aktualizujú aspoň raz denne, a ak je to možné, aktualizujú sa každú hodinu. Informácie o koncentráciách olova a benzénu v okolitom ovzduší uvádzané ako priemerná hodnota za posledných 12 mesiacov sa aktualizujú každé tri mesiace, a ak je to možné, každý mesiac.</w:t>
            </w:r>
          </w:p>
          <w:p w:rsidR="00CB3E7D" w:rsidRPr="007847A8" w:rsidP="00CB3E7D">
            <w:pPr>
              <w:pStyle w:val="NormalWeb"/>
              <w:rPr>
                <w:sz w:val="20"/>
                <w:szCs w:val="20"/>
              </w:rPr>
            </w:pPr>
            <w:r w:rsidRPr="007847A8">
              <w:rPr>
                <w:sz w:val="20"/>
                <w:szCs w:val="20"/>
              </w:rPr>
              <w:t>4. Členské štáty zabezpečia, aby sa verejnosti poskytovali včasné informácie o skutočných alebo predpokladaných prekročeniach výstražných prahov a akýchkoľvek informačných prahov. Poskytované údaje obsahujú aspoň tieto informácie:</w:t>
            </w:r>
          </w:p>
          <w:p w:rsidR="00CB3E7D" w:rsidRPr="007847A8" w:rsidP="00CB3E7D">
            <w:pPr>
              <w:pStyle w:val="NormalWeb"/>
              <w:rPr>
                <w:sz w:val="20"/>
                <w:szCs w:val="20"/>
              </w:rPr>
            </w:pPr>
            <w:r w:rsidRPr="007847A8">
              <w:rPr>
                <w:sz w:val="20"/>
                <w:szCs w:val="20"/>
              </w:rPr>
              <w:t>a) informácie o pozorovaných prekročeniach:</w:t>
            </w:r>
          </w:p>
          <w:p w:rsidR="00CB3E7D" w:rsidRPr="007847A8" w:rsidP="00CB3E7D">
            <w:pPr>
              <w:pStyle w:val="NormalWeb"/>
              <w:rPr>
                <w:sz w:val="20"/>
                <w:szCs w:val="20"/>
              </w:rPr>
            </w:pPr>
            <w:r w:rsidRPr="007847A8">
              <w:rPr>
                <w:sz w:val="20"/>
                <w:szCs w:val="20"/>
              </w:rPr>
              <w:t>- miesto alebo oblasť prekročenia,</w:t>
            </w:r>
          </w:p>
          <w:p w:rsidR="00CB3E7D" w:rsidRPr="007847A8" w:rsidP="00CB3E7D">
            <w:pPr>
              <w:pStyle w:val="NormalWeb"/>
              <w:rPr>
                <w:sz w:val="20"/>
                <w:szCs w:val="20"/>
              </w:rPr>
            </w:pPr>
            <w:r w:rsidRPr="007847A8">
              <w:rPr>
                <w:sz w:val="20"/>
                <w:szCs w:val="20"/>
              </w:rPr>
              <w:t>- druh prekročeného prahu (informačný alebo výstražný),</w:t>
            </w:r>
          </w:p>
          <w:p w:rsidR="00CB3E7D" w:rsidRPr="007847A8" w:rsidP="00CB3E7D">
            <w:pPr>
              <w:pStyle w:val="NormalWeb"/>
              <w:rPr>
                <w:sz w:val="20"/>
                <w:szCs w:val="20"/>
              </w:rPr>
            </w:pPr>
            <w:r w:rsidRPr="007847A8">
              <w:rPr>
                <w:sz w:val="20"/>
                <w:szCs w:val="20"/>
              </w:rPr>
              <w:t>- čas začiatku a trvanie prekročenia,</w:t>
            </w:r>
          </w:p>
          <w:p w:rsidR="00CB3E7D" w:rsidRPr="007847A8" w:rsidP="00CB3E7D">
            <w:pPr>
              <w:pStyle w:val="NormalWeb"/>
              <w:rPr>
                <w:sz w:val="20"/>
                <w:szCs w:val="20"/>
              </w:rPr>
            </w:pPr>
            <w:r w:rsidRPr="007847A8">
              <w:rPr>
                <w:sz w:val="20"/>
                <w:szCs w:val="20"/>
              </w:rPr>
              <w:t>- najvyššiu 1-hodinovú koncentráciu a v prípade ozónu aj najvyššiu 8-hodinovú strednú hodnotu koncentrácie;</w:t>
            </w:r>
          </w:p>
          <w:p w:rsidR="00CB3E7D" w:rsidRPr="007847A8" w:rsidP="00CB3E7D">
            <w:pPr>
              <w:pStyle w:val="NormalWeb"/>
              <w:rPr>
                <w:sz w:val="20"/>
                <w:szCs w:val="20"/>
              </w:rPr>
            </w:pPr>
            <w:r w:rsidRPr="007847A8">
              <w:rPr>
                <w:sz w:val="20"/>
                <w:szCs w:val="20"/>
              </w:rPr>
              <w:t>b) predpoveď na nasledujúce popoludnie/deň (dni):</w:t>
            </w:r>
          </w:p>
          <w:p w:rsidR="00CB3E7D" w:rsidRPr="007847A8" w:rsidP="00CB3E7D">
            <w:pPr>
              <w:pStyle w:val="NormalWeb"/>
              <w:rPr>
                <w:sz w:val="20"/>
                <w:szCs w:val="20"/>
              </w:rPr>
            </w:pPr>
            <w:r w:rsidRPr="007847A8">
              <w:rPr>
                <w:sz w:val="20"/>
                <w:szCs w:val="20"/>
              </w:rPr>
              <w:t>- zemepisnú oblasť očakávaných prekročení informačného a/alebo výstražného prahu,</w:t>
            </w:r>
          </w:p>
          <w:p w:rsidR="00CB3E7D" w:rsidRPr="007847A8" w:rsidP="00CB3E7D">
            <w:pPr>
              <w:pStyle w:val="NormalWeb"/>
              <w:rPr>
                <w:sz w:val="20"/>
                <w:szCs w:val="20"/>
              </w:rPr>
            </w:pPr>
            <w:r w:rsidRPr="007847A8">
              <w:rPr>
                <w:sz w:val="20"/>
                <w:szCs w:val="20"/>
              </w:rPr>
              <w:t>- predpokladané zmeny znečistenia (zlepšenie, stabilizácia alebo zhoršenie) spolu s dôvodmi týchto zmien;</w:t>
            </w:r>
          </w:p>
          <w:p w:rsidR="00CB3E7D" w:rsidRPr="007847A8" w:rsidP="00CB3E7D">
            <w:pPr>
              <w:pStyle w:val="NormalWeb"/>
              <w:rPr>
                <w:sz w:val="20"/>
                <w:szCs w:val="20"/>
              </w:rPr>
            </w:pPr>
            <w:r w:rsidRPr="007847A8">
              <w:rPr>
                <w:sz w:val="20"/>
                <w:szCs w:val="20"/>
              </w:rPr>
              <w:t>c) informácie o type dotknutého obyvateľstva, možných vplyvoch na zdravie a odporúčanom správaní:</w:t>
            </w:r>
          </w:p>
          <w:p w:rsidR="00CB3E7D" w:rsidRPr="007847A8" w:rsidP="00CB3E7D">
            <w:pPr>
              <w:pStyle w:val="NormalWeb"/>
              <w:rPr>
                <w:sz w:val="20"/>
                <w:szCs w:val="20"/>
              </w:rPr>
            </w:pPr>
            <w:r w:rsidRPr="007847A8">
              <w:rPr>
                <w:sz w:val="20"/>
                <w:szCs w:val="20"/>
              </w:rPr>
              <w:t>- informácie o ohrozených skupinách obyvateľstva,</w:t>
            </w:r>
          </w:p>
          <w:p w:rsidR="00CB3E7D" w:rsidRPr="007847A8" w:rsidP="00CB3E7D">
            <w:pPr>
              <w:pStyle w:val="NormalWeb"/>
              <w:rPr>
                <w:sz w:val="20"/>
                <w:szCs w:val="20"/>
              </w:rPr>
            </w:pPr>
            <w:r w:rsidRPr="007847A8">
              <w:rPr>
                <w:sz w:val="20"/>
                <w:szCs w:val="20"/>
              </w:rPr>
              <w:t>- opis pravdepodobných príznakov,</w:t>
            </w:r>
          </w:p>
          <w:p w:rsidR="00CB3E7D" w:rsidRPr="007847A8" w:rsidP="00CB3E7D">
            <w:pPr>
              <w:pStyle w:val="NormalWeb"/>
              <w:rPr>
                <w:sz w:val="20"/>
                <w:szCs w:val="20"/>
              </w:rPr>
            </w:pPr>
            <w:r w:rsidRPr="007847A8">
              <w:rPr>
                <w:sz w:val="20"/>
                <w:szCs w:val="20"/>
              </w:rPr>
              <w:t>- odporúčané predbežné opatrenia, ktoré by malo prijať dotknuté obyvateľstvo,</w:t>
            </w:r>
          </w:p>
          <w:p w:rsidR="00CB3E7D" w:rsidRPr="007847A8" w:rsidP="00CB3E7D">
            <w:pPr>
              <w:pStyle w:val="NormalWeb"/>
              <w:rPr>
                <w:sz w:val="20"/>
                <w:szCs w:val="20"/>
              </w:rPr>
            </w:pPr>
            <w:r w:rsidRPr="007847A8">
              <w:rPr>
                <w:sz w:val="20"/>
                <w:szCs w:val="20"/>
              </w:rPr>
              <w:t>- kde je možné nájsť ďalšie informácie;</w:t>
            </w:r>
          </w:p>
          <w:p w:rsidR="00CB3E7D" w:rsidRPr="007847A8" w:rsidP="00CB3E7D">
            <w:pPr>
              <w:pStyle w:val="NormalWeb"/>
              <w:rPr>
                <w:sz w:val="20"/>
                <w:szCs w:val="20"/>
              </w:rPr>
            </w:pPr>
            <w:r w:rsidRPr="007847A8">
              <w:rPr>
                <w:sz w:val="20"/>
                <w:szCs w:val="20"/>
              </w:rPr>
              <w:t>d) informácie o preventívnych opatreniach na zníženie znečistenia a/alebo expozície tomuto znečisteniu: označenie odvetví s hlavnými zdrojmi, odporúčania opatrení na zníženie emisií;</w:t>
            </w:r>
          </w:p>
          <w:p w:rsidR="00CB3E7D" w:rsidRPr="007847A8" w:rsidP="00CB3E7D">
            <w:pPr>
              <w:pStyle w:val="NormalWeb"/>
            </w:pPr>
            <w:r w:rsidRPr="007847A8">
              <w:rPr>
                <w:sz w:val="20"/>
                <w:szCs w:val="20"/>
              </w:rPr>
              <w:t>e) v prípade predpovedaných prekročení podnikne členský štát kroky na zabezpečenie poskytovania údajov v uskutočniteľnom rozsahu.</w:t>
            </w:r>
          </w:p>
        </w:tc>
        <w:tc>
          <w:tcPr>
            <w:tcW w:w="747" w:type="dxa"/>
            <w:tcBorders>
              <w:bottom w:val="single" w:sz="4" w:space="0" w:color="auto"/>
            </w:tcBorders>
          </w:tcPr>
          <w:p w:rsidR="00CB3E7D" w:rsidRPr="00390FC1" w:rsidP="00CB3E7D">
            <w:pPr>
              <w:jc w:val="both"/>
              <w:rPr>
                <w:sz w:val="20"/>
              </w:rPr>
            </w:pPr>
            <w:r w:rsidRPr="00390FC1">
              <w:rPr>
                <w:sz w:val="20"/>
              </w:rPr>
              <w:t>N</w:t>
            </w:r>
          </w:p>
        </w:tc>
        <w:tc>
          <w:tcPr>
            <w:tcW w:w="574" w:type="dxa"/>
            <w:tcBorders>
              <w:bottom w:val="single" w:sz="4" w:space="0" w:color="auto"/>
            </w:tcBorders>
          </w:tcPr>
          <w:p w:rsidR="00CB3E7D" w:rsidRPr="00390FC1" w:rsidP="00CB3E7D">
            <w:pPr>
              <w:jc w:val="both"/>
              <w:rPr>
                <w:sz w:val="20"/>
              </w:rPr>
            </w:pPr>
            <w:r w:rsidR="006C483A">
              <w:rPr>
                <w:sz w:val="20"/>
              </w:rPr>
              <w:t>NV</w:t>
            </w:r>
          </w:p>
        </w:tc>
        <w:tc>
          <w:tcPr>
            <w:tcW w:w="701" w:type="dxa"/>
            <w:tcBorders>
              <w:bottom w:val="single" w:sz="4" w:space="0" w:color="auto"/>
            </w:tcBorders>
          </w:tcPr>
          <w:p w:rsidR="00CB3E7D" w:rsidP="00CB3E7D">
            <w:pPr>
              <w:jc w:val="both"/>
              <w:rPr>
                <w:sz w:val="20"/>
              </w:rPr>
            </w:pPr>
            <w:r>
              <w:rPr>
                <w:sz w:val="20"/>
              </w:rPr>
              <w:t>Príl.</w:t>
            </w:r>
            <w:r w:rsidR="006C483A">
              <w:rPr>
                <w:sz w:val="20"/>
              </w:rPr>
              <w:t>13</w:t>
            </w:r>
          </w:p>
          <w:p w:rsidR="00CB3E7D" w:rsidRPr="00390FC1" w:rsidP="00CB3E7D">
            <w:pPr>
              <w:jc w:val="both"/>
              <w:rPr>
                <w:sz w:val="20"/>
              </w:rPr>
            </w:pPr>
            <w:r w:rsidR="005416C3">
              <w:rPr>
                <w:sz w:val="20"/>
              </w:rPr>
              <w:t>A</w:t>
            </w:r>
          </w:p>
        </w:tc>
        <w:tc>
          <w:tcPr>
            <w:tcW w:w="7797" w:type="dxa"/>
            <w:tcBorders>
              <w:bottom w:val="single" w:sz="4" w:space="0" w:color="auto"/>
            </w:tcBorders>
          </w:tcPr>
          <w:p w:rsidR="00D93C04" w:rsidRPr="00D93C04" w:rsidP="00D93C04">
            <w:pPr>
              <w:pStyle w:val="CommentText"/>
              <w:jc w:val="center"/>
            </w:pPr>
            <w:r w:rsidRPr="006C483A" w:rsidR="006C483A">
              <w:br w:type="page"/>
            </w:r>
            <w:r w:rsidRPr="00D93C04">
              <w:t>PODROBNOSTI O INFORMÁCIÁCH A ÚDAJOCH O KVALITE OVZDUŠIA, KTORÉ SA SPRÍSTUPŇUJÚ VEREJNOSTI</w:t>
            </w:r>
          </w:p>
          <w:p w:rsidR="00D93C04" w:rsidRPr="00D93C04" w:rsidP="00D93C04">
            <w:pPr>
              <w:keepNext/>
              <w:keepLines/>
              <w:spacing w:after="120"/>
              <w:contextualSpacing/>
              <w:jc w:val="both"/>
              <w:rPr>
                <w:sz w:val="20"/>
                <w:lang w:eastAsia="sk-SK"/>
              </w:rPr>
            </w:pPr>
          </w:p>
          <w:p w:rsidR="00D93C04" w:rsidRPr="00D93C04" w:rsidP="00D93C04">
            <w:pPr>
              <w:keepNext/>
              <w:keepLines/>
              <w:spacing w:before="120" w:after="120"/>
              <w:jc w:val="both"/>
              <w:rPr>
                <w:sz w:val="20"/>
                <w:lang w:eastAsia="sk-SK"/>
              </w:rPr>
            </w:pPr>
            <w:r w:rsidRPr="00D93C04">
              <w:rPr>
                <w:sz w:val="20"/>
                <w:lang w:eastAsia="sk-SK"/>
              </w:rPr>
              <w:t xml:space="preserve">A. Informácie o kvalite ovzdušia </w:t>
            </w:r>
          </w:p>
          <w:p w:rsidR="00D93C04" w:rsidRPr="00D93C04" w:rsidP="00D93C04">
            <w:pPr>
              <w:keepNext/>
              <w:keepLines/>
              <w:ind w:left="284" w:hanging="284"/>
              <w:contextualSpacing/>
              <w:jc w:val="both"/>
              <w:rPr>
                <w:sz w:val="20"/>
                <w:lang w:eastAsia="sk-SK"/>
              </w:rPr>
            </w:pPr>
            <w:r w:rsidRPr="00D93C04">
              <w:rPr>
                <w:sz w:val="20"/>
                <w:lang w:eastAsia="sk-SK"/>
              </w:rPr>
              <w:t>Informácie o kvalite  ovzdušia obsahujú najmä</w:t>
            </w:r>
          </w:p>
          <w:p w:rsidR="00D93C04" w:rsidRPr="00D93C04" w:rsidP="00D93C04">
            <w:pPr>
              <w:keepNext/>
              <w:keepLines/>
              <w:spacing w:after="120"/>
              <w:ind w:left="284" w:hanging="284"/>
              <w:jc w:val="both"/>
              <w:rPr>
                <w:sz w:val="20"/>
                <w:lang w:eastAsia="sk-SK"/>
              </w:rPr>
            </w:pPr>
            <w:r w:rsidRPr="00D93C04">
              <w:rPr>
                <w:sz w:val="20"/>
                <w:lang w:eastAsia="sk-SK"/>
              </w:rPr>
              <w:t>1. Aktuálne informácie o koncentráciách znečisťujúcich látok v ovzduší, pre ktoré sa hodnotí a riadi kvalita ovzdušia.</w:t>
            </w:r>
          </w:p>
          <w:p w:rsidR="00D93C04" w:rsidRPr="00D93C04" w:rsidP="00D93C04">
            <w:pPr>
              <w:keepNext/>
              <w:keepLines/>
              <w:spacing w:before="120" w:after="120"/>
              <w:ind w:left="284" w:hanging="284"/>
              <w:jc w:val="both"/>
              <w:rPr>
                <w:sz w:val="20"/>
                <w:lang w:eastAsia="sk-SK"/>
              </w:rPr>
            </w:pPr>
            <w:r w:rsidRPr="00D93C04">
              <w:rPr>
                <w:sz w:val="20"/>
                <w:lang w:eastAsia="sk-SK"/>
              </w:rPr>
              <w:t>2. Koncentrácie znečisťujúcich látok v ovzduší sa oznamujú vo forme priemerných hodnôt v rámci príslušného priemerovaného obdobia ustanoveného v prílohách č. 1 až 4 a 10. V informáciách sa uvádzajú najmenej všetky úrovne znečistenia ovzdušia prekračujúce ciele v kvalite ovzdušia vrátane limitných hodnôt, cieľových hodnôt, výstražných prahov, informačných prahov alebo dlhodobých cieľov pre regulované znečisťujúce látky. Poskytne sa aj krátke hodnotenie v súvislosti s cieľmi v kvalite ovzdušia a vhodné informácie o vplyvoch na zdravie ľudí, alebo na vegetáciu.</w:t>
            </w:r>
          </w:p>
          <w:p w:rsidR="00D93C04" w:rsidRPr="00D93C04" w:rsidP="00D93C04">
            <w:pPr>
              <w:keepNext/>
              <w:keepLines/>
              <w:spacing w:before="120" w:after="120"/>
              <w:ind w:left="284" w:hanging="284"/>
              <w:jc w:val="both"/>
              <w:rPr>
                <w:sz w:val="20"/>
                <w:lang w:eastAsia="sk-SK"/>
              </w:rPr>
            </w:pPr>
            <w:r w:rsidRPr="00D93C04">
              <w:rPr>
                <w:sz w:val="20"/>
                <w:lang w:eastAsia="sk-SK"/>
              </w:rPr>
              <w:t>3. Informácie o koncentráciách oxidu siričitého, oxidu dusičitého, suspendovaných častíc – aspoň PM</w:t>
            </w:r>
            <w:r w:rsidRPr="00C867E9">
              <w:rPr>
                <w:sz w:val="20"/>
                <w:vertAlign w:val="subscript"/>
                <w:lang w:eastAsia="sk-SK"/>
              </w:rPr>
              <w:t xml:space="preserve">2,5 </w:t>
            </w:r>
            <w:r w:rsidRPr="00D93C04">
              <w:rPr>
                <w:sz w:val="20"/>
                <w:lang w:eastAsia="sk-SK"/>
              </w:rPr>
              <w:t>, PM</w:t>
            </w:r>
            <w:r w:rsidRPr="00C867E9">
              <w:rPr>
                <w:sz w:val="20"/>
                <w:vertAlign w:val="subscript"/>
                <w:lang w:eastAsia="sk-SK"/>
              </w:rPr>
              <w:t>10</w:t>
            </w:r>
            <w:r w:rsidRPr="00D93C04">
              <w:rPr>
                <w:sz w:val="20"/>
                <w:lang w:eastAsia="sk-SK"/>
              </w:rPr>
              <w:t>, ozónu a oxidu uhoľnatého v ovzduší sa aktualizujú aspoň raz denne, a ak je to možné aktualizujú sa každú hodinu. Informácie o koncentráciách olova a benzénu v ovzduší uvádzané ako priemerná hodnota za posledných 12 mesiacov sa aktualizujú každé tri mesiace, a ak je to možné aktualizujú sa každý mesiac.</w:t>
            </w:r>
          </w:p>
          <w:p w:rsidR="00D93C04" w:rsidRPr="00D93C04" w:rsidP="00D93C04">
            <w:pPr>
              <w:keepNext/>
              <w:keepLines/>
              <w:spacing w:before="120" w:after="120"/>
              <w:ind w:left="284" w:hanging="284"/>
              <w:jc w:val="both"/>
              <w:rPr>
                <w:sz w:val="20"/>
                <w:lang w:eastAsia="sk-SK"/>
              </w:rPr>
            </w:pPr>
            <w:r w:rsidRPr="00D93C04">
              <w:rPr>
                <w:sz w:val="20"/>
                <w:lang w:eastAsia="sk-SK"/>
              </w:rPr>
              <w:t>4. Pri skutočných alebo predpokladaných prekročeniach výstražných prahov a informačných prahov sa poskytujú údaje, ktoré obsahujú aspoň tieto informácie</w:t>
            </w:r>
          </w:p>
          <w:p w:rsidR="00D93C04" w:rsidRPr="00D93C04" w:rsidP="00001268">
            <w:pPr>
              <w:keepNext/>
              <w:keepLines/>
              <w:tabs>
                <w:tab w:val="left" w:pos="709"/>
              </w:tabs>
              <w:spacing w:after="120"/>
              <w:jc w:val="both"/>
              <w:rPr>
                <w:sz w:val="20"/>
                <w:lang w:eastAsia="sk-SK"/>
              </w:rPr>
            </w:pPr>
            <w:r w:rsidRPr="00D93C04">
              <w:rPr>
                <w:sz w:val="20"/>
                <w:lang w:eastAsia="sk-SK"/>
              </w:rPr>
              <w:t xml:space="preserve">4.1. </w:t>
              <w:tab/>
              <w:t>Informácie o pozorovaných prekročeniach</w:t>
            </w:r>
          </w:p>
          <w:p w:rsidR="00D93C04" w:rsidRPr="00D93C04" w:rsidP="00D93C04">
            <w:pPr>
              <w:keepNext/>
              <w:keepLines/>
              <w:numPr>
                <w:ilvl w:val="1"/>
                <w:numId w:val="30"/>
              </w:numPr>
              <w:spacing w:after="120"/>
              <w:ind w:left="1134"/>
              <w:jc w:val="both"/>
              <w:rPr>
                <w:sz w:val="20"/>
                <w:lang w:eastAsia="sk-SK"/>
              </w:rPr>
            </w:pPr>
            <w:r w:rsidRPr="00D93C04">
              <w:rPr>
                <w:sz w:val="20"/>
                <w:lang w:eastAsia="sk-SK"/>
              </w:rPr>
              <w:t>miesto alebo oblasť prekročenia,</w:t>
            </w:r>
          </w:p>
          <w:p w:rsidR="00D93C04" w:rsidRPr="00D93C04" w:rsidP="00D93C04">
            <w:pPr>
              <w:keepNext/>
              <w:keepLines/>
              <w:numPr>
                <w:ilvl w:val="1"/>
                <w:numId w:val="30"/>
              </w:numPr>
              <w:spacing w:after="120"/>
              <w:ind w:left="1134"/>
              <w:jc w:val="both"/>
              <w:rPr>
                <w:sz w:val="20"/>
                <w:lang w:eastAsia="sk-SK"/>
              </w:rPr>
            </w:pPr>
            <w:r w:rsidRPr="00D93C04">
              <w:rPr>
                <w:sz w:val="20"/>
                <w:lang w:eastAsia="sk-SK"/>
              </w:rPr>
              <w:t>druh prekročeného prahu - informačný prah alebo výstražný prah,</w:t>
            </w:r>
          </w:p>
          <w:p w:rsidR="00D93C04" w:rsidRPr="00D93C04" w:rsidP="00D93C04">
            <w:pPr>
              <w:keepNext/>
              <w:keepLines/>
              <w:numPr>
                <w:ilvl w:val="1"/>
                <w:numId w:val="30"/>
              </w:numPr>
              <w:spacing w:after="120"/>
              <w:ind w:left="1134"/>
              <w:jc w:val="both"/>
              <w:rPr>
                <w:sz w:val="20"/>
                <w:lang w:eastAsia="sk-SK"/>
              </w:rPr>
            </w:pPr>
            <w:r w:rsidRPr="00D93C04">
              <w:rPr>
                <w:sz w:val="20"/>
                <w:lang w:eastAsia="sk-SK"/>
              </w:rPr>
              <w:t>čas začiatku a trvanie prekročenia,</w:t>
            </w:r>
          </w:p>
          <w:p w:rsidR="00D93C04" w:rsidRPr="00D93C04" w:rsidP="00D93C04">
            <w:pPr>
              <w:keepNext/>
              <w:keepLines/>
              <w:numPr>
                <w:ilvl w:val="1"/>
                <w:numId w:val="30"/>
              </w:numPr>
              <w:spacing w:after="120"/>
              <w:ind w:left="1134"/>
              <w:jc w:val="both"/>
              <w:rPr>
                <w:sz w:val="20"/>
                <w:lang w:eastAsia="sk-SK"/>
              </w:rPr>
            </w:pPr>
            <w:r w:rsidRPr="00D93C04">
              <w:rPr>
                <w:sz w:val="20"/>
                <w:lang w:eastAsia="sk-SK"/>
              </w:rPr>
              <w:t>najvyššiu 1-hodinovú koncentráciu a pri ozóne aj najvyššiu 8-hodinovú strednú hodnotu koncentrácie,</w:t>
            </w:r>
          </w:p>
          <w:p w:rsidR="00D93C04" w:rsidRPr="00D93C04" w:rsidP="00D93C04">
            <w:pPr>
              <w:keepNext/>
              <w:keepLines/>
              <w:numPr>
                <w:ilvl w:val="1"/>
                <w:numId w:val="30"/>
              </w:numPr>
              <w:spacing w:after="120"/>
              <w:ind w:left="1134"/>
              <w:jc w:val="both"/>
              <w:rPr>
                <w:sz w:val="20"/>
                <w:lang w:eastAsia="sk-SK"/>
              </w:rPr>
            </w:pPr>
            <w:r w:rsidRPr="00D93C04">
              <w:rPr>
                <w:sz w:val="20"/>
                <w:lang w:eastAsia="sk-SK"/>
              </w:rPr>
              <w:t>najvyššiu 3-hodinovú koncentráciu pri PM</w:t>
            </w:r>
            <w:r w:rsidRPr="00C867E9">
              <w:rPr>
                <w:sz w:val="20"/>
                <w:vertAlign w:val="subscript"/>
                <w:lang w:eastAsia="sk-SK"/>
              </w:rPr>
              <w:t>10</w:t>
            </w:r>
            <w:r w:rsidRPr="00D93C04">
              <w:rPr>
                <w:sz w:val="20"/>
                <w:lang w:eastAsia="sk-SK"/>
              </w:rPr>
              <w:t>, oxide siričitom alebo oxide dusičitom.</w:t>
            </w:r>
          </w:p>
          <w:p w:rsidR="00D93C04" w:rsidRPr="00D93C04" w:rsidP="00001268">
            <w:pPr>
              <w:keepNext/>
              <w:keepLines/>
              <w:tabs>
                <w:tab w:val="left" w:pos="709"/>
              </w:tabs>
              <w:spacing w:after="120"/>
              <w:jc w:val="both"/>
              <w:rPr>
                <w:sz w:val="20"/>
                <w:lang w:eastAsia="sk-SK"/>
              </w:rPr>
            </w:pPr>
            <w:r w:rsidRPr="00D93C04">
              <w:rPr>
                <w:sz w:val="20"/>
                <w:lang w:eastAsia="sk-SK"/>
              </w:rPr>
              <w:t xml:space="preserve">4.2 </w:t>
              <w:tab/>
              <w:t>Predpoveď na nasledujúce popoludnie/deň/dni</w:t>
            </w:r>
          </w:p>
          <w:p w:rsidR="00D93C04" w:rsidRPr="00D93C04" w:rsidP="00D93C04">
            <w:pPr>
              <w:pStyle w:val="ListParagraph"/>
              <w:keepNext/>
              <w:keepLines/>
              <w:numPr>
                <w:ilvl w:val="0"/>
                <w:numId w:val="32"/>
              </w:numPr>
              <w:spacing w:before="60" w:line="240" w:lineRule="auto"/>
              <w:ind w:left="1134" w:hanging="283"/>
              <w:contextualSpacing w:val="0"/>
              <w:jc w:val="both"/>
              <w:rPr>
                <w:sz w:val="20"/>
                <w:szCs w:val="20"/>
              </w:rPr>
            </w:pPr>
            <w:r w:rsidRPr="00D93C04">
              <w:rPr>
                <w:sz w:val="20"/>
                <w:szCs w:val="20"/>
              </w:rPr>
              <w:t>zemepisnú oblasť očakávaných prekročení informačného a výstražného prahu,</w:t>
            </w:r>
          </w:p>
          <w:p w:rsidR="00D93C04" w:rsidRPr="00D93C04" w:rsidP="00D93C04">
            <w:pPr>
              <w:pStyle w:val="ListParagraph"/>
              <w:keepNext/>
              <w:keepLines/>
              <w:numPr>
                <w:ilvl w:val="0"/>
                <w:numId w:val="32"/>
              </w:numPr>
              <w:spacing w:before="60" w:line="240" w:lineRule="auto"/>
              <w:ind w:left="1134" w:hanging="283"/>
              <w:contextualSpacing w:val="0"/>
              <w:jc w:val="both"/>
              <w:rPr>
                <w:sz w:val="20"/>
                <w:szCs w:val="20"/>
              </w:rPr>
            </w:pPr>
            <w:r w:rsidRPr="00D93C04">
              <w:rPr>
                <w:sz w:val="20"/>
                <w:szCs w:val="20"/>
              </w:rPr>
              <w:t>predpokladané zmeny znečistenia ovzdušia napr. zlepšenie, stabilizácia alebo zhoršenie spolu s dôvodmi týchto zmien.</w:t>
            </w:r>
          </w:p>
          <w:p w:rsidR="00D93C04" w:rsidRPr="00D93C04" w:rsidP="00001268">
            <w:pPr>
              <w:keepNext/>
              <w:keepLines/>
              <w:spacing w:after="120"/>
              <w:jc w:val="both"/>
              <w:rPr>
                <w:sz w:val="20"/>
                <w:lang w:eastAsia="sk-SK"/>
              </w:rPr>
            </w:pPr>
            <w:r w:rsidRPr="00D93C04">
              <w:rPr>
                <w:sz w:val="20"/>
                <w:lang w:eastAsia="sk-SK"/>
              </w:rPr>
              <w:t>4.3 Informácie o dotknutom obyvateľstve, možných vplyvoch na zdravie a odporúčanom správaní</w:t>
            </w:r>
          </w:p>
          <w:p w:rsidR="00D93C04" w:rsidRPr="00D93C04" w:rsidP="00D93C04">
            <w:pPr>
              <w:keepNext/>
              <w:keepLines/>
              <w:numPr>
                <w:ilvl w:val="0"/>
                <w:numId w:val="31"/>
              </w:numPr>
              <w:spacing w:after="120"/>
              <w:jc w:val="both"/>
              <w:rPr>
                <w:sz w:val="20"/>
                <w:lang w:eastAsia="sk-SK"/>
              </w:rPr>
            </w:pPr>
            <w:r w:rsidRPr="00D93C04">
              <w:rPr>
                <w:sz w:val="20"/>
                <w:lang w:eastAsia="sk-SK"/>
              </w:rPr>
              <w:t>informácie o ohrozených skupinách obyvateľstva,</w:t>
            </w:r>
          </w:p>
          <w:p w:rsidR="00D93C04" w:rsidRPr="00D93C04" w:rsidP="00D93C04">
            <w:pPr>
              <w:keepNext/>
              <w:keepLines/>
              <w:numPr>
                <w:ilvl w:val="0"/>
                <w:numId w:val="31"/>
              </w:numPr>
              <w:spacing w:after="120"/>
              <w:jc w:val="both"/>
              <w:rPr>
                <w:sz w:val="20"/>
                <w:lang w:eastAsia="sk-SK"/>
              </w:rPr>
            </w:pPr>
            <w:r w:rsidRPr="00D93C04">
              <w:rPr>
                <w:sz w:val="20"/>
                <w:lang w:eastAsia="sk-SK"/>
              </w:rPr>
              <w:t>opis pravdepodobných príznakov,</w:t>
            </w:r>
          </w:p>
          <w:p w:rsidR="00D93C04" w:rsidRPr="00D93C04" w:rsidP="00D93C04">
            <w:pPr>
              <w:keepNext/>
              <w:keepLines/>
              <w:numPr>
                <w:ilvl w:val="0"/>
                <w:numId w:val="31"/>
              </w:numPr>
              <w:spacing w:after="120"/>
              <w:jc w:val="both"/>
              <w:rPr>
                <w:sz w:val="20"/>
                <w:lang w:eastAsia="sk-SK"/>
              </w:rPr>
            </w:pPr>
            <w:r w:rsidRPr="00D93C04">
              <w:rPr>
                <w:sz w:val="20"/>
                <w:lang w:eastAsia="sk-SK"/>
              </w:rPr>
              <w:t>odporúčané predbežné opatrenia, ktoré by malo vykonať dotknuté obyvateľstvo,</w:t>
            </w:r>
          </w:p>
          <w:p w:rsidR="00D93C04" w:rsidRPr="00D93C04" w:rsidP="00D93C04">
            <w:pPr>
              <w:keepNext/>
              <w:keepLines/>
              <w:numPr>
                <w:ilvl w:val="0"/>
                <w:numId w:val="31"/>
              </w:numPr>
              <w:spacing w:after="120"/>
              <w:jc w:val="both"/>
              <w:rPr>
                <w:sz w:val="20"/>
                <w:lang w:eastAsia="sk-SK"/>
              </w:rPr>
            </w:pPr>
            <w:r w:rsidRPr="00D93C04">
              <w:rPr>
                <w:sz w:val="20"/>
                <w:lang w:eastAsia="sk-SK"/>
              </w:rPr>
              <w:t>kde je možné nájsť ďalšie informácie.</w:t>
            </w:r>
          </w:p>
          <w:p w:rsidR="00D93C04" w:rsidRPr="00D93C04" w:rsidP="00001268">
            <w:pPr>
              <w:keepNext/>
              <w:keepLines/>
              <w:spacing w:after="120"/>
              <w:jc w:val="both"/>
              <w:rPr>
                <w:sz w:val="20"/>
                <w:lang w:eastAsia="sk-SK"/>
              </w:rPr>
            </w:pPr>
            <w:r w:rsidR="00001268">
              <w:rPr>
                <w:sz w:val="20"/>
                <w:lang w:eastAsia="sk-SK"/>
              </w:rPr>
              <w:t xml:space="preserve">4.4 </w:t>
            </w:r>
            <w:r w:rsidRPr="00D93C04">
              <w:rPr>
                <w:sz w:val="20"/>
                <w:lang w:eastAsia="sk-SK"/>
              </w:rPr>
              <w:t>Informácie o preventívnych opatreniach na zníženie znečistenia ovzdušia alebo zníženie expozície týmto znečistením</w:t>
            </w:r>
          </w:p>
          <w:p w:rsidR="00D93C04" w:rsidRPr="00D93C04" w:rsidP="00D93C04">
            <w:pPr>
              <w:keepNext/>
              <w:keepLines/>
              <w:numPr>
                <w:ilvl w:val="1"/>
                <w:numId w:val="29"/>
              </w:numPr>
              <w:spacing w:after="120"/>
              <w:ind w:left="1134" w:hanging="283"/>
              <w:jc w:val="both"/>
              <w:rPr>
                <w:sz w:val="20"/>
                <w:lang w:eastAsia="sk-SK"/>
              </w:rPr>
            </w:pPr>
            <w:r w:rsidRPr="00D93C04">
              <w:rPr>
                <w:sz w:val="20"/>
                <w:lang w:eastAsia="sk-SK"/>
              </w:rPr>
              <w:t xml:space="preserve">označenie  sektorov s hlavnými zdrojmi, </w:t>
            </w:r>
          </w:p>
          <w:p w:rsidR="00D93C04" w:rsidRPr="00D93C04" w:rsidP="00D93C04">
            <w:pPr>
              <w:keepNext/>
              <w:keepLines/>
              <w:numPr>
                <w:ilvl w:val="1"/>
                <w:numId w:val="29"/>
              </w:numPr>
              <w:spacing w:after="120"/>
              <w:ind w:left="1134" w:hanging="283"/>
              <w:jc w:val="both"/>
              <w:rPr>
                <w:sz w:val="20"/>
                <w:lang w:eastAsia="sk-SK"/>
              </w:rPr>
            </w:pPr>
            <w:r w:rsidRPr="00D93C04">
              <w:rPr>
                <w:sz w:val="20"/>
                <w:lang w:eastAsia="sk-SK"/>
              </w:rPr>
              <w:t>odporúčania opatrení na zníženie emisií.</w:t>
            </w:r>
          </w:p>
          <w:p w:rsidR="00D93C04" w:rsidRPr="00D93C04" w:rsidP="00001268">
            <w:pPr>
              <w:pStyle w:val="ListParagraph"/>
              <w:keepNext/>
              <w:keepLines/>
              <w:spacing w:before="60" w:line="240" w:lineRule="auto"/>
              <w:ind w:left="0"/>
              <w:contextualSpacing w:val="0"/>
              <w:jc w:val="both"/>
              <w:rPr>
                <w:sz w:val="20"/>
                <w:szCs w:val="20"/>
              </w:rPr>
            </w:pPr>
            <w:r w:rsidR="00001268">
              <w:rPr>
                <w:sz w:val="20"/>
                <w:szCs w:val="20"/>
              </w:rPr>
              <w:t xml:space="preserve">4.5 </w:t>
            </w:r>
            <w:r w:rsidRPr="00D93C04">
              <w:rPr>
                <w:sz w:val="20"/>
                <w:szCs w:val="20"/>
              </w:rPr>
              <w:t>Pri predpovedaných prekročeniach sa podniknú kroky na zabezpečenie poskytovania údajov v uskutočniteľnom rozsahu.</w:t>
            </w:r>
          </w:p>
          <w:p w:rsidR="00D93C04" w:rsidRPr="00D93C04" w:rsidP="00001268">
            <w:pPr>
              <w:pStyle w:val="ListParagraph"/>
              <w:keepNext/>
              <w:keepLines/>
              <w:spacing w:before="60" w:line="240" w:lineRule="auto"/>
              <w:ind w:left="0"/>
              <w:contextualSpacing w:val="0"/>
              <w:jc w:val="both"/>
              <w:rPr>
                <w:sz w:val="20"/>
                <w:szCs w:val="20"/>
              </w:rPr>
            </w:pPr>
            <w:r w:rsidR="00001268">
              <w:rPr>
                <w:sz w:val="20"/>
                <w:szCs w:val="20"/>
              </w:rPr>
              <w:t xml:space="preserve">4.6  </w:t>
            </w:r>
            <w:r w:rsidRPr="00D93C04">
              <w:rPr>
                <w:sz w:val="20"/>
                <w:szCs w:val="20"/>
              </w:rPr>
              <w:t>Index kvality ovzdušia.</w:t>
            </w:r>
          </w:p>
          <w:p w:rsidR="006C483A" w:rsidRPr="006C483A" w:rsidP="006C483A">
            <w:pPr>
              <w:pStyle w:val="NormalWeb"/>
              <w:rPr>
                <w:sz w:val="20"/>
                <w:szCs w:val="20"/>
              </w:rPr>
            </w:pPr>
          </w:p>
          <w:p w:rsidR="00CB3E7D" w:rsidRPr="006C483A" w:rsidP="006C483A">
            <w:pPr>
              <w:pStyle w:val="NormalWeb"/>
              <w:rPr>
                <w:sz w:val="20"/>
                <w:szCs w:val="20"/>
              </w:rPr>
            </w:pPr>
            <w:r w:rsidRPr="006C483A">
              <w:rPr>
                <w:sz w:val="20"/>
                <w:szCs w:val="20"/>
              </w:rPr>
              <w:t xml:space="preserve">                        </w:t>
            </w:r>
          </w:p>
        </w:tc>
        <w:tc>
          <w:tcPr>
            <w:tcW w:w="708" w:type="dxa"/>
            <w:tcBorders>
              <w:bottom w:val="single" w:sz="4" w:space="0" w:color="auto"/>
            </w:tcBorders>
          </w:tcPr>
          <w:p w:rsidR="00CB3E7D" w:rsidRPr="00837AAA" w:rsidP="00CB3E7D">
            <w:pPr>
              <w:jc w:val="both"/>
              <w:rPr>
                <w:sz w:val="20"/>
              </w:rPr>
            </w:pPr>
            <w:r w:rsidRPr="00837AAA">
              <w:rPr>
                <w:sz w:val="20"/>
              </w:rPr>
              <w:t>Ú</w:t>
            </w:r>
          </w:p>
        </w:tc>
        <w:tc>
          <w:tcPr>
            <w:tcW w:w="1130" w:type="dxa"/>
            <w:tcBorders>
              <w:bottom w:val="single" w:sz="4" w:space="0" w:color="auto"/>
            </w:tcBorders>
          </w:tcPr>
          <w:p w:rsidR="00CB3E7D" w:rsidRPr="00837AAA" w:rsidP="00CB3E7D">
            <w:pPr>
              <w:rPr>
                <w:sz w:val="20"/>
              </w:rPr>
            </w:pPr>
          </w:p>
        </w:tc>
      </w:tr>
      <w:tr w:rsidTr="00E72229">
        <w:tblPrEx>
          <w:tblW w:w="31671" w:type="dxa"/>
          <w:tblInd w:w="-72" w:type="dxa"/>
          <w:tblLayout w:type="fixed"/>
          <w:tblCellMar>
            <w:left w:w="70" w:type="dxa"/>
            <w:right w:w="70" w:type="dxa"/>
          </w:tblCellMar>
          <w:tblLook w:val="0000"/>
        </w:tblPrEx>
        <w:trPr>
          <w:gridAfter w:val="2"/>
          <w:wAfter w:w="15090" w:type="dxa"/>
          <w:trHeight w:val="680"/>
        </w:trPr>
        <w:tc>
          <w:tcPr>
            <w:tcW w:w="850" w:type="dxa"/>
            <w:tcBorders>
              <w:bottom w:val="single" w:sz="4" w:space="0" w:color="auto"/>
            </w:tcBorders>
          </w:tcPr>
          <w:p w:rsidR="00CB3E7D" w:rsidRPr="00390FC1" w:rsidP="00CB3E7D">
            <w:pPr>
              <w:jc w:val="both"/>
              <w:rPr>
                <w:sz w:val="20"/>
              </w:rPr>
            </w:pPr>
            <w:r w:rsidRPr="00390FC1">
              <w:rPr>
                <w:sz w:val="20"/>
              </w:rPr>
              <w:t>Príl. 17</w:t>
            </w:r>
          </w:p>
        </w:tc>
        <w:tc>
          <w:tcPr>
            <w:tcW w:w="4074" w:type="dxa"/>
            <w:tcBorders>
              <w:bottom w:val="single" w:sz="4" w:space="0" w:color="auto"/>
            </w:tcBorders>
          </w:tcPr>
          <w:p w:rsidR="00CB3E7D" w:rsidRPr="00390FC1" w:rsidP="00CB3E7D">
            <w:pPr>
              <w:pStyle w:val="NormalWeb"/>
              <w:rPr>
                <w:sz w:val="20"/>
                <w:szCs w:val="20"/>
              </w:rPr>
            </w:pPr>
            <w:r w:rsidRPr="00390FC1">
              <w:rPr>
                <w:sz w:val="20"/>
                <w:szCs w:val="20"/>
              </w:rPr>
              <w:t>Tabuľka zhody</w:t>
            </w:r>
          </w:p>
        </w:tc>
        <w:tc>
          <w:tcPr>
            <w:tcW w:w="747" w:type="dxa"/>
            <w:tcBorders>
              <w:bottom w:val="single" w:sz="4" w:space="0" w:color="auto"/>
            </w:tcBorders>
          </w:tcPr>
          <w:p w:rsidR="00CB3E7D" w:rsidRPr="00390FC1" w:rsidP="00CB3E7D">
            <w:pPr>
              <w:jc w:val="both"/>
              <w:rPr>
                <w:sz w:val="20"/>
              </w:rPr>
            </w:pPr>
            <w:r w:rsidRPr="00390FC1">
              <w:rPr>
                <w:sz w:val="20"/>
              </w:rPr>
              <w:t>n.a</w:t>
            </w:r>
          </w:p>
        </w:tc>
        <w:tc>
          <w:tcPr>
            <w:tcW w:w="574" w:type="dxa"/>
            <w:tcBorders>
              <w:bottom w:val="single" w:sz="4" w:space="0" w:color="auto"/>
            </w:tcBorders>
          </w:tcPr>
          <w:p w:rsidR="00CB3E7D" w:rsidRPr="00390FC1" w:rsidP="00CB3E7D">
            <w:pPr>
              <w:jc w:val="both"/>
              <w:rPr>
                <w:sz w:val="20"/>
              </w:rPr>
            </w:pPr>
          </w:p>
        </w:tc>
        <w:tc>
          <w:tcPr>
            <w:tcW w:w="701" w:type="dxa"/>
            <w:tcBorders>
              <w:bottom w:val="single" w:sz="4" w:space="0" w:color="auto"/>
            </w:tcBorders>
          </w:tcPr>
          <w:p w:rsidR="00CB3E7D" w:rsidRPr="00390FC1" w:rsidP="00CB3E7D">
            <w:pPr>
              <w:jc w:val="both"/>
              <w:rPr>
                <w:sz w:val="20"/>
              </w:rPr>
            </w:pPr>
          </w:p>
        </w:tc>
        <w:tc>
          <w:tcPr>
            <w:tcW w:w="7797" w:type="dxa"/>
            <w:tcBorders>
              <w:bottom w:val="single" w:sz="4" w:space="0" w:color="auto"/>
            </w:tcBorders>
          </w:tcPr>
          <w:p w:rsidR="00CB3E7D" w:rsidRPr="003977FB" w:rsidP="00CB3E7D">
            <w:pPr>
              <w:pStyle w:val="Textpsmene"/>
              <w:numPr>
                <w:ilvl w:val="0"/>
                <w:numId w:val="0"/>
              </w:numPr>
              <w:rPr>
                <w:color w:val="000000"/>
                <w:lang w:val="sk-SK"/>
              </w:rPr>
            </w:pPr>
          </w:p>
        </w:tc>
        <w:tc>
          <w:tcPr>
            <w:tcW w:w="708" w:type="dxa"/>
            <w:tcBorders>
              <w:bottom w:val="single" w:sz="4" w:space="0" w:color="auto"/>
            </w:tcBorders>
          </w:tcPr>
          <w:p w:rsidR="00CB3E7D" w:rsidRPr="00390FC1" w:rsidP="00CB3E7D">
            <w:pPr>
              <w:jc w:val="both"/>
              <w:rPr>
                <w:sz w:val="20"/>
              </w:rPr>
            </w:pPr>
            <w:r w:rsidR="00090E9B">
              <w:rPr>
                <w:sz w:val="20"/>
              </w:rPr>
              <w:t>n.a.</w:t>
            </w:r>
          </w:p>
        </w:tc>
        <w:tc>
          <w:tcPr>
            <w:tcW w:w="1130" w:type="dxa"/>
            <w:tcBorders>
              <w:bottom w:val="single" w:sz="4" w:space="0" w:color="auto"/>
            </w:tcBorders>
          </w:tcPr>
          <w:p w:rsidR="00CB3E7D" w:rsidRPr="00390FC1" w:rsidP="00CB3E7D">
            <w:pPr>
              <w:rPr>
                <w:sz w:val="20"/>
              </w:rPr>
            </w:pPr>
          </w:p>
        </w:tc>
      </w:tr>
      <w:tr w:rsidTr="008658BB">
        <w:tblPrEx>
          <w:tblW w:w="31671" w:type="dxa"/>
          <w:tblInd w:w="-72" w:type="dxa"/>
          <w:tblLayout w:type="fixed"/>
          <w:tblCellMar>
            <w:left w:w="70" w:type="dxa"/>
            <w:right w:w="70" w:type="dxa"/>
          </w:tblCellMar>
          <w:tblLook w:val="0000"/>
        </w:tblPrEx>
        <w:trPr>
          <w:trHeight w:val="90"/>
        </w:trPr>
        <w:tc>
          <w:tcPr>
            <w:tcW w:w="16598" w:type="dxa"/>
            <w:gridSpan w:val="9"/>
            <w:tcBorders>
              <w:top w:val="single" w:sz="4" w:space="0" w:color="auto"/>
              <w:left w:val="nil"/>
              <w:bottom w:val="nil"/>
            </w:tcBorders>
          </w:tcPr>
          <w:p w:rsidR="00CB3E7D" w:rsidRPr="00AA216C" w:rsidP="00CB3E7D">
            <w:pPr>
              <w:outlineLvl w:val="0"/>
              <w:rPr>
                <w:sz w:val="20"/>
              </w:rPr>
            </w:pPr>
            <w:r w:rsidRPr="00AA216C">
              <w:rPr>
                <w:sz w:val="20"/>
              </w:rPr>
              <w:t>LEGENDA:</w:t>
            </w:r>
          </w:p>
          <w:tbl>
            <w:tblPr>
              <w:tblStyle w:val="TableNormal"/>
              <w:tblW w:w="15730" w:type="dxa"/>
              <w:tblLayout w:type="fixed"/>
              <w:tblCellMar>
                <w:left w:w="70" w:type="dxa"/>
                <w:right w:w="70" w:type="dxa"/>
              </w:tblCellMar>
              <w:tblLook w:val="0000"/>
            </w:tblPr>
            <w:tblGrid>
              <w:gridCol w:w="2410"/>
              <w:gridCol w:w="4140"/>
              <w:gridCol w:w="2410"/>
              <w:gridCol w:w="6770"/>
            </w:tblGrid>
            <w:tr w:rsidTr="001E2AE7">
              <w:tblPrEx>
                <w:tblW w:w="15730" w:type="dxa"/>
                <w:tblLayout w:type="fixed"/>
                <w:tblCellMar>
                  <w:left w:w="70" w:type="dxa"/>
                  <w:right w:w="70" w:type="dxa"/>
                </w:tblCellMar>
                <w:tblLook w:val="0000"/>
              </w:tblPrEx>
              <w:tc>
                <w:tcPr>
                  <w:tcW w:w="2410" w:type="dxa"/>
                  <w:tcBorders>
                    <w:top w:val="nil"/>
                    <w:left w:val="nil"/>
                    <w:bottom w:val="nil"/>
                    <w:right w:val="nil"/>
                  </w:tcBorders>
                </w:tcPr>
                <w:p w:rsidR="00CB3E7D" w:rsidRPr="00AA216C" w:rsidP="00CB3E7D">
                  <w:pPr>
                    <w:pStyle w:val="Normlny"/>
                    <w:autoSpaceDE/>
                    <w:autoSpaceDN/>
                    <w:spacing w:after="60"/>
                    <w:rPr>
                      <w:lang w:eastAsia="sk-SK"/>
                    </w:rPr>
                  </w:pPr>
                  <w:r w:rsidRPr="00AA216C">
                    <w:rPr>
                      <w:lang w:eastAsia="sk-SK"/>
                    </w:rPr>
                    <w:t>V stĺpci (1):</w:t>
                  </w:r>
                </w:p>
                <w:p w:rsidR="00CB3E7D" w:rsidRPr="00AA216C" w:rsidP="00CB3E7D">
                  <w:pPr>
                    <w:rPr>
                      <w:sz w:val="20"/>
                    </w:rPr>
                  </w:pPr>
                  <w:r w:rsidRPr="00AA216C">
                    <w:rPr>
                      <w:sz w:val="20"/>
                    </w:rPr>
                    <w:t>Č – článok</w:t>
                  </w:r>
                </w:p>
                <w:p w:rsidR="00CB3E7D" w:rsidRPr="00AA216C" w:rsidP="00CB3E7D">
                  <w:pPr>
                    <w:rPr>
                      <w:sz w:val="20"/>
                    </w:rPr>
                  </w:pPr>
                  <w:r w:rsidRPr="00AA216C">
                    <w:rPr>
                      <w:sz w:val="20"/>
                    </w:rPr>
                    <w:t>O – odsek</w:t>
                  </w:r>
                </w:p>
                <w:p w:rsidR="00CB3E7D" w:rsidRPr="00AA216C" w:rsidP="00CB3E7D">
                  <w:pPr>
                    <w:rPr>
                      <w:sz w:val="20"/>
                    </w:rPr>
                  </w:pPr>
                  <w:r w:rsidRPr="00AA216C">
                    <w:rPr>
                      <w:sz w:val="20"/>
                    </w:rPr>
                    <w:t>V – veta</w:t>
                  </w:r>
                </w:p>
                <w:p w:rsidR="00CB3E7D" w:rsidRPr="00AA216C" w:rsidP="00CB3E7D">
                  <w:pPr>
                    <w:rPr>
                      <w:sz w:val="20"/>
                    </w:rPr>
                  </w:pPr>
                  <w:r w:rsidRPr="00AA216C">
                    <w:rPr>
                      <w:sz w:val="20"/>
                    </w:rPr>
                    <w:t>P – písmeno (číslo)</w:t>
                  </w:r>
                </w:p>
                <w:p w:rsidR="00CB3E7D" w:rsidRPr="00AA216C" w:rsidP="00CB3E7D">
                  <w:pPr>
                    <w:rPr>
                      <w:sz w:val="20"/>
                    </w:rPr>
                  </w:pPr>
                </w:p>
              </w:tc>
              <w:tc>
                <w:tcPr>
                  <w:tcW w:w="4140" w:type="dxa"/>
                  <w:tcBorders>
                    <w:top w:val="nil"/>
                    <w:left w:val="nil"/>
                    <w:bottom w:val="nil"/>
                    <w:right w:val="nil"/>
                  </w:tcBorders>
                </w:tcPr>
                <w:p w:rsidR="00CB3E7D" w:rsidRPr="00AA216C" w:rsidP="00CB3E7D">
                  <w:pPr>
                    <w:pStyle w:val="Normlny"/>
                    <w:autoSpaceDE/>
                    <w:autoSpaceDN/>
                    <w:spacing w:after="60"/>
                    <w:rPr>
                      <w:lang w:eastAsia="sk-SK"/>
                    </w:rPr>
                  </w:pPr>
                  <w:r w:rsidRPr="00AA216C">
                    <w:rPr>
                      <w:lang w:eastAsia="sk-SK"/>
                    </w:rPr>
                    <w:t>V stĺpci (3):</w:t>
                  </w:r>
                </w:p>
                <w:p w:rsidR="00CB3E7D" w:rsidRPr="00AA216C" w:rsidP="00CB3E7D">
                  <w:pPr>
                    <w:rPr>
                      <w:sz w:val="20"/>
                    </w:rPr>
                  </w:pPr>
                  <w:r w:rsidRPr="00AA216C">
                    <w:rPr>
                      <w:sz w:val="20"/>
                    </w:rPr>
                    <w:t>N – bežná transpozícia</w:t>
                  </w:r>
                </w:p>
                <w:p w:rsidR="00CB3E7D" w:rsidRPr="00AA216C" w:rsidP="00CB3E7D">
                  <w:pPr>
                    <w:rPr>
                      <w:sz w:val="20"/>
                    </w:rPr>
                  </w:pPr>
                  <w:r w:rsidRPr="00AA216C">
                    <w:rPr>
                      <w:sz w:val="20"/>
                    </w:rPr>
                    <w:t>O – transpozícia s možnosťou voľby</w:t>
                  </w:r>
                </w:p>
                <w:p w:rsidR="00CB3E7D" w:rsidRPr="00AA216C" w:rsidP="00CB3E7D">
                  <w:pPr>
                    <w:rPr>
                      <w:sz w:val="20"/>
                    </w:rPr>
                  </w:pPr>
                  <w:r w:rsidRPr="00AA216C">
                    <w:rPr>
                      <w:sz w:val="20"/>
                    </w:rPr>
                    <w:t>D – transpozícia podľa úvahy (dobrovoľná)</w:t>
                  </w:r>
                </w:p>
                <w:p w:rsidR="00CB3E7D" w:rsidRPr="00AA216C" w:rsidP="00CB3E7D">
                  <w:pPr>
                    <w:rPr>
                      <w:sz w:val="20"/>
                    </w:rPr>
                  </w:pPr>
                  <w:r w:rsidRPr="00AA216C">
                    <w:rPr>
                      <w:sz w:val="20"/>
                    </w:rPr>
                    <w:t>n.a. – transpozícia sa neuskutočňuje</w:t>
                  </w:r>
                </w:p>
              </w:tc>
              <w:tc>
                <w:tcPr>
                  <w:tcW w:w="2410" w:type="dxa"/>
                  <w:tcBorders>
                    <w:top w:val="nil"/>
                    <w:left w:val="nil"/>
                    <w:bottom w:val="nil"/>
                    <w:right w:val="nil"/>
                  </w:tcBorders>
                </w:tcPr>
                <w:p w:rsidR="00CB3E7D" w:rsidRPr="00AA216C" w:rsidP="00CB3E7D">
                  <w:pPr>
                    <w:pStyle w:val="Normlny"/>
                    <w:autoSpaceDE/>
                    <w:autoSpaceDN/>
                    <w:spacing w:after="60"/>
                    <w:rPr>
                      <w:lang w:eastAsia="sk-SK"/>
                    </w:rPr>
                  </w:pPr>
                  <w:r w:rsidRPr="00AA216C">
                    <w:rPr>
                      <w:lang w:eastAsia="sk-SK"/>
                    </w:rPr>
                    <w:t>V stĺpci (5):</w:t>
                  </w:r>
                </w:p>
                <w:p w:rsidR="00CB3E7D" w:rsidRPr="00AA216C" w:rsidP="00CB3E7D">
                  <w:pPr>
                    <w:rPr>
                      <w:sz w:val="20"/>
                    </w:rPr>
                  </w:pPr>
                  <w:r w:rsidRPr="00AA216C">
                    <w:rPr>
                      <w:sz w:val="20"/>
                    </w:rPr>
                    <w:t>Č – článok</w:t>
                  </w:r>
                </w:p>
                <w:p w:rsidR="00CB3E7D" w:rsidRPr="00AA216C" w:rsidP="00CB3E7D">
                  <w:pPr>
                    <w:rPr>
                      <w:sz w:val="20"/>
                    </w:rPr>
                  </w:pPr>
                  <w:r w:rsidRPr="00AA216C">
                    <w:rPr>
                      <w:sz w:val="20"/>
                    </w:rPr>
                    <w:t>§ – paragraf</w:t>
                  </w:r>
                </w:p>
                <w:p w:rsidR="00CB3E7D" w:rsidRPr="00AA216C" w:rsidP="00CB3E7D">
                  <w:pPr>
                    <w:rPr>
                      <w:sz w:val="20"/>
                    </w:rPr>
                  </w:pPr>
                  <w:r w:rsidRPr="00AA216C">
                    <w:rPr>
                      <w:sz w:val="20"/>
                    </w:rPr>
                    <w:t>O – odsek</w:t>
                  </w:r>
                </w:p>
                <w:p w:rsidR="00CB3E7D" w:rsidRPr="00AA216C" w:rsidP="00CB3E7D">
                  <w:pPr>
                    <w:rPr>
                      <w:sz w:val="20"/>
                    </w:rPr>
                  </w:pPr>
                  <w:r w:rsidRPr="00AA216C">
                    <w:rPr>
                      <w:sz w:val="20"/>
                    </w:rPr>
                    <w:t>V – veta</w:t>
                  </w:r>
                </w:p>
                <w:p w:rsidR="00CB3E7D" w:rsidRPr="00AA216C" w:rsidP="00CB3E7D">
                  <w:pPr>
                    <w:rPr>
                      <w:sz w:val="20"/>
                    </w:rPr>
                  </w:pPr>
                  <w:r w:rsidRPr="00AA216C">
                    <w:rPr>
                      <w:sz w:val="20"/>
                    </w:rPr>
                    <w:t>P – písmeno (číslo)</w:t>
                  </w:r>
                </w:p>
              </w:tc>
              <w:tc>
                <w:tcPr>
                  <w:tcW w:w="6770" w:type="dxa"/>
                  <w:tcBorders>
                    <w:top w:val="nil"/>
                    <w:left w:val="nil"/>
                    <w:bottom w:val="nil"/>
                    <w:right w:val="nil"/>
                  </w:tcBorders>
                </w:tcPr>
                <w:p w:rsidR="00CB3E7D" w:rsidRPr="00AA216C" w:rsidP="00CB3E7D">
                  <w:pPr>
                    <w:pStyle w:val="Normlny"/>
                    <w:autoSpaceDE/>
                    <w:autoSpaceDN/>
                    <w:spacing w:after="60"/>
                    <w:rPr>
                      <w:lang w:eastAsia="sk-SK"/>
                    </w:rPr>
                  </w:pPr>
                  <w:r w:rsidRPr="00AA216C">
                    <w:rPr>
                      <w:lang w:eastAsia="sk-SK"/>
                    </w:rPr>
                    <w:t>V stĺpci (7):</w:t>
                  </w:r>
                </w:p>
                <w:p w:rsidR="00CB3E7D" w:rsidRPr="00AA216C" w:rsidP="00CB3E7D">
                  <w:pPr>
                    <w:rPr>
                      <w:sz w:val="20"/>
                    </w:rPr>
                  </w:pPr>
                  <w:r w:rsidRPr="00AA216C">
                    <w:rPr>
                      <w:sz w:val="20"/>
                    </w:rPr>
                    <w:t>Ú – úplná zhoda</w:t>
                  </w:r>
                </w:p>
                <w:p w:rsidR="00CB3E7D" w:rsidRPr="00AA216C" w:rsidP="00CB3E7D">
                  <w:pPr>
                    <w:rPr>
                      <w:sz w:val="20"/>
                    </w:rPr>
                  </w:pPr>
                  <w:r w:rsidRPr="00AA216C">
                    <w:rPr>
                      <w:sz w:val="20"/>
                    </w:rPr>
                    <w:t>Č – čiastočná zhoda</w:t>
                  </w:r>
                </w:p>
                <w:p w:rsidR="00CB3E7D" w:rsidRPr="00AA216C" w:rsidP="00CB3E7D">
                  <w:pPr>
                    <w:rPr>
                      <w:sz w:val="20"/>
                    </w:rPr>
                  </w:pPr>
                  <w:r w:rsidRPr="00AA216C">
                    <w:rPr>
                      <w:sz w:val="20"/>
                    </w:rPr>
                    <w:t>R – rozpor (v príp., že zatiaľ nedošlo k transp., ale príde k nej v budúcnosti</w:t>
                  </w:r>
                </w:p>
                <w:p w:rsidR="00CB3E7D" w:rsidRPr="00AA216C" w:rsidP="00CB3E7D">
                  <w:pPr>
                    <w:rPr>
                      <w:sz w:val="20"/>
                    </w:rPr>
                  </w:pPr>
                  <w:r w:rsidRPr="00AA216C">
                    <w:rPr>
                      <w:sz w:val="20"/>
                    </w:rPr>
                    <w:t>N – neaplikovateľné</w:t>
                  </w:r>
                </w:p>
              </w:tc>
            </w:tr>
          </w:tbl>
          <w:p w:rsidR="00CB3E7D" w:rsidP="00CB3E7D">
            <w:pPr>
              <w:rPr>
                <w:sz w:val="20"/>
              </w:rPr>
            </w:pPr>
          </w:p>
          <w:p w:rsidR="006C483A" w:rsidRPr="00AA216C" w:rsidP="00CB3E7D">
            <w:pPr>
              <w:rPr>
                <w:sz w:val="20"/>
              </w:rPr>
            </w:pPr>
          </w:p>
          <w:p w:rsidR="00CB3E7D" w:rsidRPr="00AA216C" w:rsidP="00CB3E7D">
            <w:pPr>
              <w:rPr>
                <w:sz w:val="20"/>
              </w:rPr>
            </w:pPr>
          </w:p>
          <w:tbl>
            <w:tblPr>
              <w:tblStyle w:val="TableNormal"/>
              <w:tblW w:w="1616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1186"/>
              <w:gridCol w:w="14974"/>
            </w:tblGrid>
            <w:tr w:rsidTr="001E2AE7">
              <w:tblPrEx>
                <w:tblW w:w="1616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CB3E7D" w:rsidRPr="006C2232" w:rsidP="00CB3E7D">
                  <w:pPr>
                    <w:pStyle w:val="Heading2"/>
                    <w:rPr>
                      <w:sz w:val="20"/>
                    </w:rPr>
                  </w:pPr>
                  <w:r w:rsidRPr="006C2232">
                    <w:rPr>
                      <w:sz w:val="20"/>
                    </w:rPr>
                    <w:t>Zoznam všeobecne záväzných právnych pr</w:t>
                  </w:r>
                  <w:r w:rsidRPr="006C2232" w:rsidR="006C2232">
                    <w:rPr>
                      <w:sz w:val="20"/>
                    </w:rPr>
                    <w:t xml:space="preserve">edpisov preberajúcich smernicu </w:t>
                  </w:r>
                  <w:r w:rsidRPr="006C2232" w:rsidR="006C2232">
                    <w:rPr>
                      <w:rStyle w:val="Strong"/>
                      <w:b/>
                      <w:sz w:val="20"/>
                    </w:rPr>
                    <w:t>Európskeho parlamentu a Rady 2008/50/ES</w:t>
                  </w:r>
                </w:p>
                <w:p w:rsidR="00CB3E7D" w:rsidRPr="00AA216C" w:rsidP="00CB3E7D">
                  <w:pPr>
                    <w:jc w:val="center"/>
                    <w:rPr>
                      <w:sz w:val="20"/>
                    </w:rPr>
                  </w:pPr>
                </w:p>
              </w:tc>
            </w:tr>
            <w:tr w:rsidTr="001E2AE7">
              <w:tblPrEx>
                <w:tblW w:w="16160" w:type="dxa"/>
                <w:tblLayout w:type="fixed"/>
                <w:tblCellMar>
                  <w:left w:w="43" w:type="dxa"/>
                  <w:right w:w="43" w:type="dxa"/>
                </w:tblCellMar>
                <w:tblLook w:val="0000"/>
              </w:tblPrEx>
              <w:trPr>
                <w:cantSplit/>
              </w:trPr>
              <w:tc>
                <w:tcPr>
                  <w:tcW w:w="1186" w:type="dxa"/>
                  <w:tcBorders>
                    <w:top w:val="single" w:sz="4" w:space="0" w:color="auto"/>
                    <w:left w:val="single" w:sz="12" w:space="0" w:color="auto"/>
                    <w:bottom w:val="single" w:sz="4" w:space="0" w:color="auto"/>
                    <w:right w:val="single" w:sz="4" w:space="0" w:color="auto"/>
                  </w:tcBorders>
                </w:tcPr>
                <w:p w:rsidR="00CB3E7D" w:rsidRPr="00AA216C" w:rsidP="00CB3E7D">
                  <w:pPr>
                    <w:spacing w:before="120"/>
                    <w:jc w:val="center"/>
                    <w:rPr>
                      <w:sz w:val="20"/>
                    </w:rPr>
                  </w:pPr>
                  <w:r w:rsidRPr="00AA216C">
                    <w:rPr>
                      <w:sz w:val="20"/>
                    </w:rPr>
                    <w:t>Por. č.</w:t>
                  </w:r>
                </w:p>
              </w:tc>
              <w:tc>
                <w:tcPr>
                  <w:tcW w:w="14974" w:type="dxa"/>
                  <w:tcBorders>
                    <w:top w:val="single" w:sz="4" w:space="0" w:color="auto"/>
                    <w:left w:val="single" w:sz="4" w:space="0" w:color="auto"/>
                    <w:bottom w:val="single" w:sz="4" w:space="0" w:color="auto"/>
                    <w:right w:val="single" w:sz="12" w:space="0" w:color="auto"/>
                  </w:tcBorders>
                </w:tcPr>
                <w:p w:rsidR="00CB3E7D" w:rsidRPr="00AA216C" w:rsidP="00CB3E7D">
                  <w:pPr>
                    <w:pStyle w:val="Normlny"/>
                    <w:rPr>
                      <w:lang w:eastAsia="sk-SK"/>
                    </w:rPr>
                  </w:pPr>
                  <w:r w:rsidRPr="00AA216C">
                    <w:rPr>
                      <w:lang w:eastAsia="sk-SK"/>
                    </w:rPr>
                    <w:t>Názov predpisu</w:t>
                  </w:r>
                </w:p>
              </w:tc>
            </w:tr>
            <w:tr w:rsidTr="001E2AE7">
              <w:tblPrEx>
                <w:tblW w:w="16160" w:type="dxa"/>
                <w:tblLayout w:type="fixed"/>
                <w:tblCellMar>
                  <w:left w:w="43" w:type="dxa"/>
                  <w:right w:w="43" w:type="dxa"/>
                </w:tblCellMar>
                <w:tblLook w:val="0000"/>
              </w:tblPrEx>
              <w:trPr>
                <w:cantSplit/>
              </w:trPr>
              <w:tc>
                <w:tcPr>
                  <w:tcW w:w="1186" w:type="dxa"/>
                  <w:tcBorders>
                    <w:top w:val="single" w:sz="4" w:space="0" w:color="auto"/>
                    <w:left w:val="single" w:sz="12" w:space="0" w:color="auto"/>
                    <w:bottom w:val="single" w:sz="4" w:space="0" w:color="auto"/>
                    <w:right w:val="single" w:sz="4" w:space="0" w:color="auto"/>
                  </w:tcBorders>
                </w:tcPr>
                <w:p w:rsidR="00CB3E7D" w:rsidRPr="00AA216C" w:rsidP="00557828">
                  <w:pPr>
                    <w:numPr>
                      <w:ilvl w:val="0"/>
                      <w:numId w:val="9"/>
                    </w:numPr>
                    <w:autoSpaceDE w:val="0"/>
                    <w:autoSpaceDN w:val="0"/>
                    <w:jc w:val="center"/>
                    <w:rPr>
                      <w:sz w:val="20"/>
                    </w:rPr>
                  </w:pPr>
                </w:p>
              </w:tc>
              <w:tc>
                <w:tcPr>
                  <w:tcW w:w="14974" w:type="dxa"/>
                  <w:tcBorders>
                    <w:top w:val="single" w:sz="4" w:space="0" w:color="auto"/>
                    <w:left w:val="single" w:sz="4" w:space="0" w:color="auto"/>
                    <w:bottom w:val="single" w:sz="4" w:space="0" w:color="auto"/>
                    <w:right w:val="single" w:sz="12" w:space="0" w:color="auto"/>
                  </w:tcBorders>
                </w:tcPr>
                <w:p w:rsidR="00CB3E7D" w:rsidRPr="006C2232" w:rsidP="00CB3E7D">
                  <w:pPr>
                    <w:pStyle w:val="Normlny"/>
                    <w:jc w:val="both"/>
                  </w:pPr>
                  <w:r w:rsidR="00C04503">
                    <w:t>Návrh</w:t>
                  </w:r>
                  <w:r w:rsidRPr="00C867E9" w:rsidR="00C867E9">
                    <w:t xml:space="preserve"> zákona o ochrane ovzdušia a o zmene doplnení niektorých zákonov (NZ)</w:t>
                  </w:r>
                </w:p>
              </w:tc>
            </w:tr>
            <w:tr w:rsidTr="00C867E9">
              <w:tblPrEx>
                <w:tblW w:w="16160" w:type="dxa"/>
                <w:tblLayout w:type="fixed"/>
                <w:tblCellMar>
                  <w:left w:w="43" w:type="dxa"/>
                  <w:right w:w="43" w:type="dxa"/>
                </w:tblCellMar>
                <w:tblLook w:val="0000"/>
              </w:tblPrEx>
              <w:trPr>
                <w:cantSplit/>
              </w:trPr>
              <w:tc>
                <w:tcPr>
                  <w:tcW w:w="1186" w:type="dxa"/>
                  <w:tcBorders>
                    <w:top w:val="single" w:sz="4" w:space="0" w:color="auto"/>
                    <w:left w:val="single" w:sz="12" w:space="0" w:color="auto"/>
                    <w:bottom w:val="single" w:sz="4" w:space="0" w:color="auto"/>
                    <w:right w:val="single" w:sz="4" w:space="0" w:color="auto"/>
                  </w:tcBorders>
                </w:tcPr>
                <w:p w:rsidR="00CB3E7D" w:rsidRPr="00AA216C" w:rsidP="00557828">
                  <w:pPr>
                    <w:numPr>
                      <w:ilvl w:val="0"/>
                      <w:numId w:val="9"/>
                    </w:numPr>
                    <w:autoSpaceDE w:val="0"/>
                    <w:autoSpaceDN w:val="0"/>
                    <w:jc w:val="center"/>
                    <w:rPr>
                      <w:sz w:val="20"/>
                    </w:rPr>
                  </w:pPr>
                </w:p>
              </w:tc>
              <w:tc>
                <w:tcPr>
                  <w:tcW w:w="14974" w:type="dxa"/>
                  <w:tcBorders>
                    <w:top w:val="single" w:sz="4" w:space="0" w:color="auto"/>
                    <w:left w:val="single" w:sz="4" w:space="0" w:color="auto"/>
                    <w:bottom w:val="single" w:sz="4" w:space="0" w:color="auto"/>
                    <w:right w:val="single" w:sz="12" w:space="0" w:color="auto"/>
                  </w:tcBorders>
                </w:tcPr>
                <w:p w:rsidR="00CB3E7D" w:rsidRPr="00C867E9" w:rsidP="00C867E9">
                  <w:pPr>
                    <w:pStyle w:val="nazov"/>
                    <w:jc w:val="both"/>
                    <w:rPr>
                      <w:b w:val="0"/>
                      <w:color w:val="000000"/>
                      <w:sz w:val="20"/>
                    </w:rPr>
                  </w:pPr>
                  <w:r w:rsidR="00C04503">
                    <w:rPr>
                      <w:b w:val="0"/>
                      <w:color w:val="000000"/>
                      <w:sz w:val="20"/>
                    </w:rPr>
                    <w:t>Tézy návrhu</w:t>
                  </w:r>
                  <w:r w:rsidRPr="00C867E9" w:rsidR="00C867E9">
                    <w:rPr>
                      <w:b w:val="0"/>
                      <w:color w:val="000000"/>
                      <w:sz w:val="20"/>
                    </w:rPr>
                    <w:t xml:space="preserve"> vyhlášky Ministerstva životného prostredia Slovenskej republiky o kvalite ovzdušia (NV)</w:t>
                  </w:r>
                  <w:r w:rsidR="00C04503">
                    <w:rPr>
                      <w:b w:val="0"/>
                      <w:color w:val="000000"/>
                      <w:sz w:val="20"/>
                    </w:rPr>
                    <w:t xml:space="preserve"> </w:t>
                  </w:r>
                </w:p>
              </w:tc>
            </w:tr>
            <w:tr w:rsidTr="001E2AE7">
              <w:tblPrEx>
                <w:tblW w:w="16160" w:type="dxa"/>
                <w:tblLayout w:type="fixed"/>
                <w:tblCellMar>
                  <w:left w:w="43" w:type="dxa"/>
                  <w:right w:w="43" w:type="dxa"/>
                </w:tblCellMar>
                <w:tblLook w:val="0000"/>
              </w:tblPrEx>
              <w:trPr>
                <w:cantSplit/>
              </w:trPr>
              <w:tc>
                <w:tcPr>
                  <w:tcW w:w="1186" w:type="dxa"/>
                  <w:tcBorders>
                    <w:top w:val="single" w:sz="4" w:space="0" w:color="auto"/>
                    <w:left w:val="single" w:sz="12" w:space="0" w:color="auto"/>
                    <w:bottom w:val="single" w:sz="12" w:space="0" w:color="auto"/>
                    <w:right w:val="single" w:sz="4" w:space="0" w:color="auto"/>
                  </w:tcBorders>
                </w:tcPr>
                <w:p w:rsidR="00C867E9" w:rsidRPr="00AA216C" w:rsidP="00557828">
                  <w:pPr>
                    <w:numPr>
                      <w:ilvl w:val="0"/>
                      <w:numId w:val="9"/>
                    </w:numPr>
                    <w:autoSpaceDE w:val="0"/>
                    <w:autoSpaceDN w:val="0"/>
                    <w:jc w:val="center"/>
                    <w:rPr>
                      <w:sz w:val="20"/>
                    </w:rPr>
                  </w:pPr>
                </w:p>
              </w:tc>
              <w:tc>
                <w:tcPr>
                  <w:tcW w:w="14974" w:type="dxa"/>
                  <w:tcBorders>
                    <w:top w:val="single" w:sz="4" w:space="0" w:color="auto"/>
                    <w:left w:val="single" w:sz="4" w:space="0" w:color="auto"/>
                    <w:bottom w:val="single" w:sz="12" w:space="0" w:color="auto"/>
                    <w:right w:val="single" w:sz="12" w:space="0" w:color="auto"/>
                  </w:tcBorders>
                </w:tcPr>
                <w:p w:rsidR="00C867E9" w:rsidRPr="00C867E9" w:rsidP="00CB3E7D">
                  <w:pPr>
                    <w:pStyle w:val="nazov"/>
                    <w:jc w:val="both"/>
                    <w:rPr>
                      <w:b w:val="0"/>
                      <w:color w:val="000000"/>
                      <w:sz w:val="20"/>
                    </w:rPr>
                  </w:pPr>
                  <w:r w:rsidRPr="00C867E9">
                    <w:rPr>
                      <w:b w:val="0"/>
                      <w:color w:val="000000"/>
                      <w:sz w:val="20"/>
                    </w:rPr>
                    <w:t>Zákon č. 575/2001 Z. z. o organizácii činnosti vlády a organizácií ústrednej štátnej správy (Z)</w:t>
                  </w:r>
                </w:p>
              </w:tc>
            </w:tr>
          </w:tbl>
          <w:p w:rsidR="00CB3E7D" w:rsidRPr="00390FC1" w:rsidP="00CB3E7D">
            <w:pPr>
              <w:jc w:val="both"/>
              <w:rPr>
                <w:sz w:val="20"/>
              </w:rPr>
            </w:pPr>
          </w:p>
        </w:tc>
        <w:tc>
          <w:tcPr>
            <w:tcW w:w="15073" w:type="dxa"/>
          </w:tcPr>
          <w:p w:rsidR="00CB3E7D" w:rsidRPr="00390FC1" w:rsidP="00CB3E7D">
            <w:pPr>
              <w:pStyle w:val="BodyText2"/>
              <w:spacing w:before="180"/>
              <w:jc w:val="both"/>
              <w:rPr>
                <w:sz w:val="20"/>
              </w:rPr>
            </w:pPr>
          </w:p>
        </w:tc>
      </w:tr>
    </w:tbl>
    <w:p w:rsidR="00375B0D" w:rsidRPr="00390FC1">
      <w:pPr>
        <w:pStyle w:val="Odstavec"/>
        <w:spacing w:before="0"/>
        <w:rPr>
          <w:lang w:val="sk-SK"/>
        </w:rPr>
      </w:pPr>
    </w:p>
    <w:sectPr w:rsidSect="00F76A6C">
      <w:footerReference w:type="even" r:id="rId9"/>
      <w:footerReference w:type="default" r:id="rId10"/>
      <w:pgSz w:w="16840" w:h="11907" w:orient="landscape" w:code="9"/>
      <w:pgMar w:top="737" w:right="284" w:bottom="737" w:left="28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altName w:val="Century Gothic"/>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Math">
    <w:altName w:val="Palatino Linotype"/>
    <w:panose1 w:val="00000000000000000000"/>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01" w:rsidP="00F06B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44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01" w:rsidP="00F06B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FED">
      <w:rPr>
        <w:rStyle w:val="PageNumber"/>
        <w:noProof/>
      </w:rPr>
      <w:t>30</w:t>
    </w:r>
    <w:r>
      <w:rPr>
        <w:rStyle w:val="PageNumber"/>
      </w:rPr>
      <w:fldChar w:fldCharType="end"/>
    </w:r>
  </w:p>
  <w:p w:rsidR="00144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A30">
      <w:r>
        <w:separator/>
      </w:r>
    </w:p>
  </w:footnote>
  <w:footnote w:type="continuationSeparator" w:id="1">
    <w:p w:rsidR="00851A30">
      <w:r>
        <w:continuationSeparator/>
      </w:r>
    </w:p>
  </w:footnote>
  <w:footnote w:id="2">
    <w:p w:rsidR="00144001" w:rsidRPr="003B54EE" w:rsidP="00743DBC">
      <w:pPr>
        <w:jc w:val="both"/>
        <w:rPr>
          <w:sz w:val="20"/>
        </w:rPr>
      </w:pPr>
    </w:p>
  </w:footnote>
  <w:footnote w:id="3">
    <w:p w:rsidR="00144001" w:rsidRPr="00505D43" w:rsidP="00481740">
      <w:pPr>
        <w:pStyle w:val="FootnoteText"/>
        <w:spacing w:before="0"/>
        <w:ind w:left="0" w:firstLine="0"/>
      </w:pPr>
    </w:p>
  </w:footnote>
  <w:footnote w:id="4">
    <w:p w:rsidR="00144001" w:rsidRPr="008D571C" w:rsidP="00481740">
      <w:pPr>
        <w:pStyle w:val="FootnoteText"/>
        <w:spacing w:before="0"/>
        <w:ind w:left="0" w:firstLine="0"/>
        <w:rPr>
          <w:bCs/>
          <w:lang w:bidi="sk-SK"/>
        </w:rPr>
      </w:pPr>
    </w:p>
  </w:footnote>
  <w:footnote w:id="5">
    <w:p w:rsidR="00144001" w:rsidRPr="00505D43" w:rsidP="00155446">
      <w:pPr>
        <w:pStyle w:val="FootnoteText"/>
        <w:spacing w:before="0"/>
        <w:ind w:left="0" w:firstLine="0"/>
        <w:rPr>
          <w:highlight w:val="yellow"/>
        </w:rPr>
      </w:pPr>
    </w:p>
  </w:footnote>
  <w:footnote w:id="6">
    <w:p w:rsidR="00144001" w:rsidRPr="00505D43" w:rsidP="00155446">
      <w:pPr>
        <w:pStyle w:val="FootnoteText"/>
        <w:spacing w:before="0"/>
        <w:ind w:left="0" w:firstLine="0"/>
      </w:pPr>
    </w:p>
  </w:footnote>
  <w:footnote w:id="7">
    <w:p w:rsidR="00144001" w:rsidRPr="00505D43" w:rsidP="00155446">
      <w:pPr>
        <w:pStyle w:val="CM4"/>
        <w:jc w:val="both"/>
        <w:rPr>
          <w:rFonts w:ascii="Times New Roman" w:hAnsi="Times New Roman"/>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8E733"/>
    <w:multiLevelType w:val="multilevel"/>
    <w:tmpl w:val="B8F8E73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color w:val="auto"/>
      </w:rPr>
    </w:lvl>
    <w:lvl w:ilvl="2">
      <w:start w:val="1"/>
      <w:numFmt w:val="decimal"/>
      <w:lvlText w:val="(%3)"/>
      <w:lvlJc w:val="left"/>
      <w:pPr>
        <w:ind w:left="1211"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DAEA3392"/>
    <w:multiLevelType w:val="multilevel"/>
    <w:tmpl w:val="DAEA3392"/>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
    <w:nsid w:val="EFFF6C99"/>
    <w:multiLevelType w:val="multilevel"/>
    <w:tmpl w:val="EFFF6C99"/>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
    <w:nsid w:val="F7FE7469"/>
    <w:multiLevelType w:val="multilevel"/>
    <w:tmpl w:val="F7FE7469"/>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4">
    <w:nsid w:val="FCD75FF3"/>
    <w:multiLevelType w:val="multilevel"/>
    <w:tmpl w:val="FCD75FF3"/>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170A62"/>
    <w:multiLevelType w:val="multilevel"/>
    <w:tmpl w:val="F7FE7469"/>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6">
    <w:nsid w:val="05E3175C"/>
    <w:multiLevelType w:val="hybridMultilevel"/>
    <w:tmpl w:val="BFEC551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75C15F3"/>
    <w:multiLevelType w:val="multilevel"/>
    <w:tmpl w:val="92F8A1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1844BF"/>
    <w:multiLevelType w:val="hybridMultilevel"/>
    <w:tmpl w:val="24AADE2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142"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
    <w:nsid w:val="146C38C8"/>
    <w:multiLevelType w:val="hybridMultilevel"/>
    <w:tmpl w:val="7C6229D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B13859"/>
    <w:multiLevelType w:val="hybridMultilevel"/>
    <w:tmpl w:val="96FA7B52"/>
    <w:lvl w:ilvl="0">
      <w:start w:val="1"/>
      <w:numFmt w:val="lowerLetter"/>
      <w:lvlText w:val="%1)"/>
      <w:lvlJc w:val="left"/>
      <w:pPr>
        <w:ind w:left="644" w:hanging="360"/>
      </w:pPr>
      <w:rPr>
        <w:rFonts w:hint="default"/>
      </w:rPr>
    </w:lvl>
    <w:lvl w:ilvl="1">
      <w:start w:val="1"/>
      <w:numFmt w:val="lowerLetter"/>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nsid w:val="170005C4"/>
    <w:multiLevelType w:val="multilevel"/>
    <w:tmpl w:val="D8F6D3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CB39DB"/>
    <w:multiLevelType w:val="multilevel"/>
    <w:tmpl w:val="19CB39DB"/>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
    <w:nsid w:val="19D3613F"/>
    <w:multiLevelType w:val="singleLevel"/>
    <w:tmpl w:val="ACF2636C"/>
    <w:lvl w:ilvl="0">
      <w:start w:val="1"/>
      <w:numFmt w:val="lowerLetter"/>
      <w:pStyle w:val="Textpsmene"/>
      <w:lvlText w:val="%1)"/>
      <w:lvlJc w:val="left"/>
      <w:pPr>
        <w:tabs>
          <w:tab w:val="num" w:pos="360"/>
        </w:tabs>
        <w:ind w:left="360" w:hanging="360"/>
      </w:pPr>
    </w:lvl>
  </w:abstractNum>
  <w:abstractNum w:abstractNumId="15">
    <w:nsid w:val="1CCC700A"/>
    <w:multiLevelType w:val="hybridMultilevel"/>
    <w:tmpl w:val="1CC4EA86"/>
    <w:lvl w:ilvl="0">
      <w:start w:val="1"/>
      <w:numFmt w:val="decimal"/>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EF031D"/>
    <w:multiLevelType w:val="hybridMultilevel"/>
    <w:tmpl w:val="2F402D1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C9A4CAA"/>
    <w:multiLevelType w:val="hybridMultilevel"/>
    <w:tmpl w:val="B986BAB4"/>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8">
    <w:nsid w:val="2EF7657C"/>
    <w:multiLevelType w:val="hybridMultilevel"/>
    <w:tmpl w:val="BE7AD1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092572"/>
    <w:multiLevelType w:val="hybridMultilevel"/>
    <w:tmpl w:val="C79427E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6342D53"/>
    <w:multiLevelType w:val="hybridMultilevel"/>
    <w:tmpl w:val="B918857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4D5EE9"/>
    <w:multiLevelType w:val="hybridMultilevel"/>
    <w:tmpl w:val="05DE8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2666EC"/>
    <w:multiLevelType w:val="multilevel"/>
    <w:tmpl w:val="FDBE970E"/>
    <w:lvl w:ilvl="0">
      <w:start w:val="1"/>
      <w:numFmt w:val="decimal"/>
      <w:lvlText w:val="(%1)"/>
      <w:lvlJc w:val="left"/>
      <w:pPr>
        <w:ind w:left="-152" w:firstLine="720"/>
      </w:pPr>
      <w:rPr>
        <w:rFonts w:hint="default"/>
        <w:sz w:val="24"/>
        <w:szCs w:val="20"/>
      </w:rPr>
    </w:lvl>
    <w:lvl w:ilvl="1">
      <w:start w:val="1"/>
      <w:numFmt w:val="lowerLetter"/>
      <w:lvlText w:val="%2)"/>
      <w:lvlJc w:val="left"/>
      <w:pPr>
        <w:ind w:left="1691" w:firstLine="0"/>
      </w:pPr>
    </w:lvl>
    <w:lvl w:ilvl="2">
      <w:start w:val="1"/>
      <w:numFmt w:val="decimal"/>
      <w:lvlText w:val="%3."/>
      <w:lvlJc w:val="left"/>
      <w:pPr>
        <w:ind w:left="1691" w:firstLine="0"/>
      </w:pPr>
    </w:lvl>
    <w:lvl w:ilvl="3">
      <w:start w:val="1"/>
      <w:numFmt w:val="decimal"/>
      <w:lvlText w:val="%4."/>
      <w:lvlJc w:val="left"/>
      <w:pPr>
        <w:ind w:left="3851" w:firstLine="357"/>
      </w:pPr>
    </w:lvl>
    <w:lvl w:ilvl="4">
      <w:start w:val="1"/>
      <w:numFmt w:val="lowerLetter"/>
      <w:lvlText w:val="%5."/>
      <w:lvlJc w:val="left"/>
      <w:pPr>
        <w:ind w:left="4571" w:firstLine="357"/>
      </w:pPr>
    </w:lvl>
    <w:lvl w:ilvl="5">
      <w:start w:val="1"/>
      <w:numFmt w:val="lowerRoman"/>
      <w:lvlText w:val="%6."/>
      <w:lvlJc w:val="right"/>
      <w:pPr>
        <w:ind w:left="5291" w:firstLine="357"/>
      </w:pPr>
    </w:lvl>
    <w:lvl w:ilvl="6">
      <w:start w:val="1"/>
      <w:numFmt w:val="decimal"/>
      <w:lvlText w:val="%7."/>
      <w:lvlJc w:val="left"/>
      <w:pPr>
        <w:ind w:left="6011" w:firstLine="357"/>
      </w:pPr>
    </w:lvl>
    <w:lvl w:ilvl="7">
      <w:start w:val="1"/>
      <w:numFmt w:val="lowerLetter"/>
      <w:lvlText w:val="%8."/>
      <w:lvlJc w:val="left"/>
      <w:pPr>
        <w:ind w:left="6731" w:firstLine="357"/>
      </w:pPr>
    </w:lvl>
    <w:lvl w:ilvl="8">
      <w:start w:val="1"/>
      <w:numFmt w:val="lowerRoman"/>
      <w:lvlText w:val="%9."/>
      <w:lvlJc w:val="right"/>
      <w:pPr>
        <w:ind w:left="7451" w:firstLine="357"/>
      </w:pPr>
    </w:lvl>
  </w:abstractNum>
  <w:abstractNum w:abstractNumId="23">
    <w:nsid w:val="494363F7"/>
    <w:multiLevelType w:val="hybridMultilevel"/>
    <w:tmpl w:val="750A71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A50163C"/>
    <w:multiLevelType w:val="hybridMultilevel"/>
    <w:tmpl w:val="E0F4AF34"/>
    <w:lvl w:ilvl="0">
      <w:start w:val="3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ECF73F"/>
    <w:multiLevelType w:val="multilevel"/>
    <w:tmpl w:val="4BECF73F"/>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517367"/>
    <w:multiLevelType w:val="hybridMultilevel"/>
    <w:tmpl w:val="4D3451A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526FF5"/>
    <w:multiLevelType w:val="hybridMultilevel"/>
    <w:tmpl w:val="0A4AF5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5439CF"/>
    <w:multiLevelType w:val="hybridMultilevel"/>
    <w:tmpl w:val="157EF10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60A72B5"/>
    <w:multiLevelType w:val="hybridMultilevel"/>
    <w:tmpl w:val="12E2BBF0"/>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nsid w:val="57EF2F18"/>
    <w:multiLevelType w:val="multilevel"/>
    <w:tmpl w:val="57EF2F18"/>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31">
    <w:nsid w:val="5E5644B3"/>
    <w:multiLevelType w:val="hybridMultilevel"/>
    <w:tmpl w:val="8B2E0F6A"/>
    <w:lvl w:ilvl="0">
      <w:start w:val="1"/>
      <w:numFmt w:val="lowerLetter"/>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32">
    <w:nsid w:val="61164754"/>
    <w:multiLevelType w:val="hybridMultilevel"/>
    <w:tmpl w:val="4E84AF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427175"/>
    <w:multiLevelType w:val="hybridMultilevel"/>
    <w:tmpl w:val="CB9EE338"/>
    <w:lvl w:ilvl="0">
      <w:start w:val="1"/>
      <w:numFmt w:val="lowerLetter"/>
      <w:lvlText w:val="%1)"/>
      <w:lvlJc w:val="left"/>
      <w:pPr>
        <w:ind w:left="644"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DF36E1"/>
    <w:multiLevelType w:val="hybridMultilevel"/>
    <w:tmpl w:val="2B502AF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8B36420"/>
    <w:multiLevelType w:val="hybridMultilevel"/>
    <w:tmpl w:val="833653B4"/>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BE09EF"/>
    <w:multiLevelType w:val="hybridMultilevel"/>
    <w:tmpl w:val="E11A58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6F5E72"/>
    <w:multiLevelType w:val="multilevel"/>
    <w:tmpl w:val="D2AEECE8"/>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ascii="Times New Roman" w:eastAsia="Times New Roman" w:hAnsi="Times New Roman" w:cs="Times New Roman"/>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38">
    <w:nsid w:val="6E5A444B"/>
    <w:multiLevelType w:val="hybridMultilevel"/>
    <w:tmpl w:val="E2F6913E"/>
    <w:lvl w:ilvl="0">
      <w:start w:val="1"/>
      <w:numFmt w:val="decimal"/>
      <w:lvlText w:val="%1)"/>
      <w:lvlJc w:val="left"/>
      <w:pPr>
        <w:ind w:left="644" w:hanging="360"/>
      </w:pPr>
      <w:rPr>
        <w:rFonts w:hint="default"/>
        <w:sz w:val="24"/>
        <w:vertAlign w:val="superscrip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9">
    <w:nsid w:val="6EB6037D"/>
    <w:multiLevelType w:val="multilevel"/>
    <w:tmpl w:val="0952C8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6B1EA4"/>
    <w:multiLevelType w:val="multilevel"/>
    <w:tmpl w:val="6F6B1E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7813AA"/>
    <w:multiLevelType w:val="multilevel"/>
    <w:tmpl w:val="6F7813AA"/>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2">
    <w:nsid w:val="75603826"/>
    <w:multiLevelType w:val="hybridMultilevel"/>
    <w:tmpl w:val="17DE1004"/>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3">
    <w:nsid w:val="77526170"/>
    <w:multiLevelType w:val="multilevel"/>
    <w:tmpl w:val="985A5F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75103A"/>
    <w:multiLevelType w:val="multilevel"/>
    <w:tmpl w:val="46E6676C"/>
    <w:lvl w:ilvl="0">
      <w:start w:val="1"/>
      <w:numFmt w:val="decimal"/>
      <w:lvlText w:val="(%1)"/>
      <w:lvlJc w:val="left"/>
      <w:pPr>
        <w:ind w:left="6882" w:hanging="360"/>
      </w:pPr>
      <w:rPr>
        <w:rFonts w:hint="default"/>
        <w:strike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nsid w:val="7C4B1073"/>
    <w:multiLevelType w:val="hybridMultilevel"/>
    <w:tmpl w:val="6B16C2FA"/>
    <w:lvl w:ilvl="0">
      <w:start w:val="1"/>
      <w:numFmt w:val="decimal"/>
      <w:lvlText w:val="%1."/>
      <w:lvlJc w:val="left"/>
      <w:pPr>
        <w:ind w:left="928"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1C5E42"/>
    <w:multiLevelType w:val="multilevel"/>
    <w:tmpl w:val="7D1C5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D1619A"/>
    <w:multiLevelType w:val="hybridMultilevel"/>
    <w:tmpl w:val="E2D0088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8">
    <w:nsid w:val="7FBFB49C"/>
    <w:multiLevelType w:val="multilevel"/>
    <w:tmpl w:val="7FBFB49C"/>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49">
    <w:nsid w:val="7FFEC429"/>
    <w:multiLevelType w:val="multilevel"/>
    <w:tmpl w:val="7FFEC429"/>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num w:numId="1">
    <w:abstractNumId w:val="14"/>
  </w:num>
  <w:num w:numId="2">
    <w:abstractNumId w:val="8"/>
  </w:num>
  <w:num w:numId="3">
    <w:abstractNumId w:val="28"/>
  </w:num>
  <w:num w:numId="4">
    <w:abstractNumId w:val="23"/>
  </w:num>
  <w:num w:numId="5">
    <w:abstractNumId w:val="34"/>
  </w:num>
  <w:num w:numId="6">
    <w:abstractNumId w:val="16"/>
  </w:num>
  <w:num w:numId="7">
    <w:abstractNumId w:val="19"/>
  </w:num>
  <w:num w:numId="8">
    <w:abstractNumId w:val="3"/>
  </w:num>
  <w:num w:numId="9">
    <w:abstractNumId w:val="6"/>
  </w:num>
  <w:num w:numId="10">
    <w:abstractNumId w:val="13"/>
  </w:num>
  <w:num w:numId="11">
    <w:abstractNumId w:val="36"/>
  </w:num>
  <w:num w:numId="12">
    <w:abstractNumId w:val="25"/>
  </w:num>
  <w:num w:numId="13">
    <w:abstractNumId w:val="24"/>
  </w:num>
  <w:num w:numId="14">
    <w:abstractNumId w:val="21"/>
  </w:num>
  <w:num w:numId="15">
    <w:abstractNumId w:val="27"/>
  </w:num>
  <w:num w:numId="16">
    <w:abstractNumId w:val="47"/>
  </w:num>
  <w:num w:numId="17">
    <w:abstractNumId w:val="29"/>
  </w:num>
  <w:num w:numId="18">
    <w:abstractNumId w:val="32"/>
  </w:num>
  <w:num w:numId="19">
    <w:abstractNumId w:val="38"/>
  </w:num>
  <w:num w:numId="20">
    <w:abstractNumId w:val="41"/>
  </w:num>
  <w:num w:numId="21">
    <w:abstractNumId w:val="0"/>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7"/>
  </w:num>
  <w:num w:numId="26">
    <w:abstractNumId w:val="43"/>
  </w:num>
  <w:num w:numId="27">
    <w:abstractNumId w:val="39"/>
  </w:num>
  <w:num w:numId="28">
    <w:abstractNumId w:val="12"/>
  </w:num>
  <w:num w:numId="29">
    <w:abstractNumId w:val="33"/>
  </w:num>
  <w:num w:numId="30">
    <w:abstractNumId w:val="11"/>
  </w:num>
  <w:num w:numId="31">
    <w:abstractNumId w:val="42"/>
  </w:num>
  <w:num w:numId="32">
    <w:abstractNumId w:val="31"/>
  </w:num>
  <w:num w:numId="33">
    <w:abstractNumId w:val="4"/>
  </w:num>
  <w:num w:numId="34">
    <w:abstractNumId w:val="49"/>
  </w:num>
  <w:num w:numId="35">
    <w:abstractNumId w:val="1"/>
  </w:num>
  <w:num w:numId="36">
    <w:abstractNumId w:val="30"/>
  </w:num>
  <w:num w:numId="37">
    <w:abstractNumId w:val="5"/>
  </w:num>
  <w:num w:numId="38">
    <w:abstractNumId w:val="48"/>
  </w:num>
  <w:num w:numId="39">
    <w:abstractNumId w:val="9"/>
  </w:num>
  <w:num w:numId="40">
    <w:abstractNumId w:val="44"/>
  </w:num>
  <w:num w:numId="41">
    <w:abstractNumId w:val="40"/>
  </w:num>
  <w:num w:numId="42">
    <w:abstractNumId w:val="2"/>
  </w:num>
  <w:num w:numId="43">
    <w:abstractNumId w:val="37"/>
  </w:num>
  <w:num w:numId="44">
    <w:abstractNumId w:val="18"/>
  </w:num>
  <w:num w:numId="45">
    <w:abstractNumId w:val="35"/>
  </w:num>
  <w:num w:numId="46">
    <w:abstractNumId w:val="26"/>
  </w:num>
  <w:num w:numId="47">
    <w:abstractNumId w:val="20"/>
  </w:num>
  <w:num w:numId="48">
    <w:abstractNumId w:val="10"/>
  </w:num>
  <w:num w:numId="49">
    <w:abstractNumId w:val="46"/>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stylePaneFormatFilter w:val="3F01"/>
  <w:doNotTrackMoves/>
  <w:defaultTabStop w:val="708"/>
  <w:hyphenationZone w:val="425"/>
  <w:displayHorizontalDrawingGridEvery w:val="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71D2"/>
    <w:rsid w:val="00001268"/>
    <w:rsid w:val="00002576"/>
    <w:rsid w:val="000048EC"/>
    <w:rsid w:val="00007C55"/>
    <w:rsid w:val="00012600"/>
    <w:rsid w:val="00016283"/>
    <w:rsid w:val="00020A83"/>
    <w:rsid w:val="00021A45"/>
    <w:rsid w:val="00023F4B"/>
    <w:rsid w:val="0003017D"/>
    <w:rsid w:val="00031080"/>
    <w:rsid w:val="00034377"/>
    <w:rsid w:val="00034D1D"/>
    <w:rsid w:val="00035A99"/>
    <w:rsid w:val="00046E7A"/>
    <w:rsid w:val="00050624"/>
    <w:rsid w:val="00051207"/>
    <w:rsid w:val="00051F2D"/>
    <w:rsid w:val="00052249"/>
    <w:rsid w:val="00060433"/>
    <w:rsid w:val="000607F2"/>
    <w:rsid w:val="00062468"/>
    <w:rsid w:val="0006578D"/>
    <w:rsid w:val="0006658F"/>
    <w:rsid w:val="00066617"/>
    <w:rsid w:val="00067AF7"/>
    <w:rsid w:val="00070876"/>
    <w:rsid w:val="00072EB3"/>
    <w:rsid w:val="00075822"/>
    <w:rsid w:val="000822EE"/>
    <w:rsid w:val="00082E57"/>
    <w:rsid w:val="000850A0"/>
    <w:rsid w:val="0008546A"/>
    <w:rsid w:val="00090E9B"/>
    <w:rsid w:val="00091583"/>
    <w:rsid w:val="000928BD"/>
    <w:rsid w:val="00092C26"/>
    <w:rsid w:val="00094148"/>
    <w:rsid w:val="000945F4"/>
    <w:rsid w:val="00094C1F"/>
    <w:rsid w:val="000968EC"/>
    <w:rsid w:val="000A1DD9"/>
    <w:rsid w:val="000A6708"/>
    <w:rsid w:val="000A6DAB"/>
    <w:rsid w:val="000A7E6B"/>
    <w:rsid w:val="000B0930"/>
    <w:rsid w:val="000B2916"/>
    <w:rsid w:val="000B4172"/>
    <w:rsid w:val="000B4FE9"/>
    <w:rsid w:val="000B5F48"/>
    <w:rsid w:val="000B7DAB"/>
    <w:rsid w:val="000C05D2"/>
    <w:rsid w:val="000C0CC4"/>
    <w:rsid w:val="000C12D6"/>
    <w:rsid w:val="000D73AF"/>
    <w:rsid w:val="000E150C"/>
    <w:rsid w:val="000E1715"/>
    <w:rsid w:val="000E426D"/>
    <w:rsid w:val="000E7174"/>
    <w:rsid w:val="000F097A"/>
    <w:rsid w:val="000F343F"/>
    <w:rsid w:val="000F5D11"/>
    <w:rsid w:val="00102354"/>
    <w:rsid w:val="0010439B"/>
    <w:rsid w:val="00106D3D"/>
    <w:rsid w:val="00107498"/>
    <w:rsid w:val="00114BC4"/>
    <w:rsid w:val="0011754A"/>
    <w:rsid w:val="00120E0D"/>
    <w:rsid w:val="00121119"/>
    <w:rsid w:val="00130212"/>
    <w:rsid w:val="001377EC"/>
    <w:rsid w:val="00137F77"/>
    <w:rsid w:val="00141D73"/>
    <w:rsid w:val="00144001"/>
    <w:rsid w:val="00144566"/>
    <w:rsid w:val="00153410"/>
    <w:rsid w:val="00155446"/>
    <w:rsid w:val="00156D3E"/>
    <w:rsid w:val="001604CD"/>
    <w:rsid w:val="00164342"/>
    <w:rsid w:val="00170879"/>
    <w:rsid w:val="0017135C"/>
    <w:rsid w:val="00175F54"/>
    <w:rsid w:val="0018360B"/>
    <w:rsid w:val="00187269"/>
    <w:rsid w:val="00187B00"/>
    <w:rsid w:val="00187EEF"/>
    <w:rsid w:val="00196004"/>
    <w:rsid w:val="00196E0D"/>
    <w:rsid w:val="00197B41"/>
    <w:rsid w:val="00197E56"/>
    <w:rsid w:val="001A29E8"/>
    <w:rsid w:val="001A50EF"/>
    <w:rsid w:val="001A5ECA"/>
    <w:rsid w:val="001A5EFC"/>
    <w:rsid w:val="001B0945"/>
    <w:rsid w:val="001B365C"/>
    <w:rsid w:val="001B4262"/>
    <w:rsid w:val="001C60F7"/>
    <w:rsid w:val="001C6217"/>
    <w:rsid w:val="001D1207"/>
    <w:rsid w:val="001D1C1B"/>
    <w:rsid w:val="001D2316"/>
    <w:rsid w:val="001D5812"/>
    <w:rsid w:val="001E0243"/>
    <w:rsid w:val="001E037C"/>
    <w:rsid w:val="001E2AE7"/>
    <w:rsid w:val="001E3338"/>
    <w:rsid w:val="001F4262"/>
    <w:rsid w:val="001F4330"/>
    <w:rsid w:val="001F6F6C"/>
    <w:rsid w:val="001F7E56"/>
    <w:rsid w:val="00210164"/>
    <w:rsid w:val="00216C6D"/>
    <w:rsid w:val="0022081B"/>
    <w:rsid w:val="00222E82"/>
    <w:rsid w:val="00225F6C"/>
    <w:rsid w:val="00227A66"/>
    <w:rsid w:val="0023009A"/>
    <w:rsid w:val="0023028A"/>
    <w:rsid w:val="00230D4E"/>
    <w:rsid w:val="00235F3F"/>
    <w:rsid w:val="0024223C"/>
    <w:rsid w:val="00243497"/>
    <w:rsid w:val="0024454A"/>
    <w:rsid w:val="00250E18"/>
    <w:rsid w:val="002511B3"/>
    <w:rsid w:val="00251CC6"/>
    <w:rsid w:val="00254B0B"/>
    <w:rsid w:val="002637F4"/>
    <w:rsid w:val="00265A18"/>
    <w:rsid w:val="0027265A"/>
    <w:rsid w:val="00281D55"/>
    <w:rsid w:val="0028677B"/>
    <w:rsid w:val="002934D7"/>
    <w:rsid w:val="002A0849"/>
    <w:rsid w:val="002A2908"/>
    <w:rsid w:val="002A3185"/>
    <w:rsid w:val="002A382A"/>
    <w:rsid w:val="002A5AC7"/>
    <w:rsid w:val="002A7577"/>
    <w:rsid w:val="002A7C55"/>
    <w:rsid w:val="002B0B9D"/>
    <w:rsid w:val="002B10EE"/>
    <w:rsid w:val="002B1454"/>
    <w:rsid w:val="002B3EF0"/>
    <w:rsid w:val="002C0B4E"/>
    <w:rsid w:val="002C2339"/>
    <w:rsid w:val="002C6C64"/>
    <w:rsid w:val="002C7D5F"/>
    <w:rsid w:val="002D3699"/>
    <w:rsid w:val="002D68E3"/>
    <w:rsid w:val="002D6B96"/>
    <w:rsid w:val="002D77C5"/>
    <w:rsid w:val="002E4067"/>
    <w:rsid w:val="002E48D3"/>
    <w:rsid w:val="002E4F0F"/>
    <w:rsid w:val="002E69E9"/>
    <w:rsid w:val="002E7590"/>
    <w:rsid w:val="002F4890"/>
    <w:rsid w:val="002F52A9"/>
    <w:rsid w:val="002F5C08"/>
    <w:rsid w:val="00300B3E"/>
    <w:rsid w:val="003012C4"/>
    <w:rsid w:val="00302E31"/>
    <w:rsid w:val="00305D4A"/>
    <w:rsid w:val="00306350"/>
    <w:rsid w:val="00307B28"/>
    <w:rsid w:val="00307D86"/>
    <w:rsid w:val="00323AA2"/>
    <w:rsid w:val="003270D2"/>
    <w:rsid w:val="00327BF4"/>
    <w:rsid w:val="00330338"/>
    <w:rsid w:val="0033432E"/>
    <w:rsid w:val="0033676D"/>
    <w:rsid w:val="00337CC7"/>
    <w:rsid w:val="00341B72"/>
    <w:rsid w:val="00342486"/>
    <w:rsid w:val="0034359A"/>
    <w:rsid w:val="00345374"/>
    <w:rsid w:val="003529C9"/>
    <w:rsid w:val="00353AB9"/>
    <w:rsid w:val="003541D7"/>
    <w:rsid w:val="00356AE7"/>
    <w:rsid w:val="00357C03"/>
    <w:rsid w:val="0036140A"/>
    <w:rsid w:val="00364B3D"/>
    <w:rsid w:val="00367529"/>
    <w:rsid w:val="0036778C"/>
    <w:rsid w:val="00375B0D"/>
    <w:rsid w:val="00384068"/>
    <w:rsid w:val="00390FC1"/>
    <w:rsid w:val="003923F6"/>
    <w:rsid w:val="00393B10"/>
    <w:rsid w:val="00394720"/>
    <w:rsid w:val="00395683"/>
    <w:rsid w:val="003977FB"/>
    <w:rsid w:val="003A0FF1"/>
    <w:rsid w:val="003A38A3"/>
    <w:rsid w:val="003B2FE9"/>
    <w:rsid w:val="003B54EE"/>
    <w:rsid w:val="003C0A1E"/>
    <w:rsid w:val="003C19E1"/>
    <w:rsid w:val="003C1B83"/>
    <w:rsid w:val="003C5741"/>
    <w:rsid w:val="003D1878"/>
    <w:rsid w:val="003D1C4C"/>
    <w:rsid w:val="003D2F9A"/>
    <w:rsid w:val="003D5481"/>
    <w:rsid w:val="003D58AB"/>
    <w:rsid w:val="003D65E2"/>
    <w:rsid w:val="003D7C99"/>
    <w:rsid w:val="003E3761"/>
    <w:rsid w:val="003E486C"/>
    <w:rsid w:val="003E6362"/>
    <w:rsid w:val="003F3ED8"/>
    <w:rsid w:val="003F625B"/>
    <w:rsid w:val="00400690"/>
    <w:rsid w:val="00400A40"/>
    <w:rsid w:val="004021A9"/>
    <w:rsid w:val="004154FE"/>
    <w:rsid w:val="00420F29"/>
    <w:rsid w:val="00422347"/>
    <w:rsid w:val="00426F14"/>
    <w:rsid w:val="00430816"/>
    <w:rsid w:val="00431330"/>
    <w:rsid w:val="00431CE1"/>
    <w:rsid w:val="0044018B"/>
    <w:rsid w:val="00441440"/>
    <w:rsid w:val="004415BD"/>
    <w:rsid w:val="00441D58"/>
    <w:rsid w:val="00441E23"/>
    <w:rsid w:val="00450AED"/>
    <w:rsid w:val="004542AE"/>
    <w:rsid w:val="00454806"/>
    <w:rsid w:val="00456EEA"/>
    <w:rsid w:val="00471C53"/>
    <w:rsid w:val="004739C5"/>
    <w:rsid w:val="004744DA"/>
    <w:rsid w:val="004803BE"/>
    <w:rsid w:val="00481740"/>
    <w:rsid w:val="00482F48"/>
    <w:rsid w:val="004832E8"/>
    <w:rsid w:val="004843F5"/>
    <w:rsid w:val="0048523E"/>
    <w:rsid w:val="004859CE"/>
    <w:rsid w:val="00490A84"/>
    <w:rsid w:val="004953FB"/>
    <w:rsid w:val="00497E45"/>
    <w:rsid w:val="004A1CFA"/>
    <w:rsid w:val="004A5411"/>
    <w:rsid w:val="004A60C4"/>
    <w:rsid w:val="004A6ABF"/>
    <w:rsid w:val="004B4B31"/>
    <w:rsid w:val="004B7BF7"/>
    <w:rsid w:val="004C6508"/>
    <w:rsid w:val="004C66F7"/>
    <w:rsid w:val="004D1FFB"/>
    <w:rsid w:val="004D4DCD"/>
    <w:rsid w:val="004D790C"/>
    <w:rsid w:val="004E0934"/>
    <w:rsid w:val="004E1AFB"/>
    <w:rsid w:val="004E5A7A"/>
    <w:rsid w:val="004E5C01"/>
    <w:rsid w:val="004E5D12"/>
    <w:rsid w:val="004E64FD"/>
    <w:rsid w:val="004F536E"/>
    <w:rsid w:val="004F6A5E"/>
    <w:rsid w:val="0050371C"/>
    <w:rsid w:val="00505D43"/>
    <w:rsid w:val="0050792E"/>
    <w:rsid w:val="00512643"/>
    <w:rsid w:val="00512AD8"/>
    <w:rsid w:val="00513022"/>
    <w:rsid w:val="00514277"/>
    <w:rsid w:val="00520EFA"/>
    <w:rsid w:val="00521B10"/>
    <w:rsid w:val="00523DC1"/>
    <w:rsid w:val="00523FF9"/>
    <w:rsid w:val="0052467C"/>
    <w:rsid w:val="00524FD9"/>
    <w:rsid w:val="00526418"/>
    <w:rsid w:val="005264E4"/>
    <w:rsid w:val="00530963"/>
    <w:rsid w:val="005318C0"/>
    <w:rsid w:val="00531A2C"/>
    <w:rsid w:val="00535526"/>
    <w:rsid w:val="00536E1F"/>
    <w:rsid w:val="005416C3"/>
    <w:rsid w:val="00541AC4"/>
    <w:rsid w:val="005459D8"/>
    <w:rsid w:val="005523D9"/>
    <w:rsid w:val="005528D9"/>
    <w:rsid w:val="00553133"/>
    <w:rsid w:val="00557828"/>
    <w:rsid w:val="0056008C"/>
    <w:rsid w:val="00565B4A"/>
    <w:rsid w:val="00566FFE"/>
    <w:rsid w:val="005676E0"/>
    <w:rsid w:val="0057407E"/>
    <w:rsid w:val="00575134"/>
    <w:rsid w:val="0057526D"/>
    <w:rsid w:val="0057536E"/>
    <w:rsid w:val="00575737"/>
    <w:rsid w:val="00575A68"/>
    <w:rsid w:val="005806F0"/>
    <w:rsid w:val="00580AD2"/>
    <w:rsid w:val="00581855"/>
    <w:rsid w:val="00584369"/>
    <w:rsid w:val="0058459D"/>
    <w:rsid w:val="0059520E"/>
    <w:rsid w:val="005971C3"/>
    <w:rsid w:val="00597EEA"/>
    <w:rsid w:val="005A025B"/>
    <w:rsid w:val="005A206F"/>
    <w:rsid w:val="005A3D8D"/>
    <w:rsid w:val="005A508F"/>
    <w:rsid w:val="005A7A63"/>
    <w:rsid w:val="005B0B31"/>
    <w:rsid w:val="005B394F"/>
    <w:rsid w:val="005C0067"/>
    <w:rsid w:val="005C0D98"/>
    <w:rsid w:val="005C4283"/>
    <w:rsid w:val="005C7F85"/>
    <w:rsid w:val="005D3422"/>
    <w:rsid w:val="005D72EA"/>
    <w:rsid w:val="005E11AA"/>
    <w:rsid w:val="005E333B"/>
    <w:rsid w:val="005E686F"/>
    <w:rsid w:val="005E79F5"/>
    <w:rsid w:val="005F3DE7"/>
    <w:rsid w:val="005F743E"/>
    <w:rsid w:val="00601057"/>
    <w:rsid w:val="006025B3"/>
    <w:rsid w:val="00603499"/>
    <w:rsid w:val="00605DAE"/>
    <w:rsid w:val="006062DE"/>
    <w:rsid w:val="006068A6"/>
    <w:rsid w:val="00606DD2"/>
    <w:rsid w:val="00607D28"/>
    <w:rsid w:val="00614DD1"/>
    <w:rsid w:val="006158CA"/>
    <w:rsid w:val="00620474"/>
    <w:rsid w:val="0062226A"/>
    <w:rsid w:val="00625408"/>
    <w:rsid w:val="0063105D"/>
    <w:rsid w:val="00633006"/>
    <w:rsid w:val="0063613B"/>
    <w:rsid w:val="00640EFA"/>
    <w:rsid w:val="0064294B"/>
    <w:rsid w:val="00644E78"/>
    <w:rsid w:val="006518FE"/>
    <w:rsid w:val="00653926"/>
    <w:rsid w:val="0066018A"/>
    <w:rsid w:val="0066225B"/>
    <w:rsid w:val="00663832"/>
    <w:rsid w:val="00671482"/>
    <w:rsid w:val="006769ED"/>
    <w:rsid w:val="00677AE6"/>
    <w:rsid w:val="00680D60"/>
    <w:rsid w:val="00680E72"/>
    <w:rsid w:val="006822FA"/>
    <w:rsid w:val="0068378B"/>
    <w:rsid w:val="0068773A"/>
    <w:rsid w:val="006938A2"/>
    <w:rsid w:val="00694990"/>
    <w:rsid w:val="006958C1"/>
    <w:rsid w:val="006A0BA8"/>
    <w:rsid w:val="006A454F"/>
    <w:rsid w:val="006A7659"/>
    <w:rsid w:val="006B1364"/>
    <w:rsid w:val="006B2681"/>
    <w:rsid w:val="006B3F43"/>
    <w:rsid w:val="006C2232"/>
    <w:rsid w:val="006C32FC"/>
    <w:rsid w:val="006C483A"/>
    <w:rsid w:val="006C51B5"/>
    <w:rsid w:val="006C62F8"/>
    <w:rsid w:val="006C7ADA"/>
    <w:rsid w:val="006D0540"/>
    <w:rsid w:val="006D0887"/>
    <w:rsid w:val="006D1A7C"/>
    <w:rsid w:val="006D2ABF"/>
    <w:rsid w:val="006D473F"/>
    <w:rsid w:val="006D7FE6"/>
    <w:rsid w:val="006E065B"/>
    <w:rsid w:val="006E12DC"/>
    <w:rsid w:val="006E219D"/>
    <w:rsid w:val="006E46FE"/>
    <w:rsid w:val="006E7B7A"/>
    <w:rsid w:val="006F03CF"/>
    <w:rsid w:val="006F0570"/>
    <w:rsid w:val="006F14F3"/>
    <w:rsid w:val="006F362B"/>
    <w:rsid w:val="006F3CE1"/>
    <w:rsid w:val="006F3EBA"/>
    <w:rsid w:val="006F5874"/>
    <w:rsid w:val="007000A0"/>
    <w:rsid w:val="00700EF9"/>
    <w:rsid w:val="007027D2"/>
    <w:rsid w:val="00703A57"/>
    <w:rsid w:val="0070455C"/>
    <w:rsid w:val="00711A4B"/>
    <w:rsid w:val="00714050"/>
    <w:rsid w:val="00714675"/>
    <w:rsid w:val="00715F12"/>
    <w:rsid w:val="0072085B"/>
    <w:rsid w:val="00720936"/>
    <w:rsid w:val="00724037"/>
    <w:rsid w:val="00726799"/>
    <w:rsid w:val="007279DF"/>
    <w:rsid w:val="00730F07"/>
    <w:rsid w:val="00730F99"/>
    <w:rsid w:val="00733227"/>
    <w:rsid w:val="00737E40"/>
    <w:rsid w:val="00741439"/>
    <w:rsid w:val="00743DBC"/>
    <w:rsid w:val="00744CD4"/>
    <w:rsid w:val="00744E88"/>
    <w:rsid w:val="00747B67"/>
    <w:rsid w:val="00750C87"/>
    <w:rsid w:val="00750F2D"/>
    <w:rsid w:val="00754B64"/>
    <w:rsid w:val="00755E48"/>
    <w:rsid w:val="00761D4A"/>
    <w:rsid w:val="007656E5"/>
    <w:rsid w:val="0076695C"/>
    <w:rsid w:val="0076790E"/>
    <w:rsid w:val="00773E63"/>
    <w:rsid w:val="00774288"/>
    <w:rsid w:val="00781175"/>
    <w:rsid w:val="007847A8"/>
    <w:rsid w:val="00790C52"/>
    <w:rsid w:val="00791601"/>
    <w:rsid w:val="00796A71"/>
    <w:rsid w:val="007A0457"/>
    <w:rsid w:val="007B41E8"/>
    <w:rsid w:val="007B461D"/>
    <w:rsid w:val="007B57C0"/>
    <w:rsid w:val="007B656C"/>
    <w:rsid w:val="007B6CDB"/>
    <w:rsid w:val="007B726F"/>
    <w:rsid w:val="007B7863"/>
    <w:rsid w:val="007C0C8B"/>
    <w:rsid w:val="007C2C2E"/>
    <w:rsid w:val="007C4CE1"/>
    <w:rsid w:val="007C7351"/>
    <w:rsid w:val="007D3316"/>
    <w:rsid w:val="007D3B16"/>
    <w:rsid w:val="007D56DF"/>
    <w:rsid w:val="007D7903"/>
    <w:rsid w:val="007E29FB"/>
    <w:rsid w:val="007E2F58"/>
    <w:rsid w:val="007E53DA"/>
    <w:rsid w:val="007E6954"/>
    <w:rsid w:val="007F0B26"/>
    <w:rsid w:val="007F4618"/>
    <w:rsid w:val="008036E3"/>
    <w:rsid w:val="008047DA"/>
    <w:rsid w:val="00812419"/>
    <w:rsid w:val="00817729"/>
    <w:rsid w:val="008219B2"/>
    <w:rsid w:val="00822DBB"/>
    <w:rsid w:val="00823443"/>
    <w:rsid w:val="00827348"/>
    <w:rsid w:val="008328CD"/>
    <w:rsid w:val="00834F58"/>
    <w:rsid w:val="00837AAA"/>
    <w:rsid w:val="00840F4A"/>
    <w:rsid w:val="0084127C"/>
    <w:rsid w:val="00845923"/>
    <w:rsid w:val="0085013A"/>
    <w:rsid w:val="00851A30"/>
    <w:rsid w:val="00851C13"/>
    <w:rsid w:val="00855110"/>
    <w:rsid w:val="00864D77"/>
    <w:rsid w:val="008658BB"/>
    <w:rsid w:val="00865F76"/>
    <w:rsid w:val="0086602C"/>
    <w:rsid w:val="00867D8D"/>
    <w:rsid w:val="008728E1"/>
    <w:rsid w:val="008730FF"/>
    <w:rsid w:val="00873F15"/>
    <w:rsid w:val="00876379"/>
    <w:rsid w:val="00880914"/>
    <w:rsid w:val="00882959"/>
    <w:rsid w:val="00882CDD"/>
    <w:rsid w:val="008841D7"/>
    <w:rsid w:val="00886140"/>
    <w:rsid w:val="008908DA"/>
    <w:rsid w:val="008947F5"/>
    <w:rsid w:val="008951F0"/>
    <w:rsid w:val="00896022"/>
    <w:rsid w:val="0089677B"/>
    <w:rsid w:val="008973D5"/>
    <w:rsid w:val="0089771D"/>
    <w:rsid w:val="008A2817"/>
    <w:rsid w:val="008A42CA"/>
    <w:rsid w:val="008A67B7"/>
    <w:rsid w:val="008B0A6B"/>
    <w:rsid w:val="008B1727"/>
    <w:rsid w:val="008B17CE"/>
    <w:rsid w:val="008B45E6"/>
    <w:rsid w:val="008B45FD"/>
    <w:rsid w:val="008B468E"/>
    <w:rsid w:val="008B556B"/>
    <w:rsid w:val="008B78D4"/>
    <w:rsid w:val="008C1259"/>
    <w:rsid w:val="008D04EB"/>
    <w:rsid w:val="008D3BF6"/>
    <w:rsid w:val="008D571C"/>
    <w:rsid w:val="008E31D0"/>
    <w:rsid w:val="008E3773"/>
    <w:rsid w:val="008E41C6"/>
    <w:rsid w:val="008E5BE6"/>
    <w:rsid w:val="008F2C7A"/>
    <w:rsid w:val="008F6203"/>
    <w:rsid w:val="00900239"/>
    <w:rsid w:val="009018DA"/>
    <w:rsid w:val="00901E22"/>
    <w:rsid w:val="00907733"/>
    <w:rsid w:val="0091036F"/>
    <w:rsid w:val="00915292"/>
    <w:rsid w:val="00917A0C"/>
    <w:rsid w:val="00921204"/>
    <w:rsid w:val="0092264F"/>
    <w:rsid w:val="00923AE8"/>
    <w:rsid w:val="00927F62"/>
    <w:rsid w:val="00931F41"/>
    <w:rsid w:val="00940197"/>
    <w:rsid w:val="009434A0"/>
    <w:rsid w:val="009443B9"/>
    <w:rsid w:val="00944465"/>
    <w:rsid w:val="00946F10"/>
    <w:rsid w:val="0094775A"/>
    <w:rsid w:val="009509D1"/>
    <w:rsid w:val="00953046"/>
    <w:rsid w:val="00953545"/>
    <w:rsid w:val="009562F1"/>
    <w:rsid w:val="00956712"/>
    <w:rsid w:val="00960A23"/>
    <w:rsid w:val="00960A37"/>
    <w:rsid w:val="00963D60"/>
    <w:rsid w:val="00980A5A"/>
    <w:rsid w:val="009873D2"/>
    <w:rsid w:val="00991727"/>
    <w:rsid w:val="00992C59"/>
    <w:rsid w:val="00993448"/>
    <w:rsid w:val="009944DA"/>
    <w:rsid w:val="0099761B"/>
    <w:rsid w:val="009A00F5"/>
    <w:rsid w:val="009A03F3"/>
    <w:rsid w:val="009A2DE7"/>
    <w:rsid w:val="009A3DA0"/>
    <w:rsid w:val="009A735B"/>
    <w:rsid w:val="009B77B2"/>
    <w:rsid w:val="009C0463"/>
    <w:rsid w:val="009C3B6F"/>
    <w:rsid w:val="009C3BA7"/>
    <w:rsid w:val="009C4F27"/>
    <w:rsid w:val="009C5215"/>
    <w:rsid w:val="009C66F8"/>
    <w:rsid w:val="009D12B9"/>
    <w:rsid w:val="009D43B2"/>
    <w:rsid w:val="009D6DB0"/>
    <w:rsid w:val="009D74A7"/>
    <w:rsid w:val="009E0A48"/>
    <w:rsid w:val="009E193B"/>
    <w:rsid w:val="009E327E"/>
    <w:rsid w:val="009E5012"/>
    <w:rsid w:val="009E530C"/>
    <w:rsid w:val="009F003C"/>
    <w:rsid w:val="009F0BD7"/>
    <w:rsid w:val="009F2669"/>
    <w:rsid w:val="00A002F8"/>
    <w:rsid w:val="00A04933"/>
    <w:rsid w:val="00A04C5F"/>
    <w:rsid w:val="00A05167"/>
    <w:rsid w:val="00A05A8B"/>
    <w:rsid w:val="00A05D1B"/>
    <w:rsid w:val="00A15E24"/>
    <w:rsid w:val="00A169A2"/>
    <w:rsid w:val="00A17F70"/>
    <w:rsid w:val="00A204F6"/>
    <w:rsid w:val="00A224C2"/>
    <w:rsid w:val="00A241FF"/>
    <w:rsid w:val="00A25D01"/>
    <w:rsid w:val="00A25E7B"/>
    <w:rsid w:val="00A33479"/>
    <w:rsid w:val="00A33CB4"/>
    <w:rsid w:val="00A36EF2"/>
    <w:rsid w:val="00A3719B"/>
    <w:rsid w:val="00A41290"/>
    <w:rsid w:val="00A43100"/>
    <w:rsid w:val="00A44390"/>
    <w:rsid w:val="00A44ADE"/>
    <w:rsid w:val="00A44CD0"/>
    <w:rsid w:val="00A462C4"/>
    <w:rsid w:val="00A47562"/>
    <w:rsid w:val="00A50D07"/>
    <w:rsid w:val="00A51A4F"/>
    <w:rsid w:val="00A571D3"/>
    <w:rsid w:val="00A60944"/>
    <w:rsid w:val="00A62D38"/>
    <w:rsid w:val="00A65DDA"/>
    <w:rsid w:val="00A801F2"/>
    <w:rsid w:val="00A80E73"/>
    <w:rsid w:val="00A8620D"/>
    <w:rsid w:val="00A86C3D"/>
    <w:rsid w:val="00A9549D"/>
    <w:rsid w:val="00A96E14"/>
    <w:rsid w:val="00AA07B7"/>
    <w:rsid w:val="00AA1D0C"/>
    <w:rsid w:val="00AA216C"/>
    <w:rsid w:val="00AA2B9D"/>
    <w:rsid w:val="00AA3AC2"/>
    <w:rsid w:val="00AA5513"/>
    <w:rsid w:val="00AB0560"/>
    <w:rsid w:val="00AB117F"/>
    <w:rsid w:val="00AB254F"/>
    <w:rsid w:val="00AC12BB"/>
    <w:rsid w:val="00AC1AF4"/>
    <w:rsid w:val="00AC1B45"/>
    <w:rsid w:val="00AC2567"/>
    <w:rsid w:val="00AC61CE"/>
    <w:rsid w:val="00AD081E"/>
    <w:rsid w:val="00AD1D4B"/>
    <w:rsid w:val="00AD2ED8"/>
    <w:rsid w:val="00AD642B"/>
    <w:rsid w:val="00AD6CC3"/>
    <w:rsid w:val="00AE417E"/>
    <w:rsid w:val="00AE513F"/>
    <w:rsid w:val="00AE5DB2"/>
    <w:rsid w:val="00AE6079"/>
    <w:rsid w:val="00AE6CC2"/>
    <w:rsid w:val="00AF510C"/>
    <w:rsid w:val="00AF53AE"/>
    <w:rsid w:val="00B014BB"/>
    <w:rsid w:val="00B0188F"/>
    <w:rsid w:val="00B021FF"/>
    <w:rsid w:val="00B0587B"/>
    <w:rsid w:val="00B06A47"/>
    <w:rsid w:val="00B07BF2"/>
    <w:rsid w:val="00B07D85"/>
    <w:rsid w:val="00B10C12"/>
    <w:rsid w:val="00B120B2"/>
    <w:rsid w:val="00B12E7C"/>
    <w:rsid w:val="00B141E8"/>
    <w:rsid w:val="00B201A0"/>
    <w:rsid w:val="00B23D84"/>
    <w:rsid w:val="00B27B6B"/>
    <w:rsid w:val="00B32094"/>
    <w:rsid w:val="00B340FB"/>
    <w:rsid w:val="00B368A2"/>
    <w:rsid w:val="00B42708"/>
    <w:rsid w:val="00B44DD7"/>
    <w:rsid w:val="00B47D97"/>
    <w:rsid w:val="00B52C52"/>
    <w:rsid w:val="00B532F2"/>
    <w:rsid w:val="00B53444"/>
    <w:rsid w:val="00B62566"/>
    <w:rsid w:val="00B62B04"/>
    <w:rsid w:val="00B66398"/>
    <w:rsid w:val="00B67A56"/>
    <w:rsid w:val="00B71F11"/>
    <w:rsid w:val="00B72175"/>
    <w:rsid w:val="00B76197"/>
    <w:rsid w:val="00B830BD"/>
    <w:rsid w:val="00B837AC"/>
    <w:rsid w:val="00B8607C"/>
    <w:rsid w:val="00B95EDF"/>
    <w:rsid w:val="00B9605B"/>
    <w:rsid w:val="00B979EE"/>
    <w:rsid w:val="00BA0770"/>
    <w:rsid w:val="00BA33CE"/>
    <w:rsid w:val="00BA33D2"/>
    <w:rsid w:val="00BA43E3"/>
    <w:rsid w:val="00BA5CC7"/>
    <w:rsid w:val="00BA6FD6"/>
    <w:rsid w:val="00BA7FA3"/>
    <w:rsid w:val="00BB0A78"/>
    <w:rsid w:val="00BB1247"/>
    <w:rsid w:val="00BB4122"/>
    <w:rsid w:val="00BB43E6"/>
    <w:rsid w:val="00BB4CED"/>
    <w:rsid w:val="00BC0F71"/>
    <w:rsid w:val="00BC30D9"/>
    <w:rsid w:val="00BC5DC2"/>
    <w:rsid w:val="00BC7503"/>
    <w:rsid w:val="00BC794F"/>
    <w:rsid w:val="00BC7ABE"/>
    <w:rsid w:val="00BD13FF"/>
    <w:rsid w:val="00BD496F"/>
    <w:rsid w:val="00BD70EA"/>
    <w:rsid w:val="00BD7144"/>
    <w:rsid w:val="00BD7EEB"/>
    <w:rsid w:val="00BE061C"/>
    <w:rsid w:val="00BE131E"/>
    <w:rsid w:val="00BE2FA7"/>
    <w:rsid w:val="00BE38D9"/>
    <w:rsid w:val="00BE5DCE"/>
    <w:rsid w:val="00BE71D2"/>
    <w:rsid w:val="00BF042D"/>
    <w:rsid w:val="00BF37EC"/>
    <w:rsid w:val="00BF3C3F"/>
    <w:rsid w:val="00BF6B28"/>
    <w:rsid w:val="00BF6DB9"/>
    <w:rsid w:val="00C010DF"/>
    <w:rsid w:val="00C01233"/>
    <w:rsid w:val="00C022DF"/>
    <w:rsid w:val="00C04503"/>
    <w:rsid w:val="00C05986"/>
    <w:rsid w:val="00C12ECB"/>
    <w:rsid w:val="00C14D8B"/>
    <w:rsid w:val="00C1539F"/>
    <w:rsid w:val="00C22361"/>
    <w:rsid w:val="00C22807"/>
    <w:rsid w:val="00C259A7"/>
    <w:rsid w:val="00C275F8"/>
    <w:rsid w:val="00C30E3F"/>
    <w:rsid w:val="00C31C2B"/>
    <w:rsid w:val="00C32691"/>
    <w:rsid w:val="00C3442B"/>
    <w:rsid w:val="00C41A34"/>
    <w:rsid w:val="00C44EDD"/>
    <w:rsid w:val="00C4522D"/>
    <w:rsid w:val="00C46018"/>
    <w:rsid w:val="00C51BBA"/>
    <w:rsid w:val="00C521B4"/>
    <w:rsid w:val="00C62AE7"/>
    <w:rsid w:val="00C639D2"/>
    <w:rsid w:val="00C64273"/>
    <w:rsid w:val="00C6554D"/>
    <w:rsid w:val="00C66057"/>
    <w:rsid w:val="00C66230"/>
    <w:rsid w:val="00C67CDD"/>
    <w:rsid w:val="00C71A2A"/>
    <w:rsid w:val="00C71F19"/>
    <w:rsid w:val="00C733CC"/>
    <w:rsid w:val="00C73BFB"/>
    <w:rsid w:val="00C746CE"/>
    <w:rsid w:val="00C746DE"/>
    <w:rsid w:val="00C76295"/>
    <w:rsid w:val="00C76FB1"/>
    <w:rsid w:val="00C8183A"/>
    <w:rsid w:val="00C84274"/>
    <w:rsid w:val="00C855FE"/>
    <w:rsid w:val="00C8623C"/>
    <w:rsid w:val="00C867E9"/>
    <w:rsid w:val="00C86912"/>
    <w:rsid w:val="00C90246"/>
    <w:rsid w:val="00C90FAC"/>
    <w:rsid w:val="00C9413D"/>
    <w:rsid w:val="00C96C9C"/>
    <w:rsid w:val="00C979CE"/>
    <w:rsid w:val="00CA0E1B"/>
    <w:rsid w:val="00CA0E4B"/>
    <w:rsid w:val="00CA44E9"/>
    <w:rsid w:val="00CA55CF"/>
    <w:rsid w:val="00CA584F"/>
    <w:rsid w:val="00CA7DF4"/>
    <w:rsid w:val="00CB05F7"/>
    <w:rsid w:val="00CB3E7D"/>
    <w:rsid w:val="00CB4019"/>
    <w:rsid w:val="00CB4763"/>
    <w:rsid w:val="00CB4F2E"/>
    <w:rsid w:val="00CC07BE"/>
    <w:rsid w:val="00CC16ED"/>
    <w:rsid w:val="00CC1A76"/>
    <w:rsid w:val="00CC43ED"/>
    <w:rsid w:val="00CD03C9"/>
    <w:rsid w:val="00CD07A2"/>
    <w:rsid w:val="00CD7FAE"/>
    <w:rsid w:val="00CE02BE"/>
    <w:rsid w:val="00CE054E"/>
    <w:rsid w:val="00CE05F5"/>
    <w:rsid w:val="00CE29BE"/>
    <w:rsid w:val="00CE4A27"/>
    <w:rsid w:val="00CE6CC7"/>
    <w:rsid w:val="00CE746E"/>
    <w:rsid w:val="00CF742F"/>
    <w:rsid w:val="00D00B4D"/>
    <w:rsid w:val="00D01ACB"/>
    <w:rsid w:val="00D05283"/>
    <w:rsid w:val="00D05ED4"/>
    <w:rsid w:val="00D076EB"/>
    <w:rsid w:val="00D129B3"/>
    <w:rsid w:val="00D15A09"/>
    <w:rsid w:val="00D16B3E"/>
    <w:rsid w:val="00D1778E"/>
    <w:rsid w:val="00D26928"/>
    <w:rsid w:val="00D27C03"/>
    <w:rsid w:val="00D31754"/>
    <w:rsid w:val="00D317F1"/>
    <w:rsid w:val="00D35B1B"/>
    <w:rsid w:val="00D41B39"/>
    <w:rsid w:val="00D457D2"/>
    <w:rsid w:val="00D51CDD"/>
    <w:rsid w:val="00D53C34"/>
    <w:rsid w:val="00D54AF3"/>
    <w:rsid w:val="00D623CD"/>
    <w:rsid w:val="00D63709"/>
    <w:rsid w:val="00D67963"/>
    <w:rsid w:val="00D701AE"/>
    <w:rsid w:val="00D71839"/>
    <w:rsid w:val="00D72E76"/>
    <w:rsid w:val="00D74537"/>
    <w:rsid w:val="00D76338"/>
    <w:rsid w:val="00D7655D"/>
    <w:rsid w:val="00D810B1"/>
    <w:rsid w:val="00D8493B"/>
    <w:rsid w:val="00D86B9D"/>
    <w:rsid w:val="00D90357"/>
    <w:rsid w:val="00D93C04"/>
    <w:rsid w:val="00D95D6C"/>
    <w:rsid w:val="00D9613E"/>
    <w:rsid w:val="00DA4511"/>
    <w:rsid w:val="00DA6587"/>
    <w:rsid w:val="00DB6A97"/>
    <w:rsid w:val="00DC2107"/>
    <w:rsid w:val="00DC695B"/>
    <w:rsid w:val="00DC6A24"/>
    <w:rsid w:val="00DC701A"/>
    <w:rsid w:val="00DD064E"/>
    <w:rsid w:val="00DD3055"/>
    <w:rsid w:val="00DD5042"/>
    <w:rsid w:val="00DF23AD"/>
    <w:rsid w:val="00DF3C39"/>
    <w:rsid w:val="00DF3E42"/>
    <w:rsid w:val="00DF72A6"/>
    <w:rsid w:val="00DF783B"/>
    <w:rsid w:val="00E00494"/>
    <w:rsid w:val="00E040A2"/>
    <w:rsid w:val="00E04814"/>
    <w:rsid w:val="00E05D82"/>
    <w:rsid w:val="00E0661C"/>
    <w:rsid w:val="00E11465"/>
    <w:rsid w:val="00E12747"/>
    <w:rsid w:val="00E13DA8"/>
    <w:rsid w:val="00E20C4A"/>
    <w:rsid w:val="00E235BC"/>
    <w:rsid w:val="00E24B9C"/>
    <w:rsid w:val="00E27A2B"/>
    <w:rsid w:val="00E27C06"/>
    <w:rsid w:val="00E46DD8"/>
    <w:rsid w:val="00E51677"/>
    <w:rsid w:val="00E5462D"/>
    <w:rsid w:val="00E56D8F"/>
    <w:rsid w:val="00E56F64"/>
    <w:rsid w:val="00E604F2"/>
    <w:rsid w:val="00E622C1"/>
    <w:rsid w:val="00E65D11"/>
    <w:rsid w:val="00E71D89"/>
    <w:rsid w:val="00E72229"/>
    <w:rsid w:val="00E72F5F"/>
    <w:rsid w:val="00E76815"/>
    <w:rsid w:val="00E80516"/>
    <w:rsid w:val="00E8184C"/>
    <w:rsid w:val="00E82718"/>
    <w:rsid w:val="00E82F85"/>
    <w:rsid w:val="00E867B8"/>
    <w:rsid w:val="00E90DD9"/>
    <w:rsid w:val="00E9581A"/>
    <w:rsid w:val="00E95D21"/>
    <w:rsid w:val="00EA2AFE"/>
    <w:rsid w:val="00EA2C41"/>
    <w:rsid w:val="00EA5492"/>
    <w:rsid w:val="00EB2301"/>
    <w:rsid w:val="00EB2623"/>
    <w:rsid w:val="00EB4C6D"/>
    <w:rsid w:val="00EB65CC"/>
    <w:rsid w:val="00EB66D7"/>
    <w:rsid w:val="00EB6D72"/>
    <w:rsid w:val="00EC2A5D"/>
    <w:rsid w:val="00EC4D84"/>
    <w:rsid w:val="00EC6A49"/>
    <w:rsid w:val="00ED2434"/>
    <w:rsid w:val="00ED257D"/>
    <w:rsid w:val="00ED414A"/>
    <w:rsid w:val="00ED53B1"/>
    <w:rsid w:val="00EE2942"/>
    <w:rsid w:val="00EE599F"/>
    <w:rsid w:val="00EE7AFF"/>
    <w:rsid w:val="00EF329D"/>
    <w:rsid w:val="00EF568B"/>
    <w:rsid w:val="00F048B0"/>
    <w:rsid w:val="00F04F2F"/>
    <w:rsid w:val="00F051FB"/>
    <w:rsid w:val="00F06B0A"/>
    <w:rsid w:val="00F14794"/>
    <w:rsid w:val="00F21CF9"/>
    <w:rsid w:val="00F2294A"/>
    <w:rsid w:val="00F3128E"/>
    <w:rsid w:val="00F31A5F"/>
    <w:rsid w:val="00F3392F"/>
    <w:rsid w:val="00F35B1F"/>
    <w:rsid w:val="00F3616B"/>
    <w:rsid w:val="00F37404"/>
    <w:rsid w:val="00F37F00"/>
    <w:rsid w:val="00F4100F"/>
    <w:rsid w:val="00F43177"/>
    <w:rsid w:val="00F43370"/>
    <w:rsid w:val="00F43B2B"/>
    <w:rsid w:val="00F46872"/>
    <w:rsid w:val="00F46EEB"/>
    <w:rsid w:val="00F5015A"/>
    <w:rsid w:val="00F53800"/>
    <w:rsid w:val="00F61A77"/>
    <w:rsid w:val="00F66FED"/>
    <w:rsid w:val="00F6707D"/>
    <w:rsid w:val="00F67714"/>
    <w:rsid w:val="00F67990"/>
    <w:rsid w:val="00F67FC1"/>
    <w:rsid w:val="00F716B2"/>
    <w:rsid w:val="00F72E5E"/>
    <w:rsid w:val="00F7395E"/>
    <w:rsid w:val="00F73A48"/>
    <w:rsid w:val="00F73EEC"/>
    <w:rsid w:val="00F74249"/>
    <w:rsid w:val="00F76A6C"/>
    <w:rsid w:val="00F77FAE"/>
    <w:rsid w:val="00F84872"/>
    <w:rsid w:val="00F84AD1"/>
    <w:rsid w:val="00F84B7F"/>
    <w:rsid w:val="00F858C3"/>
    <w:rsid w:val="00F93B1B"/>
    <w:rsid w:val="00F9536B"/>
    <w:rsid w:val="00F96529"/>
    <w:rsid w:val="00FA243A"/>
    <w:rsid w:val="00FA4880"/>
    <w:rsid w:val="00FC0EAD"/>
    <w:rsid w:val="00FC261E"/>
    <w:rsid w:val="00FC4AFD"/>
    <w:rsid w:val="00FC7D94"/>
    <w:rsid w:val="00FD1F94"/>
    <w:rsid w:val="00FD2F4E"/>
    <w:rsid w:val="00FD7BF3"/>
    <w:rsid w:val="00FE239A"/>
    <w:rsid w:val="00FE4B0E"/>
    <w:rsid w:val="00FE5E8A"/>
    <w:rsid w:val="00FF07C5"/>
    <w:rsid w:val="00FF2C63"/>
    <w:rsid w:val="00FF35F1"/>
    <w:rsid w:val="00FF7E7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qFormat="1"/>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737E40"/>
    <w:rPr>
      <w:sz w:val="24"/>
      <w:lang w:val="sk-SK" w:eastAsia="en-US" w:bidi="ar-S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6">
    <w:name w:val="heading 6"/>
    <w:basedOn w:val="Normal"/>
    <w:next w:val="Normal"/>
    <w:qFormat/>
    <w:rsid w:val="008D3BF6"/>
    <w:pPr>
      <w:spacing w:before="240" w:after="60"/>
      <w:outlineLvl w:val="5"/>
    </w:pPr>
    <w:rPr>
      <w:b/>
      <w:bCs/>
      <w:sz w:val="22"/>
      <w:szCs w:val="22"/>
    </w:rPr>
  </w:style>
  <w:style w:type="paragraph" w:styleId="Heading8">
    <w:name w:val="heading 8"/>
    <w:basedOn w:val="Normal"/>
    <w:next w:val="Normal"/>
    <w:link w:val="Nadpis8Char"/>
    <w:semiHidden/>
    <w:unhideWhenUsed/>
    <w:qFormat/>
    <w:rsid w:val="00747B67"/>
    <w:pPr>
      <w:spacing w:before="240" w:after="60"/>
      <w:outlineLvl w:val="7"/>
    </w:pPr>
    <w:rPr>
      <w:rFonts w:ascii="Calibri" w:eastAsia="Times New Roman" w:hAnsi="Calibri" w:cs="Times New Roman"/>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b/>
    </w:rPr>
  </w:style>
  <w:style w:type="paragraph" w:customStyle="1" w:styleId="Nadpisvstrede">
    <w:name w:val="Nadpis v strede"/>
    <w:basedOn w:val="Normal"/>
    <w:next w:val="Normal"/>
    <w:pPr>
      <w:spacing w:before="120"/>
      <w:jc w:val="center"/>
    </w:pPr>
    <w:rPr>
      <w:b/>
      <w:noProof w:val="0"/>
      <w:sz w:val="20"/>
      <w:lang w:val="cs-CZ"/>
    </w:rPr>
  </w:style>
  <w:style w:type="paragraph" w:customStyle="1" w:styleId="Odstavec">
    <w:name w:val="Odstavec"/>
    <w:basedOn w:val="Normal"/>
    <w:pPr>
      <w:spacing w:before="180"/>
      <w:jc w:val="both"/>
    </w:pPr>
    <w:rPr>
      <w:noProof w:val="0"/>
      <w:sz w:val="20"/>
      <w:lang w:val="cs-CZ"/>
    </w:rPr>
  </w:style>
  <w:style w:type="paragraph" w:customStyle="1" w:styleId="Zoznamspsmenami">
    <w:name w:val="Zoznam s písmenami"/>
    <w:basedOn w:val="Normal"/>
    <w:pPr>
      <w:widowControl w:val="0"/>
      <w:numPr>
        <w:ilvl w:val="11"/>
        <w:numId w:val="0"/>
      </w:numPr>
      <w:spacing w:before="120" w:line="360" w:lineRule="auto"/>
      <w:ind w:left="454" w:hanging="454"/>
      <w:jc w:val="both"/>
    </w:pPr>
    <w:rPr>
      <w:noProof w:val="0"/>
      <w:sz w:val="20"/>
      <w:lang w:val="en-GB"/>
    </w:rPr>
  </w:style>
  <w:style w:type="paragraph" w:customStyle="1" w:styleId="Zoznamsslami">
    <w:name w:val="Zoznam s číslami"/>
    <w:basedOn w:val="Odstavec"/>
    <w:pPr>
      <w:numPr>
        <w:ilvl w:val="11"/>
        <w:numId w:val="0"/>
      </w:numPr>
      <w:spacing w:line="360" w:lineRule="auto"/>
      <w:ind w:left="425" w:hanging="425"/>
    </w:pPr>
    <w:rPr>
      <w:sz w:val="24"/>
    </w:rPr>
  </w:style>
  <w:style w:type="paragraph" w:styleId="FootnoteText">
    <w:name w:val="footnote text"/>
    <w:basedOn w:val="Normal"/>
    <w:link w:val="TextpoznmkypodiarouChar"/>
    <w:uiPriority w:val="99"/>
    <w:qFormat/>
    <w:pPr>
      <w:spacing w:before="20"/>
      <w:ind w:left="227" w:hanging="227"/>
      <w:jc w:val="both"/>
    </w:pPr>
    <w:rPr>
      <w:sz w:val="20"/>
    </w:rPr>
  </w:style>
  <w:style w:type="character" w:styleId="FootnoteReference">
    <w:name w:val="footnote reference"/>
    <w:uiPriority w:val="99"/>
    <w:qFormat/>
    <w:rPr>
      <w:vertAlign w:val="superscript"/>
    </w:rPr>
  </w:style>
  <w:style w:type="paragraph" w:customStyle="1" w:styleId="lnok">
    <w:name w:val="Článok"/>
    <w:basedOn w:val="Normal"/>
    <w:next w:val="Normal"/>
    <w:pPr>
      <w:widowControl w:val="0"/>
      <w:spacing w:before="120"/>
      <w:jc w:val="center"/>
    </w:pPr>
    <w:rPr>
      <w:i/>
      <w:caps/>
      <w:noProof w:val="0"/>
      <w:sz w:val="22"/>
      <w:lang w:val="en-US"/>
    </w:rPr>
  </w:style>
  <w:style w:type="paragraph" w:customStyle="1" w:styleId="zoznamsodr3">
    <w:name w:val="zoznam s odr_3"/>
    <w:basedOn w:val="Normal"/>
    <w:pPr>
      <w:numPr>
        <w:ilvl w:val="11"/>
        <w:numId w:val="0"/>
      </w:numPr>
      <w:tabs>
        <w:tab w:val="left" w:pos="709"/>
        <w:tab w:val="left" w:pos="1077"/>
      </w:tabs>
      <w:spacing w:before="40"/>
      <w:ind w:left="992" w:hanging="283"/>
      <w:jc w:val="both"/>
    </w:pPr>
    <w:rPr>
      <w:noProof w:val="0"/>
      <w:lang w:val="en-US"/>
    </w:rPr>
  </w:style>
  <w:style w:type="paragraph" w:customStyle="1" w:styleId="Odstavecods2">
    <w:name w:val="Odstavec ods_2"/>
    <w:basedOn w:val="Normal"/>
    <w:pPr>
      <w:spacing w:before="120"/>
      <w:ind w:left="709"/>
      <w:jc w:val="both"/>
    </w:pPr>
    <w:rPr>
      <w:noProof w:val="0"/>
      <w:sz w:val="22"/>
      <w:lang w:val="cs-CZ"/>
    </w:rPr>
  </w:style>
  <w:style w:type="paragraph" w:customStyle="1" w:styleId="pismeno">
    <w:name w:val="pismeno"/>
    <w:basedOn w:val="Normal"/>
    <w:pPr>
      <w:tabs>
        <w:tab w:val="left" w:pos="426"/>
      </w:tabs>
      <w:spacing w:before="60"/>
      <w:jc w:val="both"/>
    </w:pPr>
  </w:style>
  <w:style w:type="paragraph" w:customStyle="1" w:styleId="odsek">
    <w:name w:val="odsek"/>
    <w:basedOn w:val="Normal"/>
    <w:pPr>
      <w:spacing w:before="240"/>
      <w:jc w:val="both"/>
    </w:pPr>
    <w:rPr>
      <w:color w:val="000000"/>
    </w:rPr>
  </w:style>
  <w:style w:type="paragraph" w:customStyle="1" w:styleId="Textpsmene">
    <w:name w:val="Text písmene"/>
    <w:basedOn w:val="Normal"/>
    <w:pPr>
      <w:numPr>
        <w:ilvl w:val="0"/>
        <w:numId w:val="1"/>
      </w:numPr>
      <w:jc w:val="both"/>
    </w:pPr>
    <w:rPr>
      <w:noProof w:val="0"/>
      <w:lang w:val="cs-CZ"/>
    </w:rPr>
  </w:style>
  <w:style w:type="paragraph" w:customStyle="1" w:styleId="Normlny0">
    <w:name w:val="Normálny_0"/>
    <w:pPr>
      <w:widowControl w:val="0"/>
    </w:pPr>
    <w:rPr>
      <w:rFonts w:ascii="Arial" w:hAnsi="Arial"/>
      <w:color w:val="000000"/>
      <w:sz w:val="24"/>
      <w:lang w:val="sk-SK" w:eastAsia="en-US" w:bidi="ar-SA"/>
    </w:rPr>
  </w:style>
  <w:style w:type="paragraph" w:customStyle="1" w:styleId="Normln">
    <w:name w:val="Norm‡ln’"/>
    <w:rPr>
      <w:lang w:val="cs-CZ" w:eastAsia="en-US" w:bidi="ar-SA"/>
    </w:rPr>
  </w:style>
  <w:style w:type="paragraph" w:customStyle="1" w:styleId="Zpat">
    <w:name w:val="Z‡pat’"/>
    <w:basedOn w:val="Normln"/>
    <w:pPr>
      <w:tabs>
        <w:tab w:val="center" w:pos="4536"/>
        <w:tab w:val="right" w:pos="9072"/>
      </w:tabs>
    </w:pPr>
    <w:rPr>
      <w:sz w:val="24"/>
    </w:rPr>
  </w:style>
  <w:style w:type="paragraph" w:customStyle="1" w:styleId="Zkladntext">
    <w:name w:val="Z‡kladn’ text"/>
    <w:basedOn w:val="Normln"/>
    <w:rPr>
      <w:b/>
      <w:sz w:val="24"/>
    </w:rPr>
  </w:style>
  <w:style w:type="paragraph" w:customStyle="1" w:styleId="Zkladntextodsazen">
    <w:name w:val="Z‡kladn’ text odsazen?"/>
    <w:basedOn w:val="Normln"/>
    <w:pPr>
      <w:ind w:left="284" w:hanging="284"/>
      <w:jc w:val="both"/>
    </w:pPr>
    <w:rPr>
      <w:sz w:val="24"/>
    </w:rPr>
  </w:style>
  <w:style w:type="paragraph" w:styleId="BodyTextIndent">
    <w:name w:val="Body Text Indent"/>
    <w:basedOn w:val="Normal"/>
    <w:pPr>
      <w:ind w:left="284" w:hanging="284"/>
      <w:jc w:val="both"/>
    </w:pPr>
  </w:style>
  <w:style w:type="paragraph" w:customStyle="1" w:styleId="Zkladntext2">
    <w:name w:val="Z‡kladn’ text 2"/>
    <w:basedOn w:val="Normal"/>
    <w:rPr>
      <w:noProof w:val="0"/>
      <w:lang w:val="cs-CZ"/>
    </w:rPr>
  </w:style>
  <w:style w:type="paragraph" w:styleId="BodyText">
    <w:name w:val="Body Text"/>
    <w:basedOn w:val="Normal"/>
    <w:pPr>
      <w:jc w:val="both"/>
    </w:pPr>
    <w:rPr>
      <w:color w:val="FF0000"/>
      <w:sz w:val="20"/>
    </w:rPr>
  </w:style>
  <w:style w:type="paragraph" w:styleId="Footer">
    <w:name w:val="footer"/>
    <w:basedOn w:val="Normal"/>
    <w:rsid w:val="00754B64"/>
    <w:pPr>
      <w:tabs>
        <w:tab w:val="center" w:pos="4536"/>
        <w:tab w:val="right" w:pos="9072"/>
      </w:tabs>
    </w:pPr>
  </w:style>
  <w:style w:type="character" w:styleId="PageNumber">
    <w:name w:val="page number"/>
    <w:basedOn w:val="DefaultParagraphFont"/>
    <w:rsid w:val="00754B64"/>
  </w:style>
  <w:style w:type="paragraph" w:styleId="CommentText">
    <w:name w:val="annotation text"/>
    <w:basedOn w:val="Normal"/>
    <w:link w:val="TextkomentraChar"/>
    <w:semiHidden/>
    <w:rsid w:val="009F003C"/>
    <w:rPr>
      <w:sz w:val="20"/>
      <w:lang w:eastAsia="sk-SK"/>
    </w:rPr>
  </w:style>
  <w:style w:type="paragraph" w:styleId="BodyTextIndent2">
    <w:name w:val="Body Text Indent 2"/>
    <w:basedOn w:val="Normal"/>
    <w:rsid w:val="00F4100F"/>
    <w:pPr>
      <w:spacing w:after="120" w:line="480" w:lineRule="auto"/>
      <w:ind w:left="283"/>
    </w:pPr>
  </w:style>
  <w:style w:type="paragraph" w:customStyle="1" w:styleId="Textpoznpodcarou">
    <w:name w:val="Text pozn. pod carou"/>
    <w:basedOn w:val="Normal"/>
    <w:rsid w:val="004542AE"/>
    <w:rPr>
      <w:sz w:val="20"/>
      <w:lang w:val="cs-CZ" w:eastAsia="cs-CZ"/>
    </w:rPr>
  </w:style>
  <w:style w:type="character" w:styleId="Strong">
    <w:name w:val="Strong"/>
    <w:qFormat/>
    <w:rsid w:val="00BB1247"/>
    <w:rPr>
      <w:b/>
      <w:bCs/>
    </w:rPr>
  </w:style>
  <w:style w:type="paragraph" w:styleId="NormalWeb">
    <w:name w:val="Normal (Web)"/>
    <w:basedOn w:val="Normal"/>
    <w:rsid w:val="00BB1247"/>
    <w:pPr>
      <w:spacing w:before="100" w:beforeAutospacing="1" w:after="100" w:afterAutospacing="1"/>
    </w:pPr>
    <w:rPr>
      <w:szCs w:val="24"/>
      <w:lang w:eastAsia="sk-SK"/>
    </w:rPr>
  </w:style>
  <w:style w:type="paragraph" w:styleId="BodyTextFirstIndent">
    <w:name w:val="Body Text First Indent"/>
    <w:basedOn w:val="BodyText"/>
    <w:rsid w:val="00305D4A"/>
    <w:pPr>
      <w:spacing w:after="120"/>
      <w:ind w:firstLine="210"/>
      <w:jc w:val="left"/>
    </w:pPr>
    <w:rPr>
      <w:color w:val="auto"/>
      <w:sz w:val="24"/>
    </w:rPr>
  </w:style>
  <w:style w:type="paragraph" w:customStyle="1" w:styleId="nazov">
    <w:name w:val="nazov"/>
    <w:basedOn w:val="Normal"/>
    <w:rsid w:val="00781175"/>
    <w:pPr>
      <w:jc w:val="center"/>
    </w:pPr>
    <w:rPr>
      <w:b/>
      <w:lang w:eastAsia="cs-CZ"/>
    </w:rPr>
  </w:style>
  <w:style w:type="table" w:styleId="TableGrid">
    <w:name w:val="Table Grid"/>
    <w:basedOn w:val="TableNormal"/>
    <w:uiPriority w:val="39"/>
    <w:rsid w:val="0078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
    <w:name w:val="formtext"/>
    <w:basedOn w:val="DefaultParagraphFont"/>
    <w:rsid w:val="00781175"/>
  </w:style>
  <w:style w:type="paragraph" w:customStyle="1" w:styleId="BodyText20">
    <w:name w:val="Body Text 2"/>
    <w:basedOn w:val="Normal"/>
    <w:rsid w:val="004021A9"/>
    <w:pPr>
      <w:jc w:val="both"/>
    </w:pPr>
    <w:rPr>
      <w:lang w:eastAsia="cs-CZ"/>
    </w:rPr>
  </w:style>
  <w:style w:type="character" w:styleId="Emphasis">
    <w:name w:val="Emphasis"/>
    <w:qFormat/>
    <w:rsid w:val="005A3D8D"/>
    <w:rPr>
      <w:i/>
      <w:iCs/>
    </w:rPr>
  </w:style>
  <w:style w:type="paragraph" w:customStyle="1" w:styleId="zaklad">
    <w:name w:val="zaklad"/>
    <w:basedOn w:val="BodyText"/>
    <w:rsid w:val="00DC695B"/>
    <w:pPr>
      <w:widowControl w:val="0"/>
      <w:jc w:val="left"/>
    </w:pPr>
    <w:rPr>
      <w:color w:val="auto"/>
      <w:sz w:val="24"/>
      <w:lang w:eastAsia="cs-CZ"/>
    </w:rPr>
  </w:style>
  <w:style w:type="paragraph" w:styleId="ListNumber2">
    <w:name w:val="List Number 2"/>
    <w:basedOn w:val="Normal"/>
    <w:rsid w:val="00DC695B"/>
    <w:pPr>
      <w:numPr>
        <w:ilvl w:val="11"/>
        <w:numId w:val="0"/>
      </w:numPr>
      <w:tabs>
        <w:tab w:val="left" w:pos="397"/>
        <w:tab w:val="left" w:pos="1209"/>
      </w:tabs>
      <w:spacing w:before="240" w:after="120"/>
      <w:ind w:left="397" w:hanging="397"/>
    </w:pPr>
    <w:rPr>
      <w:b/>
      <w:lang w:eastAsia="cs-CZ"/>
    </w:rPr>
  </w:style>
  <w:style w:type="paragraph" w:customStyle="1" w:styleId="Normlny">
    <w:name w:val="_Normálny"/>
    <w:basedOn w:val="Normal"/>
    <w:uiPriority w:val="99"/>
    <w:rsid w:val="008658BB"/>
    <w:pPr>
      <w:autoSpaceDE w:val="0"/>
      <w:autoSpaceDN w:val="0"/>
    </w:pPr>
    <w:rPr>
      <w:sz w:val="20"/>
    </w:rPr>
  </w:style>
  <w:style w:type="paragraph" w:customStyle="1" w:styleId="Paragrafyzkona">
    <w:name w:val="Paragrafy zákona"/>
    <w:basedOn w:val="Heading2"/>
    <w:qFormat/>
    <w:rsid w:val="00743DBC"/>
    <w:pPr>
      <w:keepLines/>
      <w:spacing w:before="360" w:line="276" w:lineRule="auto"/>
    </w:pPr>
    <w:rPr>
      <w:szCs w:val="24"/>
      <w:lang w:eastAsia="sk-SK"/>
    </w:rPr>
  </w:style>
  <w:style w:type="character" w:customStyle="1" w:styleId="TextpoznmkypodiarouChar">
    <w:name w:val="Text poznámky pod čiarou Char"/>
    <w:link w:val="FootnoteText"/>
    <w:uiPriority w:val="99"/>
    <w:qFormat/>
    <w:rsid w:val="00C44EDD"/>
    <w:rPr>
      <w:lang w:eastAsia="en-US"/>
    </w:rPr>
  </w:style>
  <w:style w:type="paragraph" w:styleId="ListParagraph">
    <w:name w:val="List Paragraph"/>
    <w:basedOn w:val="Normal"/>
    <w:link w:val="OdsekzoznamuChar"/>
    <w:uiPriority w:val="34"/>
    <w:qFormat/>
    <w:rsid w:val="00535526"/>
    <w:pPr>
      <w:spacing w:after="120" w:line="276" w:lineRule="auto"/>
      <w:ind w:left="720"/>
      <w:contextualSpacing/>
    </w:pPr>
    <w:rPr>
      <w:szCs w:val="24"/>
      <w:lang w:eastAsia="sk-SK"/>
    </w:rPr>
  </w:style>
  <w:style w:type="character" w:customStyle="1" w:styleId="OdsekzoznamuChar">
    <w:name w:val="Odsek zoznamu Char"/>
    <w:link w:val="ListParagraph"/>
    <w:uiPriority w:val="34"/>
    <w:qFormat/>
    <w:rsid w:val="00535526"/>
    <w:rPr>
      <w:sz w:val="24"/>
      <w:szCs w:val="24"/>
    </w:rPr>
  </w:style>
  <w:style w:type="character" w:customStyle="1" w:styleId="Heading5Char">
    <w:name w:val="Heading 5 Char"/>
    <w:uiPriority w:val="9"/>
    <w:qFormat/>
    <w:rsid w:val="00225F6C"/>
    <w:rPr>
      <w:rFonts w:ascii="Arial" w:eastAsia="Arial" w:hAnsi="Arial" w:cs="Arial"/>
      <w:b/>
      <w:bCs/>
      <w:sz w:val="24"/>
      <w:szCs w:val="24"/>
    </w:rPr>
  </w:style>
  <w:style w:type="character" w:customStyle="1" w:styleId="Nadpis8Char">
    <w:name w:val="Nadpis 8 Char"/>
    <w:link w:val="Heading8"/>
    <w:uiPriority w:val="9"/>
    <w:qFormat/>
    <w:rsid w:val="00747B67"/>
    <w:rPr>
      <w:rFonts w:ascii="Calibri" w:eastAsia="Times New Roman" w:hAnsi="Calibri" w:cs="Times New Roman"/>
      <w:i/>
      <w:iCs/>
      <w:sz w:val="24"/>
      <w:szCs w:val="24"/>
      <w:lang w:eastAsia="en-US"/>
    </w:rPr>
  </w:style>
  <w:style w:type="paragraph" w:styleId="Title">
    <w:name w:val="Title"/>
    <w:basedOn w:val="Normal"/>
    <w:link w:val="NzovChar"/>
    <w:qFormat/>
    <w:rsid w:val="001604CD"/>
    <w:pPr>
      <w:keepNext/>
      <w:spacing w:before="60" w:after="60"/>
      <w:jc w:val="center"/>
    </w:pPr>
    <w:rPr>
      <w:rFonts w:eastAsia="Calibri"/>
      <w:i/>
      <w:szCs w:val="22"/>
      <w:lang w:eastAsia="sk-SK"/>
    </w:rPr>
  </w:style>
  <w:style w:type="character" w:customStyle="1" w:styleId="NzovChar">
    <w:name w:val="Názov Char"/>
    <w:link w:val="Title"/>
    <w:rsid w:val="001604CD"/>
    <w:rPr>
      <w:rFonts w:eastAsia="Calibri"/>
      <w:i/>
      <w:sz w:val="24"/>
      <w:szCs w:val="22"/>
    </w:rPr>
  </w:style>
  <w:style w:type="character" w:customStyle="1" w:styleId="awspan">
    <w:name w:val="awspan"/>
    <w:rsid w:val="004D4DCD"/>
  </w:style>
  <w:style w:type="paragraph" w:styleId="EndnoteText">
    <w:name w:val="endnote text"/>
    <w:basedOn w:val="Normal"/>
    <w:link w:val="TextvysvetlivkyChar"/>
    <w:qFormat/>
    <w:rsid w:val="008A42CA"/>
    <w:pPr>
      <w:suppressLineNumbers/>
      <w:spacing w:after="120" w:line="276" w:lineRule="auto"/>
      <w:ind w:left="339" w:hanging="339"/>
    </w:pPr>
    <w:rPr>
      <w:sz w:val="20"/>
      <w:lang w:eastAsia="sk-SK"/>
    </w:rPr>
  </w:style>
  <w:style w:type="character" w:customStyle="1" w:styleId="TextvysvetlivkyChar">
    <w:name w:val="Text vysvetlivky Char"/>
    <w:basedOn w:val="DefaultParagraphFont"/>
    <w:link w:val="EndnoteText"/>
    <w:qFormat/>
    <w:rsid w:val="008A42CA"/>
  </w:style>
  <w:style w:type="paragraph" w:customStyle="1" w:styleId="CM4">
    <w:name w:val="CM4"/>
    <w:basedOn w:val="Normal"/>
    <w:next w:val="Normal"/>
    <w:uiPriority w:val="99"/>
    <w:rsid w:val="00121119"/>
    <w:pPr>
      <w:autoSpaceDE w:val="0"/>
      <w:autoSpaceDN w:val="0"/>
      <w:adjustRightInd w:val="0"/>
    </w:pPr>
    <w:rPr>
      <w:rFonts w:ascii="EUAlbertina" w:hAnsi="EUAlbertina"/>
      <w:szCs w:val="24"/>
      <w:lang w:eastAsia="sk-SK"/>
    </w:rPr>
  </w:style>
  <w:style w:type="character" w:styleId="Hyperlink">
    <w:name w:val="Hyperlink"/>
    <w:uiPriority w:val="99"/>
    <w:unhideWhenUsed/>
    <w:rsid w:val="006C483A"/>
    <w:rPr>
      <w:color w:val="0563C1"/>
      <w:u w:val="single"/>
    </w:rPr>
  </w:style>
  <w:style w:type="character" w:customStyle="1" w:styleId="TextkomentraChar">
    <w:name w:val="Text komentára Char"/>
    <w:link w:val="CommentText"/>
    <w:semiHidden/>
    <w:rsid w:val="006C483A"/>
  </w:style>
  <w:style w:type="paragraph" w:customStyle="1" w:styleId="tbl-norm">
    <w:name w:val="tbl-norm"/>
    <w:basedOn w:val="Normal"/>
    <w:rsid w:val="006C7ADA"/>
    <w:pPr>
      <w:spacing w:before="100" w:beforeAutospacing="1" w:after="100" w:afterAutospacing="1"/>
    </w:pPr>
    <w:rPr>
      <w:szCs w:val="24"/>
      <w:lang w:eastAsia="sk-SK"/>
    </w:rPr>
  </w:style>
  <w:style w:type="character" w:customStyle="1" w:styleId="superscript">
    <w:name w:val="superscript"/>
    <w:rsid w:val="006C7ADA"/>
  </w:style>
  <w:style w:type="paragraph" w:customStyle="1" w:styleId="normal0">
    <w:name w:val="normal"/>
    <w:basedOn w:val="Normal"/>
    <w:rsid w:val="006C7ADA"/>
    <w:pPr>
      <w:spacing w:before="100" w:beforeAutospacing="1" w:after="100" w:afterAutospacing="1"/>
    </w:pPr>
    <w:rPr>
      <w:szCs w:val="24"/>
      <w:lang w:eastAsia="sk-SK"/>
    </w:rPr>
  </w:style>
  <w:style w:type="table" w:customStyle="1" w:styleId="Kalendr1">
    <w:name w:val="Kalendár 1"/>
    <w:basedOn w:val="TableNormal"/>
    <w:uiPriority w:val="99"/>
    <w:qFormat/>
    <w:rsid w:val="00EE599F"/>
    <w:rPr>
      <w:rFonts w:ascii="Calibri" w:eastAsia="Times New Roman" w:hAnsi="Calibri" w:cs="Times New Roman"/>
      <w:sz w:val="22"/>
      <w:szCs w:val="22"/>
    </w:rPr>
    <w:tblPr>
      <w:tblStyleRowBandSize w:val="1"/>
      <w:tblStyleColBandSize w:val="1"/>
    </w:tblPr>
    <w:tcPr>
      <w:shd w:val="clear" w:color="auto" w:fill="auto"/>
    </w:tc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lastRow">
      <w:tcPr>
        <w:tcBorders>
          <w:top w:val="nil"/>
          <w:left w:val="nil"/>
          <w:bottom w:val="nil"/>
          <w:right w:val="nil"/>
          <w:insideH w:val="nil"/>
          <w:insideV w:val="nil"/>
          <w:tl2br w:val="nil"/>
          <w:tr2bl w:val="nil"/>
        </w:tcBorders>
        <w:shd w:val="clear" w:color="auto" w:fill="auto"/>
      </w:tcPr>
    </w:tblStylePr>
    <w:tblStylePr w:type="firstRow">
      <w:pPr>
        <w:wordWrap/>
        <w:spacing w:beforeLines="0" w:beforeAutospacing="0" w:afterLines="0" w:afterAutospacing="0" w:line="240" w:lineRule="auto"/>
      </w:pPr>
      <w:rPr>
        <w:rFonts w:ascii="Times New Roman" w:hAnsi="Times New Roman"/>
        <w:b/>
        <w:i w:val="0"/>
        <w:color w:val="auto"/>
        <w:sz w:val="44"/>
      </w:rPr>
      <w:tcPr>
        <w:vAlign w:val="bottom"/>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https://eur-lex.europa.eu/legal-content/SK/TXT/?uri=CELEX%3A02008L0050-20150918&amp;qid=1659971979124" TargetMode="External" /><Relationship Id="rId8" Type="http://schemas.openxmlformats.org/officeDocument/2006/relationships/hyperlink" Target="https://www.slov-lex.sk/pravne-predpisy/SK/ZZ/2006/367/" TargetMode="External" /><Relationship Id="rId9" Type="http://schemas.openxmlformats.org/officeDocument/2006/relationships/footer" Target="footer1.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818E-E9E5-4802-B8F7-C5B14EB1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85</Pages>
  <Words>34000</Words>
  <Characters>193801</Characters>
  <Application>Microsoft Office Word</Application>
  <DocSecurity>0</DocSecurity>
  <Lines>1615</Lines>
  <Paragraphs>454</Paragraphs>
  <ScaleCrop>false</ScaleCrop>
  <HeadingPairs>
    <vt:vector size="2" baseType="variant">
      <vt:variant>
        <vt:lpstr>Názov</vt:lpstr>
      </vt:variant>
      <vt:variant>
        <vt:i4>1</vt:i4>
      </vt:variant>
    </vt:vector>
  </HeadingPairs>
  <TitlesOfParts>
    <vt:vector size="1" baseType="lpstr">
      <vt:lpstr>Smernica 2000/53/ES Európskeho parlamentu a rady z 18</vt:lpstr>
    </vt:vector>
  </TitlesOfParts>
  <Company>MZP</Company>
  <LinksUpToDate>false</LinksUpToDate>
  <CharactersWithSpaces>227347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2000/53/ES Európskeho parlamentu a rady z 18</dc:title>
  <dc:creator>MZP</dc:creator>
  <cp:lastModifiedBy>Administrator</cp:lastModifiedBy>
  <cp:revision>47</cp:revision>
  <cp:lastPrinted>2009-06-05T12:15:00Z</cp:lastPrinted>
  <dcterms:created xsi:type="dcterms:W3CDTF">2022-09-27T16:59:00Z</dcterms:created>
  <dcterms:modified xsi:type="dcterms:W3CDTF">2022-09-30T09:10:00Z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COO.2145.1000.3.4870866</vt:lpwstr>
  </property>
  <property fmtid="{D5CDD505-2E9C-101B-9397-08002B2CF9AE}" pid="3" name="FSC#FSCFOLIO@1.1001:docpropproject">
    <vt:lpwstr/>
  </property>
  <property fmtid="{D5CDD505-2E9C-101B-9397-08002B2CF9AE}" pid="4" name="FSC#SKEDITIONSLOVLEX@103.510:aktualnyrok">
    <vt:lpwstr>2022</vt:lpwstr>
  </property>
  <property fmtid="{D5CDD505-2E9C-101B-9397-08002B2CF9AE}" pid="5" name="FSC#SKEDITIONSLOVLEX@103.510:AttrDateDocPropUkonceniePKK">
    <vt:lpwstr>14. 12. 2021</vt:lpwstr>
  </property>
  <property fmtid="{D5CDD505-2E9C-101B-9397-08002B2CF9AE}" pid="6" name="FSC#SKEDITIONSLOVLEX@103.510:AttrDateDocPropZaciatokPKK">
    <vt:lpwstr>3. 12. 2021</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
Negatívne</vt:lpwstr>
  </property>
  <property fmtid="{D5CDD505-2E9C-101B-9397-08002B2CF9AE}" pid="12"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Terajšia právna úprava pokrytá zákonom o ovzdušia s jeho vykonávacími predpismi plne transponuje  predmetné smernice EÚ č. 1. až 5., 7., 8., 10. a 11. 
Smernica č. 9  (smernica 2010/75/EÚ o priemyselných emisiách) je transponovaná vo viacerých predpisoch</vt:lpwstr>
  </property>
  <property fmtid="{D5CDD505-2E9C-101B-9397-08002B2CF9AE}" pid="16"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Smernice boli transponované v pôvodnej právnej úprave v súlade pôvodne ustanovenými termínmi. </vt:lpwstr>
  </property>
  <property fmtid="{D5CDD505-2E9C-101B-9397-08002B2CF9AE}" pid="21" name="FSC#SKEDITIONSLOVLEX@103.510:AttrStrListDocPropNazovPredpisuEU">
    <vt:lpwstr>nie je</vt:lpwstr>
  </property>
  <property fmtid="{D5CDD505-2E9C-101B-9397-08002B2CF9AE}" pid="22" name="FSC#SKEDITIONSLOVLEX@103.510:AttrStrListDocPropPoznamkaVplyv">
    <vt:lpwstr/>
  </property>
  <property fmtid="{D5CDD505-2E9C-101B-9397-08002B2CF9AE}" pid="23" name="FSC#SKEDITIONSLOVLEX@103.510:AttrStrListDocPropPrimarnePravoEU">
    <vt:lpwstr>Čl. 191 až 193 Zmluvy o fungovaní Európskej únie (Ú. v. ES C 202, 7.6.2016) v platnom znení.</vt:lpwstr>
  </property>
  <property fmtid="{D5CDD505-2E9C-101B-9397-08002B2CF9AE}" pid="24" name="FSC#SKEDITIONSLOVLEX@103.510:AttrStrListDocPropProblematikaPPa">
    <vt:lpwstr>je upravený v práve Európskej únie</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Nesúhlasné</vt:lpwstr>
  </property>
  <property fmtid="{D5CDD505-2E9C-101B-9397-08002B2CF9AE}" pid="30" name="FSC#SKEDITIONSLOVLEX@103.510:AttrStrListDocPropStupenZlucitelnostiPP">
    <vt:lpwstr>úplne</vt:lpwstr>
  </property>
  <property fmtid="{D5CDD505-2E9C-101B-9397-08002B2CF9AE}" pid="31" name="FSC#SKEDITIONSLOVLEX@103.510:AttrStrListDocPropTextKomunike">
    <vt:lpwstr/>
  </property>
  <property fmtid="{D5CDD505-2E9C-101B-9397-08002B2CF9AE}" pid="32"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LP/2022/27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
  </property>
  <property fmtid="{D5CDD505-2E9C-101B-9397-08002B2CF9AE}" pid="122" name="FSC#SKEDITIONSLOVLEX@103.510:funkciaZodpPredAkuzativ">
    <vt:lpwstr/>
  </property>
  <property fmtid="{D5CDD505-2E9C-101B-9397-08002B2CF9AE}" pid="123" name="FSC#SKEDITIONSLOVLEX@103.510:funkciaZodpPredDativ">
    <vt:lpwstr/>
  </property>
  <property fmtid="{D5CDD505-2E9C-101B-9397-08002B2CF9AE}" pid="124" name="FSC#SKEDITIONSLOVLEX@103.510:legoblast">
    <vt:lpwstr>Správne právo
Životné prostredie</vt:lpwstr>
  </property>
  <property fmtid="{D5CDD505-2E9C-101B-9397-08002B2CF9AE}" pid="125" name="FSC#SKEDITIONSLOVLEX@103.510:nazovpredpis">
    <vt:lpwstr> o ochrane ovzdušia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ochrane ovzdušia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PLÚV SR na mesiace jún až december 2021</vt:lpwstr>
  </property>
  <property fmtid="{D5CDD505-2E9C-101B-9397-08002B2CF9AE}" pid="136" name="FSC#SKEDITIONSLOVLEX@103.510:povodpredpis">
    <vt:lpwstr>Slovlex (eLeg)</vt:lpwstr>
  </property>
  <property fmtid="{D5CDD505-2E9C-101B-9397-08002B2CF9AE}" pid="137" name="FSC#SKEDITIONSLOVLEX@103.510:predkladatel">
    <vt:lpwstr>JUDr. Monika Rozborilová</vt:lpwstr>
  </property>
  <property fmtid="{D5CDD505-2E9C-101B-9397-08002B2CF9AE}" pid="138" name="FSC#SKEDITIONSLOVLEX@103.510:predkladateliaObalSD">
    <vt:lpwstr>Ján Budaj</vt:lpwstr>
  </property>
  <property fmtid="{D5CDD505-2E9C-101B-9397-08002B2CF9AE}" pid="139" name="FSC#SKEDITIONSLOVLEX@103.510:pripomienkovatelia">
    <vt:lpwstr/>
  </property>
  <property fmtid="{D5CDD505-2E9C-101B-9397-08002B2CF9AE}" pid="140" name="FSC#SKEDITIONSLOVLEX@103.510:rezortcislopredpis">
    <vt:lpwstr>4213/2022-1.7.3</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21. 3. 2022</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Ján Budaj</vt:lpwstr>
  </property>
</Properties>
</file>