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1BC" w:rsidRPr="00D141BC" w:rsidP="00D141BC">
      <w:pPr>
        <w:pStyle w:val="Heading7"/>
        <w:jc w:val="center"/>
        <w:rPr>
          <w:bCs w:val="0"/>
          <w:i w:val="0"/>
          <w:iCs w:val="0"/>
          <w:sz w:val="28"/>
          <w:szCs w:val="28"/>
          <w:lang w:eastAsia="sk-SK"/>
        </w:rPr>
      </w:pPr>
      <w:r w:rsidRPr="00D141BC">
        <w:rPr>
          <w:bCs w:val="0"/>
          <w:i w:val="0"/>
          <w:iCs w:val="0"/>
          <w:sz w:val="28"/>
          <w:szCs w:val="28"/>
          <w:lang w:eastAsia="sk-SK"/>
        </w:rPr>
        <w:t>TABUĽKA  ZHODY</w:t>
      </w:r>
    </w:p>
    <w:p w:rsidR="00D141BC" w:rsidRPr="006C019A" w:rsidP="00D141BC">
      <w:pPr>
        <w:jc w:val="center"/>
        <w:rPr>
          <w:b/>
          <w:bCs/>
          <w:szCs w:val="24"/>
        </w:rPr>
      </w:pPr>
      <w:r>
        <w:rPr>
          <w:b/>
          <w:bCs/>
          <w:sz w:val="28"/>
          <w:szCs w:val="28"/>
        </w:rPr>
        <w:t>návrhu právneho predpisu s právom Európskej únie</w:t>
      </w:r>
    </w:p>
    <w:p w:rsidR="000E6117">
      <w:pPr>
        <w:jc w:val="both"/>
        <w:rPr>
          <w:b/>
          <w:sz w:val="20"/>
        </w:rPr>
      </w:pPr>
    </w:p>
    <w:tbl>
      <w:tblPr>
        <w:tblStyle w:val="TableNormal"/>
        <w:tblW w:w="149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890"/>
        <w:gridCol w:w="10030"/>
      </w:tblGrid>
      <w:tr w:rsidTr="00FD61A2">
        <w:tblPrEx>
          <w:tblW w:w="149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Ex>
        <w:tc>
          <w:tcPr>
            <w:tcW w:w="4890" w:type="dxa"/>
          </w:tcPr>
          <w:p w:rsidR="000E6117" w:rsidP="00D141BC">
            <w:pPr>
              <w:pStyle w:val="Heading1"/>
              <w:jc w:val="left"/>
              <w:rPr>
                <w:b w:val="0"/>
                <w:sz w:val="20"/>
              </w:rPr>
            </w:pPr>
            <w:r w:rsidR="00D141BC">
              <w:t>Smernica</w:t>
            </w:r>
          </w:p>
        </w:tc>
        <w:tc>
          <w:tcPr>
            <w:tcW w:w="10030" w:type="dxa"/>
          </w:tcPr>
          <w:p w:rsidR="00D141BC" w:rsidRPr="00DD6E7C" w:rsidP="00D141BC">
            <w:pPr>
              <w:pStyle w:val="Heading1"/>
              <w:jc w:val="left"/>
            </w:pPr>
            <w:r>
              <w:t>Právne predpisy Slovenskej republiky</w:t>
            </w:r>
          </w:p>
          <w:p w:rsidR="000E6117">
            <w:pPr>
              <w:jc w:val="both"/>
              <w:rPr>
                <w:b/>
                <w:sz w:val="20"/>
              </w:rPr>
            </w:pPr>
          </w:p>
        </w:tc>
      </w:tr>
      <w:tr w:rsidTr="00FD61A2">
        <w:tblPrEx>
          <w:tblW w:w="14920" w:type="dxa"/>
          <w:tblLayout w:type="fixed"/>
          <w:tblCellMar>
            <w:left w:w="70" w:type="dxa"/>
            <w:right w:w="70" w:type="dxa"/>
          </w:tblCellMar>
          <w:tblLook w:val="0000"/>
        </w:tblPrEx>
        <w:tc>
          <w:tcPr>
            <w:tcW w:w="4890" w:type="dxa"/>
          </w:tcPr>
          <w:p w:rsidR="00D141BC" w:rsidRPr="00D141BC" w:rsidP="00D141BC">
            <w:pPr>
              <w:spacing w:after="240"/>
              <w:jc w:val="both"/>
              <w:rPr>
                <w:b/>
                <w:sz w:val="20"/>
              </w:rPr>
            </w:pPr>
            <w:r w:rsidRPr="00D141BC">
              <w:rPr>
                <w:b/>
                <w:sz w:val="20"/>
              </w:rPr>
              <w:t xml:space="preserve">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w:t>
            </w:r>
            <w:r w:rsidR="002263B8">
              <w:rPr>
                <w:b/>
                <w:sz w:val="20"/>
              </w:rPr>
              <w:t>1882</w:t>
            </w:r>
            <w:r w:rsidRPr="00D141BC">
              <w:rPr>
                <w:b/>
                <w:sz w:val="20"/>
              </w:rPr>
              <w:t xml:space="preserve">/2003 z 29. septembra 2003 (Ú. v. EÚ L 284, 31.10.2003; Mimoriadne vydanie Ú. v. EÚ, kap. 1/zv. </w:t>
            </w:r>
            <w:r w:rsidRPr="00D141BC">
              <w:rPr>
                <w:b/>
                <w:sz w:val="20"/>
              </w:rPr>
              <w:t>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rsidR="0092117F" w:rsidP="00670567">
            <w:pPr>
              <w:jc w:val="both"/>
              <w:rPr>
                <w:b/>
                <w:sz w:val="20"/>
              </w:rPr>
            </w:pPr>
          </w:p>
        </w:tc>
        <w:tc>
          <w:tcPr>
            <w:tcW w:w="10030" w:type="dxa"/>
          </w:tcPr>
          <w:p w:rsidR="00DB0A32" w:rsidP="00DB0A32">
            <w:pPr>
              <w:rPr>
                <w:b/>
                <w:sz w:val="20"/>
              </w:rPr>
            </w:pPr>
            <w:r w:rsidRPr="00926842" w:rsidR="00282AAD">
              <w:rPr>
                <w:b/>
                <w:sz w:val="20"/>
              </w:rPr>
              <w:t xml:space="preserve">Tézy návrhu </w:t>
            </w:r>
            <w:r>
              <w:rPr>
                <w:b/>
                <w:sz w:val="20"/>
              </w:rPr>
              <w:t xml:space="preserve">vyhlášky </w:t>
            </w:r>
            <w:r w:rsidRPr="004F2084">
              <w:rPr>
                <w:b/>
                <w:sz w:val="20"/>
              </w:rPr>
              <w:t>Ministerstva životného prostredia Slovenskej republiky</w:t>
            </w:r>
            <w:r>
              <w:rPr>
                <w:b/>
                <w:sz w:val="20"/>
              </w:rPr>
              <w:t xml:space="preserve"> o kvalite palív (NV)</w:t>
            </w:r>
          </w:p>
          <w:p w:rsidR="00DB0A32" w:rsidP="00DB0A32">
            <w:pPr>
              <w:rPr>
                <w:b/>
                <w:sz w:val="20"/>
              </w:rPr>
            </w:pPr>
          </w:p>
          <w:p w:rsidR="00DB0A32" w:rsidP="00DB0A32">
            <w:pPr>
              <w:rPr>
                <w:b/>
                <w:sz w:val="20"/>
              </w:rPr>
            </w:pPr>
            <w:r w:rsidRPr="00926842" w:rsidR="00282AAD">
              <w:rPr>
                <w:b/>
                <w:sz w:val="20"/>
              </w:rPr>
              <w:t xml:space="preserve">Tézy návrhu </w:t>
            </w:r>
            <w:r w:rsidRPr="00C57416">
              <w:rPr>
                <w:b/>
                <w:sz w:val="20"/>
              </w:rPr>
              <w:t>vyhlášky Ministerstva životného prostredia Slovenskej republiky</w:t>
            </w:r>
            <w:r>
              <w:rPr>
                <w:b/>
                <w:sz w:val="20"/>
              </w:rPr>
              <w:t>,</w:t>
            </w:r>
            <w:r w:rsidRPr="00C57416">
              <w:rPr>
                <w:b/>
                <w:sz w:val="20"/>
              </w:rPr>
              <w:t xml:space="preserve"> ktorou sa ustanovujú informácie podávané Európskej komisii a požiadavky na vypracovanie národných emis</w:t>
            </w:r>
            <w:r w:rsidRPr="00C57416">
              <w:rPr>
                <w:b/>
                <w:sz w:val="20"/>
              </w:rPr>
              <w:t>ných inventúr (NV1)</w:t>
            </w:r>
          </w:p>
          <w:p w:rsidR="00DB0A32" w:rsidRPr="00F965BD" w:rsidP="00DB0A32">
            <w:pPr>
              <w:rPr>
                <w:b/>
                <w:sz w:val="20"/>
              </w:rPr>
            </w:pPr>
          </w:p>
          <w:p w:rsidR="00DB0A32" w:rsidP="00DB0A32">
            <w:pPr>
              <w:rPr>
                <w:b/>
                <w:sz w:val="20"/>
              </w:rPr>
            </w:pPr>
            <w:r w:rsidRPr="005131F4">
              <w:rPr>
                <w:b/>
                <w:sz w:val="20"/>
              </w:rPr>
              <w:t>Vyhláška MŽP SR č. 271/2011 Z. z., ktorou sa ustanovujú kritériá trvalej udržateľnosti a ciele na zníženie emisií skleníkových plynov z pohonných látok v znení neskorších predpisov</w:t>
            </w:r>
            <w:r w:rsidRPr="005131F4">
              <w:rPr>
                <w:b/>
              </w:rPr>
              <w:t xml:space="preserve"> </w:t>
            </w:r>
            <w:r w:rsidRPr="005131F4">
              <w:rPr>
                <w:b/>
                <w:sz w:val="20"/>
              </w:rPr>
              <w:t>(V 271/2011)</w:t>
            </w:r>
          </w:p>
          <w:p w:rsidR="00DB0A32" w:rsidP="0014063C">
            <w:pPr>
              <w:pStyle w:val="BodyText20"/>
              <w:rPr>
                <w:b/>
                <w:sz w:val="20"/>
              </w:rPr>
            </w:pPr>
          </w:p>
          <w:p w:rsidR="0014063C" w:rsidP="0014063C">
            <w:pPr>
              <w:pStyle w:val="BodyText20"/>
              <w:rPr>
                <w:b/>
                <w:sz w:val="20"/>
              </w:rPr>
            </w:pPr>
            <w:r w:rsidRPr="0014063C">
              <w:rPr>
                <w:b/>
                <w:sz w:val="20"/>
              </w:rPr>
              <w:t>Návrh zákona o ochrane ovzdušia a o zmen</w:t>
            </w:r>
            <w:r w:rsidRPr="0014063C">
              <w:rPr>
                <w:b/>
                <w:sz w:val="20"/>
              </w:rPr>
              <w:t>e a doplnení niektorých zákonov (NZ)</w:t>
            </w:r>
          </w:p>
          <w:p w:rsidR="0014063C" w:rsidP="0014063C">
            <w:pPr>
              <w:pStyle w:val="BodyText20"/>
              <w:rPr>
                <w:b/>
                <w:sz w:val="20"/>
              </w:rPr>
            </w:pPr>
          </w:p>
          <w:p w:rsidR="0014063C" w:rsidP="0014063C">
            <w:pPr>
              <w:jc w:val="both"/>
              <w:rPr>
                <w:b/>
                <w:sz w:val="20"/>
              </w:rPr>
            </w:pPr>
            <w:r w:rsidRPr="00DB0A32">
              <w:rPr>
                <w:b/>
                <w:sz w:val="20"/>
              </w:rPr>
              <w:t>Zákon č. 309/2009 Z. z. o podpore obnoviteľných zdrojov energie a vysoko účinnej kombinovanej výroby a o zmene a doplnení niektorých zákonov v znení neskorších predpisov (Z 309/2009)</w:t>
            </w:r>
          </w:p>
          <w:p w:rsidR="0014063C" w:rsidRPr="005131F4" w:rsidP="0014063C">
            <w:pPr>
              <w:jc w:val="both"/>
              <w:rPr>
                <w:b/>
                <w:sz w:val="20"/>
              </w:rPr>
            </w:pPr>
          </w:p>
          <w:p w:rsidR="0014063C" w:rsidRPr="0014063C" w:rsidP="0014063C">
            <w:pPr>
              <w:jc w:val="both"/>
              <w:rPr>
                <w:b/>
                <w:sz w:val="20"/>
              </w:rPr>
            </w:pPr>
            <w:r w:rsidRPr="0014063C">
              <w:rPr>
                <w:b/>
                <w:sz w:val="20"/>
              </w:rPr>
              <w:t>Zákon č. 575/2001 Z. z. o organizácii činnosti vlády a organizácii ústrednej štátnej správy v znení neskorších predpisov (Z 575)</w:t>
            </w:r>
          </w:p>
          <w:p w:rsidR="0014063C" w:rsidRPr="0014063C" w:rsidP="0014063C">
            <w:pPr>
              <w:pStyle w:val="BodyText20"/>
              <w:rPr>
                <w:b/>
                <w:sz w:val="20"/>
              </w:rPr>
            </w:pPr>
          </w:p>
          <w:p w:rsidR="0014063C" w:rsidP="006A3CD6">
            <w:pPr>
              <w:rPr>
                <w:b/>
                <w:sz w:val="20"/>
              </w:rPr>
            </w:pPr>
          </w:p>
          <w:p w:rsidR="0014063C" w:rsidRPr="005131F4" w:rsidP="006A3CD6">
            <w:pPr>
              <w:rPr>
                <w:b/>
                <w:sz w:val="20"/>
              </w:rPr>
            </w:pPr>
          </w:p>
          <w:p w:rsidR="000E6117" w:rsidP="006A3CD6">
            <w:pPr>
              <w:ind w:left="497" w:hanging="497"/>
              <w:jc w:val="both"/>
              <w:rPr>
                <w:b/>
                <w:sz w:val="20"/>
              </w:rPr>
            </w:pPr>
          </w:p>
        </w:tc>
      </w:tr>
    </w:tbl>
    <w:p w:rsidR="000E6117">
      <w:pPr>
        <w:jc w:val="both"/>
        <w:rPr>
          <w:sz w:val="20"/>
        </w:rPr>
      </w:pPr>
    </w:p>
    <w:tbl>
      <w:tblPr>
        <w:tblStyle w:val="TableNormal"/>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637"/>
        <w:gridCol w:w="5245"/>
        <w:gridCol w:w="567"/>
        <w:gridCol w:w="1276"/>
        <w:gridCol w:w="709"/>
        <w:gridCol w:w="4110"/>
        <w:gridCol w:w="709"/>
        <w:gridCol w:w="1701"/>
      </w:tblGrid>
      <w:tr w:rsidTr="002E524C">
        <w:tblPrEx>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Ex>
        <w:tc>
          <w:tcPr>
            <w:tcW w:w="637" w:type="dxa"/>
          </w:tcPr>
          <w:p w:rsidR="00D96EC3">
            <w:pPr>
              <w:jc w:val="both"/>
              <w:rPr>
                <w:sz w:val="20"/>
              </w:rPr>
            </w:pPr>
            <w:r>
              <w:rPr>
                <w:sz w:val="20"/>
              </w:rPr>
              <w:t>1</w:t>
            </w:r>
          </w:p>
        </w:tc>
        <w:tc>
          <w:tcPr>
            <w:tcW w:w="5245" w:type="dxa"/>
          </w:tcPr>
          <w:p w:rsidR="00D96EC3" w:rsidP="00BB3AEE">
            <w:pPr>
              <w:jc w:val="both"/>
              <w:rPr>
                <w:sz w:val="20"/>
              </w:rPr>
            </w:pPr>
            <w:r>
              <w:rPr>
                <w:sz w:val="20"/>
              </w:rPr>
              <w:t>2</w:t>
            </w:r>
          </w:p>
        </w:tc>
        <w:tc>
          <w:tcPr>
            <w:tcW w:w="567" w:type="dxa"/>
          </w:tcPr>
          <w:p w:rsidR="00D96EC3">
            <w:pPr>
              <w:jc w:val="both"/>
              <w:rPr>
                <w:sz w:val="20"/>
              </w:rPr>
            </w:pPr>
            <w:r>
              <w:rPr>
                <w:sz w:val="20"/>
              </w:rPr>
              <w:t>3</w:t>
            </w:r>
          </w:p>
        </w:tc>
        <w:tc>
          <w:tcPr>
            <w:tcW w:w="1276" w:type="dxa"/>
          </w:tcPr>
          <w:p w:rsidR="00D96EC3" w:rsidP="00795D6C">
            <w:pPr>
              <w:jc w:val="center"/>
              <w:rPr>
                <w:sz w:val="20"/>
              </w:rPr>
            </w:pPr>
            <w:r>
              <w:rPr>
                <w:sz w:val="20"/>
              </w:rPr>
              <w:t>4</w:t>
            </w:r>
          </w:p>
        </w:tc>
        <w:tc>
          <w:tcPr>
            <w:tcW w:w="709" w:type="dxa"/>
          </w:tcPr>
          <w:p w:rsidR="00D96EC3">
            <w:pPr>
              <w:jc w:val="both"/>
              <w:rPr>
                <w:sz w:val="20"/>
              </w:rPr>
            </w:pPr>
            <w:r>
              <w:rPr>
                <w:sz w:val="20"/>
              </w:rPr>
              <w:t>5</w:t>
            </w:r>
          </w:p>
        </w:tc>
        <w:tc>
          <w:tcPr>
            <w:tcW w:w="4110" w:type="dxa"/>
          </w:tcPr>
          <w:p w:rsidR="00D96EC3" w:rsidRPr="00A755D5" w:rsidP="00FD26C3">
            <w:pPr>
              <w:jc w:val="both"/>
              <w:rPr>
                <w:sz w:val="20"/>
              </w:rPr>
            </w:pPr>
            <w:r w:rsidRPr="00A755D5">
              <w:rPr>
                <w:sz w:val="20"/>
              </w:rPr>
              <w:t>6</w:t>
            </w:r>
          </w:p>
        </w:tc>
        <w:tc>
          <w:tcPr>
            <w:tcW w:w="709" w:type="dxa"/>
          </w:tcPr>
          <w:p w:rsidR="00D96EC3">
            <w:pPr>
              <w:jc w:val="both"/>
              <w:rPr>
                <w:sz w:val="20"/>
              </w:rPr>
            </w:pPr>
            <w:r>
              <w:rPr>
                <w:sz w:val="20"/>
              </w:rPr>
              <w:t>7</w:t>
            </w:r>
          </w:p>
        </w:tc>
        <w:tc>
          <w:tcPr>
            <w:tcW w:w="1701" w:type="dxa"/>
          </w:tcPr>
          <w:p w:rsidR="00D96EC3">
            <w:pPr>
              <w:jc w:val="both"/>
              <w:rPr>
                <w:sz w:val="20"/>
              </w:rPr>
            </w:pPr>
            <w:r>
              <w:rPr>
                <w:sz w:val="20"/>
              </w:rPr>
              <w:t>8</w:t>
            </w:r>
          </w:p>
        </w:tc>
      </w:tr>
      <w:tr w:rsidTr="002E524C">
        <w:tblPrEx>
          <w:tblW w:w="14954" w:type="dxa"/>
          <w:tblLayout w:type="fixed"/>
          <w:tblCellMar>
            <w:left w:w="70" w:type="dxa"/>
            <w:right w:w="70" w:type="dxa"/>
          </w:tblCellMar>
          <w:tblLook w:val="0000"/>
        </w:tblPrEx>
        <w:trPr>
          <w:trHeight w:val="552"/>
        </w:trPr>
        <w:tc>
          <w:tcPr>
            <w:tcW w:w="637" w:type="dxa"/>
            <w:tcBorders>
              <w:bottom w:val="single" w:sz="4" w:space="0" w:color="auto"/>
            </w:tcBorders>
          </w:tcPr>
          <w:p w:rsidR="00D96EC3">
            <w:pPr>
              <w:jc w:val="both"/>
              <w:rPr>
                <w:b/>
                <w:sz w:val="20"/>
              </w:rPr>
            </w:pPr>
            <w:r>
              <w:rPr>
                <w:b/>
                <w:sz w:val="20"/>
              </w:rPr>
              <w:t>Čl.</w:t>
            </w:r>
          </w:p>
          <w:p w:rsidR="00D96EC3">
            <w:pPr>
              <w:jc w:val="both"/>
              <w:rPr>
                <w:sz w:val="20"/>
              </w:rPr>
            </w:pPr>
          </w:p>
        </w:tc>
        <w:tc>
          <w:tcPr>
            <w:tcW w:w="5245" w:type="dxa"/>
            <w:tcBorders>
              <w:bottom w:val="single" w:sz="4" w:space="0" w:color="auto"/>
            </w:tcBorders>
          </w:tcPr>
          <w:p w:rsidR="00D96EC3" w:rsidRPr="000B28EB" w:rsidP="00BB3AEE">
            <w:pPr>
              <w:jc w:val="both"/>
              <w:rPr>
                <w:sz w:val="20"/>
              </w:rPr>
            </w:pPr>
            <w:r w:rsidRPr="000B28EB">
              <w:rPr>
                <w:b/>
                <w:sz w:val="20"/>
              </w:rPr>
              <w:t>Text právneho predpisu EÚ</w:t>
            </w:r>
          </w:p>
        </w:tc>
        <w:tc>
          <w:tcPr>
            <w:tcW w:w="567" w:type="dxa"/>
            <w:tcBorders>
              <w:bottom w:val="single" w:sz="4" w:space="0" w:color="auto"/>
            </w:tcBorders>
          </w:tcPr>
          <w:p w:rsidR="00D96EC3">
            <w:pPr>
              <w:jc w:val="both"/>
              <w:rPr>
                <w:b/>
                <w:sz w:val="20"/>
              </w:rPr>
            </w:pPr>
            <w:r>
              <w:rPr>
                <w:b/>
                <w:sz w:val="20"/>
              </w:rPr>
              <w:t>Sp. Trans</w:t>
            </w:r>
          </w:p>
        </w:tc>
        <w:tc>
          <w:tcPr>
            <w:tcW w:w="1276" w:type="dxa"/>
            <w:tcBorders>
              <w:bottom w:val="single" w:sz="4" w:space="0" w:color="auto"/>
            </w:tcBorders>
          </w:tcPr>
          <w:p w:rsidR="00D96EC3" w:rsidP="00795D6C">
            <w:pPr>
              <w:jc w:val="both"/>
              <w:rPr>
                <w:b/>
                <w:sz w:val="20"/>
              </w:rPr>
            </w:pPr>
            <w:r>
              <w:rPr>
                <w:b/>
                <w:sz w:val="20"/>
              </w:rPr>
              <w:t>Č.</w:t>
            </w:r>
          </w:p>
        </w:tc>
        <w:tc>
          <w:tcPr>
            <w:tcW w:w="709" w:type="dxa"/>
            <w:tcBorders>
              <w:bottom w:val="single" w:sz="4" w:space="0" w:color="auto"/>
            </w:tcBorders>
          </w:tcPr>
          <w:p w:rsidR="00D96EC3" w:rsidP="004D7206">
            <w:pPr>
              <w:pStyle w:val="BodyText21"/>
              <w:spacing w:before="0" w:line="240" w:lineRule="auto"/>
            </w:pPr>
            <w:r>
              <w:t>§</w:t>
            </w:r>
          </w:p>
        </w:tc>
        <w:tc>
          <w:tcPr>
            <w:tcW w:w="4110" w:type="dxa"/>
            <w:tcBorders>
              <w:bottom w:val="single" w:sz="4" w:space="0" w:color="auto"/>
            </w:tcBorders>
          </w:tcPr>
          <w:p w:rsidR="00D96EC3" w:rsidRPr="00A755D5" w:rsidP="00FD26C3">
            <w:pPr>
              <w:pStyle w:val="Heading6"/>
              <w:rPr>
                <w:sz w:val="20"/>
              </w:rPr>
            </w:pPr>
            <w:r w:rsidRPr="00A755D5">
              <w:rPr>
                <w:sz w:val="20"/>
              </w:rPr>
              <w:t>Text slovenského právneho predpisu</w:t>
            </w:r>
          </w:p>
        </w:tc>
        <w:tc>
          <w:tcPr>
            <w:tcW w:w="709" w:type="dxa"/>
            <w:tcBorders>
              <w:bottom w:val="single" w:sz="4" w:space="0" w:color="auto"/>
            </w:tcBorders>
          </w:tcPr>
          <w:p w:rsidR="00D96EC3">
            <w:pPr>
              <w:jc w:val="both"/>
              <w:rPr>
                <w:sz w:val="20"/>
              </w:rPr>
            </w:pPr>
            <w:r>
              <w:rPr>
                <w:b/>
                <w:sz w:val="20"/>
              </w:rPr>
              <w:t>Zhoda</w:t>
            </w:r>
          </w:p>
        </w:tc>
        <w:tc>
          <w:tcPr>
            <w:tcW w:w="1701" w:type="dxa"/>
            <w:tcBorders>
              <w:bottom w:val="single" w:sz="4" w:space="0" w:color="auto"/>
            </w:tcBorders>
          </w:tcPr>
          <w:p w:rsidR="00D96EC3">
            <w:pPr>
              <w:jc w:val="both"/>
              <w:rPr>
                <w:sz w:val="20"/>
              </w:rPr>
            </w:pPr>
            <w:r>
              <w:rPr>
                <w:b/>
                <w:sz w:val="20"/>
              </w:rPr>
              <w:t>Poznámka</w:t>
            </w:r>
          </w:p>
        </w:tc>
      </w:tr>
      <w:tr w:rsidTr="002E524C">
        <w:tblPrEx>
          <w:tblW w:w="14954" w:type="dxa"/>
          <w:tblLayout w:type="fixed"/>
          <w:tblCellMar>
            <w:left w:w="70" w:type="dxa"/>
            <w:right w:w="70" w:type="dxa"/>
          </w:tblCellMar>
          <w:tblLook w:val="0000"/>
        </w:tblPrEx>
        <w:trPr>
          <w:trHeight w:val="2684"/>
        </w:trPr>
        <w:tc>
          <w:tcPr>
            <w:tcW w:w="637" w:type="dxa"/>
            <w:tcBorders>
              <w:top w:val="single" w:sz="4" w:space="0" w:color="auto"/>
              <w:bottom w:val="single" w:sz="4" w:space="0" w:color="auto"/>
            </w:tcBorders>
          </w:tcPr>
          <w:p w:rsidR="0053077F">
            <w:pPr>
              <w:jc w:val="both"/>
              <w:rPr>
                <w:sz w:val="20"/>
              </w:rPr>
            </w:pPr>
            <w:r>
              <w:rPr>
                <w:sz w:val="20"/>
              </w:rPr>
              <w:t>Č1</w:t>
            </w:r>
          </w:p>
          <w:p w:rsidR="00BB1D29" w:rsidRPr="00F74B61">
            <w:pPr>
              <w:jc w:val="both"/>
              <w:rPr>
                <w:sz w:val="20"/>
              </w:rPr>
            </w:pPr>
            <w:r w:rsidRPr="00F74B61">
              <w:rPr>
                <w:sz w:val="20"/>
              </w:rPr>
              <w:t>Pa</w:t>
            </w:r>
          </w:p>
        </w:tc>
        <w:tc>
          <w:tcPr>
            <w:tcW w:w="5245" w:type="dxa"/>
            <w:tcBorders>
              <w:top w:val="single" w:sz="4" w:space="0" w:color="auto"/>
              <w:bottom w:val="single" w:sz="4" w:space="0" w:color="auto"/>
            </w:tcBorders>
          </w:tcPr>
          <w:p w:rsidR="00D96EC3" w:rsidRPr="00C02946" w:rsidP="00BB3AEE">
            <w:pPr>
              <w:pStyle w:val="Heading2"/>
              <w:jc w:val="both"/>
              <w:rPr>
                <w:rFonts w:ascii="Times New Roman" w:hAnsi="Times New Roman"/>
                <w:b w:val="0"/>
                <w:spacing w:val="0"/>
                <w:sz w:val="20"/>
                <w:lang w:eastAsia="sk-SK"/>
              </w:rPr>
            </w:pPr>
            <w:r w:rsidRPr="00C02946">
              <w:rPr>
                <w:rFonts w:ascii="Times New Roman" w:hAnsi="Times New Roman"/>
                <w:b w:val="0"/>
                <w:spacing w:val="0"/>
                <w:sz w:val="20"/>
                <w:lang w:eastAsia="sk-SK"/>
              </w:rPr>
              <w:t>Článok 1</w:t>
            </w:r>
          </w:p>
          <w:p w:rsidR="00D96EC3" w:rsidRPr="00C02946" w:rsidP="00BB3AEE">
            <w:pPr>
              <w:pStyle w:val="Heading1"/>
              <w:tabs>
                <w:tab w:val="left" w:pos="880"/>
                <w:tab w:val="left" w:pos="1134"/>
                <w:tab w:val="left" w:pos="1418"/>
                <w:tab w:val="left" w:pos="1701"/>
                <w:tab w:val="left" w:pos="1985"/>
              </w:tabs>
              <w:spacing w:before="0"/>
              <w:jc w:val="both"/>
              <w:rPr>
                <w:b w:val="0"/>
                <w:kern w:val="0"/>
                <w:sz w:val="20"/>
                <w:lang w:eastAsia="sk-SK"/>
              </w:rPr>
            </w:pPr>
            <w:r w:rsidRPr="00C02946">
              <w:rPr>
                <w:b w:val="0"/>
                <w:kern w:val="0"/>
                <w:sz w:val="20"/>
                <w:lang w:eastAsia="sk-SK"/>
              </w:rPr>
              <w:t xml:space="preserve">Rozsah </w:t>
            </w:r>
            <w:r w:rsidRPr="00C02946" w:rsidR="0053077F">
              <w:rPr>
                <w:b w:val="0"/>
                <w:kern w:val="0"/>
                <w:sz w:val="20"/>
                <w:lang w:eastAsia="sk-SK"/>
              </w:rPr>
              <w:t>pôsobnosti</w:t>
            </w:r>
          </w:p>
          <w:p w:rsidR="00D96EC3" w:rsidRPr="00C02946" w:rsidP="00BB3AEE">
            <w:pPr>
              <w:autoSpaceDE w:val="0"/>
              <w:autoSpaceDN w:val="0"/>
              <w:adjustRightInd w:val="0"/>
              <w:jc w:val="both"/>
              <w:rPr>
                <w:sz w:val="20"/>
                <w:lang w:eastAsia="sk-SK"/>
              </w:rPr>
            </w:pPr>
            <w:r w:rsidRPr="00C02946">
              <w:rPr>
                <w:sz w:val="20"/>
                <w:lang w:eastAsia="sk-SK"/>
              </w:rPr>
              <w:t>Pokiaľ ide o cestné vozidlá a necestné pojazdné stroje (vrátane plavidiel vnútrozemskej vodnej dopravy, ak sa neplavia po mori), poľnohospodárske a lesné traktory a rekreačné plavidlá, ak sa neplavia po mori, táto smernica stanovuje:</w:t>
            </w:r>
          </w:p>
          <w:p w:rsidR="00D96EC3" w:rsidRPr="00C02946" w:rsidP="00BB3AEE">
            <w:pPr>
              <w:autoSpaceDE w:val="0"/>
              <w:autoSpaceDN w:val="0"/>
              <w:adjustRightInd w:val="0"/>
              <w:jc w:val="both"/>
              <w:rPr>
                <w:sz w:val="20"/>
                <w:lang w:eastAsia="sk-SK"/>
              </w:rPr>
            </w:pPr>
            <w:r w:rsidRPr="00C02946">
              <w:rPr>
                <w:sz w:val="20"/>
                <w:lang w:eastAsia="sk-SK"/>
              </w:rPr>
              <w:t>a) technické špecifikácie pre palivá používané v zážihových</w:t>
            </w:r>
          </w:p>
          <w:p w:rsidR="00D96EC3" w:rsidRPr="00C02946" w:rsidP="00BB3AEE">
            <w:pPr>
              <w:autoSpaceDE w:val="0"/>
              <w:autoSpaceDN w:val="0"/>
              <w:adjustRightInd w:val="0"/>
              <w:jc w:val="both"/>
              <w:rPr>
                <w:sz w:val="20"/>
                <w:lang w:eastAsia="sk-SK"/>
              </w:rPr>
            </w:pPr>
            <w:r w:rsidRPr="00C02946">
              <w:rPr>
                <w:sz w:val="20"/>
                <w:lang w:eastAsia="sk-SK"/>
              </w:rPr>
              <w:t>a vznetových motoroch, ktoré sú odôvodnené ochranou zdravia</w:t>
            </w:r>
          </w:p>
          <w:p w:rsidR="00D96EC3" w:rsidRPr="00C02946" w:rsidP="00BB3AEE">
            <w:pPr>
              <w:autoSpaceDE w:val="0"/>
              <w:autoSpaceDN w:val="0"/>
              <w:adjustRightInd w:val="0"/>
              <w:jc w:val="both"/>
              <w:rPr>
                <w:sz w:val="20"/>
                <w:lang w:eastAsia="sk-SK"/>
              </w:rPr>
            </w:pPr>
            <w:r w:rsidRPr="00C02946">
              <w:rPr>
                <w:sz w:val="20"/>
                <w:lang w:eastAsia="sk-SK"/>
              </w:rPr>
              <w:t>a životného prostredia a ktoré zohľadňujú technické požiadavky</w:t>
            </w:r>
            <w:r w:rsidRPr="00C02946" w:rsidR="00BB3AEE">
              <w:rPr>
                <w:sz w:val="20"/>
                <w:lang w:eastAsia="sk-SK"/>
              </w:rPr>
              <w:t xml:space="preserve"> </w:t>
            </w:r>
            <w:r w:rsidRPr="00C02946">
              <w:rPr>
                <w:sz w:val="20"/>
                <w:lang w:eastAsia="sk-SK"/>
              </w:rPr>
              <w:t>týchto motorov, a</w:t>
            </w:r>
          </w:p>
          <w:p w:rsidR="00D96EC3" w:rsidRPr="00C02946" w:rsidP="00BB3AEE">
            <w:pPr>
              <w:pStyle w:val="BodyText21"/>
              <w:spacing w:before="0" w:line="240" w:lineRule="auto"/>
            </w:pPr>
          </w:p>
        </w:tc>
        <w:tc>
          <w:tcPr>
            <w:tcW w:w="567" w:type="dxa"/>
            <w:tcBorders>
              <w:top w:val="single" w:sz="4" w:space="0" w:color="auto"/>
              <w:bottom w:val="single" w:sz="4" w:space="0" w:color="auto"/>
            </w:tcBorders>
          </w:tcPr>
          <w:p w:rsidR="00D96EC3" w:rsidRPr="00F74B61">
            <w:pPr>
              <w:jc w:val="both"/>
              <w:rPr>
                <w:sz w:val="20"/>
              </w:rPr>
            </w:pPr>
            <w:r w:rsidRPr="00F74B61">
              <w:rPr>
                <w:sz w:val="20"/>
              </w:rPr>
              <w:t>N</w:t>
            </w:r>
          </w:p>
        </w:tc>
        <w:tc>
          <w:tcPr>
            <w:tcW w:w="1276" w:type="dxa"/>
            <w:tcBorders>
              <w:top w:val="single" w:sz="4" w:space="0" w:color="auto"/>
              <w:bottom w:val="single" w:sz="4" w:space="0" w:color="auto"/>
            </w:tcBorders>
          </w:tcPr>
          <w:p w:rsidR="00110F52" w:rsidRPr="00E02262" w:rsidP="00795D6C">
            <w:pPr>
              <w:jc w:val="center"/>
              <w:rPr>
                <w:sz w:val="20"/>
              </w:rPr>
            </w:pPr>
            <w:r w:rsidR="00A32BFB">
              <w:rPr>
                <w:sz w:val="20"/>
              </w:rPr>
              <w:t>NV</w:t>
            </w:r>
          </w:p>
          <w:p w:rsidR="004D7206" w:rsidRPr="00F74B61" w:rsidP="00795D6C">
            <w:pPr>
              <w:jc w:val="center"/>
              <w:rPr>
                <w:sz w:val="20"/>
              </w:rPr>
            </w:pPr>
          </w:p>
        </w:tc>
        <w:tc>
          <w:tcPr>
            <w:tcW w:w="709" w:type="dxa"/>
            <w:tcBorders>
              <w:top w:val="single" w:sz="4" w:space="0" w:color="auto"/>
              <w:bottom w:val="single" w:sz="4" w:space="0" w:color="auto"/>
            </w:tcBorders>
          </w:tcPr>
          <w:p w:rsidR="004D7206" w:rsidP="004D7206">
            <w:pPr>
              <w:pStyle w:val="BodyText21"/>
              <w:spacing w:before="0"/>
            </w:pPr>
            <w:r w:rsidRPr="00F74B61" w:rsidR="00BB1D29">
              <w:t>§1</w:t>
            </w:r>
          </w:p>
          <w:p w:rsidR="003D4427" w:rsidRPr="00F74B61" w:rsidP="004D7206">
            <w:pPr>
              <w:pStyle w:val="BodyText21"/>
              <w:spacing w:before="0"/>
            </w:pPr>
            <w:r>
              <w:t>O1</w:t>
            </w:r>
          </w:p>
          <w:p w:rsidR="00BB1D29" w:rsidP="004D7206">
            <w:pPr>
              <w:pStyle w:val="BodyText21"/>
              <w:spacing w:before="0"/>
            </w:pPr>
            <w:r w:rsidR="00F34F71">
              <w:t>Pa</w:t>
            </w:r>
          </w:p>
          <w:p w:rsidR="00E957D9" w:rsidRPr="00F74B61" w:rsidP="004D7206">
            <w:pPr>
              <w:pStyle w:val="BodyText21"/>
              <w:spacing w:before="0"/>
            </w:pPr>
            <w:r>
              <w:t>P3</w:t>
            </w:r>
          </w:p>
          <w:p w:rsidR="002307A3" w:rsidRPr="00F74B61" w:rsidP="004D7206">
            <w:pPr>
              <w:pStyle w:val="BodyText21"/>
              <w:spacing w:before="0"/>
            </w:pPr>
          </w:p>
          <w:p w:rsidR="002307A3" w:rsidRPr="00F74B61" w:rsidP="004D7206">
            <w:pPr>
              <w:pStyle w:val="BodyText21"/>
              <w:spacing w:before="0"/>
            </w:pPr>
          </w:p>
          <w:p w:rsidR="002307A3" w:rsidRPr="00F74B61" w:rsidP="004D7206">
            <w:pPr>
              <w:pStyle w:val="BodyText21"/>
              <w:spacing w:before="0"/>
            </w:pPr>
          </w:p>
          <w:p w:rsidR="002307A3" w:rsidRPr="00F74B61" w:rsidP="004D7206">
            <w:pPr>
              <w:pStyle w:val="BodyText21"/>
              <w:spacing w:before="0"/>
            </w:pPr>
          </w:p>
          <w:p w:rsidR="002307A3" w:rsidRPr="00F74B61" w:rsidP="002307A3">
            <w:pPr>
              <w:pStyle w:val="BodyText21"/>
              <w:spacing w:before="0"/>
              <w:rPr>
                <w:rFonts w:ascii="EUAlbertina" w:hAnsi="EUAlbertina" w:cs="EUAlbertina"/>
                <w:color w:val="000000"/>
                <w:lang w:eastAsia="sk-SK"/>
              </w:rPr>
            </w:pPr>
          </w:p>
          <w:p w:rsidR="002307A3" w:rsidRPr="00F74B61" w:rsidP="004D7206">
            <w:pPr>
              <w:pStyle w:val="BodyText21"/>
              <w:spacing w:before="0"/>
            </w:pPr>
          </w:p>
        </w:tc>
        <w:tc>
          <w:tcPr>
            <w:tcW w:w="4110" w:type="dxa"/>
            <w:tcBorders>
              <w:top w:val="single" w:sz="4" w:space="0" w:color="auto"/>
              <w:bottom w:val="single" w:sz="4" w:space="0" w:color="auto"/>
            </w:tcBorders>
          </w:tcPr>
          <w:p w:rsidR="00971B92" w:rsidRPr="00A755D5" w:rsidP="00971B92">
            <w:pPr>
              <w:spacing w:after="120"/>
              <w:rPr>
                <w:sz w:val="20"/>
                <w:lang w:eastAsia="sk-SK"/>
              </w:rPr>
            </w:pPr>
            <w:r w:rsidR="003D4427">
              <w:rPr>
                <w:sz w:val="20"/>
                <w:lang w:eastAsia="sk-SK"/>
              </w:rPr>
              <w:t xml:space="preserve">(1) </w:t>
            </w:r>
            <w:r w:rsidRPr="00A755D5">
              <w:rPr>
                <w:sz w:val="20"/>
                <w:lang w:eastAsia="sk-SK"/>
              </w:rPr>
              <w:t>Táto vyhláška ustanovuje požiadavky na</w:t>
            </w:r>
          </w:p>
          <w:p w:rsidR="00971B92" w:rsidRPr="00A755D5" w:rsidP="00325D9E">
            <w:pPr>
              <w:keepNext/>
              <w:numPr>
                <w:ilvl w:val="0"/>
                <w:numId w:val="5"/>
              </w:numPr>
              <w:spacing w:before="60" w:after="60"/>
              <w:jc w:val="both"/>
              <w:rPr>
                <w:sz w:val="20"/>
                <w:lang w:eastAsia="sk-SK"/>
              </w:rPr>
            </w:pPr>
            <w:r w:rsidRPr="00A755D5">
              <w:rPr>
                <w:sz w:val="20"/>
                <w:lang w:eastAsia="sk-SK"/>
              </w:rPr>
              <w:t>kvalitu</w:t>
            </w:r>
          </w:p>
          <w:p w:rsidR="00D96EC3" w:rsidRPr="00A755D5" w:rsidP="00E957D9">
            <w:pPr>
              <w:pStyle w:val="ListParagraph0"/>
              <w:spacing w:after="120" w:line="240" w:lineRule="auto"/>
              <w:ind w:left="636" w:hanging="279"/>
              <w:contextualSpacing w:val="0"/>
              <w:jc w:val="both"/>
              <w:rPr>
                <w:sz w:val="20"/>
                <w:lang w:eastAsia="sk-SK"/>
              </w:rPr>
            </w:pPr>
            <w:r w:rsidRPr="00A755D5" w:rsidR="00325D9E">
              <w:rPr>
                <w:rFonts w:ascii="Times New Roman" w:hAnsi="Times New Roman"/>
                <w:sz w:val="20"/>
                <w:szCs w:val="20"/>
              </w:rPr>
              <w:t>3. kvapal</w:t>
            </w:r>
            <w:r w:rsidRPr="00A755D5" w:rsidR="00325D9E">
              <w:rPr>
                <w:rFonts w:ascii="Times New Roman" w:hAnsi="Times New Roman"/>
                <w:sz w:val="20"/>
                <w:szCs w:val="20"/>
              </w:rPr>
              <w:t>ných a plynný</w:t>
            </w:r>
            <w:r w:rsidR="002F565D">
              <w:rPr>
                <w:rFonts w:ascii="Times New Roman" w:hAnsi="Times New Roman"/>
                <w:sz w:val="20"/>
                <w:szCs w:val="20"/>
              </w:rPr>
              <w:t>ch palív uvedených v § 2 písm. c) až k</w:t>
            </w:r>
            <w:r w:rsidRPr="00A755D5" w:rsidR="00325D9E">
              <w:rPr>
                <w:rFonts w:ascii="Times New Roman" w:hAnsi="Times New Roman"/>
                <w:sz w:val="20"/>
                <w:szCs w:val="20"/>
              </w:rPr>
              <w:t>) (ďalej len „motorové palivo“), ktoré sú určené na spaľovanie v spaľovacích motoroch stacionárnych zdrojov</w:t>
            </w:r>
            <w:r>
              <w:rPr>
                <w:rFonts w:ascii="Times New Roman" w:hAnsi="Times New Roman"/>
                <w:sz w:val="20"/>
                <w:szCs w:val="20"/>
                <w:vertAlign w:val="superscript"/>
              </w:rPr>
              <w:footnoteReference w:id="2"/>
            </w:r>
            <w:r w:rsidRPr="00A755D5" w:rsidR="00325D9E">
              <w:rPr>
                <w:rFonts w:ascii="Times New Roman" w:hAnsi="Times New Roman"/>
                <w:sz w:val="20"/>
                <w:szCs w:val="20"/>
              </w:rPr>
              <w:t xml:space="preserve">) alebo v spaľovacích motoroch, alebo iných hnacích motoroch mobilných zdrojov znečisťovania ovzdušia (ďalej len “mobilný zdroj“),    </w:t>
            </w:r>
          </w:p>
        </w:tc>
        <w:tc>
          <w:tcPr>
            <w:tcW w:w="709" w:type="dxa"/>
            <w:tcBorders>
              <w:top w:val="single" w:sz="4" w:space="0" w:color="auto"/>
              <w:bottom w:val="single" w:sz="4" w:space="0" w:color="auto"/>
            </w:tcBorders>
          </w:tcPr>
          <w:p w:rsidR="00D96EC3" w:rsidRPr="00F74B61">
            <w:pPr>
              <w:jc w:val="both"/>
              <w:rPr>
                <w:sz w:val="20"/>
              </w:rPr>
            </w:pPr>
            <w:r w:rsidRPr="00F74B61" w:rsidR="00BB1D29">
              <w:rPr>
                <w:sz w:val="20"/>
              </w:rPr>
              <w:t>Ú</w:t>
            </w:r>
          </w:p>
        </w:tc>
        <w:tc>
          <w:tcPr>
            <w:tcW w:w="1701" w:type="dxa"/>
            <w:tcBorders>
              <w:top w:val="single" w:sz="4" w:space="0" w:color="auto"/>
              <w:bottom w:val="single" w:sz="4" w:space="0" w:color="auto"/>
            </w:tcBorders>
          </w:tcPr>
          <w:p w:rsidR="00D96EC3" w:rsidRPr="00F74B61" w:rsidP="004D7206">
            <w:pPr>
              <w:jc w:val="both"/>
              <w:rPr>
                <w:sz w:val="20"/>
              </w:rPr>
            </w:pPr>
          </w:p>
        </w:tc>
      </w:tr>
      <w:tr w:rsidTr="002E524C">
        <w:tblPrEx>
          <w:tblW w:w="14954" w:type="dxa"/>
          <w:tblLayout w:type="fixed"/>
          <w:tblCellMar>
            <w:left w:w="70" w:type="dxa"/>
            <w:right w:w="70" w:type="dxa"/>
          </w:tblCellMar>
          <w:tblLook w:val="0000"/>
        </w:tblPrEx>
        <w:trPr>
          <w:trHeight w:val="1371"/>
        </w:trPr>
        <w:tc>
          <w:tcPr>
            <w:tcW w:w="637" w:type="dxa"/>
            <w:tcBorders>
              <w:top w:val="single" w:sz="4" w:space="0" w:color="auto"/>
              <w:bottom w:val="single" w:sz="4" w:space="0" w:color="auto"/>
            </w:tcBorders>
          </w:tcPr>
          <w:p w:rsidR="002307A3" w:rsidRPr="00F74B61">
            <w:pPr>
              <w:jc w:val="both"/>
              <w:rPr>
                <w:sz w:val="20"/>
              </w:rPr>
            </w:pPr>
            <w:r w:rsidRPr="00F74B61">
              <w:rPr>
                <w:sz w:val="20"/>
              </w:rPr>
              <w:t>Č1</w:t>
            </w:r>
          </w:p>
          <w:p w:rsidR="002307A3" w:rsidRPr="00F74B61">
            <w:pPr>
              <w:jc w:val="both"/>
              <w:rPr>
                <w:sz w:val="20"/>
              </w:rPr>
            </w:pPr>
            <w:r w:rsidRPr="00F74B61">
              <w:rPr>
                <w:sz w:val="20"/>
              </w:rPr>
              <w:t>Pb</w:t>
            </w:r>
          </w:p>
        </w:tc>
        <w:tc>
          <w:tcPr>
            <w:tcW w:w="5245" w:type="dxa"/>
            <w:tcBorders>
              <w:top w:val="single" w:sz="4" w:space="0" w:color="auto"/>
              <w:bottom w:val="single" w:sz="4" w:space="0" w:color="auto"/>
            </w:tcBorders>
          </w:tcPr>
          <w:p w:rsidR="002307A3" w:rsidRPr="00F74B61" w:rsidP="00BB3AEE">
            <w:pPr>
              <w:autoSpaceDE w:val="0"/>
              <w:autoSpaceDN w:val="0"/>
              <w:adjustRightInd w:val="0"/>
              <w:jc w:val="both"/>
              <w:rPr>
                <w:rFonts w:ascii="EUAlbertina" w:hAnsi="EUAlbertina" w:cs="EUAlbertina"/>
                <w:color w:val="000000"/>
                <w:sz w:val="20"/>
                <w:lang w:eastAsia="sk-SK"/>
              </w:rPr>
            </w:pPr>
            <w:r w:rsidRPr="00F74B61">
              <w:rPr>
                <w:rFonts w:ascii="EUAlbertina" w:hAnsi="EUAlbertina" w:cs="EUAlbertina"/>
                <w:color w:val="000000"/>
                <w:sz w:val="20"/>
                <w:lang w:eastAsia="sk-SK"/>
              </w:rPr>
              <w:t>b) cieľ zníženia emisií skleníkových plynov počas životného cyklu.</w:t>
            </w:r>
          </w:p>
          <w:p w:rsidR="002307A3" w:rsidRPr="00F74B61" w:rsidP="00BB3AEE">
            <w:pPr>
              <w:pStyle w:val="Heading8"/>
              <w:jc w:val="both"/>
              <w:rPr>
                <w:rFonts w:ascii="EUAlbertina" w:hAnsi="EUAlbertina" w:cs="EUAlbertina"/>
                <w:i w:val="0"/>
                <w:iCs w:val="0"/>
                <w:color w:val="000000"/>
                <w:lang w:eastAsia="sk-SK"/>
              </w:rPr>
            </w:pPr>
          </w:p>
          <w:p w:rsidR="002307A3" w:rsidRPr="00F74B61" w:rsidP="006F168A">
            <w:pPr>
              <w:pStyle w:val="Heading2"/>
              <w:ind w:left="0" w:firstLine="0"/>
              <w:jc w:val="both"/>
              <w:rPr>
                <w:rFonts w:ascii="Times New Roman" w:hAnsi="Times New Roman"/>
                <w:b w:val="0"/>
                <w:i/>
                <w:sz w:val="20"/>
              </w:rPr>
            </w:pPr>
          </w:p>
        </w:tc>
        <w:tc>
          <w:tcPr>
            <w:tcW w:w="567" w:type="dxa"/>
            <w:tcBorders>
              <w:top w:val="single" w:sz="4" w:space="0" w:color="auto"/>
              <w:bottom w:val="single" w:sz="4" w:space="0" w:color="auto"/>
            </w:tcBorders>
          </w:tcPr>
          <w:p w:rsidR="002307A3" w:rsidRPr="00F74B61">
            <w:pPr>
              <w:jc w:val="both"/>
              <w:rPr>
                <w:sz w:val="20"/>
              </w:rPr>
            </w:pPr>
          </w:p>
        </w:tc>
        <w:tc>
          <w:tcPr>
            <w:tcW w:w="1276" w:type="dxa"/>
            <w:tcBorders>
              <w:top w:val="single" w:sz="4" w:space="0" w:color="auto"/>
              <w:bottom w:val="single" w:sz="4" w:space="0" w:color="auto"/>
            </w:tcBorders>
          </w:tcPr>
          <w:p w:rsidR="002307A3" w:rsidRPr="00BB3AEE" w:rsidP="00A32BFB">
            <w:pPr>
              <w:jc w:val="center"/>
              <w:rPr>
                <w:sz w:val="20"/>
              </w:rPr>
            </w:pPr>
            <w:r w:rsidRPr="00BB3AEE" w:rsidR="0000084E">
              <w:rPr>
                <w:sz w:val="20"/>
              </w:rPr>
              <w:t>Z</w:t>
            </w:r>
            <w:r w:rsidR="00A32BFB">
              <w:rPr>
                <w:sz w:val="20"/>
              </w:rPr>
              <w:t xml:space="preserve"> </w:t>
            </w:r>
            <w:r w:rsidRPr="00BB3AEE" w:rsidR="0000084E">
              <w:rPr>
                <w:sz w:val="20"/>
              </w:rPr>
              <w:t>309/2009</w:t>
            </w:r>
          </w:p>
        </w:tc>
        <w:tc>
          <w:tcPr>
            <w:tcW w:w="709" w:type="dxa"/>
            <w:tcBorders>
              <w:top w:val="single" w:sz="4" w:space="0" w:color="auto"/>
              <w:bottom w:val="single" w:sz="4" w:space="0" w:color="auto"/>
            </w:tcBorders>
          </w:tcPr>
          <w:p w:rsidR="002307A3" w:rsidRPr="005131F4" w:rsidP="004D7206">
            <w:pPr>
              <w:pStyle w:val="BodyText21"/>
              <w:spacing w:before="0"/>
            </w:pPr>
            <w:r w:rsidRPr="005131F4" w:rsidR="007000B7">
              <w:t>§14c</w:t>
            </w:r>
          </w:p>
          <w:p w:rsidR="007000B7" w:rsidRPr="005131F4" w:rsidP="004D7206">
            <w:pPr>
              <w:pStyle w:val="BodyText21"/>
              <w:spacing w:before="0"/>
            </w:pPr>
            <w:r w:rsidRPr="005131F4" w:rsidR="00034549">
              <w:t>O6</w:t>
            </w:r>
          </w:p>
          <w:p w:rsidR="00034549" w:rsidRPr="005131F4" w:rsidP="004D7206">
            <w:pPr>
              <w:pStyle w:val="BodyText21"/>
              <w:spacing w:before="0"/>
            </w:pPr>
            <w:r w:rsidRPr="005131F4">
              <w:t>Pa,b</w:t>
            </w:r>
          </w:p>
        </w:tc>
        <w:tc>
          <w:tcPr>
            <w:tcW w:w="4110" w:type="dxa"/>
            <w:tcBorders>
              <w:top w:val="single" w:sz="4" w:space="0" w:color="auto"/>
              <w:bottom w:val="single" w:sz="4" w:space="0" w:color="auto"/>
            </w:tcBorders>
          </w:tcPr>
          <w:p w:rsidR="00034549" w:rsidRPr="00A755D5" w:rsidP="00034549">
            <w:pPr>
              <w:jc w:val="both"/>
              <w:rPr>
                <w:sz w:val="20"/>
                <w:lang w:eastAsia="sk-SK"/>
              </w:rPr>
            </w:pPr>
            <w:r w:rsidRPr="00A755D5">
              <w:rPr>
                <w:sz w:val="20"/>
                <w:lang w:eastAsia="sk-SK"/>
              </w:rPr>
              <w:t>(6</w:t>
            </w:r>
            <w:r w:rsidRPr="00A755D5" w:rsidR="007000B7">
              <w:rPr>
                <w:sz w:val="20"/>
                <w:lang w:eastAsia="sk-SK"/>
              </w:rPr>
              <w:t xml:space="preserve">) </w:t>
            </w:r>
            <w:r w:rsidRPr="00A755D5">
              <w:rPr>
                <w:sz w:val="20"/>
                <w:lang w:eastAsia="sk-SK"/>
              </w:rPr>
              <w:t xml:space="preserve">Právnická osoba alebo fyzická osoba, ktorá uvádza pohonnú látku na trh v Slovenskej republike, je povinná </w:t>
            </w:r>
          </w:p>
          <w:p w:rsidR="00034549" w:rsidRPr="00A755D5" w:rsidP="00FC58B1">
            <w:pPr>
              <w:ind w:left="353" w:hanging="353"/>
              <w:jc w:val="both"/>
              <w:rPr>
                <w:sz w:val="20"/>
                <w:lang w:eastAsia="sk-SK"/>
              </w:rPr>
            </w:pPr>
            <w:r w:rsidR="00A755D5">
              <w:rPr>
                <w:sz w:val="20"/>
                <w:lang w:eastAsia="sk-SK"/>
              </w:rPr>
              <w:t xml:space="preserve">a) </w:t>
            </w:r>
            <w:r w:rsidRPr="00A755D5">
              <w:rPr>
                <w:sz w:val="20"/>
                <w:lang w:eastAsia="sk-SK"/>
              </w:rPr>
              <w:t>znížiť priemerné ročné emisie skleníkových plynov počas životného cyklu na jednotku energie z pohonných látok a dodávanej energie o 6 % do 31. decembra 2020 v porovnaní s referenčnou hodnotou 94,1 g CO</w:t>
            </w:r>
            <w:r w:rsidRPr="00A755D5">
              <w:rPr>
                <w:sz w:val="20"/>
                <w:vertAlign w:val="subscript"/>
                <w:lang w:eastAsia="sk-SK"/>
              </w:rPr>
              <w:t>2ekv</w:t>
            </w:r>
            <w:r w:rsidRPr="00A755D5">
              <w:rPr>
                <w:sz w:val="20"/>
                <w:lang w:eastAsia="sk-SK"/>
              </w:rPr>
              <w:t xml:space="preserve">/MJ, </w:t>
            </w:r>
          </w:p>
          <w:p w:rsidR="00034549" w:rsidRPr="00A755D5" w:rsidP="00FC58B1">
            <w:pPr>
              <w:ind w:left="353" w:hanging="353"/>
              <w:jc w:val="both"/>
              <w:rPr>
                <w:sz w:val="20"/>
                <w:lang w:eastAsia="sk-SK"/>
              </w:rPr>
            </w:pPr>
            <w:r w:rsidR="00A755D5">
              <w:rPr>
                <w:sz w:val="20"/>
                <w:lang w:eastAsia="sk-SK"/>
              </w:rPr>
              <w:t xml:space="preserve">b) </w:t>
            </w:r>
            <w:r w:rsidR="00FC58B1">
              <w:rPr>
                <w:sz w:val="20"/>
                <w:lang w:eastAsia="sk-SK"/>
              </w:rPr>
              <w:t xml:space="preserve"> </w:t>
            </w:r>
            <w:r w:rsidRPr="00A755D5">
              <w:rPr>
                <w:sz w:val="20"/>
                <w:lang w:eastAsia="sk-SK"/>
              </w:rPr>
              <w:t xml:space="preserve">plniť priebežné ciele podľa </w:t>
            </w:r>
            <w:hyperlink r:id="rId6" w:anchor="paragraf-19b.odsek-1.pismeno-k" w:tooltip="Odkaz na predpis alebo ustanovenie" w:history="1">
              <w:r w:rsidRPr="00A755D5">
                <w:rPr>
                  <w:sz w:val="20"/>
                  <w:lang w:eastAsia="sk-SK"/>
                </w:rPr>
                <w:t>§ 19b ods. 1 písm. k)</w:t>
              </w:r>
            </w:hyperlink>
            <w:r w:rsidRPr="00A755D5">
              <w:rPr>
                <w:sz w:val="20"/>
                <w:lang w:eastAsia="sk-SK"/>
              </w:rPr>
              <w:t xml:space="preserve">. </w:t>
            </w:r>
          </w:p>
          <w:p w:rsidR="007000B7" w:rsidRPr="00A755D5" w:rsidP="00034549">
            <w:pPr>
              <w:jc w:val="both"/>
              <w:rPr>
                <w:sz w:val="20"/>
                <w:lang w:eastAsia="sk-SK"/>
              </w:rPr>
            </w:pPr>
          </w:p>
          <w:p w:rsidR="002307A3" w:rsidRPr="00A755D5" w:rsidP="00034549">
            <w:pPr>
              <w:jc w:val="both"/>
              <w:rPr>
                <w:sz w:val="20"/>
                <w:lang w:eastAsia="sk-SK"/>
              </w:rPr>
            </w:pPr>
          </w:p>
        </w:tc>
        <w:tc>
          <w:tcPr>
            <w:tcW w:w="709" w:type="dxa"/>
            <w:tcBorders>
              <w:top w:val="single" w:sz="4" w:space="0" w:color="auto"/>
              <w:bottom w:val="single" w:sz="4" w:space="0" w:color="auto"/>
            </w:tcBorders>
          </w:tcPr>
          <w:p w:rsidR="002307A3" w:rsidRPr="00BB3AEE">
            <w:pPr>
              <w:jc w:val="both"/>
              <w:rPr>
                <w:sz w:val="20"/>
              </w:rPr>
            </w:pPr>
            <w:r w:rsidRPr="00BB3AEE" w:rsidR="007000B7">
              <w:rPr>
                <w:sz w:val="20"/>
              </w:rPr>
              <w:t>Ú</w:t>
            </w:r>
          </w:p>
        </w:tc>
        <w:tc>
          <w:tcPr>
            <w:tcW w:w="1701" w:type="dxa"/>
            <w:tcBorders>
              <w:top w:val="single" w:sz="4" w:space="0" w:color="auto"/>
              <w:bottom w:val="single" w:sz="4" w:space="0" w:color="auto"/>
            </w:tcBorders>
          </w:tcPr>
          <w:p w:rsidR="002307A3" w:rsidRPr="00F74B61" w:rsidP="004D7206">
            <w:pPr>
              <w:jc w:val="both"/>
              <w:rPr>
                <w:sz w:val="20"/>
              </w:rPr>
            </w:pPr>
            <w:r w:rsidR="00AC06B5">
              <w:rPr>
                <w:sz w:val="20"/>
              </w:rPr>
              <w:t>Nakoľko návrh zákona, ktorým sa mení a dopĺňa zákon č. 309/2009 Z. z.</w:t>
            </w:r>
            <w:r w:rsidR="00DD0133">
              <w:rPr>
                <w:sz w:val="20"/>
              </w:rPr>
              <w:t xml:space="preserve"> o podpore obnoviteľných zdrojov energie a vysoko účinnej kombinovanej výroby a </w:t>
            </w:r>
            <w:r w:rsidRPr="006F168A" w:rsidR="00DD0133">
              <w:rPr>
                <w:sz w:val="20"/>
              </w:rPr>
              <w:t>o zmene a doplnení niektorých zákonov v znení neskorších predpisov</w:t>
            </w:r>
            <w:r w:rsidR="00DD0133">
              <w:rPr>
                <w:sz w:val="20"/>
              </w:rPr>
              <w:t xml:space="preserve"> aktuálne postúpil do druhého čítania v NR SR, tabuľka zhody bude po prijatí predmetného návrhu zákona upravená v jednotlivých ustanoveniach odvolávajúcich sa na zákon č. 309/2009 Z. z.</w:t>
            </w:r>
          </w:p>
        </w:tc>
      </w:tr>
      <w:tr w:rsidTr="002E524C">
        <w:tblPrEx>
          <w:tblW w:w="14954" w:type="dxa"/>
          <w:tblLayout w:type="fixed"/>
          <w:tblCellMar>
            <w:left w:w="70" w:type="dxa"/>
            <w:right w:w="70" w:type="dxa"/>
          </w:tblCellMar>
          <w:tblLook w:val="0000"/>
        </w:tblPrEx>
        <w:trPr>
          <w:trHeight w:val="2188"/>
        </w:trPr>
        <w:tc>
          <w:tcPr>
            <w:tcW w:w="637" w:type="dxa"/>
            <w:tcBorders>
              <w:top w:val="single" w:sz="4" w:space="0" w:color="auto"/>
              <w:bottom w:val="single" w:sz="4" w:space="0" w:color="auto"/>
            </w:tcBorders>
          </w:tcPr>
          <w:p w:rsidR="00D96EC3" w:rsidRPr="00F74B61">
            <w:pPr>
              <w:jc w:val="both"/>
              <w:rPr>
                <w:sz w:val="20"/>
              </w:rPr>
            </w:pPr>
            <w:r w:rsidRPr="00F74B61" w:rsidR="002365B4">
              <w:rPr>
                <w:sz w:val="20"/>
              </w:rPr>
              <w:t>Č2</w:t>
            </w:r>
          </w:p>
          <w:p w:rsidR="002365B4" w:rsidRPr="00F74B61">
            <w:pPr>
              <w:jc w:val="both"/>
              <w:rPr>
                <w:sz w:val="20"/>
              </w:rPr>
            </w:pPr>
            <w:r w:rsidRPr="00F74B61">
              <w:rPr>
                <w:sz w:val="20"/>
              </w:rPr>
              <w:t>O1</w:t>
            </w:r>
          </w:p>
        </w:tc>
        <w:tc>
          <w:tcPr>
            <w:tcW w:w="5245" w:type="dxa"/>
            <w:tcBorders>
              <w:top w:val="single" w:sz="4" w:space="0" w:color="auto"/>
              <w:bottom w:val="single" w:sz="4" w:space="0" w:color="auto"/>
            </w:tcBorders>
          </w:tcPr>
          <w:p w:rsidR="00D96EC3" w:rsidRPr="00F74B61" w:rsidP="00BB3AEE">
            <w:pPr>
              <w:pStyle w:val="Heading8"/>
              <w:jc w:val="both"/>
              <w:rPr>
                <w:i w:val="0"/>
                <w:iCs w:val="0"/>
                <w:lang w:eastAsia="sk-SK"/>
              </w:rPr>
            </w:pPr>
            <w:r w:rsidRPr="00F74B61">
              <w:rPr>
                <w:i w:val="0"/>
                <w:iCs w:val="0"/>
                <w:lang w:eastAsia="sk-SK"/>
              </w:rPr>
              <w:t>Článok 2</w:t>
            </w:r>
          </w:p>
          <w:p w:rsidR="00D96EC3" w:rsidRPr="00F74B61" w:rsidP="00BB3AEE">
            <w:pPr>
              <w:pStyle w:val="Heading2"/>
              <w:ind w:left="0" w:firstLine="0"/>
              <w:jc w:val="both"/>
              <w:rPr>
                <w:rFonts w:ascii="Times New Roman" w:hAnsi="Times New Roman"/>
                <w:b w:val="0"/>
                <w:spacing w:val="0"/>
                <w:sz w:val="20"/>
                <w:lang w:eastAsia="sk-SK"/>
              </w:rPr>
            </w:pPr>
            <w:r w:rsidR="00BA0D1D">
              <w:rPr>
                <w:rFonts w:ascii="Times New Roman" w:hAnsi="Times New Roman"/>
                <w:b w:val="0"/>
                <w:spacing w:val="0"/>
                <w:sz w:val="20"/>
                <w:lang w:eastAsia="sk-SK"/>
              </w:rPr>
              <w:t>Vymedzenie pojmov</w:t>
            </w:r>
          </w:p>
          <w:p w:rsidR="00D96EC3" w:rsidRPr="00F74B61" w:rsidP="00BB3AEE">
            <w:pPr>
              <w:autoSpaceDE w:val="0"/>
              <w:autoSpaceDN w:val="0"/>
              <w:adjustRightInd w:val="0"/>
              <w:jc w:val="both"/>
              <w:rPr>
                <w:sz w:val="20"/>
                <w:lang w:eastAsia="sk-SK"/>
              </w:rPr>
            </w:pPr>
            <w:r w:rsidRPr="00F74B61">
              <w:rPr>
                <w:sz w:val="20"/>
                <w:lang w:eastAsia="sk-SK"/>
              </w:rPr>
              <w:t>Na účely tejto smernice:</w:t>
            </w:r>
          </w:p>
          <w:p w:rsidR="00D96EC3" w:rsidRPr="00F74B61" w:rsidP="00BB3AEE">
            <w:pPr>
              <w:autoSpaceDE w:val="0"/>
              <w:autoSpaceDN w:val="0"/>
              <w:adjustRightInd w:val="0"/>
              <w:jc w:val="both"/>
              <w:rPr>
                <w:sz w:val="20"/>
                <w:lang w:eastAsia="sk-SK"/>
              </w:rPr>
            </w:pPr>
            <w:r w:rsidRPr="00F74B61">
              <w:rPr>
                <w:sz w:val="20"/>
                <w:lang w:eastAsia="sk-SK"/>
              </w:rPr>
              <w:t>1. „benzín“ je každý prchavý minerálny olej určený na prevádzku zážihových</w:t>
            </w:r>
            <w:r w:rsidRPr="00F74B61" w:rsidR="00C949F5">
              <w:rPr>
                <w:sz w:val="20"/>
                <w:lang w:eastAsia="sk-SK"/>
              </w:rPr>
              <w:t xml:space="preserve"> </w:t>
            </w:r>
            <w:r w:rsidRPr="00F74B61">
              <w:rPr>
                <w:sz w:val="20"/>
                <w:lang w:eastAsia="sk-SK"/>
              </w:rPr>
              <w:t>spaľovacích motorov na pohon vozidiel a patriaci do kódov</w:t>
            </w:r>
            <w:r w:rsidRPr="00F74B61" w:rsidR="00C949F5">
              <w:rPr>
                <w:sz w:val="20"/>
                <w:lang w:eastAsia="sk-SK"/>
              </w:rPr>
              <w:t xml:space="preserve"> </w:t>
            </w:r>
            <w:r w:rsidRPr="00F74B61">
              <w:rPr>
                <w:sz w:val="20"/>
                <w:lang w:eastAsia="sk-SK"/>
              </w:rPr>
              <w:t>KN 2</w:t>
            </w:r>
            <w:r w:rsidRPr="00F74B61">
              <w:rPr>
                <w:sz w:val="20"/>
                <w:lang w:eastAsia="sk-SK"/>
              </w:rPr>
              <w:t>710 11 41, 2710 11 45, 2710 11 49, 2710 11 51</w:t>
            </w:r>
            <w:r w:rsidR="00BB3AEE">
              <w:rPr>
                <w:sz w:val="20"/>
                <w:lang w:eastAsia="sk-SK"/>
              </w:rPr>
              <w:t xml:space="preserve"> a 2710 11 59 (</w:t>
            </w:r>
            <w:r w:rsidR="00BA0D1D">
              <w:rPr>
                <w:sz w:val="20"/>
                <w:vertAlign w:val="superscript"/>
                <w:lang w:eastAsia="sk-SK"/>
              </w:rPr>
              <w:t>1</w:t>
            </w:r>
            <w:r w:rsidRPr="00F74B61">
              <w:rPr>
                <w:sz w:val="20"/>
                <w:lang w:eastAsia="sk-SK"/>
              </w:rPr>
              <w:t>);</w:t>
            </w:r>
          </w:p>
        </w:tc>
        <w:tc>
          <w:tcPr>
            <w:tcW w:w="567" w:type="dxa"/>
            <w:tcBorders>
              <w:top w:val="single" w:sz="4" w:space="0" w:color="auto"/>
              <w:bottom w:val="single" w:sz="4" w:space="0" w:color="auto"/>
            </w:tcBorders>
          </w:tcPr>
          <w:p w:rsidR="00C949F5" w:rsidRPr="00F74B61">
            <w:pPr>
              <w:jc w:val="both"/>
              <w:rPr>
                <w:sz w:val="20"/>
              </w:rPr>
            </w:pPr>
            <w:r w:rsidRPr="00F74B61" w:rsidR="00D96EC3">
              <w:rPr>
                <w:sz w:val="20"/>
              </w:rPr>
              <w:t>N</w:t>
            </w:r>
          </w:p>
          <w:p w:rsidR="00C949F5" w:rsidRPr="00F74B61">
            <w:pPr>
              <w:jc w:val="both"/>
              <w:rPr>
                <w:sz w:val="20"/>
              </w:rPr>
            </w:pPr>
          </w:p>
          <w:p w:rsidR="00C949F5" w:rsidRPr="00F74B61">
            <w:pPr>
              <w:jc w:val="both"/>
              <w:rPr>
                <w:sz w:val="20"/>
              </w:rPr>
            </w:pPr>
          </w:p>
          <w:p w:rsidR="00D96EC3" w:rsidRPr="00F74B61">
            <w:pPr>
              <w:jc w:val="both"/>
              <w:rPr>
                <w:sz w:val="20"/>
              </w:rPr>
            </w:pPr>
          </w:p>
        </w:tc>
        <w:tc>
          <w:tcPr>
            <w:tcW w:w="1276" w:type="dxa"/>
            <w:tcBorders>
              <w:top w:val="single" w:sz="4" w:space="0" w:color="auto"/>
              <w:bottom w:val="single" w:sz="4" w:space="0" w:color="auto"/>
            </w:tcBorders>
          </w:tcPr>
          <w:p w:rsidR="00A32BFB" w:rsidRPr="00E02262" w:rsidP="00A32BFB">
            <w:pPr>
              <w:jc w:val="center"/>
              <w:rPr>
                <w:sz w:val="20"/>
              </w:rPr>
            </w:pPr>
            <w:r>
              <w:rPr>
                <w:sz w:val="20"/>
              </w:rPr>
              <w:t>NV</w:t>
            </w:r>
          </w:p>
          <w:p w:rsidR="00505C06" w:rsidRPr="00F74B61" w:rsidP="00795D6C">
            <w:pPr>
              <w:jc w:val="center"/>
              <w:rPr>
                <w:sz w:val="20"/>
              </w:rPr>
            </w:pPr>
          </w:p>
        </w:tc>
        <w:tc>
          <w:tcPr>
            <w:tcW w:w="709" w:type="dxa"/>
            <w:tcBorders>
              <w:top w:val="single" w:sz="4" w:space="0" w:color="auto"/>
              <w:bottom w:val="single" w:sz="4" w:space="0" w:color="auto"/>
            </w:tcBorders>
          </w:tcPr>
          <w:p w:rsidR="00C949F5" w:rsidRPr="00F74B61">
            <w:pPr>
              <w:pStyle w:val="BodyText21"/>
              <w:spacing w:before="0"/>
            </w:pPr>
            <w:r w:rsidRPr="00F74B61" w:rsidR="00505C06">
              <w:t>§2</w:t>
            </w:r>
          </w:p>
          <w:p w:rsidR="00505C06" w:rsidRPr="00F74B61">
            <w:pPr>
              <w:pStyle w:val="BodyText21"/>
              <w:spacing w:before="0"/>
            </w:pPr>
            <w:r w:rsidR="00F12625">
              <w:t>Pc</w:t>
            </w:r>
          </w:p>
        </w:tc>
        <w:tc>
          <w:tcPr>
            <w:tcW w:w="4110" w:type="dxa"/>
            <w:tcBorders>
              <w:top w:val="single" w:sz="4" w:space="0" w:color="auto"/>
              <w:bottom w:val="single" w:sz="4" w:space="0" w:color="auto"/>
            </w:tcBorders>
          </w:tcPr>
          <w:p w:rsidR="00BB3AEE" w:rsidRPr="00F12625" w:rsidP="00FD26C3">
            <w:pPr>
              <w:keepNext/>
              <w:spacing w:before="60" w:after="60"/>
              <w:jc w:val="both"/>
              <w:rPr>
                <w:sz w:val="20"/>
                <w:lang w:eastAsia="sk-SK"/>
              </w:rPr>
            </w:pPr>
            <w:r w:rsidRPr="00F12625" w:rsidR="00F12625">
              <w:rPr>
                <w:sz w:val="20"/>
                <w:lang w:eastAsia="sk-SK"/>
              </w:rPr>
              <w:t xml:space="preserve">c) </w:t>
            </w:r>
            <w:r w:rsidRPr="00F12625">
              <w:rPr>
                <w:sz w:val="20"/>
                <w:lang w:eastAsia="sk-SK"/>
              </w:rPr>
              <w:t xml:space="preserve">automobilovým </w:t>
            </w:r>
            <w:r w:rsidRPr="00F12625" w:rsidR="00F12625">
              <w:rPr>
                <w:sz w:val="20"/>
                <w:lang w:eastAsia="sk-SK"/>
              </w:rPr>
              <w:t>benzínom prchavý minerálny olej, ktorý je zaradený pod podpoložky 2710 12 41, 2710 12 45, 2710 12 49, 2710 12 51 a 2710 12 59 colného sadzobníka, určený na pohon zážihových spaľovacích motorov.</w:t>
            </w:r>
          </w:p>
          <w:p w:rsidR="00505C06" w:rsidRPr="00F12625" w:rsidP="00FD26C3">
            <w:pPr>
              <w:pStyle w:val="Header"/>
              <w:tabs>
                <w:tab w:val="clear" w:pos="4536"/>
                <w:tab w:val="clear" w:pos="9072"/>
              </w:tabs>
              <w:jc w:val="both"/>
            </w:pPr>
          </w:p>
        </w:tc>
        <w:tc>
          <w:tcPr>
            <w:tcW w:w="709" w:type="dxa"/>
            <w:tcBorders>
              <w:top w:val="single" w:sz="4" w:space="0" w:color="auto"/>
              <w:bottom w:val="single" w:sz="4" w:space="0" w:color="auto"/>
            </w:tcBorders>
          </w:tcPr>
          <w:p w:rsidR="00505C06" w:rsidRPr="00F74B61">
            <w:pPr>
              <w:jc w:val="both"/>
              <w:rPr>
                <w:sz w:val="20"/>
              </w:rPr>
            </w:pPr>
            <w:r w:rsidRPr="00F74B61">
              <w:rPr>
                <w:sz w:val="20"/>
              </w:rPr>
              <w:t>Ú</w:t>
            </w:r>
          </w:p>
        </w:tc>
        <w:tc>
          <w:tcPr>
            <w:tcW w:w="1701" w:type="dxa"/>
            <w:tcBorders>
              <w:top w:val="single" w:sz="4" w:space="0" w:color="auto"/>
              <w:bottom w:val="single" w:sz="4" w:space="0" w:color="auto"/>
            </w:tcBorders>
          </w:tcPr>
          <w:p w:rsidR="00D96EC3" w:rsidRPr="00F74B61">
            <w:pPr>
              <w:jc w:val="both"/>
              <w:rPr>
                <w:sz w:val="20"/>
              </w:rPr>
            </w:pP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2365B4" w:rsidRPr="00C02946" w:rsidP="002365B4">
            <w:pPr>
              <w:jc w:val="both"/>
              <w:rPr>
                <w:sz w:val="20"/>
              </w:rPr>
            </w:pPr>
            <w:r w:rsidRPr="00C02946">
              <w:rPr>
                <w:sz w:val="20"/>
              </w:rPr>
              <w:t>Č2</w:t>
            </w:r>
          </w:p>
          <w:p w:rsidR="002307A3" w:rsidRPr="00C02946" w:rsidP="002365B4">
            <w:pPr>
              <w:jc w:val="both"/>
              <w:rPr>
                <w:sz w:val="20"/>
              </w:rPr>
            </w:pPr>
            <w:r w:rsidRPr="00C02946" w:rsidR="002365B4">
              <w:rPr>
                <w:sz w:val="20"/>
              </w:rPr>
              <w:t>O2</w:t>
            </w:r>
          </w:p>
        </w:tc>
        <w:tc>
          <w:tcPr>
            <w:tcW w:w="5245" w:type="dxa"/>
            <w:tcBorders>
              <w:top w:val="single" w:sz="4" w:space="0" w:color="auto"/>
              <w:bottom w:val="single" w:sz="4" w:space="0" w:color="auto"/>
            </w:tcBorders>
          </w:tcPr>
          <w:p w:rsidR="002307A3" w:rsidRPr="00C02946" w:rsidP="00BB3AEE">
            <w:pPr>
              <w:autoSpaceDE w:val="0"/>
              <w:autoSpaceDN w:val="0"/>
              <w:adjustRightInd w:val="0"/>
              <w:jc w:val="both"/>
              <w:rPr>
                <w:sz w:val="20"/>
                <w:lang w:eastAsia="sk-SK"/>
              </w:rPr>
            </w:pPr>
            <w:r w:rsidRPr="00C02946">
              <w:rPr>
                <w:sz w:val="20"/>
                <w:lang w:eastAsia="sk-SK"/>
              </w:rPr>
              <w:t>2. „motorová nafta“ znamená plynové oleje patriace do kódu KN</w:t>
            </w:r>
            <w:r w:rsidRPr="00C02946" w:rsidR="00BB3AEE">
              <w:rPr>
                <w:sz w:val="20"/>
                <w:lang w:eastAsia="sk-SK"/>
              </w:rPr>
              <w:t xml:space="preserve"> 2710 19 41 (</w:t>
            </w:r>
            <w:r w:rsidRPr="00C02946" w:rsidR="00BA0D1D">
              <w:rPr>
                <w:sz w:val="20"/>
                <w:vertAlign w:val="superscript"/>
                <w:lang w:eastAsia="sk-SK"/>
              </w:rPr>
              <w:t>1</w:t>
            </w:r>
            <w:r w:rsidRPr="00C02946">
              <w:rPr>
                <w:sz w:val="20"/>
                <w:lang w:eastAsia="sk-SK"/>
              </w:rPr>
              <w:t>) a používané pre vozidlá s vlastným pohonom, ako</w:t>
            </w:r>
            <w:r w:rsidRPr="00C02946" w:rsidR="00BB3AEE">
              <w:rPr>
                <w:sz w:val="20"/>
                <w:lang w:eastAsia="sk-SK"/>
              </w:rPr>
              <w:t xml:space="preserve"> </w:t>
            </w:r>
            <w:r w:rsidRPr="00C02946">
              <w:rPr>
                <w:sz w:val="20"/>
                <w:lang w:eastAsia="sk-SK"/>
              </w:rPr>
              <w:t>je uvedené v smernici 70/220/EHS a smernici 88/77/EHS;</w:t>
            </w:r>
          </w:p>
          <w:p w:rsidR="002307A3" w:rsidRPr="00C02946" w:rsidP="00BB3AEE">
            <w:pPr>
              <w:pStyle w:val="Heading8"/>
              <w:jc w:val="both"/>
            </w:pPr>
          </w:p>
        </w:tc>
        <w:tc>
          <w:tcPr>
            <w:tcW w:w="567" w:type="dxa"/>
            <w:tcBorders>
              <w:top w:val="single" w:sz="4" w:space="0" w:color="auto"/>
              <w:bottom w:val="single" w:sz="4" w:space="0" w:color="auto"/>
            </w:tcBorders>
          </w:tcPr>
          <w:p w:rsidR="002307A3" w:rsidRPr="00C02946">
            <w:pPr>
              <w:jc w:val="both"/>
              <w:rPr>
                <w:sz w:val="20"/>
              </w:rPr>
            </w:pPr>
            <w:r w:rsidRPr="00C02946" w:rsidR="00505C06">
              <w:rPr>
                <w:sz w:val="20"/>
              </w:rPr>
              <w:t>N</w:t>
            </w:r>
          </w:p>
        </w:tc>
        <w:tc>
          <w:tcPr>
            <w:tcW w:w="1276" w:type="dxa"/>
            <w:tcBorders>
              <w:top w:val="single" w:sz="4" w:space="0" w:color="auto"/>
              <w:bottom w:val="single" w:sz="4" w:space="0" w:color="auto"/>
            </w:tcBorders>
          </w:tcPr>
          <w:p w:rsidR="00A32BFB" w:rsidRPr="00C02946" w:rsidP="00A32BFB">
            <w:pPr>
              <w:jc w:val="center"/>
              <w:rPr>
                <w:sz w:val="20"/>
              </w:rPr>
            </w:pPr>
            <w:r w:rsidRPr="00C02946">
              <w:rPr>
                <w:sz w:val="20"/>
              </w:rPr>
              <w:t>NV</w:t>
            </w:r>
          </w:p>
          <w:p w:rsidR="002307A3" w:rsidRPr="00C02946" w:rsidP="00795D6C">
            <w:pPr>
              <w:jc w:val="center"/>
              <w:rPr>
                <w:sz w:val="20"/>
              </w:rPr>
            </w:pPr>
          </w:p>
        </w:tc>
        <w:tc>
          <w:tcPr>
            <w:tcW w:w="709" w:type="dxa"/>
            <w:tcBorders>
              <w:top w:val="single" w:sz="4" w:space="0" w:color="auto"/>
              <w:bottom w:val="single" w:sz="4" w:space="0" w:color="auto"/>
            </w:tcBorders>
          </w:tcPr>
          <w:p w:rsidR="00505C06" w:rsidRPr="00C02946" w:rsidP="00505C06">
            <w:pPr>
              <w:pStyle w:val="BodyText21"/>
              <w:spacing w:before="0"/>
            </w:pPr>
            <w:r w:rsidRPr="00C02946">
              <w:t>§2</w:t>
            </w:r>
          </w:p>
          <w:p w:rsidR="002307A3" w:rsidRPr="00C02946" w:rsidP="00505C06">
            <w:pPr>
              <w:pStyle w:val="BodyText21"/>
              <w:spacing w:before="0"/>
            </w:pPr>
            <w:r w:rsidRPr="00C02946" w:rsidR="00505C06">
              <w:t>P</w:t>
            </w:r>
            <w:r w:rsidRPr="00C02946" w:rsidR="0052125E">
              <w:t>d</w:t>
            </w:r>
          </w:p>
        </w:tc>
        <w:tc>
          <w:tcPr>
            <w:tcW w:w="4110" w:type="dxa"/>
            <w:tcBorders>
              <w:top w:val="single" w:sz="4" w:space="0" w:color="auto"/>
              <w:bottom w:val="single" w:sz="4" w:space="0" w:color="auto"/>
            </w:tcBorders>
          </w:tcPr>
          <w:p w:rsidR="00BB3AEE" w:rsidRPr="00C02946" w:rsidP="00FD26C3">
            <w:pPr>
              <w:keepNext/>
              <w:spacing w:before="60" w:after="60"/>
              <w:jc w:val="both"/>
              <w:rPr>
                <w:sz w:val="20"/>
                <w:lang w:eastAsia="sk-SK"/>
              </w:rPr>
            </w:pPr>
            <w:r w:rsidRPr="00C02946" w:rsidR="0052125E">
              <w:rPr>
                <w:sz w:val="20"/>
                <w:lang w:eastAsia="sk-SK"/>
              </w:rPr>
              <w:t>d</w:t>
            </w:r>
            <w:r w:rsidRPr="00C02946">
              <w:rPr>
                <w:sz w:val="20"/>
                <w:lang w:eastAsia="sk-SK"/>
              </w:rPr>
              <w:t xml:space="preserve">) motorovou naftou plynový olej, ktorý je zaradený pod podpoložku 2710 19 43 a 2710 20 11 colného sadzobníka, určený na pohon vznetových spaľovacích motorov,   </w:t>
            </w:r>
          </w:p>
          <w:p w:rsidR="002307A3" w:rsidRPr="00C02946" w:rsidP="00FD26C3">
            <w:pPr>
              <w:pStyle w:val="Header"/>
              <w:tabs>
                <w:tab w:val="clear" w:pos="4536"/>
                <w:tab w:val="clear" w:pos="9072"/>
              </w:tabs>
              <w:jc w:val="both"/>
            </w:pPr>
          </w:p>
        </w:tc>
        <w:tc>
          <w:tcPr>
            <w:tcW w:w="709" w:type="dxa"/>
            <w:tcBorders>
              <w:top w:val="single" w:sz="4" w:space="0" w:color="auto"/>
              <w:bottom w:val="single" w:sz="4" w:space="0" w:color="auto"/>
            </w:tcBorders>
          </w:tcPr>
          <w:p w:rsidR="002307A3" w:rsidRPr="00C02946">
            <w:pPr>
              <w:jc w:val="both"/>
              <w:rPr>
                <w:sz w:val="20"/>
              </w:rPr>
            </w:pPr>
            <w:r w:rsidRPr="00C02946" w:rsidR="00505C06">
              <w:rPr>
                <w:sz w:val="20"/>
              </w:rPr>
              <w:t>Ú</w:t>
            </w:r>
          </w:p>
        </w:tc>
        <w:tc>
          <w:tcPr>
            <w:tcW w:w="1701" w:type="dxa"/>
            <w:tcBorders>
              <w:top w:val="single" w:sz="4" w:space="0" w:color="auto"/>
              <w:bottom w:val="single" w:sz="4" w:space="0" w:color="auto"/>
            </w:tcBorders>
          </w:tcPr>
          <w:p w:rsidR="002307A3" w:rsidRPr="00C02946" w:rsidP="00C02946">
            <w:pPr>
              <w:jc w:val="both"/>
              <w:rPr>
                <w:sz w:val="20"/>
              </w:rPr>
            </w:pPr>
            <w:r w:rsidRPr="00C02946" w:rsidR="00C02946">
              <w:rPr>
                <w:sz w:val="20"/>
              </w:rPr>
              <w:t>Čísla podpoložiek v návrhu vyhlášky sú upravené na základe aktuálne platného colného sadzobníka.</w:t>
            </w: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C02946" w:rsidRPr="00C02946" w:rsidP="00C02946">
            <w:pPr>
              <w:jc w:val="both"/>
              <w:rPr>
                <w:sz w:val="20"/>
              </w:rPr>
            </w:pPr>
            <w:r w:rsidRPr="00C02946">
              <w:rPr>
                <w:sz w:val="20"/>
              </w:rPr>
              <w:t>Č2</w:t>
            </w:r>
          </w:p>
          <w:p w:rsidR="00C02946" w:rsidRPr="00C02946" w:rsidP="00C02946">
            <w:pPr>
              <w:jc w:val="both"/>
              <w:rPr>
                <w:sz w:val="20"/>
              </w:rPr>
            </w:pPr>
            <w:r w:rsidRPr="00C02946">
              <w:rPr>
                <w:sz w:val="20"/>
              </w:rPr>
              <w:t>O3</w:t>
            </w:r>
          </w:p>
        </w:tc>
        <w:tc>
          <w:tcPr>
            <w:tcW w:w="5245" w:type="dxa"/>
            <w:tcBorders>
              <w:top w:val="single" w:sz="4" w:space="0" w:color="auto"/>
              <w:bottom w:val="single" w:sz="4" w:space="0" w:color="auto"/>
            </w:tcBorders>
          </w:tcPr>
          <w:p w:rsidR="00C02946" w:rsidRPr="00C02946" w:rsidP="00C02946">
            <w:pPr>
              <w:autoSpaceDE w:val="0"/>
              <w:autoSpaceDN w:val="0"/>
              <w:adjustRightInd w:val="0"/>
              <w:jc w:val="both"/>
              <w:rPr>
                <w:sz w:val="20"/>
                <w:lang w:eastAsia="sk-SK"/>
              </w:rPr>
            </w:pPr>
            <w:r w:rsidRPr="00C02946">
              <w:rPr>
                <w:sz w:val="20"/>
                <w:lang w:eastAsia="sk-SK"/>
              </w:rPr>
              <w:t>3. „plynové oleje určené na použitie pre necestné pojazdné stroje (vrátane plavidiel vnútrozemskej vodnej dopravy), poľnohospodárske a lesné traktory a rekreačné plavidlá“ znamenajú každé kvapalné ropné palivo, ktoré spadá pod kódy KN 2710 19 41 až 2710 19 45 (</w:t>
            </w:r>
            <w:r w:rsidRPr="00C02946">
              <w:rPr>
                <w:sz w:val="20"/>
                <w:vertAlign w:val="superscript"/>
                <w:lang w:eastAsia="sk-SK"/>
              </w:rPr>
              <w:t>2</w:t>
            </w:r>
            <w:r w:rsidRPr="00C02946">
              <w:rPr>
                <w:sz w:val="20"/>
                <w:lang w:eastAsia="sk-SK"/>
              </w:rPr>
              <w:t>), určenú na použitie vo vznetových motoroch uvedených v smerniciach Európskeho parlamentu a Rady 94/25/ES(</w:t>
            </w:r>
            <w:r w:rsidRPr="00C02946">
              <w:rPr>
                <w:sz w:val="20"/>
                <w:vertAlign w:val="superscript"/>
                <w:lang w:eastAsia="sk-SK"/>
              </w:rPr>
              <w:t>3</w:t>
            </w:r>
            <w:r w:rsidRPr="00C02946">
              <w:rPr>
                <w:sz w:val="20"/>
                <w:lang w:eastAsia="sk-SK"/>
              </w:rPr>
              <w:t>), 97/68/ES (</w:t>
            </w:r>
            <w:r w:rsidRPr="00C02946">
              <w:rPr>
                <w:sz w:val="20"/>
                <w:vertAlign w:val="superscript"/>
                <w:lang w:eastAsia="sk-SK"/>
              </w:rPr>
              <w:t>4</w:t>
            </w:r>
            <w:r w:rsidRPr="00C02946">
              <w:rPr>
                <w:sz w:val="20"/>
                <w:lang w:eastAsia="sk-SK"/>
              </w:rPr>
              <w:t>) a 2000/25/ES (</w:t>
            </w:r>
            <w:r w:rsidRPr="00C02946">
              <w:rPr>
                <w:sz w:val="20"/>
                <w:vertAlign w:val="superscript"/>
                <w:lang w:eastAsia="sk-SK"/>
              </w:rPr>
              <w:t>5</w:t>
            </w:r>
            <w:r w:rsidRPr="00C02946">
              <w:rPr>
                <w:sz w:val="20"/>
                <w:lang w:eastAsia="sk-SK"/>
              </w:rPr>
              <w:t>);</w:t>
            </w:r>
          </w:p>
          <w:p w:rsidR="00C02946" w:rsidRPr="00C02946" w:rsidP="00C02946">
            <w:pPr>
              <w:pStyle w:val="Heading8"/>
              <w:jc w:val="both"/>
            </w:pPr>
          </w:p>
        </w:tc>
        <w:tc>
          <w:tcPr>
            <w:tcW w:w="567" w:type="dxa"/>
            <w:tcBorders>
              <w:top w:val="single" w:sz="4" w:space="0" w:color="auto"/>
              <w:bottom w:val="single" w:sz="4" w:space="0" w:color="auto"/>
            </w:tcBorders>
          </w:tcPr>
          <w:p w:rsidR="00C02946" w:rsidRPr="00C02946" w:rsidP="00C02946">
            <w:pPr>
              <w:jc w:val="both"/>
              <w:rPr>
                <w:sz w:val="20"/>
              </w:rPr>
            </w:pPr>
            <w:r w:rsidRPr="00C02946">
              <w:rPr>
                <w:sz w:val="20"/>
              </w:rPr>
              <w:t>N</w:t>
            </w:r>
          </w:p>
        </w:tc>
        <w:tc>
          <w:tcPr>
            <w:tcW w:w="1276" w:type="dxa"/>
            <w:tcBorders>
              <w:top w:val="single" w:sz="4" w:space="0" w:color="auto"/>
              <w:bottom w:val="single" w:sz="4" w:space="0" w:color="auto"/>
            </w:tcBorders>
          </w:tcPr>
          <w:p w:rsidR="00C02946" w:rsidRPr="00C02946" w:rsidP="00C02946">
            <w:pPr>
              <w:jc w:val="center"/>
              <w:rPr>
                <w:sz w:val="20"/>
              </w:rPr>
            </w:pPr>
            <w:r w:rsidRPr="00C02946">
              <w:rPr>
                <w:sz w:val="20"/>
              </w:rPr>
              <w:t>NV</w:t>
            </w:r>
          </w:p>
          <w:p w:rsidR="00C02946" w:rsidRPr="00C02946" w:rsidP="00C02946">
            <w:pPr>
              <w:jc w:val="center"/>
              <w:rPr>
                <w:sz w:val="20"/>
              </w:rPr>
            </w:pPr>
          </w:p>
        </w:tc>
        <w:tc>
          <w:tcPr>
            <w:tcW w:w="709" w:type="dxa"/>
            <w:tcBorders>
              <w:top w:val="single" w:sz="4" w:space="0" w:color="auto"/>
              <w:bottom w:val="single" w:sz="4" w:space="0" w:color="auto"/>
            </w:tcBorders>
          </w:tcPr>
          <w:p w:rsidR="00C02946" w:rsidRPr="00C02946" w:rsidP="00C02946">
            <w:pPr>
              <w:pStyle w:val="BodyText21"/>
              <w:spacing w:before="0"/>
              <w:rPr>
                <w:rFonts w:ascii="EUAlbertina" w:hAnsi="EUAlbertina" w:cs="EUAlbertina"/>
                <w:color w:val="000000"/>
                <w:lang w:eastAsia="sk-SK"/>
              </w:rPr>
            </w:pPr>
            <w:r w:rsidRPr="00C02946">
              <w:rPr>
                <w:rFonts w:ascii="EUAlbertina" w:hAnsi="EUAlbertina" w:cs="EUAlbertina"/>
                <w:color w:val="000000"/>
                <w:lang w:eastAsia="sk-SK"/>
              </w:rPr>
              <w:t>§2</w:t>
            </w:r>
          </w:p>
          <w:p w:rsidR="00C02946" w:rsidRPr="00C02946" w:rsidP="00C02946">
            <w:pPr>
              <w:pStyle w:val="BodyText21"/>
              <w:spacing w:before="0"/>
            </w:pPr>
            <w:r w:rsidRPr="00C02946">
              <w:rPr>
                <w:rFonts w:ascii="EUAlbertina" w:hAnsi="EUAlbertina" w:cs="EUAlbertina"/>
                <w:color w:val="000000"/>
                <w:lang w:eastAsia="sk-SK"/>
              </w:rPr>
              <w:t>Pe</w:t>
            </w:r>
          </w:p>
        </w:tc>
        <w:tc>
          <w:tcPr>
            <w:tcW w:w="4110" w:type="dxa"/>
            <w:tcBorders>
              <w:top w:val="single" w:sz="4" w:space="0" w:color="auto"/>
              <w:bottom w:val="single" w:sz="4" w:space="0" w:color="auto"/>
            </w:tcBorders>
          </w:tcPr>
          <w:p w:rsidR="00C02946" w:rsidRPr="00C02946" w:rsidP="00C02946">
            <w:pPr>
              <w:keepNext/>
              <w:spacing w:before="60" w:after="60"/>
              <w:jc w:val="both"/>
              <w:rPr>
                <w:sz w:val="20"/>
                <w:lang w:eastAsia="sk-SK"/>
              </w:rPr>
            </w:pPr>
            <w:r w:rsidRPr="00C02946">
              <w:rPr>
                <w:sz w:val="20"/>
                <w:lang w:eastAsia="sk-SK"/>
              </w:rPr>
              <w:t xml:space="preserve">e) motorovým plynovým olejom kvapalné ropné palivo, ktoré je zaradené pod podpoložky 2710 19 43 až 2710 19 48 a 2710 20 11 až 2710 20 19 colného sadzobníka, určené na pohon vznetových spaľovacích motorov   </w:t>
            </w:r>
          </w:p>
          <w:p w:rsidR="00C02946" w:rsidRPr="00C02946" w:rsidP="001B596A">
            <w:pPr>
              <w:pStyle w:val="ListParagraph0"/>
              <w:numPr>
                <w:ilvl w:val="0"/>
                <w:numId w:val="21"/>
              </w:numPr>
              <w:spacing w:after="120" w:line="240" w:lineRule="auto"/>
              <w:ind w:left="353" w:hanging="284"/>
              <w:contextualSpacing w:val="0"/>
              <w:jc w:val="both"/>
              <w:rPr>
                <w:rFonts w:ascii="Times New Roman" w:hAnsi="Times New Roman"/>
                <w:sz w:val="20"/>
                <w:szCs w:val="20"/>
              </w:rPr>
            </w:pPr>
            <w:r w:rsidRPr="00C02946">
              <w:rPr>
                <w:rFonts w:ascii="Times New Roman" w:hAnsi="Times New Roman"/>
                <w:sz w:val="20"/>
                <w:szCs w:val="20"/>
              </w:rPr>
              <w:t>necestných strojov</w:t>
            </w:r>
            <w:r>
              <w:rPr>
                <w:rFonts w:ascii="Times New Roman" w:hAnsi="Times New Roman"/>
                <w:sz w:val="20"/>
                <w:szCs w:val="20"/>
                <w:vertAlign w:val="superscript"/>
              </w:rPr>
              <w:footnoteReference w:id="3"/>
            </w:r>
            <w:r w:rsidRPr="00C02946">
              <w:rPr>
                <w:rFonts w:ascii="Times New Roman" w:hAnsi="Times New Roman"/>
                <w:sz w:val="20"/>
                <w:szCs w:val="20"/>
              </w:rPr>
              <w:t>) vrátane vybraných plavidiel vnútrozemskej vodnej dopravy,</w:t>
            </w:r>
            <w:bookmarkStart w:id="0" w:name="_Ref93261654"/>
            <w:r>
              <w:rPr>
                <w:rFonts w:ascii="Times New Roman" w:hAnsi="Times New Roman"/>
                <w:sz w:val="20"/>
                <w:szCs w:val="20"/>
                <w:vertAlign w:val="superscript"/>
              </w:rPr>
              <w:footnoteReference w:id="4"/>
            </w:r>
            <w:bookmarkEnd w:id="0"/>
            <w:r w:rsidRPr="00C02946">
              <w:rPr>
                <w:rFonts w:ascii="Times New Roman" w:hAnsi="Times New Roman"/>
                <w:sz w:val="20"/>
                <w:szCs w:val="20"/>
              </w:rPr>
              <w:t xml:space="preserve">)  </w:t>
            </w:r>
          </w:p>
          <w:p w:rsidR="00C02946" w:rsidRPr="00C02946" w:rsidP="001B596A">
            <w:pPr>
              <w:pStyle w:val="ListParagraph0"/>
              <w:numPr>
                <w:ilvl w:val="0"/>
                <w:numId w:val="21"/>
              </w:numPr>
              <w:spacing w:after="120" w:line="240" w:lineRule="auto"/>
              <w:ind w:left="353" w:hanging="284"/>
              <w:contextualSpacing w:val="0"/>
              <w:jc w:val="both"/>
              <w:rPr>
                <w:rFonts w:ascii="Times New Roman" w:hAnsi="Times New Roman"/>
                <w:sz w:val="20"/>
                <w:szCs w:val="20"/>
              </w:rPr>
            </w:pPr>
            <w:r w:rsidRPr="00C02946">
              <w:rPr>
                <w:rFonts w:ascii="Times New Roman" w:hAnsi="Times New Roman"/>
                <w:sz w:val="20"/>
                <w:szCs w:val="20"/>
              </w:rPr>
              <w:t>poľnohospodárskych a lesných traktorov,</w:t>
            </w:r>
            <w:r>
              <w:rPr>
                <w:rFonts w:ascii="Times New Roman" w:hAnsi="Times New Roman"/>
                <w:sz w:val="20"/>
                <w:szCs w:val="20"/>
                <w:vertAlign w:val="superscript"/>
              </w:rPr>
              <w:footnoteReference w:id="5"/>
            </w:r>
            <w:r w:rsidRPr="00C02946">
              <w:rPr>
                <w:rFonts w:ascii="Times New Roman" w:hAnsi="Times New Roman"/>
                <w:sz w:val="20"/>
                <w:szCs w:val="20"/>
              </w:rPr>
              <w:t>)</w:t>
            </w:r>
          </w:p>
          <w:p w:rsidR="00C02946" w:rsidRPr="00C02946" w:rsidP="001B596A">
            <w:pPr>
              <w:pStyle w:val="ListParagraph0"/>
              <w:numPr>
                <w:ilvl w:val="0"/>
                <w:numId w:val="21"/>
              </w:numPr>
              <w:spacing w:after="120" w:line="240" w:lineRule="auto"/>
              <w:ind w:left="353" w:hanging="284"/>
              <w:contextualSpacing w:val="0"/>
              <w:jc w:val="both"/>
              <w:rPr>
                <w:rFonts w:ascii="Times New Roman" w:hAnsi="Times New Roman"/>
                <w:sz w:val="20"/>
                <w:szCs w:val="20"/>
              </w:rPr>
            </w:pPr>
            <w:r w:rsidRPr="00C02946">
              <w:rPr>
                <w:rFonts w:ascii="Times New Roman" w:hAnsi="Times New Roman"/>
                <w:sz w:val="20"/>
                <w:szCs w:val="20"/>
              </w:rPr>
              <w:t>rekreačných plavidiel,</w:t>
            </w:r>
            <w:bookmarkStart w:id="1" w:name="_Ref93261748"/>
            <w:r>
              <w:rPr>
                <w:rFonts w:ascii="Times New Roman" w:hAnsi="Times New Roman"/>
                <w:sz w:val="20"/>
                <w:szCs w:val="20"/>
                <w:vertAlign w:val="superscript"/>
              </w:rPr>
              <w:footnoteReference w:id="6"/>
            </w:r>
            <w:bookmarkEnd w:id="1"/>
            <w:r w:rsidRPr="00C02946">
              <w:rPr>
                <w:rFonts w:ascii="Times New Roman" w:hAnsi="Times New Roman"/>
                <w:sz w:val="20"/>
                <w:szCs w:val="20"/>
              </w:rPr>
              <w:t>)</w:t>
            </w:r>
          </w:p>
          <w:p w:rsidR="00C02946" w:rsidRPr="00C02946" w:rsidP="00C02946">
            <w:pPr>
              <w:pStyle w:val="Header"/>
              <w:tabs>
                <w:tab w:val="clear" w:pos="4536"/>
                <w:tab w:val="clear" w:pos="9072"/>
              </w:tabs>
              <w:jc w:val="both"/>
            </w:pPr>
          </w:p>
        </w:tc>
        <w:tc>
          <w:tcPr>
            <w:tcW w:w="709" w:type="dxa"/>
            <w:tcBorders>
              <w:top w:val="single" w:sz="4" w:space="0" w:color="auto"/>
              <w:bottom w:val="single" w:sz="4" w:space="0" w:color="auto"/>
            </w:tcBorders>
          </w:tcPr>
          <w:p w:rsidR="00C02946" w:rsidRPr="00C02946" w:rsidP="00C02946">
            <w:pPr>
              <w:jc w:val="both"/>
              <w:rPr>
                <w:sz w:val="20"/>
              </w:rPr>
            </w:pPr>
            <w:r w:rsidRPr="00C02946">
              <w:rPr>
                <w:sz w:val="20"/>
              </w:rPr>
              <w:t>Ú</w:t>
            </w:r>
          </w:p>
        </w:tc>
        <w:tc>
          <w:tcPr>
            <w:tcW w:w="1701" w:type="dxa"/>
            <w:tcBorders>
              <w:top w:val="single" w:sz="4" w:space="0" w:color="auto"/>
              <w:bottom w:val="single" w:sz="4" w:space="0" w:color="auto"/>
            </w:tcBorders>
          </w:tcPr>
          <w:p w:rsidR="00C02946" w:rsidRPr="00C02946" w:rsidP="00C02946">
            <w:pPr>
              <w:jc w:val="both"/>
              <w:rPr>
                <w:sz w:val="20"/>
              </w:rPr>
            </w:pPr>
            <w:r w:rsidRPr="00C02946">
              <w:rPr>
                <w:sz w:val="20"/>
              </w:rPr>
              <w:t>Čísla podpoložiek v návrhu vyhlášky sú upravené na základe aktuálne platného colného sadzobníka.</w:t>
            </w: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2365B4" w:rsidRPr="00F74B61" w:rsidP="002365B4">
            <w:pPr>
              <w:jc w:val="both"/>
              <w:rPr>
                <w:sz w:val="20"/>
              </w:rPr>
            </w:pPr>
            <w:r w:rsidRPr="00F74B61">
              <w:rPr>
                <w:sz w:val="20"/>
              </w:rPr>
              <w:t>Č2</w:t>
            </w:r>
          </w:p>
          <w:p w:rsidR="002307A3" w:rsidRPr="00F74B61" w:rsidP="002365B4">
            <w:pPr>
              <w:jc w:val="both"/>
              <w:rPr>
                <w:sz w:val="20"/>
              </w:rPr>
            </w:pPr>
            <w:r w:rsidRPr="00F74B61" w:rsidR="002365B4">
              <w:rPr>
                <w:sz w:val="20"/>
              </w:rPr>
              <w:t>O4</w:t>
            </w:r>
          </w:p>
        </w:tc>
        <w:tc>
          <w:tcPr>
            <w:tcW w:w="5245" w:type="dxa"/>
            <w:tcBorders>
              <w:top w:val="single" w:sz="4" w:space="0" w:color="auto"/>
              <w:bottom w:val="single" w:sz="4" w:space="0" w:color="auto"/>
            </w:tcBorders>
          </w:tcPr>
          <w:p w:rsidR="002307A3" w:rsidRPr="00F74B61" w:rsidP="00BB3AEE">
            <w:pPr>
              <w:autoSpaceDE w:val="0"/>
              <w:autoSpaceDN w:val="0"/>
              <w:adjustRightInd w:val="0"/>
              <w:jc w:val="both"/>
              <w:rPr>
                <w:sz w:val="20"/>
                <w:lang w:eastAsia="sk-SK"/>
              </w:rPr>
            </w:pPr>
            <w:r w:rsidRPr="00F74B61">
              <w:rPr>
                <w:sz w:val="20"/>
                <w:lang w:eastAsia="sk-SK"/>
              </w:rPr>
              <w:t>4. „okrajové regióny“ sú v prípade Francúzska jeho zámorské územia, v prípade Portugalska Azory a Madeira a v prípade Španielska Kanárske ostrovy;</w:t>
            </w:r>
          </w:p>
          <w:p w:rsidR="002307A3" w:rsidRPr="00F74B61" w:rsidP="00BB3AEE">
            <w:pPr>
              <w:pStyle w:val="Heading8"/>
              <w:jc w:val="both"/>
            </w:pPr>
          </w:p>
        </w:tc>
        <w:tc>
          <w:tcPr>
            <w:tcW w:w="567" w:type="dxa"/>
            <w:tcBorders>
              <w:top w:val="single" w:sz="4" w:space="0" w:color="auto"/>
              <w:bottom w:val="single" w:sz="4" w:space="0" w:color="auto"/>
            </w:tcBorders>
          </w:tcPr>
          <w:p w:rsidR="002307A3" w:rsidRPr="00F74B61">
            <w:pPr>
              <w:jc w:val="both"/>
              <w:rPr>
                <w:sz w:val="20"/>
              </w:rPr>
            </w:pPr>
            <w:r w:rsidRPr="00F74B61" w:rsidR="002365B4">
              <w:rPr>
                <w:sz w:val="20"/>
              </w:rPr>
              <w:t>n.a.</w:t>
            </w:r>
          </w:p>
        </w:tc>
        <w:tc>
          <w:tcPr>
            <w:tcW w:w="1276" w:type="dxa"/>
            <w:tcBorders>
              <w:top w:val="single" w:sz="4" w:space="0" w:color="auto"/>
              <w:bottom w:val="single" w:sz="4" w:space="0" w:color="auto"/>
            </w:tcBorders>
          </w:tcPr>
          <w:p w:rsidR="002307A3" w:rsidRPr="00F74B61" w:rsidP="00795D6C">
            <w:pPr>
              <w:jc w:val="center"/>
              <w:rPr>
                <w:sz w:val="20"/>
              </w:rPr>
            </w:pPr>
          </w:p>
        </w:tc>
        <w:tc>
          <w:tcPr>
            <w:tcW w:w="709" w:type="dxa"/>
            <w:tcBorders>
              <w:top w:val="single" w:sz="4" w:space="0" w:color="auto"/>
              <w:bottom w:val="single" w:sz="4" w:space="0" w:color="auto"/>
            </w:tcBorders>
          </w:tcPr>
          <w:p w:rsidR="002307A3" w:rsidRPr="00F74B61">
            <w:pPr>
              <w:pStyle w:val="BodyText21"/>
              <w:spacing w:before="0"/>
            </w:pPr>
          </w:p>
        </w:tc>
        <w:tc>
          <w:tcPr>
            <w:tcW w:w="4110" w:type="dxa"/>
            <w:tcBorders>
              <w:top w:val="single" w:sz="4" w:space="0" w:color="auto"/>
              <w:bottom w:val="single" w:sz="4" w:space="0" w:color="auto"/>
            </w:tcBorders>
          </w:tcPr>
          <w:p w:rsidR="002307A3" w:rsidRPr="00A755D5" w:rsidP="00FD26C3">
            <w:pPr>
              <w:pStyle w:val="Header"/>
              <w:tabs>
                <w:tab w:val="clear" w:pos="4536"/>
                <w:tab w:val="clear" w:pos="9072"/>
              </w:tabs>
              <w:jc w:val="both"/>
              <w:rPr>
                <w:highlight w:val="yellow"/>
                <w:lang w:eastAsia="cs-CZ"/>
              </w:rPr>
            </w:pPr>
          </w:p>
        </w:tc>
        <w:tc>
          <w:tcPr>
            <w:tcW w:w="709" w:type="dxa"/>
            <w:tcBorders>
              <w:top w:val="single" w:sz="4" w:space="0" w:color="auto"/>
              <w:bottom w:val="single" w:sz="4" w:space="0" w:color="auto"/>
            </w:tcBorders>
          </w:tcPr>
          <w:p w:rsidR="002307A3" w:rsidRPr="00F74B61">
            <w:pPr>
              <w:jc w:val="both"/>
              <w:rPr>
                <w:sz w:val="20"/>
              </w:rPr>
            </w:pPr>
          </w:p>
        </w:tc>
        <w:tc>
          <w:tcPr>
            <w:tcW w:w="1701" w:type="dxa"/>
            <w:tcBorders>
              <w:top w:val="single" w:sz="4" w:space="0" w:color="auto"/>
              <w:bottom w:val="single" w:sz="4" w:space="0" w:color="auto"/>
            </w:tcBorders>
          </w:tcPr>
          <w:p w:rsidR="002307A3" w:rsidRPr="00F74B61" w:rsidP="009E0DD4">
            <w:pPr>
              <w:jc w:val="both"/>
              <w:rPr>
                <w:sz w:val="20"/>
              </w:rPr>
            </w:pP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2365B4" w:rsidRPr="00F74B61" w:rsidP="002365B4">
            <w:pPr>
              <w:jc w:val="both"/>
              <w:rPr>
                <w:sz w:val="20"/>
              </w:rPr>
            </w:pPr>
            <w:r w:rsidRPr="00F74B61">
              <w:rPr>
                <w:sz w:val="20"/>
              </w:rPr>
              <w:t>Č2</w:t>
            </w:r>
          </w:p>
          <w:p w:rsidR="002307A3" w:rsidRPr="00F74B61" w:rsidP="002365B4">
            <w:pPr>
              <w:jc w:val="both"/>
              <w:rPr>
                <w:sz w:val="20"/>
              </w:rPr>
            </w:pPr>
            <w:r w:rsidRPr="00F74B61" w:rsidR="002365B4">
              <w:rPr>
                <w:sz w:val="20"/>
              </w:rPr>
              <w:t>O5</w:t>
            </w:r>
          </w:p>
        </w:tc>
        <w:tc>
          <w:tcPr>
            <w:tcW w:w="5245" w:type="dxa"/>
            <w:tcBorders>
              <w:top w:val="single" w:sz="4" w:space="0" w:color="auto"/>
              <w:bottom w:val="single" w:sz="4" w:space="0" w:color="auto"/>
            </w:tcBorders>
          </w:tcPr>
          <w:p w:rsidR="002307A3" w:rsidRPr="00F74B61" w:rsidP="00BB3AEE">
            <w:pPr>
              <w:autoSpaceDE w:val="0"/>
              <w:autoSpaceDN w:val="0"/>
              <w:adjustRightInd w:val="0"/>
              <w:jc w:val="both"/>
              <w:rPr>
                <w:sz w:val="20"/>
                <w:lang w:eastAsia="sk-SK"/>
              </w:rPr>
            </w:pPr>
            <w:r w:rsidRPr="00F74B61">
              <w:rPr>
                <w:sz w:val="20"/>
                <w:lang w:eastAsia="sk-SK"/>
              </w:rPr>
              <w:t>5. „členské štáty s nízkymi teplotami v letnom období“ sú Dánsko,</w:t>
            </w:r>
            <w:r w:rsidR="005D4A2B">
              <w:rPr>
                <w:sz w:val="20"/>
                <w:lang w:eastAsia="sk-SK"/>
              </w:rPr>
              <w:t xml:space="preserve"> </w:t>
            </w:r>
            <w:r w:rsidRPr="00F74B61">
              <w:rPr>
                <w:sz w:val="20"/>
                <w:lang w:eastAsia="sk-SK"/>
              </w:rPr>
              <w:t>Estónsko, Fínsko, Írsko, Lotyšsko, Litva, Švédsko a Spojené kráľovstvo;</w:t>
            </w:r>
          </w:p>
          <w:p w:rsidR="002307A3" w:rsidRPr="00F74B61" w:rsidP="00BB3AEE">
            <w:pPr>
              <w:pStyle w:val="Heading8"/>
              <w:jc w:val="both"/>
            </w:pPr>
          </w:p>
        </w:tc>
        <w:tc>
          <w:tcPr>
            <w:tcW w:w="567" w:type="dxa"/>
            <w:tcBorders>
              <w:top w:val="single" w:sz="4" w:space="0" w:color="auto"/>
              <w:bottom w:val="single" w:sz="4" w:space="0" w:color="auto"/>
            </w:tcBorders>
          </w:tcPr>
          <w:p w:rsidR="002307A3" w:rsidRPr="00F74B61">
            <w:pPr>
              <w:jc w:val="both"/>
              <w:rPr>
                <w:sz w:val="20"/>
              </w:rPr>
            </w:pPr>
            <w:r w:rsidRPr="00F74B61" w:rsidR="002365B4">
              <w:rPr>
                <w:sz w:val="20"/>
              </w:rPr>
              <w:t>n.a.</w:t>
            </w:r>
          </w:p>
        </w:tc>
        <w:tc>
          <w:tcPr>
            <w:tcW w:w="1276" w:type="dxa"/>
            <w:tcBorders>
              <w:top w:val="single" w:sz="4" w:space="0" w:color="auto"/>
              <w:bottom w:val="single" w:sz="4" w:space="0" w:color="auto"/>
            </w:tcBorders>
          </w:tcPr>
          <w:p w:rsidR="002307A3" w:rsidRPr="00F74B61" w:rsidP="00795D6C">
            <w:pPr>
              <w:jc w:val="center"/>
              <w:rPr>
                <w:sz w:val="20"/>
              </w:rPr>
            </w:pPr>
          </w:p>
        </w:tc>
        <w:tc>
          <w:tcPr>
            <w:tcW w:w="709" w:type="dxa"/>
            <w:tcBorders>
              <w:top w:val="single" w:sz="4" w:space="0" w:color="auto"/>
              <w:bottom w:val="single" w:sz="4" w:space="0" w:color="auto"/>
            </w:tcBorders>
          </w:tcPr>
          <w:p w:rsidR="002307A3" w:rsidRPr="00F74B61">
            <w:pPr>
              <w:pStyle w:val="BodyText21"/>
              <w:spacing w:before="0"/>
            </w:pPr>
          </w:p>
        </w:tc>
        <w:tc>
          <w:tcPr>
            <w:tcW w:w="4110" w:type="dxa"/>
            <w:tcBorders>
              <w:top w:val="single" w:sz="4" w:space="0" w:color="auto"/>
              <w:bottom w:val="single" w:sz="4" w:space="0" w:color="auto"/>
            </w:tcBorders>
          </w:tcPr>
          <w:p w:rsidR="002307A3" w:rsidRPr="00A755D5" w:rsidP="00FD26C3">
            <w:pPr>
              <w:pStyle w:val="Header"/>
              <w:tabs>
                <w:tab w:val="clear" w:pos="4536"/>
                <w:tab w:val="clear" w:pos="9072"/>
              </w:tabs>
              <w:jc w:val="both"/>
              <w:rPr>
                <w:highlight w:val="yellow"/>
                <w:lang w:eastAsia="cs-CZ"/>
              </w:rPr>
            </w:pPr>
          </w:p>
        </w:tc>
        <w:tc>
          <w:tcPr>
            <w:tcW w:w="709" w:type="dxa"/>
            <w:tcBorders>
              <w:top w:val="single" w:sz="4" w:space="0" w:color="auto"/>
              <w:bottom w:val="single" w:sz="4" w:space="0" w:color="auto"/>
            </w:tcBorders>
          </w:tcPr>
          <w:p w:rsidR="002307A3" w:rsidRPr="00F74B61">
            <w:pPr>
              <w:jc w:val="both"/>
              <w:rPr>
                <w:sz w:val="20"/>
              </w:rPr>
            </w:pPr>
          </w:p>
        </w:tc>
        <w:tc>
          <w:tcPr>
            <w:tcW w:w="1701" w:type="dxa"/>
            <w:tcBorders>
              <w:top w:val="single" w:sz="4" w:space="0" w:color="auto"/>
              <w:bottom w:val="single" w:sz="4" w:space="0" w:color="auto"/>
            </w:tcBorders>
          </w:tcPr>
          <w:p w:rsidR="002307A3" w:rsidRPr="00F74B61" w:rsidP="009E0DD4">
            <w:pPr>
              <w:jc w:val="both"/>
              <w:rPr>
                <w:sz w:val="20"/>
              </w:rPr>
            </w:pP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7000B7" w:rsidRPr="00F74B61" w:rsidP="002365B4">
            <w:pPr>
              <w:jc w:val="both"/>
              <w:rPr>
                <w:sz w:val="20"/>
              </w:rPr>
            </w:pPr>
            <w:r w:rsidRPr="00F74B61">
              <w:rPr>
                <w:sz w:val="20"/>
              </w:rPr>
              <w:t>Č2</w:t>
            </w:r>
          </w:p>
          <w:p w:rsidR="007000B7" w:rsidRPr="00F74B61" w:rsidP="002365B4">
            <w:pPr>
              <w:jc w:val="both"/>
              <w:rPr>
                <w:sz w:val="20"/>
              </w:rPr>
            </w:pPr>
            <w:r w:rsidRPr="00F74B61">
              <w:rPr>
                <w:sz w:val="20"/>
              </w:rPr>
              <w:t>O6</w:t>
            </w:r>
          </w:p>
        </w:tc>
        <w:tc>
          <w:tcPr>
            <w:tcW w:w="5245" w:type="dxa"/>
            <w:tcBorders>
              <w:top w:val="single" w:sz="4" w:space="0" w:color="auto"/>
              <w:bottom w:val="single" w:sz="4" w:space="0" w:color="auto"/>
            </w:tcBorders>
          </w:tcPr>
          <w:p w:rsidR="007000B7" w:rsidRPr="00F74B61" w:rsidP="00BB3AEE">
            <w:pPr>
              <w:autoSpaceDE w:val="0"/>
              <w:autoSpaceDN w:val="0"/>
              <w:adjustRightInd w:val="0"/>
              <w:jc w:val="both"/>
              <w:rPr>
                <w:sz w:val="20"/>
                <w:lang w:eastAsia="sk-SK"/>
              </w:rPr>
            </w:pPr>
            <w:r w:rsidRPr="00F74B61">
              <w:rPr>
                <w:sz w:val="20"/>
                <w:lang w:eastAsia="sk-SK"/>
              </w:rPr>
              <w:t>6. „emisie skleníkových plynov počas životného cyklu“ sú všetky čisté emisie CO</w:t>
            </w:r>
            <w:r w:rsidRPr="005D4A2B">
              <w:rPr>
                <w:sz w:val="20"/>
                <w:vertAlign w:val="subscript"/>
                <w:lang w:eastAsia="sk-SK"/>
              </w:rPr>
              <w:t>2</w:t>
            </w:r>
            <w:r w:rsidRPr="00F74B61">
              <w:rPr>
                <w:sz w:val="20"/>
                <w:lang w:eastAsia="sk-SK"/>
              </w:rPr>
              <w:t>, C</w:t>
            </w:r>
            <w:r w:rsidRPr="00F74B61">
              <w:rPr>
                <w:sz w:val="20"/>
                <w:lang w:eastAsia="sk-SK"/>
              </w:rPr>
              <w:t>H</w:t>
            </w:r>
            <w:r w:rsidRPr="005D4A2B">
              <w:rPr>
                <w:sz w:val="20"/>
                <w:vertAlign w:val="subscript"/>
                <w:lang w:eastAsia="sk-SK"/>
              </w:rPr>
              <w:t>4</w:t>
            </w:r>
            <w:r w:rsidRPr="00F74B61">
              <w:rPr>
                <w:sz w:val="20"/>
                <w:lang w:eastAsia="sk-SK"/>
              </w:rPr>
              <w:t xml:space="preserve"> a N</w:t>
            </w:r>
            <w:r w:rsidRPr="005D4A2B">
              <w:rPr>
                <w:sz w:val="20"/>
                <w:vertAlign w:val="subscript"/>
                <w:lang w:eastAsia="sk-SK"/>
              </w:rPr>
              <w:t>2</w:t>
            </w:r>
            <w:r w:rsidRPr="00F74B61">
              <w:rPr>
                <w:sz w:val="20"/>
                <w:lang w:eastAsia="sk-SK"/>
              </w:rPr>
              <w:t>O, ktoré možno pripísať palivu (vrátane všetkých jeho zmesových zložiek) alebo dodanej energii. To zahŕňa všetky relevantné etapy od ťažby alebo pestovania vrátane zmien v používaní pôdy, prepravy a distribúcie, spracovania a spaľovania bez ohľadu n</w:t>
            </w:r>
            <w:r w:rsidRPr="00F74B61">
              <w:rPr>
                <w:sz w:val="20"/>
                <w:lang w:eastAsia="sk-SK"/>
              </w:rPr>
              <w:t>a to, kde sa tieto emisie vyskytnú;</w:t>
            </w:r>
          </w:p>
          <w:p w:rsidR="007000B7" w:rsidRPr="00F74B61" w:rsidP="00BB3AEE">
            <w:pPr>
              <w:pStyle w:val="Heading8"/>
              <w:jc w:val="both"/>
            </w:pPr>
          </w:p>
        </w:tc>
        <w:tc>
          <w:tcPr>
            <w:tcW w:w="567" w:type="dxa"/>
            <w:tcBorders>
              <w:top w:val="single" w:sz="4" w:space="0" w:color="auto"/>
              <w:bottom w:val="single" w:sz="4" w:space="0" w:color="auto"/>
            </w:tcBorders>
          </w:tcPr>
          <w:p w:rsidR="007000B7" w:rsidRPr="005D4A2B">
            <w:pPr>
              <w:jc w:val="both"/>
              <w:rPr>
                <w:sz w:val="20"/>
              </w:rPr>
            </w:pPr>
            <w:r w:rsidRPr="005D4A2B">
              <w:rPr>
                <w:sz w:val="20"/>
              </w:rPr>
              <w:t>N</w:t>
            </w:r>
          </w:p>
        </w:tc>
        <w:tc>
          <w:tcPr>
            <w:tcW w:w="1276" w:type="dxa"/>
            <w:tcBorders>
              <w:top w:val="single" w:sz="4" w:space="0" w:color="auto"/>
              <w:bottom w:val="single" w:sz="4" w:space="0" w:color="auto"/>
            </w:tcBorders>
          </w:tcPr>
          <w:p w:rsidR="007000B7" w:rsidRPr="005D4A2B" w:rsidP="00A32BFB">
            <w:pPr>
              <w:jc w:val="center"/>
              <w:rPr>
                <w:sz w:val="20"/>
              </w:rPr>
            </w:pPr>
            <w:r w:rsidRPr="005D4A2B" w:rsidR="0000084E">
              <w:rPr>
                <w:sz w:val="20"/>
              </w:rPr>
              <w:t>Z</w:t>
            </w:r>
            <w:r w:rsidR="00A32BFB">
              <w:rPr>
                <w:sz w:val="20"/>
              </w:rPr>
              <w:t xml:space="preserve"> </w:t>
            </w:r>
            <w:r w:rsidRPr="005D4A2B" w:rsidR="0000084E">
              <w:rPr>
                <w:sz w:val="20"/>
              </w:rPr>
              <w:t>309/2009</w:t>
            </w:r>
          </w:p>
        </w:tc>
        <w:tc>
          <w:tcPr>
            <w:tcW w:w="709" w:type="dxa"/>
            <w:tcBorders>
              <w:top w:val="single" w:sz="4" w:space="0" w:color="auto"/>
              <w:bottom w:val="single" w:sz="4" w:space="0" w:color="auto"/>
            </w:tcBorders>
          </w:tcPr>
          <w:p w:rsidR="007000B7" w:rsidRPr="004D1DCA">
            <w:pPr>
              <w:pStyle w:val="BodyText21"/>
              <w:spacing w:before="0"/>
            </w:pPr>
            <w:r w:rsidRPr="004D1DCA">
              <w:t>§2</w:t>
            </w:r>
          </w:p>
          <w:p w:rsidR="007000B7" w:rsidRPr="004D1DCA">
            <w:pPr>
              <w:pStyle w:val="BodyText21"/>
              <w:spacing w:before="0"/>
            </w:pPr>
            <w:r w:rsidRPr="004D1DCA" w:rsidR="008D3255">
              <w:t>O7</w:t>
            </w:r>
          </w:p>
          <w:p w:rsidR="007000B7" w:rsidRPr="004D1DCA">
            <w:pPr>
              <w:pStyle w:val="BodyText21"/>
              <w:spacing w:before="0"/>
            </w:pPr>
            <w:r w:rsidRPr="004D1DCA">
              <w:t>Pb</w:t>
            </w:r>
          </w:p>
        </w:tc>
        <w:tc>
          <w:tcPr>
            <w:tcW w:w="4110" w:type="dxa"/>
            <w:tcBorders>
              <w:top w:val="single" w:sz="4" w:space="0" w:color="auto"/>
              <w:bottom w:val="single" w:sz="4" w:space="0" w:color="auto"/>
            </w:tcBorders>
          </w:tcPr>
          <w:p w:rsidR="007000B7" w:rsidRPr="00F30700" w:rsidP="00FD26C3">
            <w:pPr>
              <w:jc w:val="both"/>
              <w:rPr>
                <w:sz w:val="20"/>
              </w:rPr>
            </w:pPr>
            <w:r w:rsidRPr="00F30700">
              <w:rPr>
                <w:sz w:val="20"/>
              </w:rPr>
              <w:t xml:space="preserve">b) </w:t>
            </w:r>
            <w:r w:rsidRPr="00F30700" w:rsidR="008D3255">
              <w:rPr>
                <w:sz w:val="20"/>
              </w:rPr>
              <w:t>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w:t>
            </w:r>
            <w:r w:rsidRPr="00F30700">
              <w:rPr>
                <w:sz w:val="20"/>
              </w:rPr>
              <w:t>,</w:t>
            </w:r>
          </w:p>
          <w:p w:rsidR="007000B7" w:rsidRPr="00F30700" w:rsidP="00FD26C3">
            <w:pPr>
              <w:jc w:val="both"/>
              <w:rPr>
                <w:sz w:val="20"/>
              </w:rPr>
            </w:pPr>
          </w:p>
        </w:tc>
        <w:tc>
          <w:tcPr>
            <w:tcW w:w="709" w:type="dxa"/>
            <w:tcBorders>
              <w:top w:val="single" w:sz="4" w:space="0" w:color="auto"/>
              <w:bottom w:val="single" w:sz="4" w:space="0" w:color="auto"/>
            </w:tcBorders>
          </w:tcPr>
          <w:p w:rsidR="007000B7" w:rsidRPr="005D4A2B">
            <w:pPr>
              <w:jc w:val="both"/>
              <w:rPr>
                <w:sz w:val="20"/>
              </w:rPr>
            </w:pPr>
            <w:r w:rsidRPr="005D4A2B">
              <w:rPr>
                <w:sz w:val="20"/>
              </w:rPr>
              <w:t>Ú</w:t>
            </w:r>
          </w:p>
        </w:tc>
        <w:tc>
          <w:tcPr>
            <w:tcW w:w="1701" w:type="dxa"/>
            <w:tcBorders>
              <w:top w:val="single" w:sz="4" w:space="0" w:color="auto"/>
              <w:bottom w:val="single" w:sz="4" w:space="0" w:color="auto"/>
            </w:tcBorders>
          </w:tcPr>
          <w:p w:rsidR="007000B7" w:rsidRPr="00F74B61" w:rsidP="009E0DD4">
            <w:pPr>
              <w:jc w:val="both"/>
              <w:rPr>
                <w:sz w:val="20"/>
              </w:rPr>
            </w:pPr>
          </w:p>
        </w:tc>
      </w:tr>
      <w:tr w:rsidTr="002E524C">
        <w:tblPrEx>
          <w:tblW w:w="14954" w:type="dxa"/>
          <w:tblLayout w:type="fixed"/>
          <w:tblCellMar>
            <w:left w:w="70" w:type="dxa"/>
            <w:right w:w="70" w:type="dxa"/>
          </w:tblCellMar>
          <w:tblLook w:val="0000"/>
        </w:tblPrEx>
        <w:trPr>
          <w:trHeight w:val="1196"/>
        </w:trPr>
        <w:tc>
          <w:tcPr>
            <w:tcW w:w="637" w:type="dxa"/>
            <w:tcBorders>
              <w:top w:val="single" w:sz="4" w:space="0" w:color="auto"/>
              <w:bottom w:val="single" w:sz="4" w:space="0" w:color="auto"/>
            </w:tcBorders>
          </w:tcPr>
          <w:p w:rsidR="007000B7" w:rsidRPr="00F74B61" w:rsidP="002365B4">
            <w:pPr>
              <w:jc w:val="both"/>
              <w:rPr>
                <w:sz w:val="20"/>
              </w:rPr>
            </w:pPr>
            <w:r w:rsidRPr="00F74B61">
              <w:rPr>
                <w:sz w:val="20"/>
              </w:rPr>
              <w:t>Č2</w:t>
            </w:r>
          </w:p>
          <w:p w:rsidR="007000B7" w:rsidRPr="00F74B61" w:rsidP="002365B4">
            <w:pPr>
              <w:jc w:val="both"/>
              <w:rPr>
                <w:sz w:val="20"/>
              </w:rPr>
            </w:pPr>
            <w:r w:rsidRPr="00F74B61">
              <w:rPr>
                <w:sz w:val="20"/>
              </w:rPr>
              <w:t>O7</w:t>
            </w:r>
          </w:p>
        </w:tc>
        <w:tc>
          <w:tcPr>
            <w:tcW w:w="5245" w:type="dxa"/>
            <w:tcBorders>
              <w:top w:val="single" w:sz="4" w:space="0" w:color="auto"/>
              <w:bottom w:val="single" w:sz="4" w:space="0" w:color="auto"/>
            </w:tcBorders>
          </w:tcPr>
          <w:p w:rsidR="007000B7" w:rsidRPr="00F74B61" w:rsidP="00BB3AEE">
            <w:pPr>
              <w:autoSpaceDE w:val="0"/>
              <w:autoSpaceDN w:val="0"/>
              <w:adjustRightInd w:val="0"/>
              <w:jc w:val="both"/>
              <w:rPr>
                <w:sz w:val="20"/>
                <w:lang w:eastAsia="sk-SK"/>
              </w:rPr>
            </w:pPr>
            <w:r w:rsidRPr="00F74B61">
              <w:rPr>
                <w:sz w:val="20"/>
                <w:lang w:eastAsia="sk-SK"/>
              </w:rPr>
              <w:t xml:space="preserve">7. „emisie skleníkových plynov na jednotku energie“ je celková hmotnosť emisií skleníkových plynov vyjadrených ako ekvivalent </w:t>
            </w:r>
            <w:r w:rsidRPr="00F74B61" w:rsidR="00BA0D1D">
              <w:rPr>
                <w:sz w:val="20"/>
                <w:lang w:eastAsia="sk-SK"/>
              </w:rPr>
              <w:t>CO</w:t>
            </w:r>
            <w:r w:rsidRPr="005D4A2B" w:rsidR="00BA0D1D">
              <w:rPr>
                <w:sz w:val="20"/>
                <w:vertAlign w:val="subscript"/>
                <w:lang w:eastAsia="sk-SK"/>
              </w:rPr>
              <w:t>2</w:t>
            </w:r>
            <w:r w:rsidRPr="00F74B61">
              <w:rPr>
                <w:sz w:val="20"/>
                <w:lang w:eastAsia="sk-SK"/>
              </w:rPr>
              <w:t>, ktorá sa spája s palivom alebo dodanou energiou, vydelená celkovým energetickým obsahom paliva alebo dodanej energie (pri palive vyjadreným ako dolná výhrevnosť);</w:t>
            </w:r>
          </w:p>
          <w:p w:rsidR="007000B7" w:rsidRPr="00F74B61" w:rsidP="00BB3AEE">
            <w:pPr>
              <w:pStyle w:val="Heading8"/>
              <w:jc w:val="both"/>
            </w:pPr>
          </w:p>
        </w:tc>
        <w:tc>
          <w:tcPr>
            <w:tcW w:w="567" w:type="dxa"/>
            <w:tcBorders>
              <w:top w:val="single" w:sz="4" w:space="0" w:color="auto"/>
              <w:bottom w:val="single" w:sz="4" w:space="0" w:color="auto"/>
            </w:tcBorders>
          </w:tcPr>
          <w:p w:rsidR="007000B7" w:rsidRPr="005D4A2B">
            <w:pPr>
              <w:jc w:val="both"/>
              <w:rPr>
                <w:sz w:val="20"/>
              </w:rPr>
            </w:pPr>
            <w:r w:rsidRPr="005D4A2B">
              <w:rPr>
                <w:sz w:val="20"/>
              </w:rPr>
              <w:t>N</w:t>
            </w:r>
          </w:p>
        </w:tc>
        <w:tc>
          <w:tcPr>
            <w:tcW w:w="1276" w:type="dxa"/>
            <w:tcBorders>
              <w:top w:val="single" w:sz="4" w:space="0" w:color="auto"/>
              <w:bottom w:val="single" w:sz="4" w:space="0" w:color="auto"/>
            </w:tcBorders>
          </w:tcPr>
          <w:p w:rsidR="007000B7" w:rsidRPr="005D4A2B" w:rsidP="00A32BFB">
            <w:pPr>
              <w:jc w:val="center"/>
              <w:rPr>
                <w:sz w:val="20"/>
              </w:rPr>
            </w:pPr>
            <w:r w:rsidRPr="005D4A2B" w:rsidR="0000084E">
              <w:rPr>
                <w:sz w:val="20"/>
              </w:rPr>
              <w:t>Z</w:t>
            </w:r>
            <w:r w:rsidR="00A32BFB">
              <w:rPr>
                <w:sz w:val="20"/>
              </w:rPr>
              <w:t xml:space="preserve"> </w:t>
            </w:r>
            <w:r w:rsidRPr="005D4A2B" w:rsidR="0000084E">
              <w:rPr>
                <w:sz w:val="20"/>
              </w:rPr>
              <w:t>309/2009</w:t>
            </w:r>
          </w:p>
        </w:tc>
        <w:tc>
          <w:tcPr>
            <w:tcW w:w="709" w:type="dxa"/>
            <w:tcBorders>
              <w:top w:val="single" w:sz="4" w:space="0" w:color="auto"/>
              <w:bottom w:val="single" w:sz="4" w:space="0" w:color="auto"/>
            </w:tcBorders>
          </w:tcPr>
          <w:p w:rsidR="007000B7" w:rsidRPr="005D4A2B">
            <w:pPr>
              <w:pStyle w:val="BodyText21"/>
              <w:spacing w:before="0"/>
            </w:pPr>
            <w:r w:rsidRPr="005D4A2B">
              <w:t>§2</w:t>
            </w:r>
          </w:p>
          <w:p w:rsidR="007000B7" w:rsidRPr="005D4A2B">
            <w:pPr>
              <w:pStyle w:val="BodyText21"/>
              <w:spacing w:before="0"/>
            </w:pPr>
            <w:r w:rsidR="008D3255">
              <w:t>O7</w:t>
            </w:r>
          </w:p>
          <w:p w:rsidR="007000B7" w:rsidRPr="005D4A2B">
            <w:pPr>
              <w:pStyle w:val="BodyText21"/>
              <w:spacing w:before="0"/>
            </w:pPr>
            <w:r w:rsidRPr="005D4A2B">
              <w:t>Pc</w:t>
            </w:r>
          </w:p>
        </w:tc>
        <w:tc>
          <w:tcPr>
            <w:tcW w:w="4110" w:type="dxa"/>
            <w:tcBorders>
              <w:top w:val="single" w:sz="4" w:space="0" w:color="auto"/>
              <w:bottom w:val="single" w:sz="4" w:space="0" w:color="auto"/>
            </w:tcBorders>
          </w:tcPr>
          <w:p w:rsidR="007000B7" w:rsidRPr="00F30700" w:rsidP="00FD26C3">
            <w:pPr>
              <w:jc w:val="both"/>
              <w:rPr>
                <w:sz w:val="20"/>
              </w:rPr>
            </w:pPr>
            <w:r w:rsidRPr="00F30700">
              <w:rPr>
                <w:sz w:val="20"/>
              </w:rPr>
              <w:t>c</w:t>
            </w:r>
            <w:r w:rsidRPr="00F30700">
              <w:rPr>
                <w:sz w:val="20"/>
              </w:rPr>
              <w:t xml:space="preserve">) </w:t>
            </w:r>
            <w:r w:rsidRPr="00F30700" w:rsidR="008D3255">
              <w:rPr>
                <w:sz w:val="20"/>
              </w:rPr>
              <w:t>emisiami skleníkových plynov na jednotku energie celková hmotnosť skleníkových plynov vyjadrená ako ekvivalent oxidu uhličitého, ktorá sa spája s pohonnou látkou a biokvapalinou alebo dodanou energiou, vydelená celkovým energetickým obsahom pohonnej látk</w:t>
            </w:r>
            <w:r w:rsidRPr="00F30700" w:rsidR="008D3255">
              <w:rPr>
                <w:sz w:val="20"/>
              </w:rPr>
              <w:t>y a biokvapaliny alebo dodávanej energie,</w:t>
            </w:r>
          </w:p>
          <w:p w:rsidR="007000B7" w:rsidRPr="00F30700" w:rsidP="00FD26C3">
            <w:pPr>
              <w:jc w:val="both"/>
              <w:rPr>
                <w:color w:val="FF0000"/>
                <w:sz w:val="20"/>
              </w:rPr>
            </w:pPr>
          </w:p>
        </w:tc>
        <w:tc>
          <w:tcPr>
            <w:tcW w:w="709" w:type="dxa"/>
            <w:tcBorders>
              <w:top w:val="single" w:sz="4" w:space="0" w:color="auto"/>
              <w:bottom w:val="single" w:sz="4" w:space="0" w:color="auto"/>
            </w:tcBorders>
          </w:tcPr>
          <w:p w:rsidR="007000B7" w:rsidRPr="005D4A2B">
            <w:pPr>
              <w:jc w:val="both"/>
              <w:rPr>
                <w:sz w:val="20"/>
              </w:rPr>
            </w:pPr>
            <w:r w:rsidRPr="005D4A2B">
              <w:rPr>
                <w:sz w:val="20"/>
              </w:rPr>
              <w:t>Ú</w:t>
            </w:r>
          </w:p>
        </w:tc>
        <w:tc>
          <w:tcPr>
            <w:tcW w:w="1701" w:type="dxa"/>
            <w:tcBorders>
              <w:top w:val="single" w:sz="4" w:space="0" w:color="auto"/>
              <w:bottom w:val="single" w:sz="4" w:space="0" w:color="auto"/>
            </w:tcBorders>
          </w:tcPr>
          <w:p w:rsidR="007000B7" w:rsidRPr="00F74B61" w:rsidP="009E0DD4">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7000B7" w:rsidRPr="00F74B61" w:rsidP="002365B4">
            <w:pPr>
              <w:jc w:val="both"/>
              <w:rPr>
                <w:sz w:val="20"/>
              </w:rPr>
            </w:pPr>
            <w:r w:rsidRPr="00F74B61">
              <w:rPr>
                <w:sz w:val="20"/>
              </w:rPr>
              <w:t>Č2</w:t>
            </w:r>
          </w:p>
          <w:p w:rsidR="007000B7" w:rsidRPr="00F74B61" w:rsidP="002365B4">
            <w:pPr>
              <w:jc w:val="both"/>
              <w:rPr>
                <w:sz w:val="20"/>
              </w:rPr>
            </w:pPr>
            <w:r w:rsidRPr="00F74B61">
              <w:rPr>
                <w:sz w:val="20"/>
              </w:rPr>
              <w:t>O8</w:t>
            </w:r>
          </w:p>
        </w:tc>
        <w:tc>
          <w:tcPr>
            <w:tcW w:w="5245" w:type="dxa"/>
            <w:tcBorders>
              <w:top w:val="single" w:sz="4" w:space="0" w:color="auto"/>
              <w:bottom w:val="single" w:sz="4" w:space="0" w:color="auto"/>
            </w:tcBorders>
          </w:tcPr>
          <w:p w:rsidR="007000B7" w:rsidRPr="00F74B61" w:rsidP="00BB3AEE">
            <w:pPr>
              <w:autoSpaceDE w:val="0"/>
              <w:autoSpaceDN w:val="0"/>
              <w:adjustRightInd w:val="0"/>
              <w:jc w:val="both"/>
              <w:rPr>
                <w:sz w:val="20"/>
                <w:lang w:eastAsia="sk-SK"/>
              </w:rPr>
            </w:pPr>
            <w:r w:rsidRPr="00F74B61">
              <w:rPr>
                <w:sz w:val="20"/>
                <w:lang w:eastAsia="sk-SK"/>
              </w:rPr>
              <w:t>8. „dodávateľ“ je subjekt zodpovedný za prihlásenie paliva alebo energie v mieste platenia spotrebnej dane, a ak sa spotrebná daň neplatí, u akéhokoľvek príslušného subjektu určeného členským štátom;</w:t>
            </w:r>
          </w:p>
          <w:p w:rsidR="007000B7" w:rsidRPr="00F74B61" w:rsidP="00BB3AEE">
            <w:pPr>
              <w:pStyle w:val="Heading8"/>
              <w:jc w:val="both"/>
            </w:pPr>
          </w:p>
        </w:tc>
        <w:tc>
          <w:tcPr>
            <w:tcW w:w="567" w:type="dxa"/>
            <w:tcBorders>
              <w:top w:val="single" w:sz="4" w:space="0" w:color="auto"/>
              <w:bottom w:val="single" w:sz="4" w:space="0" w:color="auto"/>
            </w:tcBorders>
          </w:tcPr>
          <w:p w:rsidR="007000B7" w:rsidRPr="005D4A2B">
            <w:pPr>
              <w:jc w:val="both"/>
              <w:rPr>
                <w:sz w:val="20"/>
              </w:rPr>
            </w:pPr>
            <w:r w:rsidRPr="005D4A2B">
              <w:rPr>
                <w:sz w:val="20"/>
              </w:rPr>
              <w:t>N</w:t>
            </w:r>
          </w:p>
        </w:tc>
        <w:tc>
          <w:tcPr>
            <w:tcW w:w="1276" w:type="dxa"/>
            <w:tcBorders>
              <w:top w:val="single" w:sz="4" w:space="0" w:color="auto"/>
              <w:bottom w:val="single" w:sz="4" w:space="0" w:color="auto"/>
            </w:tcBorders>
          </w:tcPr>
          <w:p w:rsidR="007000B7" w:rsidRPr="005D4A2B" w:rsidP="00A32BFB">
            <w:pPr>
              <w:jc w:val="center"/>
              <w:rPr>
                <w:sz w:val="20"/>
              </w:rPr>
            </w:pPr>
            <w:r w:rsidRPr="005D4A2B" w:rsidR="0000084E">
              <w:rPr>
                <w:sz w:val="20"/>
              </w:rPr>
              <w:t>Z</w:t>
            </w:r>
            <w:r w:rsidR="00A32BFB">
              <w:rPr>
                <w:sz w:val="20"/>
              </w:rPr>
              <w:t xml:space="preserve"> </w:t>
            </w:r>
            <w:r w:rsidRPr="005D4A2B" w:rsidR="0000084E">
              <w:rPr>
                <w:sz w:val="20"/>
              </w:rPr>
              <w:t>309/2009</w:t>
            </w:r>
          </w:p>
        </w:tc>
        <w:tc>
          <w:tcPr>
            <w:tcW w:w="709" w:type="dxa"/>
            <w:tcBorders>
              <w:top w:val="single" w:sz="4" w:space="0" w:color="auto"/>
              <w:bottom w:val="single" w:sz="4" w:space="0" w:color="auto"/>
            </w:tcBorders>
          </w:tcPr>
          <w:p w:rsidR="007000B7" w:rsidRPr="005D4A2B">
            <w:pPr>
              <w:pStyle w:val="BodyText21"/>
              <w:spacing w:before="0"/>
            </w:pPr>
            <w:r w:rsidRPr="005D4A2B">
              <w:t>§14a</w:t>
            </w:r>
          </w:p>
          <w:p w:rsidR="007000B7" w:rsidRPr="005D4A2B">
            <w:pPr>
              <w:pStyle w:val="BodyText21"/>
              <w:spacing w:before="0"/>
            </w:pPr>
            <w:r w:rsidRPr="005D4A2B">
              <w:t>O2</w:t>
            </w:r>
          </w:p>
        </w:tc>
        <w:tc>
          <w:tcPr>
            <w:tcW w:w="4110" w:type="dxa"/>
            <w:tcBorders>
              <w:top w:val="single" w:sz="4" w:space="0" w:color="auto"/>
              <w:bottom w:val="single" w:sz="4" w:space="0" w:color="auto"/>
            </w:tcBorders>
          </w:tcPr>
          <w:p w:rsidR="007000B7" w:rsidRPr="00F30700" w:rsidP="001B596A">
            <w:pPr>
              <w:pStyle w:val="ListParagraph"/>
              <w:numPr>
                <w:ilvl w:val="0"/>
                <w:numId w:val="19"/>
              </w:numPr>
              <w:ind w:left="353" w:hanging="353"/>
              <w:jc w:val="both"/>
              <w:rPr>
                <w:sz w:val="20"/>
                <w:szCs w:val="20"/>
              </w:rPr>
            </w:pPr>
            <w:r w:rsidRPr="00F30700">
              <w:rPr>
                <w:sz w:val="20"/>
                <w:szCs w:val="20"/>
              </w:rPr>
              <w:t>Právnickou osobou alebo fyzickou osobou podľa odseku 1 sa rozumie právnická osoba alebo fyzická osoba, ktorá</w:t>
            </w:r>
          </w:p>
          <w:p w:rsidR="007000B7" w:rsidRPr="00F30700" w:rsidP="001B596A">
            <w:pPr>
              <w:pStyle w:val="ListParagraph"/>
              <w:numPr>
                <w:ilvl w:val="0"/>
                <w:numId w:val="6"/>
              </w:numPr>
              <w:ind w:left="495" w:hanging="426"/>
              <w:jc w:val="both"/>
              <w:rPr>
                <w:sz w:val="20"/>
                <w:szCs w:val="20"/>
              </w:rPr>
            </w:pPr>
            <w:r w:rsidRPr="00F30700">
              <w:rPr>
                <w:sz w:val="20"/>
                <w:szCs w:val="20"/>
              </w:rPr>
              <w:t>uvádza do daňového voľného obehu</w:t>
            </w:r>
            <w:r w:rsidRPr="00F30700">
              <w:rPr>
                <w:sz w:val="20"/>
                <w:szCs w:val="20"/>
                <w:vertAlign w:val="superscript"/>
              </w:rPr>
              <w:t>17a</w:t>
            </w:r>
            <w:r w:rsidRPr="00F30700">
              <w:rPr>
                <w:sz w:val="20"/>
                <w:szCs w:val="20"/>
              </w:rPr>
              <w:t>) podľa osobitného predpisu</w:t>
            </w:r>
            <w:r w:rsidRPr="00F30700" w:rsidR="002102F9">
              <w:rPr>
                <w:sz w:val="20"/>
                <w:szCs w:val="20"/>
                <w:vertAlign w:val="superscript"/>
              </w:rPr>
              <w:t xml:space="preserve"> </w:t>
            </w:r>
            <w:r w:rsidRPr="00F30700">
              <w:rPr>
                <w:sz w:val="20"/>
                <w:szCs w:val="20"/>
              </w:rPr>
              <w:t>na území Sloven</w:t>
            </w:r>
            <w:smartTag w:uri="urn:schemas-microsoft-com:office:smarttags" w:element="PersonName">
              <w:r w:rsidRPr="00F30700">
                <w:rPr>
                  <w:sz w:val="20"/>
                  <w:szCs w:val="20"/>
                </w:rPr>
                <w:t>sk</w:t>
              </w:r>
            </w:smartTag>
            <w:r w:rsidRPr="00F30700">
              <w:rPr>
                <w:sz w:val="20"/>
                <w:szCs w:val="20"/>
              </w:rPr>
              <w:t xml:space="preserve">ej republiky pohonné látky, </w:t>
            </w:r>
          </w:p>
          <w:p w:rsidR="007000B7" w:rsidRPr="00F30700" w:rsidP="001B596A">
            <w:pPr>
              <w:pStyle w:val="ListParagraph"/>
              <w:numPr>
                <w:ilvl w:val="0"/>
                <w:numId w:val="6"/>
              </w:numPr>
              <w:ind w:left="495" w:hanging="426"/>
              <w:jc w:val="both"/>
              <w:rPr>
                <w:sz w:val="20"/>
                <w:szCs w:val="20"/>
              </w:rPr>
            </w:pPr>
            <w:r w:rsidRPr="00F30700">
              <w:rPr>
                <w:sz w:val="20"/>
                <w:szCs w:val="20"/>
              </w:rPr>
              <w:t>prepravuje na územie Sloven</w:t>
            </w:r>
            <w:smartTag w:uri="urn:schemas-microsoft-com:office:smarttags" w:element="PersonName">
              <w:r w:rsidRPr="00F30700">
                <w:rPr>
                  <w:sz w:val="20"/>
                  <w:szCs w:val="20"/>
                </w:rPr>
                <w:t>sk</w:t>
              </w:r>
            </w:smartTag>
            <w:r w:rsidRPr="00F30700">
              <w:rPr>
                <w:sz w:val="20"/>
                <w:szCs w:val="20"/>
              </w:rPr>
              <w:t>ej republiky pohonné látky mimo pozastavenia dane na podnikateľ</w:t>
            </w:r>
            <w:smartTag w:uri="urn:schemas-microsoft-com:office:smarttags" w:element="PersonName">
              <w:r w:rsidRPr="00F30700">
                <w:rPr>
                  <w:sz w:val="20"/>
                  <w:szCs w:val="20"/>
                </w:rPr>
                <w:t>sk</w:t>
              </w:r>
            </w:smartTag>
            <w:r w:rsidRPr="00F30700">
              <w:rPr>
                <w:sz w:val="20"/>
                <w:szCs w:val="20"/>
              </w:rPr>
              <w:t xml:space="preserve">é účely, </w:t>
            </w:r>
            <w:r w:rsidRPr="00F30700">
              <w:rPr>
                <w:sz w:val="20"/>
                <w:szCs w:val="20"/>
                <w:vertAlign w:val="superscript"/>
              </w:rPr>
              <w:t>17c</w:t>
            </w:r>
            <w:r w:rsidRPr="00F30700">
              <w:rPr>
                <w:sz w:val="20"/>
                <w:szCs w:val="20"/>
              </w:rPr>
              <w:t>)</w:t>
            </w:r>
          </w:p>
          <w:p w:rsidR="007000B7" w:rsidRPr="00F30700" w:rsidP="001B596A">
            <w:pPr>
              <w:pStyle w:val="ListParagraph"/>
              <w:numPr>
                <w:ilvl w:val="0"/>
                <w:numId w:val="6"/>
              </w:numPr>
              <w:ind w:left="495" w:hanging="426"/>
              <w:jc w:val="both"/>
              <w:rPr>
                <w:sz w:val="20"/>
                <w:szCs w:val="20"/>
              </w:rPr>
            </w:pPr>
            <w:r w:rsidRPr="00F30700">
              <w:rPr>
                <w:sz w:val="20"/>
                <w:szCs w:val="20"/>
              </w:rPr>
              <w:t>dováža na územie Sloven</w:t>
            </w:r>
            <w:smartTag w:uri="urn:schemas-microsoft-com:office:smarttags" w:element="PersonName">
              <w:r w:rsidRPr="00F30700">
                <w:rPr>
                  <w:sz w:val="20"/>
                  <w:szCs w:val="20"/>
                </w:rPr>
                <w:t>sk</w:t>
              </w:r>
            </w:smartTag>
            <w:r w:rsidRPr="00F30700">
              <w:rPr>
                <w:sz w:val="20"/>
                <w:szCs w:val="20"/>
              </w:rPr>
              <w:t>ej republiky pohonné látky z tretích štátov,</w:t>
            </w:r>
            <w:r w:rsidRPr="00F30700">
              <w:rPr>
                <w:sz w:val="20"/>
                <w:szCs w:val="20"/>
                <w:vertAlign w:val="superscript"/>
              </w:rPr>
              <w:t>17d</w:t>
            </w:r>
            <w:r w:rsidRPr="00F30700">
              <w:rPr>
                <w:sz w:val="20"/>
                <w:szCs w:val="20"/>
              </w:rPr>
              <w:t xml:space="preserve">) </w:t>
            </w:r>
          </w:p>
          <w:p w:rsidR="007000B7" w:rsidRPr="00F30700" w:rsidP="001B596A">
            <w:pPr>
              <w:pStyle w:val="ListParagraph"/>
              <w:numPr>
                <w:ilvl w:val="0"/>
                <w:numId w:val="6"/>
              </w:numPr>
              <w:ind w:left="495" w:hanging="426"/>
              <w:jc w:val="both"/>
              <w:rPr>
                <w:sz w:val="20"/>
                <w:szCs w:val="20"/>
              </w:rPr>
            </w:pPr>
            <w:r w:rsidRPr="00F30700" w:rsidR="002102F9">
              <w:rPr>
                <w:sz w:val="20"/>
                <w:szCs w:val="20"/>
              </w:rPr>
              <w:t>je iná ako podľa osobitného predpisu,</w:t>
            </w:r>
            <w:r w:rsidRPr="00F30700" w:rsidR="002102F9">
              <w:rPr>
                <w:sz w:val="20"/>
                <w:szCs w:val="20"/>
                <w:vertAlign w:val="superscript"/>
              </w:rPr>
              <w:t>17b</w:t>
            </w:r>
            <w:r w:rsidRPr="00F30700" w:rsidR="002102F9">
              <w:rPr>
                <w:sz w:val="20"/>
                <w:szCs w:val="20"/>
              </w:rPr>
              <w:t>)ak uvádza na trh pohonné látky iným spôsobom, akoje uvedený v písmenách a) až c).</w:t>
            </w:r>
          </w:p>
        </w:tc>
        <w:tc>
          <w:tcPr>
            <w:tcW w:w="709" w:type="dxa"/>
            <w:tcBorders>
              <w:top w:val="single" w:sz="4" w:space="0" w:color="auto"/>
              <w:bottom w:val="single" w:sz="4" w:space="0" w:color="auto"/>
            </w:tcBorders>
          </w:tcPr>
          <w:p w:rsidR="007000B7" w:rsidRPr="005D4A2B">
            <w:pPr>
              <w:jc w:val="both"/>
              <w:rPr>
                <w:sz w:val="20"/>
              </w:rPr>
            </w:pPr>
            <w:r w:rsidRPr="005D4A2B">
              <w:rPr>
                <w:sz w:val="20"/>
              </w:rPr>
              <w:t>Ú</w:t>
            </w:r>
          </w:p>
        </w:tc>
        <w:tc>
          <w:tcPr>
            <w:tcW w:w="1701" w:type="dxa"/>
            <w:tcBorders>
              <w:top w:val="single" w:sz="4" w:space="0" w:color="auto"/>
              <w:bottom w:val="single" w:sz="4" w:space="0" w:color="auto"/>
            </w:tcBorders>
          </w:tcPr>
          <w:p w:rsidR="007000B7" w:rsidRPr="00F74B61" w:rsidP="009E0DD4">
            <w:pPr>
              <w:jc w:val="both"/>
              <w:rPr>
                <w:noProof/>
                <w:sz w:val="20"/>
                <w:lang w:eastAsia="sk-SK"/>
              </w:rPr>
            </w:pP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7000B7" w:rsidRPr="00F74B61" w:rsidP="002365B4">
            <w:pPr>
              <w:jc w:val="both"/>
              <w:rPr>
                <w:sz w:val="20"/>
              </w:rPr>
            </w:pPr>
            <w:r w:rsidRPr="00F74B61">
              <w:rPr>
                <w:sz w:val="20"/>
              </w:rPr>
              <w:t>Č2</w:t>
            </w:r>
          </w:p>
          <w:p w:rsidR="007000B7" w:rsidRPr="00F74B61" w:rsidP="002365B4">
            <w:pPr>
              <w:jc w:val="both"/>
              <w:rPr>
                <w:sz w:val="20"/>
              </w:rPr>
            </w:pPr>
            <w:r w:rsidRPr="00F74B61">
              <w:rPr>
                <w:sz w:val="20"/>
              </w:rPr>
              <w:t>O9</w:t>
            </w:r>
          </w:p>
        </w:tc>
        <w:tc>
          <w:tcPr>
            <w:tcW w:w="5245" w:type="dxa"/>
            <w:tcBorders>
              <w:top w:val="single" w:sz="4" w:space="0" w:color="auto"/>
              <w:bottom w:val="single" w:sz="4" w:space="0" w:color="auto"/>
            </w:tcBorders>
          </w:tcPr>
          <w:p w:rsidR="007000B7" w:rsidRPr="00F74B61" w:rsidP="00BB3AEE">
            <w:pPr>
              <w:pStyle w:val="Heading8"/>
              <w:jc w:val="both"/>
            </w:pPr>
            <w:r w:rsidRPr="00F74B61">
              <w:rPr>
                <w:i w:val="0"/>
                <w:iCs w:val="0"/>
                <w:lang w:eastAsia="sk-SK"/>
              </w:rPr>
              <w:t>9. „biopalivá“ majú ten istý význam ako v smernici Európskeho parlamentu a Rady 2009/28/ES z 23. apríla 2009 o podpore využívania en</w:t>
            </w:r>
            <w:r w:rsidR="005D4A2B">
              <w:rPr>
                <w:i w:val="0"/>
                <w:iCs w:val="0"/>
                <w:lang w:eastAsia="sk-SK"/>
              </w:rPr>
              <w:t>ergie z obnoviteľných zdrojov (</w:t>
            </w:r>
            <w:r w:rsidR="00C751EE">
              <w:rPr>
                <w:i w:val="0"/>
                <w:iCs w:val="0"/>
                <w:vertAlign w:val="superscript"/>
                <w:lang w:eastAsia="sk-SK"/>
              </w:rPr>
              <w:t>1</w:t>
            </w:r>
            <w:r w:rsidRPr="00F74B61">
              <w:rPr>
                <w:i w:val="0"/>
                <w:iCs w:val="0"/>
                <w:lang w:eastAsia="sk-SK"/>
              </w:rPr>
              <w:t>).</w:t>
            </w:r>
          </w:p>
        </w:tc>
        <w:tc>
          <w:tcPr>
            <w:tcW w:w="567" w:type="dxa"/>
            <w:tcBorders>
              <w:top w:val="single" w:sz="4" w:space="0" w:color="auto"/>
              <w:bottom w:val="single" w:sz="4" w:space="0" w:color="auto"/>
            </w:tcBorders>
          </w:tcPr>
          <w:p w:rsidR="007000B7" w:rsidRPr="00F74B61">
            <w:pPr>
              <w:jc w:val="both"/>
              <w:rPr>
                <w:sz w:val="20"/>
              </w:rPr>
            </w:pPr>
            <w:r w:rsidRPr="00F74B61">
              <w:rPr>
                <w:sz w:val="20"/>
              </w:rPr>
              <w:t>N</w:t>
            </w:r>
          </w:p>
        </w:tc>
        <w:tc>
          <w:tcPr>
            <w:tcW w:w="1276" w:type="dxa"/>
            <w:tcBorders>
              <w:top w:val="single" w:sz="4" w:space="0" w:color="auto"/>
              <w:bottom w:val="single" w:sz="4" w:space="0" w:color="auto"/>
            </w:tcBorders>
          </w:tcPr>
          <w:p w:rsidR="00A32BFB" w:rsidRPr="00E02262" w:rsidP="00A32BFB">
            <w:pPr>
              <w:jc w:val="center"/>
              <w:rPr>
                <w:sz w:val="20"/>
              </w:rPr>
            </w:pPr>
            <w:r>
              <w:rPr>
                <w:sz w:val="20"/>
              </w:rPr>
              <w:t>NV</w:t>
            </w:r>
          </w:p>
          <w:p w:rsidR="007000B7" w:rsidRPr="00F74B61" w:rsidP="00795D6C">
            <w:pPr>
              <w:jc w:val="center"/>
              <w:rPr>
                <w:sz w:val="20"/>
              </w:rPr>
            </w:pPr>
          </w:p>
        </w:tc>
        <w:tc>
          <w:tcPr>
            <w:tcW w:w="709" w:type="dxa"/>
            <w:tcBorders>
              <w:top w:val="single" w:sz="4" w:space="0" w:color="auto"/>
              <w:bottom w:val="single" w:sz="4" w:space="0" w:color="auto"/>
            </w:tcBorders>
          </w:tcPr>
          <w:p w:rsidR="007000B7" w:rsidRPr="00F74B61">
            <w:pPr>
              <w:pStyle w:val="BodyText21"/>
              <w:spacing w:before="0"/>
            </w:pPr>
            <w:r w:rsidRPr="00F74B61">
              <w:t>§2</w:t>
            </w:r>
          </w:p>
          <w:p w:rsidR="007000B7" w:rsidRPr="00F74B61">
            <w:pPr>
              <w:pStyle w:val="BodyText21"/>
              <w:spacing w:before="0"/>
            </w:pPr>
            <w:r w:rsidR="00F30700">
              <w:t>Pf</w:t>
            </w:r>
          </w:p>
        </w:tc>
        <w:tc>
          <w:tcPr>
            <w:tcW w:w="4110" w:type="dxa"/>
            <w:tcBorders>
              <w:top w:val="single" w:sz="4" w:space="0" w:color="auto"/>
              <w:bottom w:val="single" w:sz="4" w:space="0" w:color="auto"/>
            </w:tcBorders>
          </w:tcPr>
          <w:p w:rsidR="007000B7" w:rsidRPr="00F30700" w:rsidP="00971B92">
            <w:pPr>
              <w:pStyle w:val="Header"/>
              <w:tabs>
                <w:tab w:val="clear" w:pos="4536"/>
                <w:tab w:val="clear" w:pos="9072"/>
              </w:tabs>
              <w:jc w:val="both"/>
              <w:rPr>
                <w:lang w:eastAsia="cs-CZ"/>
              </w:rPr>
            </w:pPr>
            <w:r w:rsidRPr="00F30700" w:rsidR="00F30700">
              <w:t>f</w:t>
            </w:r>
            <w:r w:rsidRPr="00F30700" w:rsidR="00971B92">
              <w:t xml:space="preserve">) </w:t>
            </w:r>
            <w:r w:rsidRPr="00F30700" w:rsidR="000F148F">
              <w:rPr>
                <w:noProof/>
              </w:rPr>
              <w:t>biopalivom kvapalné alebo plynné palivo vyrobené z biomasy určené na dopravu,</w:t>
            </w:r>
          </w:p>
        </w:tc>
        <w:tc>
          <w:tcPr>
            <w:tcW w:w="709" w:type="dxa"/>
            <w:tcBorders>
              <w:top w:val="single" w:sz="4" w:space="0" w:color="auto"/>
              <w:bottom w:val="single" w:sz="4" w:space="0" w:color="auto"/>
            </w:tcBorders>
          </w:tcPr>
          <w:p w:rsidR="007000B7" w:rsidRPr="00F74B61">
            <w:pPr>
              <w:jc w:val="both"/>
              <w:rPr>
                <w:sz w:val="20"/>
              </w:rPr>
            </w:pPr>
            <w:r w:rsidRPr="00F74B61">
              <w:rPr>
                <w:sz w:val="20"/>
              </w:rPr>
              <w:t>Ú</w:t>
            </w:r>
          </w:p>
        </w:tc>
        <w:tc>
          <w:tcPr>
            <w:tcW w:w="1701" w:type="dxa"/>
            <w:tcBorders>
              <w:top w:val="single" w:sz="4" w:space="0" w:color="auto"/>
              <w:bottom w:val="single" w:sz="4" w:space="0" w:color="auto"/>
            </w:tcBorders>
          </w:tcPr>
          <w:p w:rsidR="007000B7" w:rsidRPr="00F74B61" w:rsidP="009E0DD4">
            <w:pPr>
              <w:jc w:val="both"/>
              <w:rPr>
                <w:sz w:val="20"/>
              </w:rPr>
            </w:pP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C751EE" w:rsidP="00C751EE">
            <w:pPr>
              <w:jc w:val="both"/>
              <w:rPr>
                <w:sz w:val="20"/>
              </w:rPr>
            </w:pPr>
            <w:r>
              <w:rPr>
                <w:sz w:val="20"/>
              </w:rPr>
              <w:t>Č2</w:t>
            </w:r>
          </w:p>
          <w:p w:rsidR="00C751EE" w:rsidRPr="00F74B61" w:rsidP="00C751EE">
            <w:pPr>
              <w:jc w:val="both"/>
              <w:rPr>
                <w:sz w:val="20"/>
              </w:rPr>
            </w:pPr>
            <w:r>
              <w:rPr>
                <w:sz w:val="20"/>
              </w:rPr>
              <w:t>O10</w:t>
            </w:r>
          </w:p>
        </w:tc>
        <w:tc>
          <w:tcPr>
            <w:tcW w:w="5245" w:type="dxa"/>
            <w:tcBorders>
              <w:top w:val="single" w:sz="4" w:space="0" w:color="auto"/>
              <w:bottom w:val="single" w:sz="4" w:space="0" w:color="auto"/>
            </w:tcBorders>
          </w:tcPr>
          <w:p w:rsidR="00C751EE" w:rsidRPr="004D1DCA" w:rsidP="00C751EE">
            <w:pPr>
              <w:pStyle w:val="Heading8"/>
              <w:jc w:val="both"/>
              <w:rPr>
                <w:i w:val="0"/>
                <w:iCs w:val="0"/>
                <w:lang w:eastAsia="sk-SK"/>
              </w:rPr>
            </w:pPr>
            <w:r w:rsidRPr="004D1DCA">
              <w:rPr>
                <w:i w:val="0"/>
                <w:iCs w:val="0"/>
                <w:lang w:eastAsia="sk-SK"/>
              </w:rPr>
              <w:t>10. „kvapalné a plynné motorové palivá z obnoviteľných zdrojov nebiologického pôvodu“ sú iné kvapalné alebo plynné palivá ako biopalivá, ktorých energetický obsah pochádza z iných obnoviteľných zdrojov energie ako biomasa a ktoré sa používajú v doprave;</w:t>
            </w:r>
          </w:p>
        </w:tc>
        <w:tc>
          <w:tcPr>
            <w:tcW w:w="567" w:type="dxa"/>
            <w:tcBorders>
              <w:top w:val="single" w:sz="4" w:space="0" w:color="auto"/>
              <w:bottom w:val="single" w:sz="4" w:space="0" w:color="auto"/>
            </w:tcBorders>
          </w:tcPr>
          <w:p w:rsidR="00C751EE" w:rsidRPr="00F74B61" w:rsidP="00C751EE">
            <w:pPr>
              <w:jc w:val="both"/>
              <w:rPr>
                <w:sz w:val="20"/>
              </w:rPr>
            </w:pPr>
            <w:r w:rsidR="00BB6B7A">
              <w:rPr>
                <w:sz w:val="20"/>
              </w:rPr>
              <w:t>N</w:t>
            </w:r>
          </w:p>
        </w:tc>
        <w:tc>
          <w:tcPr>
            <w:tcW w:w="1276" w:type="dxa"/>
            <w:tcBorders>
              <w:top w:val="single" w:sz="4" w:space="0" w:color="auto"/>
              <w:bottom w:val="single" w:sz="4" w:space="0" w:color="auto"/>
            </w:tcBorders>
          </w:tcPr>
          <w:p w:rsidR="00C751EE" w:rsidP="00C751EE">
            <w:pPr>
              <w:jc w:val="center"/>
              <w:rPr>
                <w:sz w:val="20"/>
              </w:rPr>
            </w:pPr>
            <w:r w:rsidR="00BB6B7A">
              <w:rPr>
                <w:sz w:val="20"/>
              </w:rPr>
              <w:t>Z 309/2009</w:t>
            </w:r>
          </w:p>
        </w:tc>
        <w:tc>
          <w:tcPr>
            <w:tcW w:w="709" w:type="dxa"/>
            <w:tcBorders>
              <w:top w:val="single" w:sz="4" w:space="0" w:color="auto"/>
              <w:bottom w:val="single" w:sz="4" w:space="0" w:color="auto"/>
            </w:tcBorders>
          </w:tcPr>
          <w:p w:rsidR="00C751EE" w:rsidP="00C751EE">
            <w:pPr>
              <w:pStyle w:val="BodyText21"/>
              <w:spacing w:before="0"/>
            </w:pPr>
            <w:r w:rsidR="00BB6B7A">
              <w:t>§2</w:t>
            </w:r>
          </w:p>
          <w:p w:rsidR="00BB6B7A" w:rsidP="00C751EE">
            <w:pPr>
              <w:pStyle w:val="BodyText21"/>
              <w:spacing w:before="0"/>
            </w:pPr>
            <w:r>
              <w:t>O4</w:t>
            </w:r>
          </w:p>
          <w:p w:rsidR="00BB6B7A" w:rsidRPr="00F74B61" w:rsidP="00C751EE">
            <w:pPr>
              <w:pStyle w:val="BodyText21"/>
              <w:spacing w:before="0"/>
            </w:pPr>
            <w:r>
              <w:t>Pm</w:t>
            </w:r>
          </w:p>
        </w:tc>
        <w:tc>
          <w:tcPr>
            <w:tcW w:w="4110" w:type="dxa"/>
            <w:tcBorders>
              <w:top w:val="single" w:sz="4" w:space="0" w:color="auto"/>
              <w:bottom w:val="single" w:sz="4" w:space="0" w:color="auto"/>
            </w:tcBorders>
          </w:tcPr>
          <w:p w:rsidR="00C751EE" w:rsidRPr="00F30700" w:rsidP="001B596A">
            <w:pPr>
              <w:pStyle w:val="ListParagraph0"/>
              <w:numPr>
                <w:ilvl w:val="0"/>
                <w:numId w:val="18"/>
              </w:numPr>
              <w:spacing w:after="120"/>
              <w:ind w:left="0" w:hanging="649"/>
              <w:jc w:val="both"/>
              <w:rPr>
                <w:rFonts w:ascii="Times New Roman" w:hAnsi="Times New Roman"/>
                <w:sz w:val="20"/>
                <w:szCs w:val="20"/>
              </w:rPr>
            </w:pPr>
            <w:r w:rsidRPr="00F30700" w:rsidR="00BB6B7A">
              <w:rPr>
                <w:rFonts w:ascii="Times New Roman" w:hAnsi="Times New Roman"/>
                <w:sz w:val="20"/>
                <w:szCs w:val="20"/>
              </w:rPr>
              <w:t xml:space="preserve">m) </w:t>
            </w:r>
            <w:r w:rsidRPr="00F30700" w:rsidR="00BB6B7A">
              <w:rPr>
                <w:rFonts w:ascii="Times New Roman" w:eastAsia="Times New Roman" w:hAnsi="Times New Roman"/>
                <w:noProof/>
                <w:sz w:val="20"/>
                <w:szCs w:val="20"/>
                <w:lang w:eastAsia="sk-SK"/>
              </w:rPr>
              <w:t>kvapalné alebo plynné motorové palivo z obnoviteľných zdrojov energie nebiologického pôvodu, ktorým je kvapalné alebo plynné palivo používané v doprave a ktorého energetický obsah pochádza z iných obnoviteľných zdrojov energie ako biomasa.</w:t>
            </w:r>
          </w:p>
        </w:tc>
        <w:tc>
          <w:tcPr>
            <w:tcW w:w="709" w:type="dxa"/>
            <w:tcBorders>
              <w:top w:val="single" w:sz="4" w:space="0" w:color="auto"/>
              <w:bottom w:val="single" w:sz="4" w:space="0" w:color="auto"/>
            </w:tcBorders>
          </w:tcPr>
          <w:p w:rsidR="00C751EE" w:rsidRPr="00F74B61" w:rsidP="00C751EE">
            <w:pPr>
              <w:jc w:val="both"/>
              <w:rPr>
                <w:sz w:val="20"/>
              </w:rPr>
            </w:pPr>
            <w:r w:rsidRPr="00F74B61" w:rsidR="004D1DCA">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C751EE" w:rsidP="00C751EE">
            <w:pPr>
              <w:jc w:val="both"/>
              <w:rPr>
                <w:sz w:val="20"/>
              </w:rPr>
            </w:pPr>
            <w:r>
              <w:rPr>
                <w:sz w:val="20"/>
              </w:rPr>
              <w:t>Č2</w:t>
            </w:r>
          </w:p>
          <w:p w:rsidR="00C751EE" w:rsidRPr="00F74B61" w:rsidP="00C751EE">
            <w:pPr>
              <w:jc w:val="both"/>
              <w:rPr>
                <w:sz w:val="20"/>
              </w:rPr>
            </w:pPr>
            <w:r>
              <w:rPr>
                <w:sz w:val="20"/>
              </w:rPr>
              <w:t>O11</w:t>
            </w:r>
          </w:p>
        </w:tc>
        <w:tc>
          <w:tcPr>
            <w:tcW w:w="5245" w:type="dxa"/>
            <w:tcBorders>
              <w:top w:val="single" w:sz="4" w:space="0" w:color="auto"/>
              <w:bottom w:val="single" w:sz="4" w:space="0" w:color="auto"/>
            </w:tcBorders>
          </w:tcPr>
          <w:p w:rsidR="00C751EE" w:rsidRPr="004D1DCA" w:rsidP="00C751EE">
            <w:pPr>
              <w:pStyle w:val="Heading8"/>
              <w:jc w:val="both"/>
              <w:rPr>
                <w:i w:val="0"/>
                <w:iCs w:val="0"/>
                <w:lang w:eastAsia="sk-SK"/>
              </w:rPr>
            </w:pPr>
            <w:r w:rsidRPr="004D1DCA">
              <w:rPr>
                <w:i w:val="0"/>
                <w:iCs w:val="0"/>
                <w:lang w:eastAsia="sk-SK"/>
              </w:rPr>
              <w:t>11. „plodiny bohaté na škrob“ sú plodiny, najmä obilniny (bez ohľadu na to, či sa využívajú len zrná, alebo celé rastliny ako v prípade kukurice na zeleno), hľuzové a koreňové plodiny (ako napríklad zemiaky, topinambury, sladké zemiaky, manioky a jamy) a podcibuľové plodiny (ako napríklad taro a kokojam);</w:t>
            </w:r>
          </w:p>
        </w:tc>
        <w:tc>
          <w:tcPr>
            <w:tcW w:w="567" w:type="dxa"/>
            <w:tcBorders>
              <w:top w:val="single" w:sz="4" w:space="0" w:color="auto"/>
              <w:bottom w:val="single" w:sz="4" w:space="0" w:color="auto"/>
            </w:tcBorders>
          </w:tcPr>
          <w:p w:rsidR="00C751EE" w:rsidRPr="00F74B61" w:rsidP="00C751EE">
            <w:pPr>
              <w:jc w:val="both"/>
              <w:rPr>
                <w:sz w:val="20"/>
              </w:rPr>
            </w:pPr>
            <w:r w:rsidR="00BB6B7A">
              <w:rPr>
                <w:sz w:val="20"/>
              </w:rPr>
              <w:t>N</w:t>
            </w:r>
          </w:p>
        </w:tc>
        <w:tc>
          <w:tcPr>
            <w:tcW w:w="1276" w:type="dxa"/>
            <w:tcBorders>
              <w:top w:val="single" w:sz="4" w:space="0" w:color="auto"/>
              <w:bottom w:val="single" w:sz="4" w:space="0" w:color="auto"/>
            </w:tcBorders>
          </w:tcPr>
          <w:p w:rsidR="00C751EE" w:rsidP="00C751EE">
            <w:pPr>
              <w:jc w:val="center"/>
              <w:rPr>
                <w:sz w:val="20"/>
              </w:rPr>
            </w:pPr>
            <w:r w:rsidR="00BB6B7A">
              <w:rPr>
                <w:sz w:val="20"/>
              </w:rPr>
              <w:t>Z 309/2009</w:t>
            </w:r>
          </w:p>
        </w:tc>
        <w:tc>
          <w:tcPr>
            <w:tcW w:w="709" w:type="dxa"/>
            <w:tcBorders>
              <w:top w:val="single" w:sz="4" w:space="0" w:color="auto"/>
              <w:bottom w:val="single" w:sz="4" w:space="0" w:color="auto"/>
            </w:tcBorders>
          </w:tcPr>
          <w:p w:rsidR="00C751EE" w:rsidP="00C751EE">
            <w:pPr>
              <w:pStyle w:val="BodyText21"/>
              <w:spacing w:before="0"/>
            </w:pPr>
            <w:r w:rsidR="00BB6B7A">
              <w:t>§2</w:t>
            </w:r>
          </w:p>
          <w:p w:rsidR="00BB6B7A" w:rsidP="00C751EE">
            <w:pPr>
              <w:pStyle w:val="BodyText21"/>
              <w:spacing w:before="0"/>
            </w:pPr>
            <w:r>
              <w:t>O7</w:t>
            </w:r>
          </w:p>
          <w:p w:rsidR="00BB6B7A" w:rsidRPr="00F74B61" w:rsidP="00C751EE">
            <w:pPr>
              <w:pStyle w:val="BodyText21"/>
              <w:spacing w:before="0"/>
            </w:pPr>
            <w:r>
              <w:t>Pe</w:t>
            </w:r>
          </w:p>
        </w:tc>
        <w:tc>
          <w:tcPr>
            <w:tcW w:w="4110" w:type="dxa"/>
            <w:tcBorders>
              <w:top w:val="single" w:sz="4" w:space="0" w:color="auto"/>
              <w:bottom w:val="single" w:sz="4" w:space="0" w:color="auto"/>
            </w:tcBorders>
          </w:tcPr>
          <w:p w:rsidR="00C751EE" w:rsidRPr="00F30700" w:rsidP="001B596A">
            <w:pPr>
              <w:pStyle w:val="ListParagraph0"/>
              <w:numPr>
                <w:ilvl w:val="0"/>
                <w:numId w:val="18"/>
              </w:numPr>
              <w:spacing w:after="120"/>
              <w:ind w:left="0" w:hanging="649"/>
              <w:jc w:val="both"/>
              <w:rPr>
                <w:rFonts w:ascii="Times New Roman" w:hAnsi="Times New Roman"/>
                <w:sz w:val="20"/>
                <w:szCs w:val="20"/>
              </w:rPr>
            </w:pPr>
            <w:r w:rsidRPr="00F30700" w:rsidR="00BB6B7A">
              <w:rPr>
                <w:rFonts w:ascii="Times New Roman" w:eastAsia="Times New Roman" w:hAnsi="Times New Roman"/>
                <w:noProof/>
                <w:sz w:val="20"/>
                <w:szCs w:val="20"/>
                <w:lang w:eastAsia="sk-SK"/>
              </w:rPr>
              <w:t>e) plodinami bohatými na škrob plodiny s vysokým obsahom škrobu, najmä obilniny bez ohľadu na to, či sa využívajú len zrná alebo celé rastliny, hľuzové, koreňové plodiny a podcibuľové plodiny,</w:t>
            </w:r>
          </w:p>
        </w:tc>
        <w:tc>
          <w:tcPr>
            <w:tcW w:w="709" w:type="dxa"/>
            <w:tcBorders>
              <w:top w:val="single" w:sz="4" w:space="0" w:color="auto"/>
              <w:bottom w:val="single" w:sz="4" w:space="0" w:color="auto"/>
            </w:tcBorders>
          </w:tcPr>
          <w:p w:rsidR="00C751EE" w:rsidRPr="00F74B61" w:rsidP="00C751EE">
            <w:pPr>
              <w:jc w:val="both"/>
              <w:rPr>
                <w:sz w:val="20"/>
              </w:rPr>
            </w:pPr>
            <w:r w:rsidRPr="00F74B61" w:rsidR="004D1DCA">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C751EE" w:rsidP="00C751EE">
            <w:pPr>
              <w:jc w:val="both"/>
              <w:rPr>
                <w:sz w:val="20"/>
              </w:rPr>
            </w:pPr>
            <w:r>
              <w:rPr>
                <w:sz w:val="20"/>
              </w:rPr>
              <w:t>Č2</w:t>
            </w:r>
          </w:p>
          <w:p w:rsidR="00C751EE" w:rsidRPr="00F74B61" w:rsidP="00C751EE">
            <w:pPr>
              <w:jc w:val="both"/>
              <w:rPr>
                <w:sz w:val="20"/>
              </w:rPr>
            </w:pPr>
            <w:r>
              <w:rPr>
                <w:sz w:val="20"/>
              </w:rPr>
              <w:t>O12</w:t>
            </w:r>
          </w:p>
        </w:tc>
        <w:tc>
          <w:tcPr>
            <w:tcW w:w="5245" w:type="dxa"/>
            <w:tcBorders>
              <w:top w:val="single" w:sz="4" w:space="0" w:color="auto"/>
              <w:bottom w:val="single" w:sz="4" w:space="0" w:color="auto"/>
            </w:tcBorders>
          </w:tcPr>
          <w:p w:rsidR="00C751EE" w:rsidRPr="004D1DCA" w:rsidP="00C751EE">
            <w:pPr>
              <w:pStyle w:val="Heading8"/>
              <w:jc w:val="both"/>
              <w:rPr>
                <w:i w:val="0"/>
                <w:iCs w:val="0"/>
                <w:lang w:eastAsia="sk-SK"/>
              </w:rPr>
            </w:pPr>
            <w:r w:rsidRPr="004D1DCA">
              <w:rPr>
                <w:i w:val="0"/>
                <w:iCs w:val="0"/>
                <w:lang w:eastAsia="sk-SK"/>
              </w:rPr>
              <w:t>12. „biopalivá s nízkym rizikom nepriamej zmeny využívania pôdy“ sú biopalivá, ktorých suroviny boli vyrobené v rámci schém, ktoré znižujú vytláčanie produkcie na iné účely ako výrobu biopalív a ktoré boli vyrobené v súlade s kritériom trvalej udržateľnosti pre biopalivá stanoveným v článku 7b;</w:t>
            </w:r>
          </w:p>
        </w:tc>
        <w:tc>
          <w:tcPr>
            <w:tcW w:w="567" w:type="dxa"/>
            <w:tcBorders>
              <w:top w:val="single" w:sz="4" w:space="0" w:color="auto"/>
              <w:bottom w:val="single" w:sz="4" w:space="0" w:color="auto"/>
            </w:tcBorders>
          </w:tcPr>
          <w:p w:rsidR="00C751EE" w:rsidRPr="00F74B61" w:rsidP="00C751EE">
            <w:pPr>
              <w:jc w:val="both"/>
              <w:rPr>
                <w:sz w:val="20"/>
              </w:rPr>
            </w:pPr>
            <w:r w:rsidR="00BB6B7A">
              <w:rPr>
                <w:sz w:val="20"/>
              </w:rPr>
              <w:t>N</w:t>
            </w:r>
          </w:p>
        </w:tc>
        <w:tc>
          <w:tcPr>
            <w:tcW w:w="1276" w:type="dxa"/>
            <w:tcBorders>
              <w:top w:val="single" w:sz="4" w:space="0" w:color="auto"/>
              <w:bottom w:val="single" w:sz="4" w:space="0" w:color="auto"/>
            </w:tcBorders>
          </w:tcPr>
          <w:p w:rsidR="00C751EE" w:rsidP="00BB6B7A">
            <w:pPr>
              <w:jc w:val="center"/>
              <w:rPr>
                <w:sz w:val="20"/>
              </w:rPr>
            </w:pPr>
            <w:r w:rsidR="00BB6B7A">
              <w:rPr>
                <w:sz w:val="20"/>
              </w:rPr>
              <w:t>Z 271/2011</w:t>
            </w:r>
          </w:p>
        </w:tc>
        <w:tc>
          <w:tcPr>
            <w:tcW w:w="709" w:type="dxa"/>
            <w:tcBorders>
              <w:top w:val="single" w:sz="4" w:space="0" w:color="auto"/>
              <w:bottom w:val="single" w:sz="4" w:space="0" w:color="auto"/>
            </w:tcBorders>
          </w:tcPr>
          <w:p w:rsidR="00C751EE" w:rsidP="00C751EE">
            <w:pPr>
              <w:pStyle w:val="BodyText21"/>
              <w:spacing w:before="0"/>
            </w:pPr>
            <w:r w:rsidR="00BB6B7A">
              <w:t>§2</w:t>
            </w:r>
          </w:p>
          <w:p w:rsidR="00BB6B7A" w:rsidRPr="00F74B61" w:rsidP="00C751EE">
            <w:pPr>
              <w:pStyle w:val="BodyText21"/>
              <w:spacing w:before="0"/>
            </w:pPr>
            <w:r>
              <w:t>Pq</w:t>
            </w:r>
          </w:p>
        </w:tc>
        <w:tc>
          <w:tcPr>
            <w:tcW w:w="4110" w:type="dxa"/>
            <w:tcBorders>
              <w:top w:val="single" w:sz="4" w:space="0" w:color="auto"/>
              <w:bottom w:val="single" w:sz="4" w:space="0" w:color="auto"/>
            </w:tcBorders>
          </w:tcPr>
          <w:p w:rsidR="00C751EE" w:rsidRPr="00F30700" w:rsidP="001B596A">
            <w:pPr>
              <w:pStyle w:val="ListParagraph0"/>
              <w:numPr>
                <w:ilvl w:val="0"/>
                <w:numId w:val="18"/>
              </w:numPr>
              <w:spacing w:after="120"/>
              <w:ind w:left="0" w:hanging="649"/>
              <w:jc w:val="both"/>
              <w:rPr>
                <w:rFonts w:ascii="Times New Roman" w:eastAsia="Times New Roman" w:hAnsi="Times New Roman"/>
                <w:noProof/>
                <w:sz w:val="20"/>
                <w:szCs w:val="20"/>
                <w:lang w:eastAsia="sk-SK"/>
              </w:rPr>
            </w:pPr>
            <w:r w:rsidRPr="00F30700" w:rsidR="00BB6B7A">
              <w:rPr>
                <w:rFonts w:ascii="Times New Roman" w:eastAsia="Times New Roman" w:hAnsi="Times New Roman"/>
                <w:noProof/>
                <w:sz w:val="20"/>
                <w:szCs w:val="20"/>
                <w:lang w:eastAsia="sk-SK"/>
              </w:rPr>
              <w:t>q) biopalivo s nízkym rizikom nepriamej zmeny využívania pôdy biopalivo, ktorého suroviny sú vyrobené v rámci schém, ktoré znižujú vytláčanie produkcie na iné účely ako výrobu biopalíva ktoré sú vyrobené v súlade s kritériami trvalej udržateľnosti pre biopalivá a biokvapaliny podľa § 3.</w:t>
            </w:r>
          </w:p>
        </w:tc>
        <w:tc>
          <w:tcPr>
            <w:tcW w:w="709" w:type="dxa"/>
            <w:tcBorders>
              <w:top w:val="single" w:sz="4" w:space="0" w:color="auto"/>
              <w:bottom w:val="single" w:sz="4" w:space="0" w:color="auto"/>
            </w:tcBorders>
          </w:tcPr>
          <w:p w:rsidR="00C751EE" w:rsidRPr="00F74B61" w:rsidP="00C751EE">
            <w:pPr>
              <w:jc w:val="both"/>
              <w:rPr>
                <w:sz w:val="20"/>
              </w:rPr>
            </w:pPr>
            <w:r w:rsidRPr="00F74B61" w:rsidR="004D1DCA">
              <w:rPr>
                <w:sz w:val="20"/>
              </w:rPr>
              <w:t>Ú</w:t>
            </w:r>
          </w:p>
        </w:tc>
        <w:tc>
          <w:tcPr>
            <w:tcW w:w="1701" w:type="dxa"/>
            <w:tcBorders>
              <w:top w:val="single" w:sz="4" w:space="0" w:color="auto"/>
              <w:bottom w:val="single" w:sz="4" w:space="0" w:color="auto"/>
            </w:tcBorders>
          </w:tcPr>
          <w:p w:rsidR="00C751EE" w:rsidRPr="00F74B61" w:rsidP="00C751EE">
            <w:pPr>
              <w:jc w:val="both"/>
              <w:rPr>
                <w:noProof/>
                <w:sz w:val="20"/>
                <w:lang w:eastAsia="sk-SK"/>
              </w:rPr>
            </w:pPr>
            <w:r w:rsidRPr="006F168A" w:rsidR="006F168A">
              <w:rPr>
                <w:noProof/>
                <w:sz w:val="20"/>
                <w:lang w:eastAsia="sk-SK"/>
              </w:rPr>
              <w:t>Nakoľko návrh vyhlášky MŽP SR, ktorou sa mení a dopĺňa vyhláška MŽP SR č. 271/2011 Z. z. je aktuálne v prebiehajúcom legislatívnom procese, tabuľka zhody bude po prijatí predmetného návrhu vyhlášky upravená v jednotlivých ustanoveniach odvolávajúcich sa na vyhlášku č. 271/2011 Z. z.</w:t>
            </w: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C751EE" w:rsidP="00C751EE">
            <w:pPr>
              <w:jc w:val="both"/>
              <w:rPr>
                <w:sz w:val="20"/>
              </w:rPr>
            </w:pPr>
            <w:r>
              <w:rPr>
                <w:sz w:val="20"/>
              </w:rPr>
              <w:t>Č2</w:t>
            </w:r>
          </w:p>
          <w:p w:rsidR="00C751EE" w:rsidP="00C751EE">
            <w:pPr>
              <w:jc w:val="both"/>
              <w:rPr>
                <w:sz w:val="20"/>
              </w:rPr>
            </w:pPr>
            <w:r>
              <w:rPr>
                <w:sz w:val="20"/>
              </w:rPr>
              <w:t>O13</w:t>
            </w:r>
          </w:p>
          <w:p w:rsidR="00C751EE" w:rsidRPr="00F74B61" w:rsidP="00C751EE">
            <w:pPr>
              <w:jc w:val="both"/>
              <w:rPr>
                <w:sz w:val="20"/>
              </w:rPr>
            </w:pPr>
          </w:p>
        </w:tc>
        <w:tc>
          <w:tcPr>
            <w:tcW w:w="5245" w:type="dxa"/>
            <w:tcBorders>
              <w:top w:val="single" w:sz="4" w:space="0" w:color="auto"/>
              <w:bottom w:val="single" w:sz="4" w:space="0" w:color="auto"/>
            </w:tcBorders>
          </w:tcPr>
          <w:p w:rsidR="00C751EE" w:rsidRPr="004D1DCA" w:rsidP="00C751EE">
            <w:pPr>
              <w:pStyle w:val="Heading8"/>
              <w:jc w:val="both"/>
              <w:rPr>
                <w:i w:val="0"/>
                <w:iCs w:val="0"/>
                <w:lang w:eastAsia="sk-SK"/>
              </w:rPr>
            </w:pPr>
            <w:r w:rsidRPr="004D1DCA">
              <w:rPr>
                <w:i w:val="0"/>
                <w:iCs w:val="0"/>
                <w:lang w:eastAsia="sk-SK"/>
              </w:rPr>
              <w:t>13. „zvyšok po spracovaní“ je látka, ktorá nie je konečným produktom, o ktorého výrobu sa priamo usiluje v rámci výrobného procesu; nie je primárnym cieľom výrobného procesu a proces nebol zámerne pozmenený tak, aby sa v ňom vyrábala táto látka;</w:t>
            </w:r>
          </w:p>
        </w:tc>
        <w:tc>
          <w:tcPr>
            <w:tcW w:w="567" w:type="dxa"/>
            <w:tcBorders>
              <w:top w:val="single" w:sz="4" w:space="0" w:color="auto"/>
              <w:bottom w:val="single" w:sz="4" w:space="0" w:color="auto"/>
            </w:tcBorders>
          </w:tcPr>
          <w:p w:rsidR="00C751EE" w:rsidRPr="00F74B61" w:rsidP="00C751EE">
            <w:pPr>
              <w:jc w:val="both"/>
              <w:rPr>
                <w:sz w:val="20"/>
              </w:rPr>
            </w:pPr>
            <w:r w:rsidR="00AC182C">
              <w:rPr>
                <w:sz w:val="20"/>
              </w:rPr>
              <w:t>N</w:t>
            </w:r>
          </w:p>
        </w:tc>
        <w:tc>
          <w:tcPr>
            <w:tcW w:w="1276" w:type="dxa"/>
            <w:tcBorders>
              <w:top w:val="single" w:sz="4" w:space="0" w:color="auto"/>
              <w:bottom w:val="single" w:sz="4" w:space="0" w:color="auto"/>
            </w:tcBorders>
          </w:tcPr>
          <w:p w:rsidR="00C751EE" w:rsidP="00C751EE">
            <w:pPr>
              <w:jc w:val="center"/>
              <w:rPr>
                <w:sz w:val="20"/>
              </w:rPr>
            </w:pPr>
            <w:r w:rsidR="00AC182C">
              <w:rPr>
                <w:sz w:val="20"/>
              </w:rPr>
              <w:t>Z 309/2009</w:t>
            </w:r>
          </w:p>
        </w:tc>
        <w:tc>
          <w:tcPr>
            <w:tcW w:w="709" w:type="dxa"/>
            <w:tcBorders>
              <w:top w:val="single" w:sz="4" w:space="0" w:color="auto"/>
              <w:bottom w:val="single" w:sz="4" w:space="0" w:color="auto"/>
            </w:tcBorders>
          </w:tcPr>
          <w:p w:rsidR="00C751EE" w:rsidP="00C751EE">
            <w:pPr>
              <w:pStyle w:val="BodyText21"/>
              <w:spacing w:before="0"/>
            </w:pPr>
            <w:r w:rsidR="00AC182C">
              <w:t>§2</w:t>
            </w:r>
          </w:p>
          <w:p w:rsidR="00AC182C" w:rsidP="00C751EE">
            <w:pPr>
              <w:pStyle w:val="BodyText21"/>
              <w:spacing w:before="0"/>
            </w:pPr>
            <w:r>
              <w:t>O7</w:t>
            </w:r>
          </w:p>
          <w:p w:rsidR="00AC182C" w:rsidRPr="00F74B61" w:rsidP="00C751EE">
            <w:pPr>
              <w:pStyle w:val="BodyText21"/>
              <w:spacing w:before="0"/>
            </w:pPr>
            <w:r>
              <w:t>Pg</w:t>
            </w:r>
          </w:p>
        </w:tc>
        <w:tc>
          <w:tcPr>
            <w:tcW w:w="4110" w:type="dxa"/>
            <w:tcBorders>
              <w:top w:val="single" w:sz="4" w:space="0" w:color="auto"/>
              <w:bottom w:val="single" w:sz="4" w:space="0" w:color="auto"/>
            </w:tcBorders>
          </w:tcPr>
          <w:p w:rsidR="00C751EE" w:rsidRPr="00F30700" w:rsidP="001B596A">
            <w:pPr>
              <w:pStyle w:val="ListParagraph0"/>
              <w:numPr>
                <w:ilvl w:val="0"/>
                <w:numId w:val="18"/>
              </w:numPr>
              <w:spacing w:after="120"/>
              <w:ind w:left="0" w:hanging="649"/>
              <w:jc w:val="both"/>
              <w:rPr>
                <w:rFonts w:ascii="Times New Roman" w:eastAsia="Times New Roman" w:hAnsi="Times New Roman"/>
                <w:noProof/>
                <w:sz w:val="20"/>
                <w:szCs w:val="20"/>
                <w:lang w:eastAsia="sk-SK"/>
              </w:rPr>
            </w:pPr>
            <w:r w:rsidRPr="00F30700" w:rsidR="00AC182C">
              <w:rPr>
                <w:rFonts w:ascii="Times New Roman" w:eastAsia="Times New Roman" w:hAnsi="Times New Roman"/>
                <w:noProof/>
                <w:sz w:val="20"/>
                <w:szCs w:val="20"/>
                <w:lang w:eastAsia="sk-SK"/>
              </w:rPr>
              <w:t>g) 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w:t>
            </w:r>
          </w:p>
        </w:tc>
        <w:tc>
          <w:tcPr>
            <w:tcW w:w="709" w:type="dxa"/>
            <w:tcBorders>
              <w:top w:val="single" w:sz="4" w:space="0" w:color="auto"/>
              <w:bottom w:val="single" w:sz="4" w:space="0" w:color="auto"/>
            </w:tcBorders>
          </w:tcPr>
          <w:p w:rsidR="00C751EE" w:rsidRPr="00F74B61" w:rsidP="00C751EE">
            <w:pPr>
              <w:jc w:val="both"/>
              <w:rPr>
                <w:sz w:val="20"/>
              </w:rPr>
            </w:pPr>
            <w:r w:rsidRPr="00F74B61" w:rsidR="004D1DCA">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882"/>
        </w:trPr>
        <w:tc>
          <w:tcPr>
            <w:tcW w:w="637" w:type="dxa"/>
            <w:tcBorders>
              <w:top w:val="single" w:sz="4" w:space="0" w:color="auto"/>
              <w:bottom w:val="single" w:sz="4" w:space="0" w:color="auto"/>
            </w:tcBorders>
          </w:tcPr>
          <w:p w:rsidR="00C751EE" w:rsidP="00C751EE">
            <w:pPr>
              <w:jc w:val="both"/>
              <w:rPr>
                <w:sz w:val="20"/>
              </w:rPr>
            </w:pPr>
            <w:r>
              <w:rPr>
                <w:sz w:val="20"/>
              </w:rPr>
              <w:t>Č2</w:t>
            </w:r>
          </w:p>
          <w:p w:rsidR="00C751EE" w:rsidRPr="00F74B61" w:rsidP="00C751EE">
            <w:pPr>
              <w:jc w:val="both"/>
              <w:rPr>
                <w:sz w:val="20"/>
              </w:rPr>
            </w:pPr>
            <w:r>
              <w:rPr>
                <w:sz w:val="20"/>
              </w:rPr>
              <w:t>O14</w:t>
            </w:r>
          </w:p>
        </w:tc>
        <w:tc>
          <w:tcPr>
            <w:tcW w:w="5245" w:type="dxa"/>
            <w:tcBorders>
              <w:top w:val="single" w:sz="4" w:space="0" w:color="auto"/>
              <w:bottom w:val="single" w:sz="4" w:space="0" w:color="auto"/>
            </w:tcBorders>
          </w:tcPr>
          <w:p w:rsidR="00C751EE" w:rsidRPr="004D1DCA" w:rsidP="00C751EE">
            <w:pPr>
              <w:pStyle w:val="Heading8"/>
              <w:jc w:val="both"/>
              <w:rPr>
                <w:i w:val="0"/>
                <w:iCs w:val="0"/>
                <w:lang w:eastAsia="sk-SK"/>
              </w:rPr>
            </w:pPr>
            <w:r w:rsidRPr="004D1DCA">
              <w:rPr>
                <w:i w:val="0"/>
                <w:iCs w:val="0"/>
                <w:lang w:eastAsia="sk-SK"/>
              </w:rPr>
              <w:t>14. „zvyšky z poľnohospodárstva, akvakultúry, rybolovu a lesníctva“ sú zvyšky priamo vyprodukované poľnohospodárstvom, akvakultúrou, rybolovom a lesníctvom; nezahŕňajú zvyšky zo súvisiacich odvetví alebo spracovania.</w:t>
            </w:r>
          </w:p>
        </w:tc>
        <w:tc>
          <w:tcPr>
            <w:tcW w:w="567" w:type="dxa"/>
            <w:tcBorders>
              <w:top w:val="single" w:sz="4" w:space="0" w:color="auto"/>
              <w:bottom w:val="single" w:sz="4" w:space="0" w:color="auto"/>
            </w:tcBorders>
          </w:tcPr>
          <w:p w:rsidR="00C751EE" w:rsidRPr="00F74B61" w:rsidP="00C751EE">
            <w:pPr>
              <w:jc w:val="both"/>
              <w:rPr>
                <w:sz w:val="20"/>
              </w:rPr>
            </w:pPr>
            <w:r w:rsidR="00AC182C">
              <w:rPr>
                <w:sz w:val="20"/>
              </w:rPr>
              <w:t>N</w:t>
            </w:r>
          </w:p>
        </w:tc>
        <w:tc>
          <w:tcPr>
            <w:tcW w:w="1276" w:type="dxa"/>
            <w:tcBorders>
              <w:top w:val="single" w:sz="4" w:space="0" w:color="auto"/>
              <w:bottom w:val="single" w:sz="4" w:space="0" w:color="auto"/>
            </w:tcBorders>
          </w:tcPr>
          <w:p w:rsidR="00C751EE" w:rsidP="00C751EE">
            <w:pPr>
              <w:jc w:val="center"/>
              <w:rPr>
                <w:sz w:val="20"/>
              </w:rPr>
            </w:pPr>
            <w:r w:rsidR="00AC182C">
              <w:rPr>
                <w:sz w:val="20"/>
              </w:rPr>
              <w:t>Z 309/2009</w:t>
            </w:r>
          </w:p>
        </w:tc>
        <w:tc>
          <w:tcPr>
            <w:tcW w:w="709" w:type="dxa"/>
            <w:tcBorders>
              <w:top w:val="single" w:sz="4" w:space="0" w:color="auto"/>
              <w:bottom w:val="single" w:sz="4" w:space="0" w:color="auto"/>
            </w:tcBorders>
          </w:tcPr>
          <w:p w:rsidR="00C751EE" w:rsidP="00C751EE">
            <w:pPr>
              <w:pStyle w:val="BodyText21"/>
              <w:spacing w:before="0"/>
            </w:pPr>
            <w:r w:rsidR="00AC182C">
              <w:t>§2</w:t>
            </w:r>
          </w:p>
          <w:p w:rsidR="00AC182C" w:rsidP="00C751EE">
            <w:pPr>
              <w:pStyle w:val="BodyText21"/>
              <w:spacing w:before="0"/>
            </w:pPr>
            <w:r>
              <w:t>O7</w:t>
            </w:r>
          </w:p>
          <w:p w:rsidR="00AC182C" w:rsidRPr="00F74B61" w:rsidP="00C751EE">
            <w:pPr>
              <w:pStyle w:val="BodyText21"/>
              <w:spacing w:before="0"/>
            </w:pPr>
            <w:r>
              <w:t>Ph</w:t>
            </w:r>
          </w:p>
        </w:tc>
        <w:tc>
          <w:tcPr>
            <w:tcW w:w="4110" w:type="dxa"/>
            <w:tcBorders>
              <w:top w:val="single" w:sz="4" w:space="0" w:color="auto"/>
              <w:bottom w:val="single" w:sz="4" w:space="0" w:color="auto"/>
            </w:tcBorders>
          </w:tcPr>
          <w:p w:rsidR="00C751EE" w:rsidRPr="00F30700" w:rsidP="001B596A">
            <w:pPr>
              <w:pStyle w:val="ListParagraph0"/>
              <w:numPr>
                <w:ilvl w:val="0"/>
                <w:numId w:val="18"/>
              </w:numPr>
              <w:spacing w:after="120"/>
              <w:ind w:left="0" w:hanging="649"/>
              <w:jc w:val="both"/>
              <w:rPr>
                <w:rFonts w:ascii="Times New Roman" w:eastAsia="Times New Roman" w:hAnsi="Times New Roman"/>
                <w:noProof/>
                <w:sz w:val="20"/>
                <w:szCs w:val="20"/>
                <w:lang w:eastAsia="sk-SK"/>
              </w:rPr>
            </w:pPr>
            <w:r w:rsidRPr="00F30700" w:rsidR="00AC182C">
              <w:rPr>
                <w:rFonts w:ascii="Times New Roman" w:eastAsia="Times New Roman" w:hAnsi="Times New Roman"/>
                <w:noProof/>
                <w:sz w:val="20"/>
                <w:szCs w:val="20"/>
                <w:lang w:eastAsia="sk-SK"/>
              </w:rPr>
              <w:t>h) zvyškami z poľnohospodárstva, akvakultúry, rybolovu a lesníctva zvyšky po spracovaní vyprodukované poľnohospodárskou, akvakultúrnou, rybolovnou alebo lesníckou činnosťou; nezahŕňajú zvyšky zo súvisiacich odvetví alebo spracovania,</w:t>
            </w:r>
          </w:p>
        </w:tc>
        <w:tc>
          <w:tcPr>
            <w:tcW w:w="709" w:type="dxa"/>
            <w:tcBorders>
              <w:top w:val="single" w:sz="4" w:space="0" w:color="auto"/>
              <w:bottom w:val="single" w:sz="4" w:space="0" w:color="auto"/>
            </w:tcBorders>
          </w:tcPr>
          <w:p w:rsidR="00C751EE" w:rsidRPr="00F74B61" w:rsidP="00C751EE">
            <w:pPr>
              <w:jc w:val="both"/>
              <w:rPr>
                <w:sz w:val="20"/>
              </w:rPr>
            </w:pPr>
            <w:r w:rsidRPr="00F74B61" w:rsidR="004D1DCA">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Č3</w:t>
            </w:r>
          </w:p>
          <w:p w:rsidR="00C751EE" w:rsidRPr="00F74B61" w:rsidP="00C751EE">
            <w:pPr>
              <w:jc w:val="both"/>
              <w:rPr>
                <w:sz w:val="20"/>
              </w:rPr>
            </w:pPr>
            <w:r w:rsidRPr="00F74B61">
              <w:rPr>
                <w:sz w:val="20"/>
              </w:rPr>
              <w:t>O1</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sz w:val="20"/>
                <w:lang w:eastAsia="sk-SK"/>
              </w:rPr>
            </w:pPr>
            <w:r w:rsidRPr="00F74B61">
              <w:rPr>
                <w:sz w:val="20"/>
                <w:lang w:eastAsia="sk-SK"/>
              </w:rPr>
              <w:t>Článok 3</w:t>
            </w:r>
          </w:p>
          <w:p w:rsidR="00C751EE" w:rsidRPr="00F74B61" w:rsidP="00C751EE">
            <w:pPr>
              <w:autoSpaceDE w:val="0"/>
              <w:autoSpaceDN w:val="0"/>
              <w:adjustRightInd w:val="0"/>
              <w:jc w:val="both"/>
              <w:rPr>
                <w:sz w:val="20"/>
                <w:lang w:eastAsia="sk-SK"/>
              </w:rPr>
            </w:pPr>
            <w:r w:rsidRPr="00F74B61">
              <w:rPr>
                <w:sz w:val="20"/>
                <w:lang w:eastAsia="sk-SK"/>
              </w:rPr>
              <w:t>Benzín</w:t>
            </w:r>
          </w:p>
          <w:p w:rsidR="00C751EE" w:rsidRPr="00F74B61" w:rsidP="00C751EE">
            <w:pPr>
              <w:jc w:val="both"/>
              <w:rPr>
                <w:i/>
                <w:sz w:val="20"/>
              </w:rPr>
            </w:pPr>
            <w:r w:rsidRPr="00F74B61">
              <w:rPr>
                <w:sz w:val="20"/>
                <w:lang w:eastAsia="sk-SK"/>
              </w:rPr>
              <w:t>1. Najneskôr do 1. januára 2000 členské štáty zakážu predaj olovnatého benzínu na svojom území.</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p w:rsidR="00C751EE" w:rsidRPr="00F74B61" w:rsidP="00C751EE">
            <w:pPr>
              <w:jc w:val="both"/>
              <w:rPr>
                <w:sz w:val="20"/>
              </w:rPr>
            </w:pP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r w:rsidRPr="00F74B61">
              <w:t>§5</w:t>
            </w:r>
          </w:p>
          <w:p w:rsidR="00C751EE" w:rsidRPr="00F74B61" w:rsidP="00C751EE">
            <w:pPr>
              <w:pStyle w:val="BodyText21"/>
              <w:spacing w:before="0"/>
            </w:pPr>
            <w:r w:rsidRPr="00F74B61">
              <w:t>O1</w:t>
            </w:r>
          </w:p>
        </w:tc>
        <w:tc>
          <w:tcPr>
            <w:tcW w:w="4110" w:type="dxa"/>
            <w:tcBorders>
              <w:top w:val="single" w:sz="4" w:space="0" w:color="auto"/>
              <w:bottom w:val="single" w:sz="4" w:space="0" w:color="auto"/>
            </w:tcBorders>
          </w:tcPr>
          <w:p w:rsidR="00C751EE" w:rsidRPr="00F30700" w:rsidP="00F30700">
            <w:pPr>
              <w:pStyle w:val="BodyTextIndent"/>
              <w:rPr>
                <w:noProof/>
                <w:color w:val="auto"/>
                <w:lang w:eastAsia="sk-SK"/>
              </w:rPr>
            </w:pPr>
            <w:r w:rsidRPr="00F30700">
              <w:rPr>
                <w:noProof/>
                <w:color w:val="auto"/>
                <w:lang w:eastAsia="sk-SK"/>
              </w:rPr>
              <w:t xml:space="preserve">(1) </w:t>
            </w:r>
            <w:r w:rsidRPr="00F30700" w:rsidR="00A6581F">
              <w:rPr>
                <w:noProof/>
                <w:color w:val="auto"/>
                <w:lang w:eastAsia="sk-SK"/>
              </w:rPr>
              <w:t>Automobilový benzín musí spĺňať požiadavky uvedené v prílohe č. 1</w:t>
            </w:r>
            <w:r w:rsidRPr="00F30700">
              <w:rPr>
                <w:noProof/>
                <w:color w:val="auto"/>
                <w:lang w:eastAsia="sk-SK"/>
              </w:rPr>
              <w:t xml:space="preserve">.   </w:t>
            </w: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p w:rsidR="00C751EE" w:rsidRPr="00F74B61" w:rsidP="00C751EE">
            <w:pPr>
              <w:jc w:val="both"/>
              <w:rPr>
                <w:sz w:val="20"/>
              </w:rPr>
            </w:pPr>
          </w:p>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Č3</w:t>
            </w:r>
          </w:p>
          <w:p w:rsidR="00C751EE" w:rsidRPr="00F74B61" w:rsidP="00C751EE">
            <w:pPr>
              <w:jc w:val="both"/>
              <w:rPr>
                <w:sz w:val="20"/>
              </w:rPr>
            </w:pPr>
            <w:r w:rsidRPr="00F74B61">
              <w:rPr>
                <w:sz w:val="20"/>
              </w:rPr>
              <w:t>O2</w:t>
            </w:r>
          </w:p>
          <w:p w:rsidR="00C751EE" w:rsidRPr="00F74B61" w:rsidP="00C751EE">
            <w:pPr>
              <w:jc w:val="both"/>
              <w:rPr>
                <w:sz w:val="20"/>
              </w:rPr>
            </w:pP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sz w:val="20"/>
                <w:lang w:eastAsia="sk-SK"/>
              </w:rPr>
            </w:pPr>
            <w:r w:rsidRPr="00F74B61">
              <w:rPr>
                <w:sz w:val="20"/>
                <w:lang w:eastAsia="sk-SK"/>
              </w:rPr>
              <w:t>2. Členské štáty zabezpečia, aby sa automobilový benzín mohol</w:t>
            </w:r>
          </w:p>
          <w:p w:rsidR="00C751EE" w:rsidRPr="00F74B61" w:rsidP="00C751EE">
            <w:pPr>
              <w:autoSpaceDE w:val="0"/>
              <w:autoSpaceDN w:val="0"/>
              <w:adjustRightInd w:val="0"/>
              <w:jc w:val="both"/>
              <w:rPr>
                <w:sz w:val="20"/>
                <w:lang w:eastAsia="sk-SK"/>
              </w:rPr>
            </w:pPr>
            <w:r w:rsidRPr="00F74B61">
              <w:rPr>
                <w:sz w:val="20"/>
                <w:lang w:eastAsia="sk-SK"/>
              </w:rPr>
              <w:t>uvádzať na trh na ich území, len ak spĺňa environmentálne špecifikácie uvedené v prílohe I.</w:t>
            </w:r>
          </w:p>
          <w:p w:rsidR="00C751EE" w:rsidRPr="00F74B61" w:rsidP="00C751EE">
            <w:pPr>
              <w:autoSpaceDE w:val="0"/>
              <w:autoSpaceDN w:val="0"/>
              <w:adjustRightInd w:val="0"/>
              <w:jc w:val="both"/>
              <w:rPr>
                <w:sz w:val="20"/>
                <w:lang w:eastAsia="sk-SK"/>
              </w:rPr>
            </w:pPr>
          </w:p>
          <w:p w:rsidR="00C751EE" w:rsidRPr="00F74B61" w:rsidP="00C751EE">
            <w:pPr>
              <w:autoSpaceDE w:val="0"/>
              <w:autoSpaceDN w:val="0"/>
              <w:adjustRightInd w:val="0"/>
              <w:jc w:val="both"/>
              <w:rPr>
                <w:i/>
                <w:sz w:val="20"/>
              </w:rPr>
            </w:pPr>
            <w:r w:rsidRPr="00F74B61">
              <w:rPr>
                <w:sz w:val="20"/>
                <w:lang w:eastAsia="sk-SK"/>
              </w:rPr>
              <w:t>V prípade najvzdialenejších regiónov však členské štáty môžu prijať osobitné ustanovenia týkajúce sa zavedenia automobilového benzínu s maximálnym obsahom síry 10 mg/kg. Členské štáty, ktoré toto ustanovenie využijú, o tom náležite informujú Komisiu.</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r w:rsidRPr="00C57416">
              <w:rPr>
                <w:sz w:val="20"/>
              </w:rPr>
              <w:t>D</w:t>
            </w: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P="00C751EE">
            <w:pPr>
              <w:jc w:val="center"/>
              <w:rPr>
                <w:sz w:val="20"/>
              </w:rPr>
            </w:pPr>
          </w:p>
          <w:p w:rsidR="000760F9" w:rsidP="00C751EE">
            <w:pPr>
              <w:jc w:val="center"/>
              <w:rPr>
                <w:sz w:val="20"/>
              </w:rPr>
            </w:pPr>
          </w:p>
          <w:p w:rsidR="000760F9" w:rsidP="00C751EE">
            <w:pPr>
              <w:jc w:val="center"/>
              <w:rPr>
                <w:sz w:val="20"/>
              </w:rPr>
            </w:pPr>
          </w:p>
          <w:p w:rsidR="000760F9" w:rsidRPr="00F74B61" w:rsidP="00C751EE">
            <w:pPr>
              <w:jc w:val="center"/>
              <w:rPr>
                <w:sz w:val="20"/>
              </w:rPr>
            </w:pPr>
            <w:r>
              <w:rPr>
                <w:sz w:val="20"/>
              </w:rPr>
              <w:t>NV1</w:t>
            </w:r>
          </w:p>
        </w:tc>
        <w:tc>
          <w:tcPr>
            <w:tcW w:w="709" w:type="dxa"/>
            <w:tcBorders>
              <w:top w:val="single" w:sz="4" w:space="0" w:color="auto"/>
              <w:bottom w:val="single" w:sz="4" w:space="0" w:color="auto"/>
            </w:tcBorders>
          </w:tcPr>
          <w:p w:rsidR="00C751EE" w:rsidRPr="00F74B61" w:rsidP="00C751EE">
            <w:pPr>
              <w:pStyle w:val="BodyText21"/>
              <w:spacing w:before="0"/>
            </w:pPr>
            <w:r w:rsidRPr="00F74B61">
              <w:t>§5</w:t>
            </w:r>
          </w:p>
          <w:p w:rsidR="00C751EE" w:rsidP="00C751EE">
            <w:pPr>
              <w:pStyle w:val="BodyText21"/>
              <w:spacing w:before="0"/>
            </w:pPr>
            <w:r w:rsidRPr="00F74B61">
              <w:t>O1</w:t>
            </w:r>
          </w:p>
          <w:p w:rsidR="000760F9" w:rsidP="00C751EE">
            <w:pPr>
              <w:pStyle w:val="BodyText21"/>
              <w:spacing w:before="0"/>
            </w:pPr>
          </w:p>
          <w:p w:rsidR="000760F9" w:rsidP="00C751EE">
            <w:pPr>
              <w:pStyle w:val="BodyText21"/>
              <w:spacing w:before="0"/>
            </w:pPr>
          </w:p>
          <w:p w:rsidR="000760F9" w:rsidP="00C751EE">
            <w:pPr>
              <w:pStyle w:val="BodyText21"/>
              <w:spacing w:before="0"/>
            </w:pPr>
            <w:r w:rsidR="00E85020">
              <w:t>Príloha</w:t>
            </w:r>
            <w:r>
              <w:t xml:space="preserve"> č.1</w:t>
            </w:r>
          </w:p>
          <w:p w:rsidR="00E85020" w:rsidRPr="00F74B61" w:rsidP="00C751EE">
            <w:pPr>
              <w:pStyle w:val="BodyText21"/>
              <w:spacing w:before="0"/>
            </w:pPr>
            <w:r>
              <w:t>P8</w:t>
            </w:r>
          </w:p>
        </w:tc>
        <w:tc>
          <w:tcPr>
            <w:tcW w:w="4110" w:type="dxa"/>
            <w:tcBorders>
              <w:top w:val="single" w:sz="4" w:space="0" w:color="auto"/>
              <w:bottom w:val="single" w:sz="4" w:space="0" w:color="auto"/>
            </w:tcBorders>
          </w:tcPr>
          <w:p w:rsidR="00C751EE" w:rsidRPr="00F30700" w:rsidP="00C751EE">
            <w:pPr>
              <w:pStyle w:val="BodyTextIndent"/>
              <w:rPr>
                <w:noProof/>
                <w:color w:val="auto"/>
                <w:lang w:eastAsia="sk-SK"/>
              </w:rPr>
            </w:pPr>
            <w:r w:rsidRPr="00F30700">
              <w:rPr>
                <w:rFonts w:ascii="EUAlbertina" w:hAnsi="EUAlbertina" w:cs="EUAlbertina"/>
                <w:color w:val="000000"/>
                <w:lang w:eastAsia="sk-SK"/>
              </w:rPr>
              <w:t xml:space="preserve">(1) </w:t>
            </w:r>
            <w:r w:rsidRPr="00F30700" w:rsidR="00A6581F">
              <w:rPr>
                <w:noProof/>
                <w:color w:val="auto"/>
                <w:lang w:eastAsia="sk-SK"/>
              </w:rPr>
              <w:t>Automobilový benzín musí spĺňať požiadavky u</w:t>
            </w:r>
            <w:r w:rsidRPr="00F30700" w:rsidR="00F30700">
              <w:rPr>
                <w:noProof/>
                <w:color w:val="auto"/>
                <w:lang w:eastAsia="sk-SK"/>
              </w:rPr>
              <w:t>vedené v prílohe č. 1.</w:t>
            </w:r>
          </w:p>
          <w:p w:rsidR="000760F9" w:rsidRPr="00F30700" w:rsidP="00C751EE">
            <w:pPr>
              <w:pStyle w:val="BodyTextIndent"/>
              <w:rPr>
                <w:color w:val="000000"/>
                <w:lang w:eastAsia="sk-SK"/>
              </w:rPr>
            </w:pPr>
          </w:p>
          <w:p w:rsidR="000760F9" w:rsidRPr="00F30700" w:rsidP="000760F9">
            <w:pPr>
              <w:pStyle w:val="BodyTextIndent"/>
              <w:rPr>
                <w:color w:val="000000"/>
                <w:lang w:eastAsia="sk-SK"/>
              </w:rPr>
            </w:pPr>
            <w:r w:rsidRPr="00F30700">
              <w:rPr>
                <w:color w:val="000000"/>
                <w:lang w:eastAsia="sk-SK"/>
              </w:rPr>
              <w:t>8. KVALITA PALÍV podľa § 36 zákona</w:t>
            </w:r>
          </w:p>
          <w:tbl>
            <w:tblPr>
              <w:tblStyle w:val="TableNorm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
            <w:tblGrid>
              <w:gridCol w:w="1116"/>
              <w:gridCol w:w="1716"/>
              <w:gridCol w:w="1122"/>
            </w:tblGrid>
            <w:tr w:rsidTr="000760F9">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Ex>
              <w:trPr>
                <w:jc w:val="center"/>
              </w:trPr>
              <w:tc>
                <w:tcPr>
                  <w:tcW w:w="1195" w:type="dxa"/>
                  <w:tcBorders>
                    <w:top w:val="single" w:sz="6" w:space="0" w:color="auto"/>
                    <w:left w:val="single" w:sz="6" w:space="0" w:color="auto"/>
                    <w:right w:val="single" w:sz="6" w:space="0" w:color="auto"/>
                  </w:tcBorders>
                  <w:shd w:val="clear" w:color="FFFFFF" w:fill="FFFFFF"/>
                  <w:tcMar>
                    <w:top w:w="75" w:type="dxa"/>
                    <w:left w:w="75" w:type="dxa"/>
                    <w:bottom w:w="75" w:type="dxa"/>
                    <w:right w:w="75" w:type="dxa"/>
                  </w:tcMar>
                </w:tcPr>
                <w:p w:rsidR="000760F9" w:rsidRPr="00F30700" w:rsidP="000760F9">
                  <w:pPr>
                    <w:rPr>
                      <w:rFonts w:eastAsia="Trebuchet MS"/>
                      <w:sz w:val="20"/>
                    </w:rPr>
                  </w:pPr>
                  <w:r w:rsidRPr="00F30700">
                    <w:rPr>
                      <w:rFonts w:eastAsia="Trebuchet MS"/>
                      <w:sz w:val="20"/>
                      <w:lang w:eastAsia="zh-CN" w:bidi="ar"/>
                    </w:rPr>
                    <w:t>Oznámenie</w:t>
                    <w:br/>
                    <w:t>o prijatí osobitných u</w:t>
                  </w:r>
                  <w:r w:rsidRPr="00F30700">
                    <w:rPr>
                      <w:rFonts w:eastAsia="Trebuchet MS"/>
                      <w:sz w:val="20"/>
                      <w:lang w:eastAsia="zh-CN" w:bidi="ar"/>
                    </w:rPr>
                    <w:t>stanovení</w:t>
                  </w:r>
                </w:p>
              </w:tc>
              <w:tc>
                <w:tcPr>
                  <w:tcW w:w="184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0760F9" w:rsidRPr="00F30700" w:rsidP="000760F9">
                  <w:pPr>
                    <w:rPr>
                      <w:rFonts w:eastAsia="Trebuchet MS"/>
                      <w:sz w:val="20"/>
                    </w:rPr>
                  </w:pPr>
                  <w:r w:rsidRPr="00F30700">
                    <w:rPr>
                      <w:rFonts w:eastAsia="Trebuchet MS"/>
                      <w:sz w:val="20"/>
                      <w:lang w:eastAsia="zh-CN" w:bidi="ar"/>
                    </w:rPr>
                    <w:t>Zavedenie automobilového benzínu s maximálnym obsahom síry 10 mg/kg pre najvzdialenejšie regióny.</w:t>
                  </w:r>
                </w:p>
              </w:tc>
              <w:tc>
                <w:tcPr>
                  <w:tcW w:w="120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0760F9" w:rsidRPr="00F30700" w:rsidP="000760F9">
                  <w:pPr>
                    <w:rPr>
                      <w:rFonts w:eastAsia="Trebuchet MS"/>
                      <w:sz w:val="20"/>
                    </w:rPr>
                  </w:pPr>
                  <w:r w:rsidRPr="00F30700">
                    <w:rPr>
                      <w:rFonts w:eastAsia="Trebuchet MS"/>
                      <w:sz w:val="20"/>
                      <w:lang w:eastAsia="zh-CN" w:bidi="ar"/>
                    </w:rPr>
                    <w:t>Bezodkladne</w:t>
                  </w:r>
                </w:p>
              </w:tc>
            </w:tr>
          </w:tbl>
          <w:p w:rsidR="000760F9" w:rsidRPr="00F30700" w:rsidP="00C751EE">
            <w:pPr>
              <w:pStyle w:val="BodyTextIndent"/>
              <w:rPr>
                <w:color w:val="000000"/>
                <w:lang w:eastAsia="sk-SK"/>
              </w:rPr>
            </w:pPr>
          </w:p>
          <w:p w:rsidR="000760F9" w:rsidRPr="00F30700" w:rsidP="00C751EE">
            <w:pPr>
              <w:pStyle w:val="BodyTextIndent"/>
              <w:rPr>
                <w:rFonts w:ascii="EUAlbertina" w:hAnsi="EUAlbertina" w:cs="EUAlbertina"/>
                <w:color w:val="000000"/>
                <w:lang w:eastAsia="sk-SK"/>
              </w:rPr>
            </w:pP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r w:rsidR="000760F9">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3B001F" w:rsidP="00C751EE">
            <w:pPr>
              <w:jc w:val="both"/>
              <w:rPr>
                <w:sz w:val="20"/>
              </w:rPr>
            </w:pPr>
            <w:r w:rsidRPr="003B001F">
              <w:rPr>
                <w:sz w:val="20"/>
              </w:rPr>
              <w:t>Č3</w:t>
            </w:r>
          </w:p>
          <w:p w:rsidR="00C751EE" w:rsidRPr="003B001F" w:rsidP="00C751EE">
            <w:pPr>
              <w:jc w:val="both"/>
              <w:rPr>
                <w:sz w:val="20"/>
              </w:rPr>
            </w:pPr>
            <w:r w:rsidRPr="003B001F">
              <w:rPr>
                <w:sz w:val="20"/>
              </w:rPr>
              <w:t>O3</w:t>
            </w:r>
          </w:p>
          <w:p w:rsidR="00C751EE" w:rsidRPr="003B001F" w:rsidP="00C751EE">
            <w:pPr>
              <w:jc w:val="both"/>
              <w:rPr>
                <w:sz w:val="20"/>
              </w:rPr>
            </w:pPr>
          </w:p>
        </w:tc>
        <w:tc>
          <w:tcPr>
            <w:tcW w:w="5245" w:type="dxa"/>
            <w:tcBorders>
              <w:top w:val="single" w:sz="4" w:space="0" w:color="auto"/>
              <w:bottom w:val="single" w:sz="4" w:space="0" w:color="auto"/>
            </w:tcBorders>
          </w:tcPr>
          <w:p w:rsidR="00C751EE" w:rsidRPr="003B001F" w:rsidP="00C751EE">
            <w:pPr>
              <w:autoSpaceDE w:val="0"/>
              <w:autoSpaceDN w:val="0"/>
              <w:adjustRightInd w:val="0"/>
              <w:jc w:val="both"/>
              <w:rPr>
                <w:sz w:val="20"/>
                <w:lang w:eastAsia="sk-SK"/>
              </w:rPr>
            </w:pPr>
            <w:r w:rsidRPr="003B001F">
              <w:rPr>
                <w:sz w:val="20"/>
                <w:lang w:eastAsia="sk-SK"/>
              </w:rPr>
              <w:t>3. Členské štáty vyžadujú od dodávateľov, aby zabezpečili, že sa do roku 2013 bude uvádzať na trh automobilový benzín s maximálnym obsahom kyslíka 2,7 % hm. a maximálnym obsahom etanolu 5 %, a pokiaľ to považujú za potrebné, môžu vyžadovať uvádzanie takéhoto automobilového benzínu na trh počas dlhšieho obdobia. Členské štáty zabezpečia, aby sa spotrebiteľom poskytli náležité informácie o obsahu biopaliva v automobilovom benzíne, a najmä informácie o náležitom používaní rôznych zmesových automobilových benzínov s prídavkom etanolu.</w:t>
            </w:r>
          </w:p>
          <w:p w:rsidR="00C751EE" w:rsidRPr="003B001F" w:rsidP="00C751EE">
            <w:pPr>
              <w:autoSpaceDE w:val="0"/>
              <w:autoSpaceDN w:val="0"/>
              <w:adjustRightInd w:val="0"/>
              <w:jc w:val="both"/>
              <w:rPr>
                <w:i/>
                <w:sz w:val="20"/>
              </w:rPr>
            </w:pPr>
          </w:p>
        </w:tc>
        <w:tc>
          <w:tcPr>
            <w:tcW w:w="567" w:type="dxa"/>
            <w:tcBorders>
              <w:top w:val="single" w:sz="4" w:space="0" w:color="auto"/>
              <w:bottom w:val="single" w:sz="4" w:space="0" w:color="auto"/>
            </w:tcBorders>
          </w:tcPr>
          <w:p w:rsidR="00C751EE" w:rsidRPr="003B001F" w:rsidP="00C751EE">
            <w:pPr>
              <w:jc w:val="both"/>
              <w:rPr>
                <w:sz w:val="20"/>
              </w:rPr>
            </w:pPr>
            <w:r w:rsidRPr="003B001F">
              <w:rPr>
                <w:sz w:val="20"/>
              </w:rPr>
              <w:t>N</w:t>
            </w:r>
          </w:p>
        </w:tc>
        <w:tc>
          <w:tcPr>
            <w:tcW w:w="1276" w:type="dxa"/>
            <w:tcBorders>
              <w:top w:val="single" w:sz="4" w:space="0" w:color="auto"/>
              <w:bottom w:val="single" w:sz="4" w:space="0" w:color="auto"/>
            </w:tcBorders>
          </w:tcPr>
          <w:p w:rsidR="00C751EE" w:rsidRPr="003B001F" w:rsidP="00C751EE">
            <w:pPr>
              <w:jc w:val="center"/>
              <w:rPr>
                <w:sz w:val="20"/>
              </w:rPr>
            </w:pPr>
            <w:r w:rsidRPr="003B001F">
              <w:rPr>
                <w:sz w:val="20"/>
              </w:rPr>
              <w:t>NV</w:t>
            </w:r>
          </w:p>
          <w:p w:rsidR="00C751EE" w:rsidRPr="003B001F" w:rsidP="00C751EE">
            <w:pPr>
              <w:jc w:val="center"/>
              <w:rPr>
                <w:sz w:val="20"/>
              </w:rPr>
            </w:pPr>
          </w:p>
        </w:tc>
        <w:tc>
          <w:tcPr>
            <w:tcW w:w="709" w:type="dxa"/>
            <w:tcBorders>
              <w:top w:val="single" w:sz="4" w:space="0" w:color="auto"/>
              <w:bottom w:val="single" w:sz="4" w:space="0" w:color="auto"/>
            </w:tcBorders>
          </w:tcPr>
          <w:p w:rsidR="00C751EE" w:rsidRPr="003B001F" w:rsidP="00C751EE">
            <w:pPr>
              <w:pStyle w:val="BodyText21"/>
              <w:spacing w:before="0"/>
            </w:pPr>
            <w:r w:rsidRPr="003B001F">
              <w:t>§5</w:t>
            </w:r>
          </w:p>
          <w:p w:rsidR="00C751EE" w:rsidRPr="003B001F" w:rsidP="00C751EE">
            <w:pPr>
              <w:pStyle w:val="BodyText21"/>
              <w:spacing w:before="0"/>
            </w:pPr>
            <w:r w:rsidRPr="003B001F">
              <w:t>O1</w:t>
            </w:r>
          </w:p>
          <w:p w:rsidR="00C751EE" w:rsidRPr="003B001F" w:rsidP="00C751EE">
            <w:pPr>
              <w:pStyle w:val="BodyText21"/>
              <w:spacing w:before="0"/>
            </w:pPr>
          </w:p>
          <w:p w:rsidR="00C751EE" w:rsidRPr="003B001F" w:rsidP="00C751EE">
            <w:pPr>
              <w:pStyle w:val="BodyText21"/>
              <w:spacing w:before="0"/>
            </w:pPr>
            <w:r w:rsidRPr="003B001F" w:rsidR="00A6581F">
              <w:t>§12</w:t>
            </w:r>
          </w:p>
          <w:p w:rsidR="00C751EE" w:rsidRPr="003B001F" w:rsidP="00C751EE">
            <w:pPr>
              <w:pStyle w:val="BodyText21"/>
              <w:spacing w:before="0"/>
            </w:pPr>
            <w:r w:rsidRPr="003B001F">
              <w:t>O7</w:t>
            </w:r>
          </w:p>
        </w:tc>
        <w:tc>
          <w:tcPr>
            <w:tcW w:w="4110" w:type="dxa"/>
            <w:tcBorders>
              <w:top w:val="single" w:sz="4" w:space="0" w:color="auto"/>
              <w:bottom w:val="single" w:sz="4" w:space="0" w:color="auto"/>
            </w:tcBorders>
          </w:tcPr>
          <w:p w:rsidR="00C751EE" w:rsidRPr="003B001F" w:rsidP="00C751EE">
            <w:pPr>
              <w:pStyle w:val="BodyTextIndent"/>
              <w:rPr>
                <w:noProof/>
                <w:color w:val="auto"/>
                <w:lang w:eastAsia="sk-SK"/>
              </w:rPr>
            </w:pPr>
            <w:r w:rsidRPr="003B001F">
              <w:rPr>
                <w:noProof/>
                <w:color w:val="auto"/>
                <w:lang w:eastAsia="sk-SK"/>
              </w:rPr>
              <w:t xml:space="preserve">(1) </w:t>
            </w:r>
            <w:r w:rsidRPr="003B001F" w:rsidR="00A6581F">
              <w:rPr>
                <w:noProof/>
                <w:color w:val="auto"/>
                <w:lang w:eastAsia="sk-SK"/>
              </w:rPr>
              <w:t>Automobilový benzín musí spĺňať požiadavky uvede</w:t>
            </w:r>
            <w:r w:rsidRPr="003B001F" w:rsidR="00F30700">
              <w:rPr>
                <w:noProof/>
                <w:color w:val="auto"/>
                <w:lang w:eastAsia="sk-SK"/>
              </w:rPr>
              <w:t>né v prílohe č. 1.</w:t>
            </w:r>
          </w:p>
          <w:p w:rsidR="00C751EE" w:rsidRPr="003B001F" w:rsidP="00C751EE">
            <w:pPr>
              <w:pStyle w:val="BodyTextIndent"/>
              <w:rPr>
                <w:noProof/>
                <w:color w:val="auto"/>
                <w:lang w:eastAsia="sk-SK"/>
              </w:rPr>
            </w:pPr>
          </w:p>
          <w:p w:rsidR="00C751EE" w:rsidRPr="003B001F" w:rsidP="00C751EE">
            <w:pPr>
              <w:pStyle w:val="odsek1"/>
              <w:numPr>
                <w:ilvl w:val="0"/>
                <w:numId w:val="0"/>
              </w:numPr>
              <w:rPr>
                <w:rFonts w:eastAsia="Times New Roman"/>
                <w:noProof/>
                <w:sz w:val="20"/>
                <w:szCs w:val="20"/>
                <w:lang w:eastAsia="sk-SK"/>
              </w:rPr>
            </w:pPr>
            <w:r w:rsidRPr="003B001F" w:rsidR="004D1DCA">
              <w:rPr>
                <w:rFonts w:eastAsia="Times New Roman"/>
                <w:noProof/>
                <w:sz w:val="20"/>
                <w:szCs w:val="20"/>
                <w:lang w:eastAsia="sk-SK"/>
              </w:rPr>
              <w:t xml:space="preserve">(7) Podnikateľ, ktorý </w:t>
            </w:r>
            <w:r w:rsidRPr="003B001F" w:rsidR="00F30700">
              <w:rPr>
                <w:sz w:val="20"/>
                <w:szCs w:val="20"/>
              </w:rPr>
              <w:t>predáva automobilový benzín s obsahom etanolu, poskytuje informáciu o obsahu biopaliva v automobilovom benzíne označením na výdajnom stojane a výdajnej pištoli podľa technickej normy;</w:t>
            </w:r>
            <w:r>
              <w:rPr>
                <w:sz w:val="20"/>
                <w:szCs w:val="20"/>
                <w:vertAlign w:val="superscript"/>
              </w:rPr>
              <w:footnoteReference w:id="7"/>
            </w:r>
            <w:r w:rsidRPr="003B001F" w:rsidR="00F30700">
              <w:rPr>
                <w:sz w:val="20"/>
                <w:szCs w:val="20"/>
              </w:rPr>
              <w:t>) pri označení na výdajnom stojane a výdajnej pištoli možno postupovať aj v súlade s inou technickou špecifikáciou s porovnateľnými alebo prísnejšími požiadavkami. Označenie musí byť dobre viditeľné, ľahko čitateľné a pevne pripevnené.</w:t>
            </w:r>
          </w:p>
        </w:tc>
        <w:tc>
          <w:tcPr>
            <w:tcW w:w="709" w:type="dxa"/>
            <w:tcBorders>
              <w:top w:val="single" w:sz="4" w:space="0" w:color="auto"/>
              <w:bottom w:val="single" w:sz="4" w:space="0" w:color="auto"/>
            </w:tcBorders>
          </w:tcPr>
          <w:p w:rsidR="00C751EE" w:rsidRPr="003B001F" w:rsidP="00C751EE">
            <w:pPr>
              <w:jc w:val="both"/>
              <w:rPr>
                <w:sz w:val="20"/>
              </w:rPr>
            </w:pPr>
            <w:r w:rsidRPr="003B001F">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Č3</w:t>
            </w:r>
          </w:p>
          <w:p w:rsidR="00C751EE" w:rsidRPr="00F74B61" w:rsidP="00C751EE">
            <w:pPr>
              <w:jc w:val="both"/>
              <w:rPr>
                <w:sz w:val="20"/>
              </w:rPr>
            </w:pPr>
            <w:r w:rsidRPr="00F74B61">
              <w:rPr>
                <w:sz w:val="20"/>
              </w:rPr>
              <w:t>O4</w:t>
            </w:r>
          </w:p>
          <w:p w:rsidR="00C751EE" w:rsidRPr="00F74B61" w:rsidP="00C751EE">
            <w:pPr>
              <w:jc w:val="both"/>
              <w:rPr>
                <w:sz w:val="20"/>
              </w:rPr>
            </w:pP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sz w:val="20"/>
                <w:lang w:eastAsia="sk-SK"/>
              </w:rPr>
            </w:pPr>
            <w:r w:rsidRPr="00F74B61">
              <w:rPr>
                <w:sz w:val="20"/>
                <w:lang w:eastAsia="sk-SK"/>
              </w:rPr>
              <w:t>4. Členské štáty s nízkymi letnými teplotami môžu v súlade</w:t>
            </w:r>
          </w:p>
          <w:p w:rsidR="00C751EE" w:rsidRPr="00F74B61" w:rsidP="00C751EE">
            <w:pPr>
              <w:autoSpaceDE w:val="0"/>
              <w:autoSpaceDN w:val="0"/>
              <w:adjustRightInd w:val="0"/>
              <w:jc w:val="both"/>
              <w:rPr>
                <w:sz w:val="20"/>
                <w:lang w:eastAsia="sk-SK"/>
              </w:rPr>
            </w:pPr>
            <w:r w:rsidRPr="00F74B61">
              <w:rPr>
                <w:sz w:val="20"/>
                <w:lang w:eastAsia="sk-SK"/>
              </w:rPr>
              <w:t>s odsekom 5 povoliť, aby sa v letnom období uvádzal na trh automobilový benzín s maximálnym tlakom pár 70 kPa.</w:t>
            </w:r>
          </w:p>
          <w:p w:rsidR="00C751EE" w:rsidRPr="00F74B61" w:rsidP="00C751EE">
            <w:pPr>
              <w:autoSpaceDE w:val="0"/>
              <w:autoSpaceDN w:val="0"/>
              <w:adjustRightInd w:val="0"/>
              <w:jc w:val="both"/>
              <w:rPr>
                <w:sz w:val="20"/>
                <w:lang w:eastAsia="sk-SK"/>
              </w:rPr>
            </w:pPr>
            <w:r w:rsidRPr="00F74B61">
              <w:rPr>
                <w:sz w:val="20"/>
                <w:lang w:eastAsia="sk-SK"/>
              </w:rPr>
              <w:t>Členské štáty, v ktorých sa neuplatňuje výnimka uvedená v</w:t>
            </w:r>
            <w:r>
              <w:rPr>
                <w:sz w:val="20"/>
                <w:lang w:eastAsia="sk-SK"/>
              </w:rPr>
              <w:t> </w:t>
            </w:r>
            <w:r w:rsidRPr="00F74B61">
              <w:rPr>
                <w:sz w:val="20"/>
                <w:lang w:eastAsia="sk-SK"/>
              </w:rPr>
              <w:t>prvom</w:t>
            </w:r>
            <w:r>
              <w:rPr>
                <w:sz w:val="20"/>
                <w:lang w:eastAsia="sk-SK"/>
              </w:rPr>
              <w:t xml:space="preserve"> </w:t>
            </w:r>
            <w:r w:rsidRPr="00F74B61">
              <w:rPr>
                <w:sz w:val="20"/>
                <w:lang w:eastAsia="sk-SK"/>
              </w:rPr>
              <w:t>pododseku, môžu v súlade s odsekom 5 povoliť, aby sa počas letného obdobia uvádzal na trh automobilový benzín s obsahom etanolu s maximálnym tlakom pár 60 kPa, ako aj povolenú výnimku vzťahujúcu sa na tlak pár uvedenú v prílohe III, a to pod podmienkou, že použitý etanol je biopalivo.</w:t>
            </w:r>
          </w:p>
          <w:p w:rsidR="00C751EE" w:rsidRPr="00F74B61" w:rsidP="00C751EE">
            <w:pPr>
              <w:autoSpaceDE w:val="0"/>
              <w:autoSpaceDN w:val="0"/>
              <w:adjustRightInd w:val="0"/>
              <w:jc w:val="both"/>
              <w:rPr>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BodyTextIndent"/>
              <w:rPr>
                <w:color w:val="auto"/>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503A51" w:rsidP="00C751EE">
            <w:pPr>
              <w:jc w:val="both"/>
              <w:rPr>
                <w:sz w:val="20"/>
              </w:rPr>
            </w:pPr>
            <w:r w:rsidRPr="00503A51">
              <w:rPr>
                <w:sz w:val="20"/>
              </w:rPr>
              <w:t>Č3</w:t>
            </w:r>
          </w:p>
          <w:p w:rsidR="00C751EE" w:rsidRPr="00503A51" w:rsidP="00C751EE">
            <w:pPr>
              <w:jc w:val="both"/>
              <w:rPr>
                <w:sz w:val="20"/>
              </w:rPr>
            </w:pPr>
            <w:r w:rsidRPr="00503A51">
              <w:rPr>
                <w:sz w:val="20"/>
              </w:rPr>
              <w:t>O5</w:t>
            </w:r>
          </w:p>
          <w:p w:rsidR="00C751EE" w:rsidRPr="00503A51" w:rsidP="00C751EE">
            <w:pPr>
              <w:jc w:val="both"/>
              <w:rPr>
                <w:sz w:val="20"/>
              </w:rPr>
            </w:pPr>
          </w:p>
        </w:tc>
        <w:tc>
          <w:tcPr>
            <w:tcW w:w="5245" w:type="dxa"/>
            <w:tcBorders>
              <w:top w:val="single" w:sz="4" w:space="0" w:color="auto"/>
              <w:bottom w:val="single" w:sz="4" w:space="0" w:color="auto"/>
            </w:tcBorders>
          </w:tcPr>
          <w:p w:rsidR="00C751EE" w:rsidRPr="00503A51" w:rsidP="00C751EE">
            <w:pPr>
              <w:autoSpaceDE w:val="0"/>
              <w:autoSpaceDN w:val="0"/>
              <w:adjustRightInd w:val="0"/>
              <w:jc w:val="both"/>
              <w:rPr>
                <w:sz w:val="20"/>
                <w:lang w:eastAsia="sk-SK"/>
              </w:rPr>
            </w:pPr>
            <w:r w:rsidRPr="00503A51">
              <w:rPr>
                <w:sz w:val="20"/>
                <w:lang w:eastAsia="sk-SK"/>
              </w:rPr>
              <w:t>5. Ak členské štáty mienia uplatňovať jednu z výnimiek uvedených v odseku 4, oznámia to Komisii a poskytnú jej všetky príslušné informácie.</w:t>
            </w:r>
          </w:p>
          <w:p w:rsidR="00C751EE" w:rsidRPr="00503A51" w:rsidP="00C751EE">
            <w:pPr>
              <w:autoSpaceDE w:val="0"/>
              <w:autoSpaceDN w:val="0"/>
              <w:adjustRightInd w:val="0"/>
              <w:jc w:val="both"/>
              <w:rPr>
                <w:sz w:val="20"/>
                <w:lang w:eastAsia="sk-SK"/>
              </w:rPr>
            </w:pPr>
            <w:r w:rsidRPr="00503A51">
              <w:rPr>
                <w:sz w:val="20"/>
                <w:lang w:eastAsia="sk-SK"/>
              </w:rPr>
              <w:t>Komisia posúdi, či je výnimka žiaduca, a zhodnotí dĺžku jej</w:t>
            </w:r>
          </w:p>
          <w:p w:rsidR="00C751EE" w:rsidRPr="00503A51" w:rsidP="00C751EE">
            <w:pPr>
              <w:autoSpaceDE w:val="0"/>
              <w:autoSpaceDN w:val="0"/>
              <w:adjustRightInd w:val="0"/>
              <w:jc w:val="both"/>
              <w:rPr>
                <w:sz w:val="20"/>
                <w:lang w:eastAsia="sk-SK"/>
              </w:rPr>
            </w:pPr>
            <w:r w:rsidRPr="00503A51">
              <w:rPr>
                <w:sz w:val="20"/>
                <w:lang w:eastAsia="sk-SK"/>
              </w:rPr>
              <w:t>trvania, pričom zohľadní:</w:t>
            </w:r>
          </w:p>
          <w:p w:rsidR="00C751EE" w:rsidRPr="00503A51" w:rsidP="00C751EE">
            <w:pPr>
              <w:autoSpaceDE w:val="0"/>
              <w:autoSpaceDN w:val="0"/>
              <w:adjustRightInd w:val="0"/>
              <w:jc w:val="both"/>
              <w:rPr>
                <w:sz w:val="20"/>
                <w:lang w:eastAsia="sk-SK"/>
              </w:rPr>
            </w:pPr>
            <w:r w:rsidRPr="00503A51">
              <w:rPr>
                <w:sz w:val="20"/>
                <w:lang w:eastAsia="sk-SK"/>
              </w:rPr>
              <w:t>a) potrebu vyhnúť sa sociálno-ekonomickým problémom vyplývajúcim z vyššieho tlaku pár vrátane časovo obmedzenej potreby technickej úpravy a</w:t>
            </w:r>
          </w:p>
          <w:p w:rsidR="00C751EE" w:rsidRPr="00503A51" w:rsidP="00C751EE">
            <w:pPr>
              <w:autoSpaceDE w:val="0"/>
              <w:autoSpaceDN w:val="0"/>
              <w:adjustRightInd w:val="0"/>
              <w:jc w:val="both"/>
              <w:rPr>
                <w:sz w:val="20"/>
                <w:lang w:eastAsia="sk-SK"/>
              </w:rPr>
            </w:pPr>
            <w:r w:rsidRPr="00503A51">
              <w:rPr>
                <w:sz w:val="20"/>
                <w:lang w:eastAsia="sk-SK"/>
              </w:rPr>
              <w:t>b) vplyvy vyššieho tlaku pár na životné prostredie a zdravie občanov, a najmä jeho vplyv na súlad s právnymi predpismi Spoločenstva o kvalite ovzdušia tak v príslušnom členskom štáte, ako aj v iných členských štátoch.</w:t>
            </w:r>
          </w:p>
          <w:p w:rsidR="00C751EE" w:rsidRPr="00503A51" w:rsidP="00C751EE">
            <w:pPr>
              <w:autoSpaceDE w:val="0"/>
              <w:autoSpaceDN w:val="0"/>
              <w:adjustRightInd w:val="0"/>
              <w:jc w:val="both"/>
              <w:rPr>
                <w:sz w:val="20"/>
                <w:lang w:eastAsia="sk-SK"/>
              </w:rPr>
            </w:pPr>
            <w:r w:rsidRPr="00503A51">
              <w:rPr>
                <w:sz w:val="20"/>
                <w:lang w:eastAsia="sk-SK"/>
              </w:rPr>
              <w:t>Ak z hodnotenia Komisie vyplynie, že výnimka bude mať za následok nesúlad s právnymi predpismi Spoločenstva o kvalite ovzdušia alebo znečistení ovzdušia vrátane príslušných limitných hodnôt a emisných stropov, žiadosť sa zamietne. Komisia by takisto mala zohľadniť príslušné cieľové hodnoty.</w:t>
            </w:r>
          </w:p>
          <w:p w:rsidR="00C751EE" w:rsidRPr="00503A51" w:rsidP="00C751EE">
            <w:pPr>
              <w:autoSpaceDE w:val="0"/>
              <w:autoSpaceDN w:val="0"/>
              <w:adjustRightInd w:val="0"/>
              <w:jc w:val="both"/>
              <w:rPr>
                <w:sz w:val="20"/>
                <w:lang w:eastAsia="sk-SK"/>
              </w:rPr>
            </w:pPr>
            <w:r w:rsidRPr="00503A51">
              <w:rPr>
                <w:sz w:val="20"/>
                <w:lang w:eastAsia="sk-SK"/>
              </w:rPr>
              <w:t>V prípade, že Komisia do šiestich mesiacov od prijatia všetkých príslušných informácií nevznesie žiadnu námietku, daný členský štát môže začať uplatňovať požadovanú výnimku.</w:t>
            </w:r>
          </w:p>
          <w:p w:rsidR="00C751EE" w:rsidRPr="00503A51" w:rsidP="00C751EE">
            <w:pPr>
              <w:autoSpaceDE w:val="0"/>
              <w:autoSpaceDN w:val="0"/>
              <w:adjustRightInd w:val="0"/>
              <w:jc w:val="both"/>
              <w:rPr>
                <w:i/>
                <w:sz w:val="20"/>
              </w:rPr>
            </w:pPr>
          </w:p>
        </w:tc>
        <w:tc>
          <w:tcPr>
            <w:tcW w:w="567" w:type="dxa"/>
            <w:tcBorders>
              <w:top w:val="single" w:sz="4" w:space="0" w:color="auto"/>
              <w:bottom w:val="single" w:sz="4" w:space="0" w:color="auto"/>
            </w:tcBorders>
          </w:tcPr>
          <w:p w:rsidR="00B16EB9" w:rsidRPr="00503A51" w:rsidP="00C751EE">
            <w:pPr>
              <w:jc w:val="both"/>
              <w:rPr>
                <w:sz w:val="20"/>
              </w:rPr>
            </w:pPr>
            <w:r w:rsidRPr="00503A51" w:rsidR="00C57416">
              <w:rPr>
                <w:sz w:val="20"/>
              </w:rPr>
              <w:t>D</w:t>
            </w:r>
          </w:p>
        </w:tc>
        <w:tc>
          <w:tcPr>
            <w:tcW w:w="1276" w:type="dxa"/>
            <w:tcBorders>
              <w:top w:val="single" w:sz="4" w:space="0" w:color="auto"/>
              <w:bottom w:val="single" w:sz="4" w:space="0" w:color="auto"/>
            </w:tcBorders>
          </w:tcPr>
          <w:p w:rsidR="00C751EE" w:rsidRPr="00F74B61" w:rsidP="00C751EE">
            <w:pPr>
              <w:jc w:val="center"/>
              <w:rPr>
                <w:sz w:val="20"/>
              </w:rPr>
            </w:pPr>
            <w:r w:rsidR="00B16EB9">
              <w:rPr>
                <w:sz w:val="20"/>
              </w:rPr>
              <w:t>NV</w:t>
            </w:r>
            <w:r w:rsidR="00B16EB9">
              <w:rPr>
                <w:sz w:val="20"/>
              </w:rPr>
              <w:t>1</w:t>
            </w:r>
          </w:p>
        </w:tc>
        <w:tc>
          <w:tcPr>
            <w:tcW w:w="709" w:type="dxa"/>
            <w:tcBorders>
              <w:top w:val="single" w:sz="4" w:space="0" w:color="auto"/>
              <w:bottom w:val="single" w:sz="4" w:space="0" w:color="auto"/>
            </w:tcBorders>
          </w:tcPr>
          <w:p w:rsidR="00C751EE" w:rsidP="00C751EE">
            <w:pPr>
              <w:pStyle w:val="BodyText21"/>
            </w:pPr>
            <w:r w:rsidR="00E85020">
              <w:t>Príloha</w:t>
            </w:r>
            <w:r w:rsidRPr="00C57416" w:rsidR="00B16EB9">
              <w:t xml:space="preserve"> č.1</w:t>
            </w:r>
          </w:p>
          <w:p w:rsidR="00E85020" w:rsidRPr="00C57416" w:rsidP="00C751EE">
            <w:pPr>
              <w:pStyle w:val="BodyText21"/>
            </w:pPr>
            <w:r>
              <w:t>P8</w:t>
            </w:r>
          </w:p>
        </w:tc>
        <w:tc>
          <w:tcPr>
            <w:tcW w:w="4110" w:type="dxa"/>
            <w:tcBorders>
              <w:top w:val="single" w:sz="4" w:space="0" w:color="auto"/>
              <w:bottom w:val="single" w:sz="4" w:space="0" w:color="auto"/>
            </w:tcBorders>
          </w:tcPr>
          <w:p w:rsidR="00B16EB9" w:rsidRPr="004E5933" w:rsidP="00B16EB9">
            <w:pPr>
              <w:pStyle w:val="BodyTextIndent"/>
              <w:rPr>
                <w:color w:val="000000"/>
                <w:lang w:eastAsia="sk-SK"/>
              </w:rPr>
            </w:pPr>
            <w:r w:rsidRPr="004E5933">
              <w:rPr>
                <w:color w:val="000000"/>
                <w:lang w:eastAsia="sk-SK"/>
              </w:rPr>
              <w:t>8. KVALITA PALÍV podľa § 36 zákona</w:t>
            </w:r>
          </w:p>
          <w:tbl>
            <w:tblPr>
              <w:tblStyle w:val="TableNorm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
            <w:tblGrid>
              <w:gridCol w:w="1248"/>
              <w:gridCol w:w="1584"/>
              <w:gridCol w:w="1122"/>
            </w:tblGrid>
            <w:tr w:rsidTr="00B16EB9">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Ex>
              <w:trPr>
                <w:jc w:val="center"/>
              </w:trPr>
              <w:tc>
                <w:tcPr>
                  <w:tcW w:w="13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B16EB9" w:rsidRPr="008F4AC7" w:rsidP="00B16EB9">
                  <w:pPr>
                    <w:rPr>
                      <w:rFonts w:eastAsia="Trebuchet MS"/>
                      <w:sz w:val="20"/>
                    </w:rPr>
                  </w:pPr>
                  <w:r w:rsidRPr="008F4AC7">
                    <w:rPr>
                      <w:rFonts w:eastAsia="Trebuchet MS"/>
                      <w:sz w:val="20"/>
                      <w:lang w:eastAsia="zh-CN" w:bidi="ar"/>
                    </w:rPr>
                    <w:t>Oznámenie o uplatňovaní výnimiek pre tlak pár</w:t>
                  </w:r>
                </w:p>
              </w:tc>
              <w:tc>
                <w:tcPr>
                  <w:tcW w:w="170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B16EB9" w:rsidRPr="004E5933" w:rsidP="00B16EB9">
                  <w:pPr>
                    <w:rPr>
                      <w:rFonts w:eastAsia="Trebuchet MS"/>
                      <w:sz w:val="20"/>
                    </w:rPr>
                  </w:pPr>
                  <w:r w:rsidRPr="004E5933">
                    <w:rPr>
                      <w:rFonts w:eastAsia="Trebuchet MS"/>
                      <w:sz w:val="20"/>
                      <w:lang w:eastAsia="zh-CN" w:bidi="ar"/>
                    </w:rPr>
                    <w:t>Oznámenie a poskytnutie príslušných informácií potrebných</w:t>
                    <w:br/>
                    <w:t>na možnosť využitia výnimiek pre tlak pár v letnom období.</w:t>
                  </w:r>
                </w:p>
              </w:tc>
              <w:tc>
                <w:tcPr>
                  <w:tcW w:w="120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B16EB9" w:rsidRPr="004E5933" w:rsidP="00B16EB9">
                  <w:pPr>
                    <w:rPr>
                      <w:rFonts w:eastAsia="Trebuchet MS"/>
                      <w:sz w:val="20"/>
                    </w:rPr>
                  </w:pPr>
                  <w:r w:rsidRPr="004E5933">
                    <w:rPr>
                      <w:rFonts w:eastAsia="Trebuchet MS"/>
                      <w:sz w:val="20"/>
                      <w:lang w:eastAsia="zh-CN" w:bidi="ar"/>
                    </w:rPr>
                    <w:t>Bezodkladne</w:t>
                  </w:r>
                </w:p>
              </w:tc>
            </w:tr>
          </w:tbl>
          <w:p w:rsidR="00B16EB9" w:rsidRPr="004E5933" w:rsidP="00C751EE">
            <w:pPr>
              <w:pStyle w:val="BodyTextIndent"/>
              <w:rPr>
                <w:color w:val="auto"/>
              </w:rPr>
            </w:pPr>
          </w:p>
        </w:tc>
        <w:tc>
          <w:tcPr>
            <w:tcW w:w="709" w:type="dxa"/>
            <w:tcBorders>
              <w:top w:val="single" w:sz="4" w:space="0" w:color="auto"/>
              <w:bottom w:val="single" w:sz="4" w:space="0" w:color="auto"/>
            </w:tcBorders>
          </w:tcPr>
          <w:p w:rsidR="00C751EE" w:rsidRPr="00F74B61" w:rsidP="00C751EE">
            <w:pPr>
              <w:jc w:val="both"/>
              <w:rPr>
                <w:sz w:val="20"/>
              </w:rPr>
            </w:pPr>
            <w:r w:rsidR="00B16EB9">
              <w:rPr>
                <w:sz w:val="20"/>
              </w:rPr>
              <w:t>Ú</w:t>
            </w:r>
          </w:p>
        </w:tc>
        <w:tc>
          <w:tcPr>
            <w:tcW w:w="1701" w:type="dxa"/>
            <w:tcBorders>
              <w:top w:val="single" w:sz="4" w:space="0" w:color="auto"/>
              <w:bottom w:val="single" w:sz="4" w:space="0" w:color="auto"/>
            </w:tcBorders>
          </w:tcPr>
          <w:p w:rsidR="00555AE2" w:rsidRPr="00F74B61" w:rsidP="00C751EE">
            <w:pPr>
              <w:jc w:val="both"/>
              <w:rPr>
                <w:sz w:val="20"/>
              </w:rPr>
            </w:pPr>
          </w:p>
        </w:tc>
      </w:tr>
      <w:tr w:rsidTr="002E524C">
        <w:tblPrEx>
          <w:tblW w:w="14954" w:type="dxa"/>
          <w:tblLayout w:type="fixed"/>
          <w:tblCellMar>
            <w:left w:w="70" w:type="dxa"/>
            <w:right w:w="70" w:type="dxa"/>
          </w:tblCellMar>
          <w:tblLook w:val="0000"/>
        </w:tblPrEx>
        <w:trPr>
          <w:trHeight w:val="487"/>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Č3</w:t>
            </w:r>
          </w:p>
          <w:p w:rsidR="00C751EE" w:rsidRPr="00F74B61" w:rsidP="00C751EE">
            <w:pPr>
              <w:jc w:val="both"/>
              <w:rPr>
                <w:sz w:val="20"/>
              </w:rPr>
            </w:pPr>
            <w:r w:rsidRPr="00F74B61">
              <w:rPr>
                <w:sz w:val="20"/>
              </w:rPr>
              <w:t>O6</w:t>
            </w:r>
          </w:p>
          <w:p w:rsidR="00C751EE" w:rsidRPr="00F74B61" w:rsidP="00C751EE">
            <w:pPr>
              <w:jc w:val="both"/>
              <w:rPr>
                <w:sz w:val="20"/>
              </w:rPr>
            </w:pP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i/>
                <w:sz w:val="20"/>
              </w:rPr>
            </w:pPr>
            <w:r w:rsidRPr="00F74B61">
              <w:rPr>
                <w:sz w:val="20"/>
                <w:lang w:eastAsia="sk-SK"/>
              </w:rPr>
              <w:t>6. Bez ohľadu na odsek 1 môžu členské štáty naďalej povoľovať</w:t>
            </w:r>
            <w:r>
              <w:rPr>
                <w:sz w:val="20"/>
                <w:lang w:eastAsia="sk-SK"/>
              </w:rPr>
              <w:t xml:space="preserve"> </w:t>
            </w:r>
            <w:r w:rsidRPr="00F74B61">
              <w:rPr>
                <w:sz w:val="20"/>
                <w:lang w:eastAsia="sk-SK"/>
              </w:rPr>
              <w:t>uvádzanie malých množstiev olovnatého automobilového benzínu</w:t>
            </w:r>
            <w:r>
              <w:rPr>
                <w:sz w:val="20"/>
                <w:lang w:eastAsia="sk-SK"/>
              </w:rPr>
              <w:t xml:space="preserve"> </w:t>
            </w:r>
            <w:r w:rsidRPr="00F74B61">
              <w:rPr>
                <w:sz w:val="20"/>
                <w:lang w:eastAsia="sk-SK"/>
              </w:rPr>
              <w:t>s obsahom olova do 0,15 g/l na trh, a to najviac do 0,03 %</w:t>
            </w:r>
            <w:r>
              <w:rPr>
                <w:sz w:val="20"/>
                <w:lang w:eastAsia="sk-SK"/>
              </w:rPr>
              <w:t xml:space="preserve"> </w:t>
            </w:r>
            <w:r w:rsidRPr="00F74B61">
              <w:rPr>
                <w:sz w:val="20"/>
                <w:lang w:eastAsia="sk-SK"/>
              </w:rPr>
              <w:t>z celkového predaja na použitie v starých vozidlách</w:t>
            </w:r>
            <w:r>
              <w:rPr>
                <w:sz w:val="20"/>
                <w:lang w:eastAsia="sk-SK"/>
              </w:rPr>
              <w:t xml:space="preserve"> </w:t>
            </w:r>
            <w:r w:rsidRPr="00F74B61">
              <w:rPr>
                <w:sz w:val="20"/>
                <w:lang w:eastAsia="sk-SK"/>
              </w:rPr>
              <w:t>s charakteristickými vlastnosťami a na distribúciu prostredníctvom</w:t>
            </w:r>
            <w:r>
              <w:rPr>
                <w:sz w:val="20"/>
                <w:lang w:eastAsia="sk-SK"/>
              </w:rPr>
              <w:t xml:space="preserve"> </w:t>
            </w:r>
            <w:r w:rsidRPr="00F74B61">
              <w:rPr>
                <w:sz w:val="20"/>
                <w:lang w:eastAsia="sk-SK"/>
              </w:rPr>
              <w:t>špeciálnych záujmových skupín.</w:t>
            </w:r>
          </w:p>
        </w:tc>
        <w:tc>
          <w:tcPr>
            <w:tcW w:w="567" w:type="dxa"/>
            <w:tcBorders>
              <w:top w:val="single" w:sz="4" w:space="0" w:color="auto"/>
              <w:bottom w:val="single" w:sz="4" w:space="0" w:color="auto"/>
            </w:tcBorders>
          </w:tcPr>
          <w:p w:rsidR="00C751EE" w:rsidRPr="00F74B61" w:rsidP="00C751EE">
            <w:pPr>
              <w:jc w:val="both"/>
              <w:rPr>
                <w:sz w:val="20"/>
              </w:rPr>
            </w:pPr>
            <w:r>
              <w:rPr>
                <w:sz w:val="20"/>
              </w:rPr>
              <w:t>D</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BodyTextIndent"/>
              <w:rPr>
                <w:color w:val="auto"/>
                <w:highlight w:val="yellow"/>
              </w:rPr>
            </w:pPr>
          </w:p>
        </w:tc>
        <w:tc>
          <w:tcPr>
            <w:tcW w:w="709" w:type="dxa"/>
            <w:tcBorders>
              <w:top w:val="single" w:sz="4" w:space="0" w:color="auto"/>
              <w:bottom w:val="single" w:sz="4" w:space="0" w:color="auto"/>
            </w:tcBorders>
          </w:tcPr>
          <w:p w:rsidR="00C751EE" w:rsidRPr="00F74B61" w:rsidP="00C751EE">
            <w:pPr>
              <w:jc w:val="both"/>
              <w:rPr>
                <w:sz w:val="20"/>
              </w:rPr>
            </w:pPr>
            <w:r>
              <w:rPr>
                <w:sz w:val="20"/>
              </w:rPr>
              <w:t>Ž</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552"/>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Č4</w:t>
            </w:r>
          </w:p>
          <w:p w:rsidR="00C751EE" w:rsidRPr="00F74B61" w:rsidP="00C751EE">
            <w:pPr>
              <w:jc w:val="both"/>
              <w:rPr>
                <w:sz w:val="20"/>
              </w:rPr>
            </w:pPr>
            <w:r w:rsidRPr="00F74B61">
              <w:rPr>
                <w:sz w:val="20"/>
              </w:rPr>
              <w:t>O1</w:t>
            </w:r>
          </w:p>
        </w:tc>
        <w:tc>
          <w:tcPr>
            <w:tcW w:w="5245" w:type="dxa"/>
            <w:tcBorders>
              <w:top w:val="single" w:sz="4" w:space="0" w:color="auto"/>
              <w:bottom w:val="single" w:sz="4" w:space="0" w:color="auto"/>
              <w:right w:val="single" w:sz="4" w:space="0" w:color="auto"/>
            </w:tcBorders>
          </w:tcPr>
          <w:p w:rsidR="00C751EE" w:rsidRPr="00F74B61" w:rsidP="00C751EE">
            <w:pPr>
              <w:tabs>
                <w:tab w:val="left" w:pos="880"/>
              </w:tabs>
              <w:jc w:val="both"/>
              <w:rPr>
                <w:sz w:val="20"/>
                <w:lang w:eastAsia="sk-SK"/>
              </w:rPr>
            </w:pPr>
            <w:r w:rsidRPr="00F74B61">
              <w:rPr>
                <w:sz w:val="20"/>
                <w:lang w:eastAsia="sk-SK"/>
              </w:rPr>
              <w:t>Článok 4</w:t>
            </w:r>
          </w:p>
          <w:p w:rsidR="00C751EE" w:rsidRPr="00F74B61" w:rsidP="00C751EE">
            <w:pPr>
              <w:pStyle w:val="BodyTextIndent2"/>
              <w:tabs>
                <w:tab w:val="left" w:pos="330"/>
                <w:tab w:val="left" w:pos="770"/>
              </w:tabs>
              <w:ind w:left="770" w:hanging="770"/>
              <w:jc w:val="both"/>
              <w:rPr>
                <w:lang w:eastAsia="sk-SK"/>
              </w:rPr>
            </w:pPr>
            <w:r w:rsidRPr="00F74B61">
              <w:rPr>
                <w:lang w:eastAsia="sk-SK"/>
              </w:rPr>
              <w:t>Motorová nafta</w:t>
            </w:r>
          </w:p>
          <w:p w:rsidR="00C751EE" w:rsidRPr="00F74B61" w:rsidP="00C751EE">
            <w:pPr>
              <w:autoSpaceDE w:val="0"/>
              <w:autoSpaceDN w:val="0"/>
              <w:adjustRightInd w:val="0"/>
              <w:jc w:val="both"/>
              <w:rPr>
                <w:sz w:val="20"/>
                <w:lang w:eastAsia="sk-SK"/>
              </w:rPr>
            </w:pPr>
            <w:r w:rsidRPr="00F74B61">
              <w:rPr>
                <w:sz w:val="20"/>
                <w:lang w:eastAsia="sk-SK"/>
              </w:rPr>
              <w:t>1. Členské štáty zabezpečia, aby sa motorová nafta mohla na ich</w:t>
            </w:r>
            <w:r>
              <w:rPr>
                <w:sz w:val="20"/>
                <w:lang w:eastAsia="sk-SK"/>
              </w:rPr>
              <w:t xml:space="preserve"> </w:t>
            </w:r>
            <w:r w:rsidRPr="00F74B61">
              <w:rPr>
                <w:sz w:val="20"/>
                <w:lang w:eastAsia="sk-SK"/>
              </w:rPr>
              <w:t>území uvádzať na trh, len ak spĺňa špecifikácie uvedené v prílohe II.</w:t>
            </w:r>
          </w:p>
          <w:p w:rsidR="00C751EE" w:rsidRPr="00F74B61" w:rsidP="00C751EE">
            <w:pPr>
              <w:autoSpaceDE w:val="0"/>
              <w:autoSpaceDN w:val="0"/>
              <w:adjustRightInd w:val="0"/>
              <w:jc w:val="both"/>
              <w:rPr>
                <w:sz w:val="20"/>
                <w:lang w:eastAsia="sk-SK"/>
              </w:rPr>
            </w:pPr>
          </w:p>
          <w:p w:rsidR="00C751EE" w:rsidRPr="00F74B61" w:rsidP="00C751EE">
            <w:pPr>
              <w:autoSpaceDE w:val="0"/>
              <w:autoSpaceDN w:val="0"/>
              <w:adjustRightInd w:val="0"/>
              <w:jc w:val="both"/>
              <w:rPr>
                <w:sz w:val="20"/>
                <w:lang w:eastAsia="sk-SK"/>
              </w:rPr>
            </w:pPr>
            <w:r w:rsidRPr="00F74B61">
              <w:rPr>
                <w:sz w:val="20"/>
                <w:lang w:eastAsia="sk-SK"/>
              </w:rPr>
              <w:t>Bez ohľadu na požiadavky prílohy II členské štáty môžu povoliť, aby sa na trh uvádzala motorová nafta s obsahom metylesteru mastných kyselín (FAME) vyšším ako 7 %.</w:t>
            </w:r>
          </w:p>
          <w:p w:rsidR="00C751EE" w:rsidRPr="00F74B61" w:rsidP="00C751EE">
            <w:pPr>
              <w:autoSpaceDE w:val="0"/>
              <w:autoSpaceDN w:val="0"/>
              <w:adjustRightInd w:val="0"/>
              <w:jc w:val="both"/>
              <w:rPr>
                <w:sz w:val="20"/>
                <w:lang w:eastAsia="sk-SK"/>
              </w:rPr>
            </w:pPr>
          </w:p>
          <w:p w:rsidR="00C751EE" w:rsidP="00C751EE">
            <w:pPr>
              <w:autoSpaceDE w:val="0"/>
              <w:autoSpaceDN w:val="0"/>
              <w:adjustRightInd w:val="0"/>
              <w:jc w:val="both"/>
              <w:rPr>
                <w:sz w:val="20"/>
                <w:lang w:eastAsia="sk-SK"/>
              </w:rPr>
            </w:pPr>
          </w:p>
          <w:p w:rsidR="00C751EE" w:rsidP="00C751EE">
            <w:pPr>
              <w:autoSpaceDE w:val="0"/>
              <w:autoSpaceDN w:val="0"/>
              <w:adjustRightInd w:val="0"/>
              <w:jc w:val="both"/>
              <w:rPr>
                <w:sz w:val="20"/>
                <w:lang w:eastAsia="sk-SK"/>
              </w:rPr>
            </w:pPr>
          </w:p>
          <w:p w:rsidR="00573532" w:rsidP="00C751EE">
            <w:pPr>
              <w:autoSpaceDE w:val="0"/>
              <w:autoSpaceDN w:val="0"/>
              <w:adjustRightInd w:val="0"/>
              <w:jc w:val="both"/>
              <w:rPr>
                <w:sz w:val="20"/>
                <w:lang w:eastAsia="sk-SK"/>
              </w:rPr>
            </w:pPr>
          </w:p>
          <w:p w:rsidR="00C751EE" w:rsidP="00C751EE">
            <w:pPr>
              <w:autoSpaceDE w:val="0"/>
              <w:autoSpaceDN w:val="0"/>
              <w:adjustRightInd w:val="0"/>
              <w:jc w:val="both"/>
              <w:rPr>
                <w:sz w:val="20"/>
                <w:lang w:eastAsia="sk-SK"/>
              </w:rPr>
            </w:pPr>
          </w:p>
          <w:p w:rsidR="00C751EE" w:rsidRPr="00F74B61" w:rsidP="00C751EE">
            <w:pPr>
              <w:autoSpaceDE w:val="0"/>
              <w:autoSpaceDN w:val="0"/>
              <w:adjustRightInd w:val="0"/>
              <w:jc w:val="both"/>
              <w:rPr>
                <w:sz w:val="20"/>
                <w:lang w:eastAsia="sk-SK"/>
              </w:rPr>
            </w:pPr>
            <w:r w:rsidRPr="00573532">
              <w:rPr>
                <w:sz w:val="20"/>
                <w:lang w:eastAsia="sk-SK"/>
              </w:rPr>
              <w:t>Členské štáty zabezpečia, aby sa spotrebiteľom poskytli náležité informácie o obsahu biopaliva, najmä FAME, v</w:t>
            </w:r>
            <w:r w:rsidRPr="00573532">
              <w:rPr>
                <w:sz w:val="20"/>
                <w:lang w:eastAsia="sk-SK"/>
              </w:rPr>
              <w:t xml:space="preserve"> motorovej nafte.</w:t>
            </w:r>
          </w:p>
          <w:p w:rsidR="00C751EE" w:rsidP="00C751EE">
            <w:pPr>
              <w:autoSpaceDE w:val="0"/>
              <w:autoSpaceDN w:val="0"/>
              <w:adjustRightInd w:val="0"/>
              <w:jc w:val="both"/>
              <w:rPr>
                <w:sz w:val="20"/>
                <w:lang w:eastAsia="sk-SK"/>
              </w:rPr>
            </w:pPr>
          </w:p>
          <w:p w:rsidR="00C17886" w:rsidRPr="00F74B61" w:rsidP="00C751EE">
            <w:pPr>
              <w:autoSpaceDE w:val="0"/>
              <w:autoSpaceDN w:val="0"/>
              <w:adjustRightInd w:val="0"/>
              <w:jc w:val="both"/>
              <w:rPr>
                <w:sz w:val="20"/>
                <w:lang w:eastAsia="sk-SK"/>
              </w:rPr>
            </w:pPr>
          </w:p>
        </w:tc>
        <w:tc>
          <w:tcPr>
            <w:tcW w:w="567" w:type="dxa"/>
            <w:tcBorders>
              <w:top w:val="single" w:sz="4" w:space="0" w:color="auto"/>
              <w:left w:val="single" w:sz="4" w:space="0" w:color="auto"/>
              <w:bottom w:val="single" w:sz="4" w:space="0" w:color="auto"/>
            </w:tcBorders>
          </w:tcPr>
          <w:p w:rsidR="00C751EE" w:rsidRPr="00F74B61" w:rsidP="00C751EE">
            <w:pPr>
              <w:jc w:val="both"/>
              <w:rPr>
                <w:sz w:val="20"/>
              </w:rPr>
            </w:pPr>
            <w:r w:rsidRPr="00F74B61">
              <w:rPr>
                <w:sz w:val="20"/>
              </w:rPr>
              <w:t>N</w:t>
            </w:r>
          </w:p>
          <w:p w:rsidR="00C751EE" w:rsidRPr="00F74B61" w:rsidP="00C751EE">
            <w:pPr>
              <w:jc w:val="both"/>
              <w:rPr>
                <w:sz w:val="20"/>
              </w:rPr>
            </w:pPr>
          </w:p>
          <w:p w:rsidR="00C751EE" w:rsidRPr="00F74B61" w:rsidP="00C751EE">
            <w:pPr>
              <w:jc w:val="both"/>
              <w:rPr>
                <w:sz w:val="20"/>
              </w:rPr>
            </w:pP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r w:rsidRPr="00F74B61">
              <w:t>§5</w:t>
            </w:r>
          </w:p>
          <w:p w:rsidR="00C751EE" w:rsidRPr="00F74B61" w:rsidP="00C751EE">
            <w:pPr>
              <w:pStyle w:val="BodyText21"/>
              <w:spacing w:before="0"/>
            </w:pPr>
            <w:r>
              <w:t>O2</w:t>
            </w:r>
          </w:p>
          <w:p w:rsidR="00C751EE" w:rsidRPr="00F74B61" w:rsidP="00C751EE">
            <w:pPr>
              <w:pStyle w:val="BodyText21"/>
              <w:spacing w:before="0"/>
            </w:pPr>
          </w:p>
          <w:p w:rsidR="00C751EE" w:rsidP="00C751EE">
            <w:pPr>
              <w:pStyle w:val="BodyText21"/>
              <w:spacing w:before="0"/>
            </w:pPr>
          </w:p>
          <w:p w:rsidR="00AB26A0" w:rsidP="00C751EE">
            <w:pPr>
              <w:pStyle w:val="BodyText21"/>
              <w:spacing w:before="0"/>
            </w:pPr>
          </w:p>
          <w:p w:rsidR="00AB26A0" w:rsidRPr="00F74B61" w:rsidP="00C751EE">
            <w:pPr>
              <w:pStyle w:val="BodyText21"/>
              <w:spacing w:before="0"/>
            </w:pPr>
          </w:p>
          <w:p w:rsidR="00C751EE" w:rsidRPr="00F74B61" w:rsidP="00C751EE">
            <w:pPr>
              <w:pStyle w:val="BodyText21"/>
              <w:spacing w:before="0"/>
            </w:pPr>
            <w:r w:rsidRPr="00F74B61">
              <w:t>§</w:t>
            </w:r>
            <w:r w:rsidR="004E5933">
              <w:t>5</w:t>
            </w:r>
          </w:p>
          <w:p w:rsidR="00C751EE" w:rsidP="00C751EE">
            <w:pPr>
              <w:pStyle w:val="BodyText21"/>
              <w:spacing w:before="0"/>
            </w:pPr>
            <w:r>
              <w:t>O3</w:t>
            </w:r>
          </w:p>
          <w:p w:rsidR="00C751EE" w:rsidP="00C751EE">
            <w:pPr>
              <w:pStyle w:val="BodyText21"/>
              <w:spacing w:before="0"/>
            </w:pPr>
          </w:p>
          <w:p w:rsidR="00C751EE" w:rsidP="00C751EE">
            <w:pPr>
              <w:pStyle w:val="BodyText21"/>
              <w:spacing w:before="0"/>
            </w:pPr>
          </w:p>
          <w:p w:rsidR="00C751EE" w:rsidP="00C751EE">
            <w:pPr>
              <w:pStyle w:val="BodyText21"/>
              <w:spacing w:before="0"/>
            </w:pPr>
          </w:p>
          <w:p w:rsidR="00C751EE" w:rsidP="00C751EE">
            <w:pPr>
              <w:pStyle w:val="BodyText21"/>
              <w:spacing w:before="0"/>
            </w:pPr>
          </w:p>
          <w:p w:rsidR="004E5933"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r w:rsidR="00225FBA">
              <w:t>§12</w:t>
            </w:r>
          </w:p>
          <w:p w:rsidR="00C751EE" w:rsidRPr="00F74B61" w:rsidP="00C751EE">
            <w:pPr>
              <w:pStyle w:val="BodyText21"/>
              <w:spacing w:before="0"/>
            </w:pPr>
            <w:r w:rsidRPr="002479F2">
              <w:t>O</w:t>
            </w:r>
            <w:r>
              <w:t>8</w:t>
            </w:r>
          </w:p>
        </w:tc>
        <w:tc>
          <w:tcPr>
            <w:tcW w:w="4110" w:type="dxa"/>
            <w:tcBorders>
              <w:top w:val="single" w:sz="4" w:space="0" w:color="auto"/>
              <w:bottom w:val="single" w:sz="4" w:space="0" w:color="auto"/>
            </w:tcBorders>
          </w:tcPr>
          <w:p w:rsidR="00C751EE" w:rsidRPr="004E5933" w:rsidP="00C751EE">
            <w:pPr>
              <w:pStyle w:val="odsek1"/>
              <w:numPr>
                <w:ilvl w:val="0"/>
                <w:numId w:val="0"/>
              </w:numPr>
              <w:rPr>
                <w:rFonts w:eastAsia="Times New Roman"/>
                <w:sz w:val="20"/>
                <w:szCs w:val="20"/>
                <w:lang w:eastAsia="sk-SK"/>
              </w:rPr>
            </w:pPr>
            <w:r w:rsidRPr="004E5933">
              <w:rPr>
                <w:rFonts w:eastAsia="Times New Roman"/>
                <w:sz w:val="20"/>
                <w:szCs w:val="20"/>
                <w:lang w:eastAsia="sk-SK"/>
              </w:rPr>
              <w:t xml:space="preserve">(2) </w:t>
            </w:r>
            <w:r w:rsidRPr="004E5933" w:rsidR="00225FBA">
              <w:rPr>
                <w:rFonts w:eastAsia="Times New Roman"/>
                <w:sz w:val="20"/>
                <w:szCs w:val="20"/>
                <w:lang w:eastAsia="sk-SK"/>
              </w:rPr>
              <w:t xml:space="preserve">Motorová nafta musí spĺňať požiadavky </w:t>
            </w:r>
            <w:r w:rsidRPr="004E5933" w:rsidR="004E5933">
              <w:rPr>
                <w:rFonts w:eastAsia="Times New Roman"/>
                <w:sz w:val="20"/>
                <w:szCs w:val="20"/>
                <w:lang w:eastAsia="sk-SK"/>
              </w:rPr>
              <w:t>uvedené v prílohe č. 2, okrem výnimky podľa odseku 3.</w:t>
            </w:r>
          </w:p>
          <w:p w:rsidR="00C751EE" w:rsidRPr="004E5933" w:rsidP="00C751EE">
            <w:pPr>
              <w:jc w:val="both"/>
              <w:rPr>
                <w:sz w:val="20"/>
                <w:lang w:eastAsia="sk-SK"/>
              </w:rPr>
            </w:pPr>
          </w:p>
          <w:p w:rsidR="00C751EE" w:rsidRPr="004E5933" w:rsidP="00C751EE">
            <w:pPr>
              <w:jc w:val="both"/>
              <w:rPr>
                <w:rFonts w:ascii="EUAlbertina" w:hAnsi="EUAlbertina" w:cs="EUAlbertina"/>
                <w:color w:val="000000"/>
                <w:sz w:val="20"/>
                <w:lang w:eastAsia="sk-SK"/>
              </w:rPr>
            </w:pPr>
          </w:p>
          <w:p w:rsidR="00C751EE" w:rsidRPr="004E5933" w:rsidP="00C751EE">
            <w:pPr>
              <w:pStyle w:val="odsek1"/>
              <w:numPr>
                <w:ilvl w:val="0"/>
                <w:numId w:val="0"/>
              </w:numPr>
              <w:rPr>
                <w:rFonts w:eastAsia="Times New Roman"/>
                <w:sz w:val="20"/>
                <w:szCs w:val="20"/>
                <w:lang w:eastAsia="sk-SK"/>
              </w:rPr>
            </w:pPr>
            <w:r w:rsidRPr="004E5933">
              <w:rPr>
                <w:rFonts w:eastAsia="Times New Roman"/>
                <w:sz w:val="20"/>
                <w:szCs w:val="20"/>
                <w:lang w:eastAsia="sk-SK"/>
              </w:rPr>
              <w:t xml:space="preserve">(3) </w:t>
            </w:r>
            <w:r w:rsidRPr="004E5933" w:rsidR="00225FBA">
              <w:rPr>
                <w:rFonts w:eastAsia="Times New Roman"/>
                <w:sz w:val="20"/>
                <w:szCs w:val="20"/>
                <w:lang w:eastAsia="sk-SK"/>
              </w:rPr>
              <w:t>Motorová nafta môže mať vyšší obsah metylesterov mastných kyselín, ako je požiadavka uvedená v prílohe č. 2, ak nemá vyšší obsah metylesterov mastných kyselín, ako možno v danom vznetovom motore spaľovať podľa dokumentácie jeho výrobcu, a objedná si ho prevádzkovateľ zdroja</w:t>
            </w:r>
            <w:r w:rsidRPr="004E5933">
              <w:rPr>
                <w:rFonts w:eastAsia="Times New Roman"/>
                <w:sz w:val="20"/>
                <w:szCs w:val="20"/>
                <w:lang w:eastAsia="sk-SK"/>
              </w:rPr>
              <w:t xml:space="preserve">. </w:t>
            </w:r>
          </w:p>
          <w:p w:rsidR="00C751EE" w:rsidRPr="004E5933" w:rsidP="00C751EE">
            <w:pPr>
              <w:jc w:val="both"/>
              <w:rPr>
                <w:rFonts w:ascii="EUAlbertina" w:hAnsi="EUAlbertina" w:cs="EUAlbertina"/>
                <w:color w:val="000000"/>
                <w:sz w:val="20"/>
                <w:lang w:eastAsia="sk-SK"/>
              </w:rPr>
            </w:pPr>
          </w:p>
          <w:p w:rsidR="00C751EE" w:rsidRPr="004E5933" w:rsidP="00C751EE">
            <w:pPr>
              <w:jc w:val="both"/>
            </w:pPr>
            <w:r w:rsidRPr="00573532" w:rsidR="004D1DCA">
              <w:rPr>
                <w:sz w:val="20"/>
                <w:lang w:eastAsia="sk-SK"/>
              </w:rPr>
              <w:t>Podnikateľ, ktorý predáva motorovú naftu s obsahom metylesterov mastných kyselín, poskytuje informáciu o obsahu biopaliva v motorovej nafte označením na výdajnom stojane a výdajnej pištoli podľa technickej normy;</w:t>
            </w:r>
            <w:r w:rsidRPr="00573532" w:rsidR="004D1DCA">
              <w:rPr>
                <w:sz w:val="20"/>
                <w:vertAlign w:val="superscript"/>
                <w:lang w:eastAsia="sk-SK"/>
              </w:rPr>
              <w:t>4</w:t>
            </w:r>
            <w:r w:rsidRPr="00573532" w:rsidR="004E5933">
              <w:rPr>
                <w:sz w:val="20"/>
                <w:vertAlign w:val="superscript"/>
                <w:lang w:eastAsia="sk-SK"/>
              </w:rPr>
              <w:t>8</w:t>
            </w:r>
            <w:r w:rsidRPr="00573532" w:rsidR="004D1DCA">
              <w:rPr>
                <w:sz w:val="20"/>
                <w:lang w:eastAsia="sk-SK"/>
              </w:rPr>
              <w:t>) pri označení na výdajnom stojane a výdajnej pištoli možno postupovať aj v súlade s inou technickou špecifikáciou s porovnateľnými alebo prísnejšími požiadavkami. Označenie musí byť dobre viditeľné, ľahko čitateľné a pevne pripevnené.</w:t>
            </w: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10"/>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Č4</w:t>
            </w:r>
          </w:p>
          <w:p w:rsidR="00C751EE" w:rsidRPr="00F74B61" w:rsidP="00C751EE">
            <w:pPr>
              <w:jc w:val="both"/>
              <w:rPr>
                <w:sz w:val="20"/>
              </w:rPr>
            </w:pPr>
            <w:r w:rsidRPr="00F74B61">
              <w:rPr>
                <w:sz w:val="20"/>
              </w:rPr>
              <w:t>O2</w:t>
            </w:r>
          </w:p>
          <w:p w:rsidR="00C751EE" w:rsidRPr="00F74B61" w:rsidP="00C751EE">
            <w:pPr>
              <w:jc w:val="both"/>
              <w:rPr>
                <w:sz w:val="20"/>
              </w:rPr>
            </w:pPr>
          </w:p>
        </w:tc>
        <w:tc>
          <w:tcPr>
            <w:tcW w:w="5245" w:type="dxa"/>
            <w:tcBorders>
              <w:top w:val="single" w:sz="4" w:space="0" w:color="auto"/>
              <w:bottom w:val="single" w:sz="4" w:space="0" w:color="auto"/>
              <w:right w:val="single" w:sz="4" w:space="0" w:color="auto"/>
            </w:tcBorders>
          </w:tcPr>
          <w:p w:rsidR="00C751EE" w:rsidRPr="00F74B61" w:rsidP="00C751EE">
            <w:pPr>
              <w:autoSpaceDE w:val="0"/>
              <w:autoSpaceDN w:val="0"/>
              <w:adjustRightInd w:val="0"/>
              <w:jc w:val="both"/>
              <w:rPr>
                <w:sz w:val="20"/>
                <w:lang w:eastAsia="sk-SK"/>
              </w:rPr>
            </w:pPr>
            <w:r w:rsidRPr="00F74B61">
              <w:rPr>
                <w:sz w:val="20"/>
                <w:lang w:eastAsia="sk-SK"/>
              </w:rPr>
              <w:t>2. Členské štáty najneskôr od 1. januára 2008 zabezpečia, aby sa</w:t>
            </w:r>
            <w:r>
              <w:rPr>
                <w:sz w:val="20"/>
                <w:lang w:eastAsia="sk-SK"/>
              </w:rPr>
              <w:t xml:space="preserve"> </w:t>
            </w:r>
            <w:r w:rsidRPr="00F74B61">
              <w:rPr>
                <w:sz w:val="20"/>
                <w:lang w:eastAsia="sk-SK"/>
              </w:rPr>
              <w:t>plynové oleje určené na použitie v necestných pojazdných strojoch</w:t>
            </w:r>
            <w:r>
              <w:rPr>
                <w:sz w:val="20"/>
                <w:lang w:eastAsia="sk-SK"/>
              </w:rPr>
              <w:t xml:space="preserve"> </w:t>
            </w:r>
            <w:r w:rsidRPr="00F74B61">
              <w:rPr>
                <w:sz w:val="20"/>
                <w:lang w:eastAsia="sk-SK"/>
              </w:rPr>
              <w:t>(vrátane plavidiel vnútrozemskej vodnej dopravy), poľnohospodárskych a lesných traktoroch a rekreačných plavidlách mohli na ich území uvádzať na trh len v prípade, že obsah síry v plynových olejoch nepresahuje 1 000 mg/kg. Od 1. januára 2011 je maximálny povolený obsah síry v týchto plynových olejoch 10 mg/kg. Členské štáty zabezpečia, aby sa kvapalné palivá iné ako tieto plynové oleje mohli používať v plavidlách vnútrozemskej vodnej dopravy a v rekreačných plavidlách len v prípade, že obsah síry v týchto kvapalných palivách neprekračuje maximálny povolený obsah v týchto plynových olejoch.</w:t>
            </w:r>
            <w:r>
              <w:rPr>
                <w:sz w:val="20"/>
                <w:lang w:eastAsia="sk-SK"/>
              </w:rPr>
              <w:t xml:space="preserve"> </w:t>
            </w:r>
          </w:p>
          <w:p w:rsidR="00C751EE" w:rsidRPr="00F74B61" w:rsidP="00C751EE">
            <w:pPr>
              <w:autoSpaceDE w:val="0"/>
              <w:autoSpaceDN w:val="0"/>
              <w:adjustRightInd w:val="0"/>
              <w:jc w:val="both"/>
              <w:rPr>
                <w:sz w:val="20"/>
                <w:lang w:eastAsia="sk-SK"/>
              </w:rPr>
            </w:pPr>
          </w:p>
          <w:p w:rsidR="00C751EE" w:rsidRPr="00F74B61" w:rsidP="00C751EE">
            <w:pPr>
              <w:autoSpaceDE w:val="0"/>
              <w:autoSpaceDN w:val="0"/>
              <w:adjustRightInd w:val="0"/>
              <w:jc w:val="both"/>
              <w:rPr>
                <w:sz w:val="20"/>
                <w:lang w:eastAsia="sk-SK"/>
              </w:rPr>
            </w:pPr>
            <w:r w:rsidRPr="00F74B61">
              <w:rPr>
                <w:sz w:val="20"/>
                <w:lang w:eastAsia="sk-SK"/>
              </w:rPr>
              <w:t>Aby však členské štáty mohli zohľadniť nepatrné znečistenie</w:t>
            </w:r>
          </w:p>
          <w:p w:rsidR="00C751EE" w:rsidRPr="00F74B61" w:rsidP="00C751EE">
            <w:pPr>
              <w:autoSpaceDE w:val="0"/>
              <w:autoSpaceDN w:val="0"/>
              <w:adjustRightInd w:val="0"/>
              <w:jc w:val="both"/>
              <w:rPr>
                <w:i/>
                <w:sz w:val="20"/>
              </w:rPr>
            </w:pPr>
            <w:r w:rsidRPr="00F74B61">
              <w:rPr>
                <w:sz w:val="20"/>
                <w:lang w:eastAsia="sk-SK"/>
              </w:rPr>
              <w:t>v dodávateľskom reťazci, môžu od 1. januára 2011 povoliť, aby</w:t>
            </w:r>
            <w:r>
              <w:rPr>
                <w:sz w:val="20"/>
                <w:lang w:eastAsia="sk-SK"/>
              </w:rPr>
              <w:t xml:space="preserve"> </w:t>
            </w:r>
            <w:r w:rsidRPr="00F74B61">
              <w:rPr>
                <w:sz w:val="20"/>
                <w:lang w:eastAsia="sk-SK"/>
              </w:rPr>
              <w:t>plynové oleje určené na použitie v necestných pojazdných strojoch</w:t>
            </w:r>
            <w:r>
              <w:rPr>
                <w:sz w:val="20"/>
                <w:lang w:eastAsia="sk-SK"/>
              </w:rPr>
              <w:t xml:space="preserve"> </w:t>
            </w:r>
            <w:r w:rsidRPr="00F74B61">
              <w:rPr>
                <w:sz w:val="20"/>
                <w:lang w:eastAsia="sk-SK"/>
              </w:rPr>
              <w:t>(vrátane plavidiel vnútrozemskej vodnej dopravy), poľnohospodárskych a lesných traktoroch a rekreačných plavidlách pri záverečnej distribúcii konečným užívateľom mali obsah síry až 20 mg/kg. Členské štáty môžu takisto povoliť, aby sa do 31. decembra 2011 naďalej uvádzali na trh plynové oleje s obsahom síry až 1 000 mg/kg v prípade koľajových vozidiel a poľnohospodárskych a lesných traktorov pod podmienkou, že môžu zaručiť, že nebude narušené fungovanie systémov regulácie emisií.</w:t>
            </w:r>
          </w:p>
        </w:tc>
        <w:tc>
          <w:tcPr>
            <w:tcW w:w="567" w:type="dxa"/>
            <w:tcBorders>
              <w:top w:val="single" w:sz="4" w:space="0" w:color="auto"/>
              <w:left w:val="single" w:sz="4" w:space="0" w:color="auto"/>
              <w:bottom w:val="single" w:sz="4" w:space="0" w:color="auto"/>
            </w:tcBorders>
          </w:tcPr>
          <w:p w:rsidR="00C751EE" w:rsidP="00C751EE">
            <w:pPr>
              <w:jc w:val="both"/>
              <w:rPr>
                <w:sz w:val="20"/>
              </w:rPr>
            </w:pPr>
            <w:r w:rsidRPr="00F74B61">
              <w:rPr>
                <w:sz w:val="20"/>
              </w:rPr>
              <w:t>N</w:t>
            </w: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RPr="00F74B61" w:rsidP="00C751EE">
            <w:pPr>
              <w:jc w:val="both"/>
              <w:rPr>
                <w:sz w:val="20"/>
              </w:rPr>
            </w:pPr>
            <w:r>
              <w:rPr>
                <w:sz w:val="20"/>
              </w:rPr>
              <w:t>D</w:t>
            </w: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r w:rsidRPr="00F74B61">
              <w:t>§5</w:t>
            </w:r>
          </w:p>
          <w:p w:rsidR="00C751EE" w:rsidRPr="00F74B61" w:rsidP="00C751EE">
            <w:pPr>
              <w:pStyle w:val="BodyText21"/>
              <w:spacing w:before="0"/>
            </w:pPr>
            <w:r w:rsidR="004E5933">
              <w:t>O4</w:t>
            </w: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RPr="00F74B61" w:rsidP="00C751EE">
            <w:pPr>
              <w:pStyle w:val="BodyText21"/>
              <w:spacing w:before="0"/>
            </w:pPr>
          </w:p>
          <w:p w:rsidR="00C751EE" w:rsidP="00C751EE">
            <w:pPr>
              <w:pStyle w:val="BodyText21"/>
              <w:spacing w:before="0"/>
            </w:pPr>
          </w:p>
          <w:p w:rsidR="00C751EE" w:rsidRPr="00F74B61" w:rsidP="00C751EE">
            <w:pPr>
              <w:pStyle w:val="BodyText21"/>
              <w:spacing w:before="0"/>
            </w:pPr>
          </w:p>
        </w:tc>
        <w:tc>
          <w:tcPr>
            <w:tcW w:w="4110" w:type="dxa"/>
            <w:tcBorders>
              <w:top w:val="single" w:sz="4" w:space="0" w:color="auto"/>
              <w:bottom w:val="single" w:sz="4" w:space="0" w:color="auto"/>
            </w:tcBorders>
          </w:tcPr>
          <w:p w:rsidR="00C751EE" w:rsidRPr="004E5933" w:rsidP="00C751EE">
            <w:pPr>
              <w:pStyle w:val="odsek1"/>
              <w:numPr>
                <w:ilvl w:val="0"/>
                <w:numId w:val="0"/>
              </w:numPr>
              <w:rPr>
                <w:rFonts w:eastAsia="Times New Roman"/>
                <w:sz w:val="20"/>
                <w:szCs w:val="20"/>
                <w:lang w:eastAsia="sk-SK"/>
              </w:rPr>
            </w:pPr>
            <w:r w:rsidRPr="004E5933" w:rsidR="004E5933">
              <w:rPr>
                <w:rFonts w:eastAsia="Times New Roman"/>
                <w:sz w:val="20"/>
                <w:szCs w:val="20"/>
                <w:lang w:eastAsia="sk-SK"/>
              </w:rPr>
              <w:t>(4</w:t>
            </w:r>
            <w:r w:rsidRPr="004E5933">
              <w:rPr>
                <w:rFonts w:eastAsia="Times New Roman"/>
                <w:sz w:val="20"/>
                <w:szCs w:val="20"/>
                <w:lang w:eastAsia="sk-SK"/>
              </w:rPr>
              <w:t xml:space="preserve">) </w:t>
            </w:r>
            <w:r w:rsidRPr="004E5933" w:rsidR="00FA6D87">
              <w:rPr>
                <w:rFonts w:eastAsia="Times New Roman"/>
                <w:sz w:val="20"/>
                <w:szCs w:val="20"/>
                <w:lang w:eastAsia="sk-SK"/>
              </w:rPr>
              <w:t>Motorový plynový olej nesmie obsahovať viac síry ako 10 mg/kg</w:t>
            </w:r>
            <w:r w:rsidRPr="004E5933">
              <w:rPr>
                <w:rFonts w:eastAsia="Times New Roman"/>
                <w:sz w:val="20"/>
                <w:szCs w:val="20"/>
                <w:lang w:eastAsia="sk-SK"/>
              </w:rPr>
              <w:t xml:space="preserve">. </w:t>
            </w: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p w:rsidR="00C751EE" w:rsidRPr="004E5933" w:rsidP="00C751EE">
            <w:pPr>
              <w:jc w:val="both"/>
              <w:rPr>
                <w:sz w:val="20"/>
                <w:lang w:eastAsia="sk-SK"/>
              </w:rPr>
            </w:pPr>
          </w:p>
        </w:tc>
        <w:tc>
          <w:tcPr>
            <w:tcW w:w="709" w:type="dxa"/>
            <w:tcBorders>
              <w:top w:val="single" w:sz="4" w:space="0" w:color="auto"/>
              <w:bottom w:val="single" w:sz="4" w:space="0" w:color="auto"/>
            </w:tcBorders>
          </w:tcPr>
          <w:p w:rsidR="00C751EE" w:rsidP="00C751EE">
            <w:pPr>
              <w:jc w:val="both"/>
              <w:rPr>
                <w:sz w:val="20"/>
              </w:rPr>
            </w:pPr>
            <w:r w:rsidRPr="00F74B61">
              <w:rPr>
                <w:sz w:val="20"/>
              </w:rPr>
              <w:t>Ú</w:t>
            </w: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P="00C751EE">
            <w:pPr>
              <w:jc w:val="both"/>
              <w:rPr>
                <w:sz w:val="20"/>
              </w:rPr>
            </w:pPr>
          </w:p>
          <w:p w:rsidR="00C751EE" w:rsidRPr="00F74B61" w:rsidP="00C751EE">
            <w:pPr>
              <w:jc w:val="both"/>
              <w:rPr>
                <w:sz w:val="20"/>
              </w:rPr>
            </w:pPr>
            <w:r>
              <w:rPr>
                <w:sz w:val="20"/>
              </w:rPr>
              <w:t>Ž</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Č4</w:t>
            </w:r>
          </w:p>
          <w:p w:rsidR="00C751EE" w:rsidRPr="00F74B61" w:rsidP="00C751EE">
            <w:pPr>
              <w:jc w:val="both"/>
              <w:rPr>
                <w:sz w:val="20"/>
              </w:rPr>
            </w:pPr>
            <w:r w:rsidRPr="00F74B61">
              <w:rPr>
                <w:sz w:val="20"/>
              </w:rPr>
              <w:t>O3</w:t>
            </w:r>
          </w:p>
        </w:tc>
        <w:tc>
          <w:tcPr>
            <w:tcW w:w="5245" w:type="dxa"/>
            <w:tcBorders>
              <w:top w:val="single" w:sz="4" w:space="0" w:color="auto"/>
              <w:bottom w:val="single" w:sz="4" w:space="0" w:color="auto"/>
              <w:right w:val="single" w:sz="4" w:space="0" w:color="auto"/>
            </w:tcBorders>
          </w:tcPr>
          <w:p w:rsidR="00C751EE" w:rsidRPr="00503A51" w:rsidP="00C751EE">
            <w:pPr>
              <w:autoSpaceDE w:val="0"/>
              <w:autoSpaceDN w:val="0"/>
              <w:adjustRightInd w:val="0"/>
              <w:jc w:val="both"/>
              <w:rPr>
                <w:sz w:val="20"/>
                <w:lang w:eastAsia="sk-SK"/>
              </w:rPr>
            </w:pPr>
            <w:r w:rsidRPr="00503A51">
              <w:rPr>
                <w:sz w:val="20"/>
                <w:lang w:eastAsia="sk-SK"/>
              </w:rPr>
              <w:t>3. V prípade najvzdialenejších regiónov môžu členské štáty prijať osobitné ustanovenie pre zavedenie motorovej nafty a plynových olejov s maximálnym obsahom síry 10 mg/kg. Členské štáty, ktoré toto ustanovenie využijú, o tom náležite informujú Komisiu.</w:t>
            </w:r>
          </w:p>
          <w:p w:rsidR="00C751EE" w:rsidRPr="00503A51" w:rsidP="00C751EE">
            <w:pPr>
              <w:tabs>
                <w:tab w:val="left" w:pos="880"/>
              </w:tabs>
              <w:jc w:val="both"/>
              <w:rPr>
                <w:i/>
                <w:sz w:val="20"/>
              </w:rPr>
            </w:pPr>
          </w:p>
        </w:tc>
        <w:tc>
          <w:tcPr>
            <w:tcW w:w="567" w:type="dxa"/>
            <w:tcBorders>
              <w:top w:val="single" w:sz="4" w:space="0" w:color="auto"/>
              <w:left w:val="single" w:sz="4" w:space="0" w:color="auto"/>
              <w:bottom w:val="single" w:sz="4" w:space="0" w:color="auto"/>
            </w:tcBorders>
          </w:tcPr>
          <w:p w:rsidR="000760F9" w:rsidRPr="00E85020" w:rsidP="00C751EE">
            <w:pPr>
              <w:jc w:val="both"/>
              <w:rPr>
                <w:sz w:val="20"/>
              </w:rPr>
            </w:pPr>
            <w:r w:rsidRPr="00E85020">
              <w:rPr>
                <w:sz w:val="20"/>
              </w:rPr>
              <w:t>D</w:t>
            </w:r>
          </w:p>
        </w:tc>
        <w:tc>
          <w:tcPr>
            <w:tcW w:w="1276" w:type="dxa"/>
            <w:tcBorders>
              <w:top w:val="single" w:sz="4" w:space="0" w:color="auto"/>
              <w:bottom w:val="single" w:sz="4" w:space="0" w:color="auto"/>
            </w:tcBorders>
          </w:tcPr>
          <w:p w:rsidR="00C751EE" w:rsidRPr="00E85020" w:rsidP="00C751EE">
            <w:pPr>
              <w:jc w:val="center"/>
              <w:rPr>
                <w:sz w:val="20"/>
              </w:rPr>
            </w:pPr>
            <w:r w:rsidRPr="00E85020" w:rsidR="000760F9">
              <w:rPr>
                <w:sz w:val="20"/>
              </w:rPr>
              <w:t>NV1</w:t>
            </w:r>
          </w:p>
        </w:tc>
        <w:tc>
          <w:tcPr>
            <w:tcW w:w="709" w:type="dxa"/>
            <w:tcBorders>
              <w:top w:val="single" w:sz="4" w:space="0" w:color="auto"/>
              <w:bottom w:val="single" w:sz="4" w:space="0" w:color="auto"/>
            </w:tcBorders>
          </w:tcPr>
          <w:p w:rsidR="00C751EE" w:rsidRPr="00E85020" w:rsidP="000760F9">
            <w:pPr>
              <w:pStyle w:val="BodyText21"/>
              <w:jc w:val="center"/>
            </w:pPr>
            <w:r w:rsidRPr="00E85020" w:rsidR="00E85020">
              <w:t>Príloha</w:t>
            </w:r>
            <w:r w:rsidRPr="00E85020" w:rsidR="000760F9">
              <w:t xml:space="preserve"> č</w:t>
            </w:r>
            <w:r w:rsidRPr="00E85020" w:rsidR="00E85020">
              <w:t xml:space="preserve">. </w:t>
            </w:r>
            <w:r w:rsidRPr="00E85020" w:rsidR="000760F9">
              <w:t>1</w:t>
            </w:r>
          </w:p>
          <w:p w:rsidR="00E85020" w:rsidRPr="00E85020" w:rsidP="000760F9">
            <w:pPr>
              <w:pStyle w:val="BodyText21"/>
              <w:jc w:val="center"/>
            </w:pPr>
            <w:r w:rsidRPr="00E85020">
              <w:t>P8</w:t>
            </w:r>
          </w:p>
        </w:tc>
        <w:tc>
          <w:tcPr>
            <w:tcW w:w="4110" w:type="dxa"/>
            <w:tcBorders>
              <w:top w:val="single" w:sz="4" w:space="0" w:color="auto"/>
              <w:bottom w:val="single" w:sz="4" w:space="0" w:color="auto"/>
            </w:tcBorders>
          </w:tcPr>
          <w:p w:rsidR="000760F9" w:rsidRPr="0050391B" w:rsidP="000760F9">
            <w:pPr>
              <w:pStyle w:val="BodyTextIndent"/>
              <w:rPr>
                <w:color w:val="000000"/>
                <w:lang w:eastAsia="sk-SK"/>
              </w:rPr>
            </w:pPr>
            <w:r w:rsidRPr="0050391B">
              <w:rPr>
                <w:color w:val="000000"/>
                <w:lang w:eastAsia="sk-SK"/>
              </w:rPr>
              <w:t>8. KVALITA PALÍV podľa § 36 zákona</w:t>
            </w:r>
          </w:p>
          <w:tbl>
            <w:tblPr>
              <w:tblStyle w:val="TableNorm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
            <w:tblGrid>
              <w:gridCol w:w="1116"/>
              <w:gridCol w:w="1716"/>
              <w:gridCol w:w="1122"/>
            </w:tblGrid>
            <w:tr w:rsidTr="002C08AC">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Ex>
              <w:trPr>
                <w:jc w:val="center"/>
              </w:trPr>
              <w:tc>
                <w:tcPr>
                  <w:tcW w:w="1195" w:type="dxa"/>
                  <w:tcBorders>
                    <w:top w:val="single" w:sz="6" w:space="0" w:color="auto"/>
                    <w:left w:val="single" w:sz="6" w:space="0" w:color="auto"/>
                    <w:right w:val="single" w:sz="6" w:space="0" w:color="auto"/>
                  </w:tcBorders>
                  <w:shd w:val="clear" w:color="FFFFFF" w:fill="FFFFFF"/>
                  <w:tcMar>
                    <w:top w:w="75" w:type="dxa"/>
                    <w:left w:w="75" w:type="dxa"/>
                    <w:bottom w:w="75" w:type="dxa"/>
                    <w:right w:w="75" w:type="dxa"/>
                  </w:tcMar>
                </w:tcPr>
                <w:p w:rsidR="000760F9" w:rsidRPr="0050391B" w:rsidP="000760F9">
                  <w:pPr>
                    <w:rPr>
                      <w:rFonts w:eastAsia="Trebuchet MS"/>
                      <w:sz w:val="20"/>
                    </w:rPr>
                  </w:pPr>
                  <w:r w:rsidRPr="0050391B">
                    <w:rPr>
                      <w:rFonts w:eastAsia="Trebuchet MS"/>
                      <w:sz w:val="20"/>
                      <w:lang w:eastAsia="zh-CN" w:bidi="ar"/>
                    </w:rPr>
                    <w:t>Oznámenie</w:t>
                    <w:br/>
                    <w:t>o prijatí osobitných ustanovení</w:t>
                  </w:r>
                </w:p>
              </w:tc>
              <w:tc>
                <w:tcPr>
                  <w:tcW w:w="184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0760F9" w:rsidRPr="0050391B" w:rsidP="000760F9">
                  <w:pPr>
                    <w:rPr>
                      <w:rFonts w:eastAsia="Trebuchet MS"/>
                      <w:sz w:val="20"/>
                    </w:rPr>
                  </w:pPr>
                  <w:r w:rsidRPr="0050391B">
                    <w:rPr>
                      <w:rFonts w:eastAsia="Trebuchet MS"/>
                      <w:sz w:val="20"/>
                      <w:lang w:eastAsia="zh-CN" w:bidi="ar"/>
                    </w:rPr>
                    <w:t>Zavedenie motorovej n</w:t>
                  </w:r>
                  <w:r w:rsidRPr="0050391B">
                    <w:rPr>
                      <w:rFonts w:eastAsia="Trebuchet MS"/>
                      <w:sz w:val="20"/>
                      <w:lang w:eastAsia="zh-CN" w:bidi="ar"/>
                    </w:rPr>
                    <w:t>afty a plynových olejov s maximálnym obsahom síry 10 mg/kg pre najvzdialenejšie regióny.</w:t>
                  </w:r>
                </w:p>
              </w:tc>
              <w:tc>
                <w:tcPr>
                  <w:tcW w:w="120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0760F9" w:rsidRPr="0050391B" w:rsidP="000760F9">
                  <w:pPr>
                    <w:rPr>
                      <w:rFonts w:eastAsia="Trebuchet MS"/>
                      <w:sz w:val="20"/>
                    </w:rPr>
                  </w:pPr>
                  <w:r w:rsidRPr="0050391B">
                    <w:rPr>
                      <w:rFonts w:eastAsia="Trebuchet MS"/>
                      <w:sz w:val="20"/>
                      <w:lang w:eastAsia="zh-CN" w:bidi="ar"/>
                    </w:rPr>
                    <w:t>Bezodkladne</w:t>
                  </w:r>
                </w:p>
              </w:tc>
            </w:tr>
          </w:tbl>
          <w:p w:rsidR="000760F9" w:rsidRPr="0050391B" w:rsidP="000760F9">
            <w:pPr>
              <w:pStyle w:val="BodyTextIndent"/>
              <w:rPr>
                <w:color w:val="000000"/>
                <w:lang w:eastAsia="sk-SK"/>
              </w:rPr>
            </w:pPr>
          </w:p>
          <w:p w:rsidR="00C751EE" w:rsidRPr="0050391B" w:rsidP="00C751EE">
            <w:pPr>
              <w:jc w:val="both"/>
            </w:pPr>
          </w:p>
        </w:tc>
        <w:tc>
          <w:tcPr>
            <w:tcW w:w="709" w:type="dxa"/>
            <w:tcBorders>
              <w:top w:val="single" w:sz="4" w:space="0" w:color="auto"/>
              <w:bottom w:val="single" w:sz="4" w:space="0" w:color="auto"/>
            </w:tcBorders>
          </w:tcPr>
          <w:p w:rsidR="00C751EE" w:rsidRPr="00F74B61" w:rsidP="00C751EE">
            <w:pPr>
              <w:jc w:val="both"/>
              <w:rPr>
                <w:sz w:val="20"/>
              </w:rPr>
            </w:pPr>
            <w:r w:rsidR="000760F9">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Č4</w:t>
            </w:r>
          </w:p>
          <w:p w:rsidR="00C751EE" w:rsidRPr="00F74B61" w:rsidP="00C751EE">
            <w:pPr>
              <w:jc w:val="both"/>
              <w:rPr>
                <w:sz w:val="20"/>
              </w:rPr>
            </w:pPr>
            <w:r w:rsidRPr="00F74B61">
              <w:rPr>
                <w:sz w:val="20"/>
              </w:rPr>
              <w:t>O4</w:t>
            </w:r>
          </w:p>
        </w:tc>
        <w:tc>
          <w:tcPr>
            <w:tcW w:w="5245" w:type="dxa"/>
            <w:tcBorders>
              <w:top w:val="single" w:sz="4" w:space="0" w:color="auto"/>
              <w:bottom w:val="single" w:sz="4" w:space="0" w:color="auto"/>
              <w:right w:val="single" w:sz="4" w:space="0" w:color="auto"/>
            </w:tcBorders>
          </w:tcPr>
          <w:p w:rsidR="00C751EE" w:rsidRPr="00F74B61" w:rsidP="00C751EE">
            <w:pPr>
              <w:tabs>
                <w:tab w:val="left" w:pos="880"/>
              </w:tabs>
              <w:jc w:val="both"/>
              <w:rPr>
                <w:i/>
                <w:sz w:val="20"/>
              </w:rPr>
            </w:pPr>
            <w:r w:rsidRPr="00F74B61">
              <w:rPr>
                <w:sz w:val="20"/>
                <w:lang w:eastAsia="sk-SK"/>
              </w:rPr>
              <w:t xml:space="preserve">4. V prípade členských štátov s náročnými zimnými poveternostnými podmienkami môže byť maximálny destilačný bod 65 % pri </w:t>
            </w:r>
            <w:smartTag w:uri="urn:schemas-microsoft-com:office:smarttags" w:element="metricconverter">
              <w:smartTagPr>
                <w:attr w:name="ProductID" w:val="250 ﾰC"/>
              </w:smartTagPr>
              <w:r w:rsidRPr="00F74B61">
                <w:rPr>
                  <w:sz w:val="20"/>
                  <w:lang w:eastAsia="sk-SK"/>
                </w:rPr>
                <w:t>250 °C</w:t>
              </w:r>
            </w:smartTag>
            <w:r w:rsidRPr="00F74B61">
              <w:rPr>
                <w:sz w:val="20"/>
                <w:lang w:eastAsia="sk-SK"/>
              </w:rPr>
              <w:t xml:space="preserve"> v prípade motorovej nafty a plynových olejov nahradený maximálnym destilačným bodom 10 % (objem/objem) pri </w:t>
            </w:r>
            <w:smartTag w:uri="urn:schemas-microsoft-com:office:smarttags" w:element="metricconverter">
              <w:smartTagPr>
                <w:attr w:name="ProductID" w:val="180 ﾰC"/>
              </w:smartTagPr>
              <w:r w:rsidRPr="00F74B61">
                <w:rPr>
                  <w:sz w:val="20"/>
                  <w:lang w:eastAsia="sk-SK"/>
                </w:rPr>
                <w:t>180 °C</w:t>
              </w:r>
            </w:smartTag>
            <w:r w:rsidRPr="00F74B61">
              <w:rPr>
                <w:sz w:val="20"/>
                <w:lang w:eastAsia="sk-SK"/>
              </w:rPr>
              <w:t>.</w:t>
            </w:r>
            <w:r w:rsidRPr="00F74B61">
              <w:rPr>
                <w:sz w:val="20"/>
              </w:rPr>
              <w:tab/>
            </w:r>
          </w:p>
        </w:tc>
        <w:tc>
          <w:tcPr>
            <w:tcW w:w="567" w:type="dxa"/>
            <w:tcBorders>
              <w:top w:val="single" w:sz="4" w:space="0" w:color="auto"/>
              <w:left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jc w:val="both"/>
              <w:rPr>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142"/>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Č5</w:t>
            </w:r>
          </w:p>
        </w:tc>
        <w:tc>
          <w:tcPr>
            <w:tcW w:w="5245" w:type="dxa"/>
            <w:tcBorders>
              <w:top w:val="single" w:sz="4" w:space="0" w:color="auto"/>
              <w:bottom w:val="single" w:sz="4" w:space="0" w:color="auto"/>
            </w:tcBorders>
          </w:tcPr>
          <w:p w:rsidR="00C751EE" w:rsidRPr="005A2958" w:rsidP="00C751EE">
            <w:pPr>
              <w:pStyle w:val="Heading2"/>
              <w:jc w:val="both"/>
              <w:rPr>
                <w:rFonts w:ascii="Times New Roman" w:hAnsi="Times New Roman"/>
                <w:b w:val="0"/>
                <w:spacing w:val="0"/>
                <w:sz w:val="20"/>
                <w:lang w:eastAsia="sk-SK"/>
              </w:rPr>
            </w:pPr>
            <w:r w:rsidRPr="005A2958">
              <w:rPr>
                <w:rFonts w:ascii="Times New Roman" w:hAnsi="Times New Roman"/>
                <w:b w:val="0"/>
                <w:spacing w:val="0"/>
                <w:sz w:val="20"/>
                <w:lang w:eastAsia="sk-SK"/>
              </w:rPr>
              <w:t>Článok 5</w:t>
            </w:r>
          </w:p>
          <w:p w:rsidR="00C751EE" w:rsidRPr="005A2958" w:rsidP="00C751EE">
            <w:pPr>
              <w:pStyle w:val="Heading1"/>
              <w:tabs>
                <w:tab w:val="left" w:pos="880"/>
                <w:tab w:val="left" w:pos="1134"/>
                <w:tab w:val="left" w:pos="1418"/>
                <w:tab w:val="left" w:pos="1701"/>
                <w:tab w:val="left" w:pos="1985"/>
              </w:tabs>
              <w:spacing w:before="0"/>
              <w:jc w:val="both"/>
              <w:rPr>
                <w:b w:val="0"/>
                <w:kern w:val="0"/>
                <w:sz w:val="20"/>
                <w:lang w:eastAsia="sk-SK"/>
              </w:rPr>
            </w:pPr>
            <w:r w:rsidRPr="005A2958">
              <w:rPr>
                <w:b w:val="0"/>
                <w:kern w:val="0"/>
                <w:sz w:val="20"/>
                <w:lang w:eastAsia="sk-SK"/>
              </w:rPr>
              <w:t>Voľný obeh</w:t>
            </w:r>
          </w:p>
          <w:p w:rsidR="00C751EE" w:rsidRPr="005A2958" w:rsidP="00C751EE">
            <w:pPr>
              <w:pStyle w:val="BodyText21"/>
              <w:tabs>
                <w:tab w:val="left" w:pos="880"/>
              </w:tabs>
              <w:spacing w:before="0" w:line="240" w:lineRule="auto"/>
            </w:pPr>
            <w:r w:rsidRPr="005A2958">
              <w:rPr>
                <w:lang w:eastAsia="sk-SK"/>
              </w:rPr>
              <w:t>Žiadny členský štát nesmie zakázať, obmedziť alebo brániť uvedeniu na trh palív, ktoré</w:t>
            </w:r>
            <w:r w:rsidRPr="005A2958">
              <w:t xml:space="preserve"> spĺňajú požiadavky tejto smernice.</w:t>
            </w:r>
          </w:p>
        </w:tc>
        <w:tc>
          <w:tcPr>
            <w:tcW w:w="567" w:type="dxa"/>
            <w:tcBorders>
              <w:top w:val="single" w:sz="4" w:space="0" w:color="auto"/>
              <w:bottom w:val="single" w:sz="4" w:space="0" w:color="auto"/>
            </w:tcBorders>
          </w:tcPr>
          <w:p w:rsidR="00C751EE" w:rsidRPr="005A2958" w:rsidP="00C751EE">
            <w:pPr>
              <w:jc w:val="both"/>
              <w:rPr>
                <w:sz w:val="20"/>
              </w:rPr>
            </w:pPr>
          </w:p>
        </w:tc>
        <w:tc>
          <w:tcPr>
            <w:tcW w:w="1276" w:type="dxa"/>
            <w:tcBorders>
              <w:top w:val="single" w:sz="4" w:space="0" w:color="auto"/>
              <w:bottom w:val="single" w:sz="4" w:space="0" w:color="auto"/>
            </w:tcBorders>
          </w:tcPr>
          <w:p w:rsidR="00C751EE" w:rsidRPr="00F5258A" w:rsidP="00C751EE">
            <w:pPr>
              <w:jc w:val="center"/>
              <w:rPr>
                <w:sz w:val="20"/>
              </w:rPr>
            </w:pPr>
            <w:r w:rsidRPr="00F5258A" w:rsidR="00D03B3A">
              <w:rPr>
                <w:sz w:val="20"/>
              </w:rPr>
              <w:t>NZ</w:t>
            </w:r>
          </w:p>
        </w:tc>
        <w:tc>
          <w:tcPr>
            <w:tcW w:w="709" w:type="dxa"/>
            <w:tcBorders>
              <w:top w:val="single" w:sz="4" w:space="0" w:color="auto"/>
              <w:bottom w:val="single" w:sz="4" w:space="0" w:color="auto"/>
            </w:tcBorders>
          </w:tcPr>
          <w:p w:rsidR="00C751EE" w:rsidRPr="00F5258A" w:rsidP="005A2958">
            <w:pPr>
              <w:pStyle w:val="BodyText21"/>
              <w:spacing w:line="240" w:lineRule="auto"/>
            </w:pPr>
            <w:r w:rsidRPr="00F5258A" w:rsidR="00D03B3A">
              <w:t>§ 37</w:t>
            </w:r>
          </w:p>
          <w:p w:rsidR="00B31196" w:rsidRPr="00F5258A" w:rsidP="005A2958">
            <w:pPr>
              <w:pStyle w:val="BodyText21"/>
              <w:spacing w:line="240" w:lineRule="auto"/>
            </w:pPr>
            <w:r w:rsidRPr="00F5258A">
              <w:t>O4</w:t>
            </w:r>
          </w:p>
        </w:tc>
        <w:tc>
          <w:tcPr>
            <w:tcW w:w="4110" w:type="dxa"/>
            <w:tcBorders>
              <w:top w:val="single" w:sz="4" w:space="0" w:color="auto"/>
              <w:bottom w:val="single" w:sz="4" w:space="0" w:color="auto"/>
            </w:tcBorders>
          </w:tcPr>
          <w:p w:rsidR="00C751EE" w:rsidRPr="00F5258A" w:rsidP="00C751EE">
            <w:pPr>
              <w:pStyle w:val="Heading6"/>
              <w:rPr>
                <w:rFonts w:ascii="TimesNewRoman" w:hAnsi="TimesNewRoman" w:cs="TimesNewRoman"/>
                <w:sz w:val="20"/>
                <w:lang w:eastAsia="sk-SK"/>
              </w:rPr>
            </w:pPr>
            <w:r w:rsidRPr="00F5258A" w:rsidR="005A2958">
              <w:rPr>
                <w:rFonts w:ascii="TimesNewRoman" w:hAnsi="TimesNewRoman" w:cs="TimesNewRoman"/>
                <w:sz w:val="20"/>
                <w:lang w:eastAsia="sk-SK"/>
              </w:rPr>
              <w:t>§ 37 Kvalita palív</w:t>
            </w:r>
          </w:p>
          <w:p w:rsidR="005A2958" w:rsidRPr="00F5258A" w:rsidP="005A2958">
            <w:pPr>
              <w:pStyle w:val="ListParagraph0"/>
              <w:spacing w:after="360" w:line="240" w:lineRule="auto"/>
              <w:ind w:left="0"/>
              <w:contextualSpacing w:val="0"/>
              <w:jc w:val="both"/>
              <w:rPr>
                <w:rFonts w:ascii="TimesNewRoman" w:eastAsia="Times New Roman" w:hAnsi="TimesNewRoman" w:cs="TimesNewRoman"/>
                <w:sz w:val="20"/>
                <w:szCs w:val="20"/>
                <w:lang w:eastAsia="sk-SK"/>
              </w:rPr>
            </w:pPr>
            <w:r w:rsidRPr="00F5258A">
              <w:rPr>
                <w:rFonts w:ascii="TimesNewRoman" w:eastAsia="Times New Roman" w:hAnsi="TimesNewRoman" w:cs="TimesNewRoman"/>
                <w:sz w:val="20"/>
                <w:szCs w:val="20"/>
                <w:lang w:eastAsia="sk-SK"/>
              </w:rPr>
              <w:t>(4) Nemožno zakázať, obmedziť alebo zabrániť výrobe motorových palív a ich uvedeniu na trh v Slovenskej republike, ak spĺňajú požiadavky podľa odseku 1.</w:t>
            </w:r>
          </w:p>
          <w:p w:rsidR="005A2958" w:rsidRPr="00F5258A" w:rsidP="005A2958">
            <w:pPr>
              <w:rPr>
                <w:rFonts w:ascii="TimesNewRoman" w:hAnsi="TimesNewRoman" w:cs="TimesNewRoman"/>
                <w:sz w:val="20"/>
                <w:lang w:eastAsia="sk-SK"/>
              </w:rPr>
            </w:pPr>
          </w:p>
        </w:tc>
        <w:tc>
          <w:tcPr>
            <w:tcW w:w="709" w:type="dxa"/>
            <w:tcBorders>
              <w:top w:val="single" w:sz="4" w:space="0" w:color="auto"/>
              <w:bottom w:val="single" w:sz="4" w:space="0" w:color="auto"/>
            </w:tcBorders>
          </w:tcPr>
          <w:p w:rsidR="00C751EE" w:rsidRPr="00F5258A" w:rsidP="00C751EE">
            <w:pPr>
              <w:jc w:val="both"/>
              <w:rPr>
                <w:sz w:val="20"/>
              </w:rPr>
            </w:pPr>
            <w:r w:rsidRPr="00F5258A" w:rsidR="00D03B3A">
              <w:rPr>
                <w:sz w:val="20"/>
              </w:rPr>
              <w:t>Ú</w:t>
            </w:r>
          </w:p>
        </w:tc>
        <w:tc>
          <w:tcPr>
            <w:tcW w:w="1701" w:type="dxa"/>
            <w:tcBorders>
              <w:top w:val="single" w:sz="4" w:space="0" w:color="auto"/>
              <w:bottom w:val="single" w:sz="4" w:space="0" w:color="auto"/>
            </w:tcBorders>
          </w:tcPr>
          <w:p w:rsidR="00C751EE" w:rsidRPr="005A2958"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O1</w:t>
            </w:r>
          </w:p>
        </w:tc>
        <w:tc>
          <w:tcPr>
            <w:tcW w:w="5245" w:type="dxa"/>
            <w:tcBorders>
              <w:top w:val="single" w:sz="4" w:space="0" w:color="auto"/>
              <w:bottom w:val="single" w:sz="4" w:space="0" w:color="auto"/>
            </w:tcBorders>
          </w:tcPr>
          <w:p w:rsidR="00C751EE" w:rsidRPr="00F74B61" w:rsidP="00C751EE">
            <w:pPr>
              <w:pStyle w:val="Heading2"/>
              <w:jc w:val="both"/>
              <w:rPr>
                <w:rFonts w:ascii="TimesNewRoman" w:hAnsi="TimesNewRoman" w:cs="TimesNewRoman"/>
                <w:b w:val="0"/>
                <w:spacing w:val="0"/>
                <w:sz w:val="20"/>
                <w:lang w:eastAsia="sk-SK"/>
              </w:rPr>
            </w:pPr>
            <w:r w:rsidRPr="00F74B61">
              <w:rPr>
                <w:rFonts w:ascii="TimesNewRoman" w:hAnsi="TimesNewRoman" w:cs="TimesNewRoman"/>
                <w:b w:val="0"/>
                <w:spacing w:val="0"/>
                <w:sz w:val="20"/>
                <w:lang w:eastAsia="sk-SK"/>
              </w:rPr>
              <w:t>Článok 6</w:t>
            </w:r>
          </w:p>
          <w:p w:rsidR="00C751EE" w:rsidRPr="00F74B61" w:rsidP="00C751EE">
            <w:pPr>
              <w:pStyle w:val="Heading2"/>
              <w:jc w:val="both"/>
              <w:rPr>
                <w:rFonts w:ascii="TimesNewRoman" w:hAnsi="TimesNewRoman" w:cs="TimesNewRoman"/>
                <w:b w:val="0"/>
                <w:spacing w:val="0"/>
                <w:sz w:val="20"/>
                <w:lang w:eastAsia="sk-SK"/>
              </w:rPr>
            </w:pPr>
            <w:r w:rsidRPr="00F74B61">
              <w:rPr>
                <w:rFonts w:ascii="TimesNewRoman" w:hAnsi="TimesNewRoman" w:cs="TimesNewRoman"/>
                <w:b w:val="0"/>
                <w:spacing w:val="0"/>
                <w:sz w:val="20"/>
                <w:lang w:eastAsia="sk-SK"/>
              </w:rPr>
              <w:t>Predaj palív s prísnejšími environmentálnymi špeci</w:t>
            </w:r>
            <w:r w:rsidRPr="00F74B61">
              <w:rPr>
                <w:rFonts w:ascii="TimesNewRoman" w:hAnsi="TimesNewRoman" w:cs="TimesNewRoman"/>
                <w:b w:val="0"/>
                <w:spacing w:val="0"/>
                <w:sz w:val="20"/>
                <w:lang w:eastAsia="sk-SK"/>
              </w:rPr>
              <w:t>fikáciami</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1. Odlišne od článkov 3, </w:t>
            </w:r>
            <w:smartTag w:uri="urn:schemas-microsoft-com:office:smarttags" w:element="metricconverter">
              <w:smartTagPr>
                <w:attr w:name="ProductID" w:val="4 a"/>
              </w:smartTagPr>
              <w:r w:rsidRPr="00F74B61">
                <w:rPr>
                  <w:rFonts w:ascii="TimesNewRoman" w:hAnsi="TimesNewRoman" w:cs="TimesNewRoman"/>
                  <w:sz w:val="20"/>
                  <w:lang w:eastAsia="sk-SK"/>
                </w:rPr>
                <w:t>4 a</w:t>
              </w:r>
            </w:smartTag>
            <w:r w:rsidRPr="00F74B61">
              <w:rPr>
                <w:rFonts w:ascii="TimesNewRoman" w:hAnsi="TimesNewRoman" w:cs="TimesNewRoman"/>
                <w:sz w:val="20"/>
                <w:lang w:eastAsia="sk-SK"/>
              </w:rPr>
              <w:t xml:space="preserve"> </w:t>
            </w:r>
            <w:smartTag w:uri="urn:schemas-microsoft-com:office:smarttags" w:element="metricconverter">
              <w:smartTagPr>
                <w:attr w:name="ProductID" w:val="5 a"/>
              </w:smartTagPr>
              <w:r w:rsidRPr="00F74B61">
                <w:rPr>
                  <w:rFonts w:ascii="TimesNewRoman" w:hAnsi="TimesNewRoman" w:cs="TimesNewRoman"/>
                  <w:sz w:val="20"/>
                  <w:lang w:eastAsia="sk-SK"/>
                </w:rPr>
                <w:t>5 a</w:t>
              </w:r>
            </w:smartTag>
            <w:r w:rsidRPr="00F74B61">
              <w:rPr>
                <w:rFonts w:ascii="TimesNewRoman" w:hAnsi="TimesNewRoman" w:cs="TimesNewRoman"/>
                <w:sz w:val="20"/>
                <w:lang w:eastAsia="sk-SK"/>
              </w:rPr>
              <w:t xml:space="preserve"> v súlade s článkom 95 ods. 10</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zmluvy môžu členské štáty uskutočniť opatrenia vyžadujúce, aby</w:t>
            </w:r>
            <w:r>
              <w:rPr>
                <w:rFonts w:ascii="TimesNewRoman" w:hAnsi="TimesNewRoman" w:cs="TimesNewRoman"/>
                <w:sz w:val="20"/>
                <w:lang w:eastAsia="sk-SK"/>
              </w:rPr>
              <w:t xml:space="preserve"> </w:t>
            </w:r>
            <w:r w:rsidRPr="00F74B61">
              <w:rPr>
                <w:rFonts w:ascii="TimesNewRoman" w:hAnsi="TimesNewRoman" w:cs="TimesNewRoman"/>
                <w:sz w:val="20"/>
                <w:lang w:eastAsia="sk-SK"/>
              </w:rPr>
              <w:t>v konkrétnych oblastiach v rámci ich územia sa mohli palivá uvies</w:t>
            </w:r>
            <w:r w:rsidRPr="00F74B61">
              <w:rPr>
                <w:rFonts w:ascii="TimesNewRoman+01" w:hAnsi="TimesNewRoman+01" w:cs="TimesNewRoman+01"/>
                <w:sz w:val="20"/>
                <w:lang w:eastAsia="sk-SK"/>
              </w:rPr>
              <w:t>ť</w:t>
            </w:r>
            <w:r>
              <w:rPr>
                <w:rFonts w:ascii="TimesNewRoman+01" w:hAnsi="TimesNewRoman+01" w:cs="TimesNewRoman+01"/>
                <w:sz w:val="20"/>
                <w:lang w:eastAsia="sk-SK"/>
              </w:rPr>
              <w:t xml:space="preserve"> </w:t>
            </w:r>
            <w:r w:rsidRPr="00F74B61">
              <w:rPr>
                <w:rFonts w:ascii="TimesNewRoman" w:hAnsi="TimesNewRoman" w:cs="TimesNewRoman"/>
                <w:sz w:val="20"/>
                <w:lang w:eastAsia="sk-SK"/>
              </w:rPr>
              <w:t>na trh, iba ak sp</w:t>
            </w:r>
            <w:r w:rsidRPr="00F74B61">
              <w:rPr>
                <w:rFonts w:ascii="TimesNewRoman+01" w:hAnsi="TimesNewRoman+01" w:cs="TimesNewRoman+01"/>
                <w:sz w:val="20"/>
                <w:lang w:eastAsia="sk-SK"/>
              </w:rPr>
              <w:t>ĺň</w:t>
            </w:r>
            <w:r w:rsidRPr="00F74B61">
              <w:rPr>
                <w:rFonts w:ascii="TimesNewRoman" w:hAnsi="TimesNewRoman" w:cs="TimesNewRoman"/>
                <w:sz w:val="20"/>
                <w:lang w:eastAsia="sk-SK"/>
              </w:rPr>
              <w:t>ajú prísnej</w:t>
            </w:r>
            <w:r w:rsidRPr="00F74B61">
              <w:rPr>
                <w:rFonts w:ascii="TimesNewRoman+01" w:hAnsi="TimesNewRoman+01" w:cs="TimesNewRoman+01"/>
                <w:sz w:val="20"/>
                <w:lang w:eastAsia="sk-SK"/>
              </w:rPr>
              <w:t>š</w:t>
            </w:r>
            <w:r w:rsidRPr="00F74B61">
              <w:rPr>
                <w:rFonts w:ascii="TimesNewRoman" w:hAnsi="TimesNewRoman" w:cs="TimesNewRoman"/>
                <w:sz w:val="20"/>
                <w:lang w:eastAsia="sk-SK"/>
              </w:rPr>
              <w:t xml:space="preserve">ie environmentálne </w:t>
            </w:r>
            <w:r w:rsidRPr="00F74B61">
              <w:rPr>
                <w:rFonts w:ascii="TimesNewRoman+01" w:hAnsi="TimesNewRoman+01" w:cs="TimesNewRoman+01"/>
                <w:sz w:val="20"/>
                <w:lang w:eastAsia="sk-SK"/>
              </w:rPr>
              <w:t>š</w:t>
            </w:r>
            <w:r w:rsidRPr="00F74B61">
              <w:rPr>
                <w:rFonts w:ascii="TimesNewRoman" w:hAnsi="TimesNewRoman" w:cs="TimesNewRoman"/>
                <w:sz w:val="20"/>
                <w:lang w:eastAsia="sk-SK"/>
              </w:rPr>
              <w:t>pe</w:t>
            </w:r>
            <w:r w:rsidRPr="00F74B61">
              <w:rPr>
                <w:rFonts w:ascii="TimesNewRoman" w:hAnsi="TimesNewRoman" w:cs="TimesNewRoman"/>
                <w:sz w:val="20"/>
                <w:lang w:eastAsia="sk-SK"/>
              </w:rPr>
              <w:t xml:space="preserve">cifikácie, ako sú ustanovené v tejto smernici, pre celý vozový park alebo jeho </w:t>
            </w:r>
            <w:r w:rsidRPr="00F74B61">
              <w:rPr>
                <w:rFonts w:ascii="TimesNewRoman+01" w:hAnsi="TimesNewRoman+01" w:cs="TimesNewRoman+01"/>
                <w:sz w:val="20"/>
                <w:lang w:eastAsia="sk-SK"/>
              </w:rPr>
              <w:t>č</w:t>
            </w:r>
            <w:r w:rsidRPr="00F74B61">
              <w:rPr>
                <w:rFonts w:ascii="TimesNewRoman" w:hAnsi="TimesNewRoman" w:cs="TimesNewRoman"/>
                <w:sz w:val="20"/>
                <w:lang w:eastAsia="sk-SK"/>
              </w:rPr>
              <w:t>as</w:t>
            </w:r>
            <w:r w:rsidRPr="00F74B61">
              <w:rPr>
                <w:rFonts w:ascii="TimesNewRoman+01" w:hAnsi="TimesNewRoman+01" w:cs="TimesNewRoman+01"/>
                <w:sz w:val="20"/>
                <w:lang w:eastAsia="sk-SK"/>
              </w:rPr>
              <w:t>ť</w:t>
            </w:r>
            <w:r w:rsidRPr="00F74B61">
              <w:rPr>
                <w:rFonts w:ascii="TimesNewRoman" w:hAnsi="TimesNewRoman" w:cs="TimesNewRoman"/>
                <w:sz w:val="20"/>
                <w:lang w:eastAsia="sk-SK"/>
              </w:rPr>
              <w:t>, s cie</w:t>
            </w:r>
            <w:r w:rsidRPr="00F74B61">
              <w:rPr>
                <w:rFonts w:ascii="TimesNewRoman+01" w:hAnsi="TimesNewRoman+01" w:cs="TimesNewRoman+01"/>
                <w:sz w:val="20"/>
                <w:lang w:eastAsia="sk-SK"/>
              </w:rPr>
              <w:t>ľ</w:t>
            </w:r>
            <w:r w:rsidRPr="00F74B61">
              <w:rPr>
                <w:rFonts w:ascii="TimesNewRoman" w:hAnsi="TimesNewRoman" w:cs="TimesNewRoman"/>
                <w:sz w:val="20"/>
                <w:lang w:eastAsia="sk-SK"/>
              </w:rPr>
              <w:t>om chráni</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zdravie obyvate</w:t>
            </w:r>
            <w:r w:rsidRPr="00F74B61">
              <w:rPr>
                <w:rFonts w:ascii="TimesNewRoman+01" w:hAnsi="TimesNewRoman+01" w:cs="TimesNewRoman+01"/>
                <w:sz w:val="20"/>
                <w:lang w:eastAsia="sk-SK"/>
              </w:rPr>
              <w:t>ľ</w:t>
            </w:r>
            <w:r w:rsidRPr="00F74B61">
              <w:rPr>
                <w:rFonts w:ascii="TimesNewRoman" w:hAnsi="TimesNewRoman" w:cs="TimesNewRoman"/>
                <w:sz w:val="20"/>
                <w:lang w:eastAsia="sk-SK"/>
              </w:rPr>
              <w:t>ov v konkrétnej aglomerácii alebo chráni</w:t>
            </w:r>
            <w:r w:rsidRPr="00F74B61">
              <w:rPr>
                <w:rFonts w:ascii="TimesNewRoman+01" w:hAnsi="TimesNewRoman+01" w:cs="TimesNewRoman+01"/>
                <w:sz w:val="20"/>
                <w:lang w:eastAsia="sk-SK"/>
              </w:rPr>
              <w:t>ť ž</w:t>
            </w:r>
            <w:r w:rsidRPr="00F74B61">
              <w:rPr>
                <w:rFonts w:ascii="TimesNewRoman" w:hAnsi="TimesNewRoman" w:cs="TimesNewRoman"/>
                <w:sz w:val="20"/>
                <w:lang w:eastAsia="sk-SK"/>
              </w:rPr>
              <w:t xml:space="preserve">ivotné prostredie v konkrétnej ekologicky alebo environmentálne citlivej oblasti tohto </w:t>
            </w:r>
            <w:r w:rsidRPr="00F74B61">
              <w:rPr>
                <w:rFonts w:ascii="TimesNewRoman+01" w:hAnsi="TimesNewRoman+01" w:cs="TimesNewRoman+01"/>
                <w:sz w:val="20"/>
                <w:lang w:eastAsia="sk-SK"/>
              </w:rPr>
              <w:t>č</w:t>
            </w:r>
            <w:r w:rsidRPr="00F74B61">
              <w:rPr>
                <w:rFonts w:ascii="TimesNewRoman" w:hAnsi="TimesNewRoman" w:cs="TimesNewRoman"/>
                <w:sz w:val="20"/>
                <w:lang w:eastAsia="sk-SK"/>
              </w:rPr>
              <w:t>lenskéh</w:t>
            </w:r>
            <w:r w:rsidRPr="00F74B61">
              <w:rPr>
                <w:rFonts w:ascii="TimesNewRoman" w:hAnsi="TimesNewRoman" w:cs="TimesNewRoman"/>
                <w:sz w:val="20"/>
                <w:lang w:eastAsia="sk-SK"/>
              </w:rPr>
              <w:t xml:space="preserve">o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tátu, ak znečistenie ovzdu</w:t>
            </w:r>
            <w:r w:rsidRPr="00F74B61">
              <w:rPr>
                <w:rFonts w:ascii="TimesNewRoman+01" w:hAnsi="TimesNewRoman+01" w:cs="TimesNewRoman+01"/>
                <w:sz w:val="20"/>
                <w:lang w:eastAsia="sk-SK"/>
              </w:rPr>
              <w:t>š</w:t>
            </w:r>
            <w:r w:rsidRPr="00F74B61">
              <w:rPr>
                <w:rFonts w:ascii="TimesNewRoman" w:hAnsi="TimesNewRoman" w:cs="TimesNewRoman"/>
                <w:sz w:val="20"/>
                <w:lang w:eastAsia="sk-SK"/>
              </w:rPr>
              <w:t>ia alebo spodnej vody predstavuje, alebo odôvodnite</w:t>
            </w:r>
            <w:r w:rsidRPr="00F74B61">
              <w:rPr>
                <w:rFonts w:ascii="TimesNewRoman+01" w:hAnsi="TimesNewRoman+01" w:cs="TimesNewRoman+01"/>
                <w:sz w:val="20"/>
                <w:lang w:eastAsia="sk-SK"/>
              </w:rPr>
              <w:t>ľ</w:t>
            </w:r>
            <w:r w:rsidRPr="00F74B61">
              <w:rPr>
                <w:rFonts w:ascii="TimesNewRoman" w:hAnsi="TimesNewRoman" w:cs="TimesNewRoman"/>
                <w:sz w:val="20"/>
                <w:lang w:eastAsia="sk-SK"/>
              </w:rPr>
              <w:t>ne sa dá o</w:t>
            </w:r>
            <w:r w:rsidRPr="00F74B61">
              <w:rPr>
                <w:rFonts w:ascii="TimesNewRoman+01" w:hAnsi="TimesNewRoman+01" w:cs="TimesNewRoman+01"/>
                <w:sz w:val="20"/>
                <w:lang w:eastAsia="sk-SK"/>
              </w:rPr>
              <w:t>č</w:t>
            </w:r>
            <w:r w:rsidRPr="00F74B61">
              <w:rPr>
                <w:rFonts w:ascii="TimesNewRoman" w:hAnsi="TimesNewRoman" w:cs="TimesNewRoman"/>
                <w:sz w:val="20"/>
                <w:lang w:eastAsia="sk-SK"/>
              </w:rPr>
              <w:t>akáva</w:t>
            </w:r>
            <w:r w:rsidRPr="00F74B61">
              <w:rPr>
                <w:rFonts w:ascii="TimesNewRoman+01" w:hAnsi="TimesNewRoman+01" w:cs="TimesNewRoman+01"/>
                <w:sz w:val="20"/>
                <w:lang w:eastAsia="sk-SK"/>
              </w:rPr>
              <w:t>ť</w:t>
            </w:r>
            <w:r w:rsidRPr="00F74B61">
              <w:rPr>
                <w:rFonts w:ascii="TimesNewRoman" w:hAnsi="TimesNewRoman" w:cs="TimesNewRoman"/>
                <w:sz w:val="20"/>
                <w:lang w:eastAsia="sk-SK"/>
              </w:rPr>
              <w:t xml:space="preserve">, </w:t>
            </w:r>
            <w:r w:rsidRPr="00F74B61">
              <w:rPr>
                <w:rFonts w:ascii="TimesNewRoman+01" w:hAnsi="TimesNewRoman+01" w:cs="TimesNewRoman+01"/>
                <w:sz w:val="20"/>
                <w:lang w:eastAsia="sk-SK"/>
              </w:rPr>
              <w:t>ž</w:t>
            </w:r>
            <w:r w:rsidRPr="00F74B61">
              <w:rPr>
                <w:rFonts w:ascii="TimesNewRoman" w:hAnsi="TimesNewRoman" w:cs="TimesNewRoman"/>
                <w:sz w:val="20"/>
                <w:lang w:eastAsia="sk-SK"/>
              </w:rPr>
              <w:t>e by mohol predstavova</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vá</w:t>
            </w:r>
            <w:r w:rsidRPr="00F74B61">
              <w:rPr>
                <w:rFonts w:ascii="TimesNewRoman+01" w:hAnsi="TimesNewRoman+01" w:cs="TimesNewRoman+01"/>
                <w:sz w:val="20"/>
                <w:lang w:eastAsia="sk-SK"/>
              </w:rPr>
              <w:t>ž</w:t>
            </w:r>
            <w:r w:rsidRPr="00F74B61">
              <w:rPr>
                <w:rFonts w:ascii="TimesNewRoman" w:hAnsi="TimesNewRoman" w:cs="TimesNewRoman"/>
                <w:sz w:val="20"/>
                <w:lang w:eastAsia="sk-SK"/>
              </w:rPr>
              <w:t xml:space="preserve">ny a opakovaný problém pre zdravie </w:t>
            </w:r>
            <w:r w:rsidRPr="00F74B61">
              <w:rPr>
                <w:rFonts w:ascii="TimesNewRoman+01" w:hAnsi="TimesNewRoman+01" w:cs="TimesNewRoman+01"/>
                <w:sz w:val="20"/>
                <w:lang w:eastAsia="sk-SK"/>
              </w:rPr>
              <w:t>ľ</w:t>
            </w:r>
            <w:r w:rsidRPr="00F74B61">
              <w:rPr>
                <w:rFonts w:ascii="TimesNewRoman" w:hAnsi="TimesNewRoman" w:cs="TimesNewRoman"/>
                <w:sz w:val="20"/>
                <w:lang w:eastAsia="sk-SK"/>
              </w:rPr>
              <w:t xml:space="preserve">udí alebo pre </w:t>
            </w:r>
            <w:r w:rsidRPr="00F74B61">
              <w:rPr>
                <w:rFonts w:ascii="TimesNewRoman+01" w:hAnsi="TimesNewRoman+01" w:cs="TimesNewRoman+01"/>
                <w:sz w:val="20"/>
                <w:lang w:eastAsia="sk-SK"/>
              </w:rPr>
              <w:t>ž</w:t>
            </w:r>
            <w:r w:rsidRPr="00F74B61">
              <w:rPr>
                <w:rFonts w:ascii="TimesNewRoman" w:hAnsi="TimesNewRoman" w:cs="TimesNewRoman"/>
                <w:sz w:val="20"/>
                <w:lang w:eastAsia="sk-SK"/>
              </w:rPr>
              <w:t>ivotné prostredie.</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D</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Ž</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O2</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2.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lenský </w:t>
            </w:r>
            <w:r w:rsidRPr="00F74B61">
              <w:rPr>
                <w:rFonts w:ascii="TimesNewRoman+01" w:hAnsi="TimesNewRoman+01" w:cs="TimesNewRoman+01"/>
                <w:sz w:val="20"/>
                <w:lang w:eastAsia="sk-SK"/>
              </w:rPr>
              <w:t>š</w:t>
            </w:r>
            <w:r w:rsidRPr="00F74B61">
              <w:rPr>
                <w:rFonts w:ascii="TimesNewRoman" w:hAnsi="TimesNewRoman" w:cs="TimesNewRoman"/>
                <w:sz w:val="20"/>
                <w:lang w:eastAsia="sk-SK"/>
              </w:rPr>
              <w:t xml:space="preserve">tát, ktorý si </w:t>
            </w:r>
            <w:r w:rsidRPr="00F74B61">
              <w:rPr>
                <w:rFonts w:ascii="TimesNewRoman+01" w:hAnsi="TimesNewRoman+01" w:cs="TimesNewRoman+01"/>
                <w:sz w:val="20"/>
                <w:lang w:eastAsia="sk-SK"/>
              </w:rPr>
              <w:t>ž</w:t>
            </w:r>
            <w:r w:rsidRPr="00F74B61">
              <w:rPr>
                <w:rFonts w:ascii="TimesNewRoman" w:hAnsi="TimesNewRoman" w:cs="TimesNewRoman"/>
                <w:sz w:val="20"/>
                <w:lang w:eastAsia="sk-SK"/>
              </w:rPr>
              <w:t>elá vyu</w:t>
            </w:r>
            <w:r w:rsidRPr="00F74B61">
              <w:rPr>
                <w:rFonts w:ascii="TimesNewRoman+01" w:hAnsi="TimesNewRoman+01" w:cs="TimesNewRoman+01"/>
                <w:sz w:val="20"/>
                <w:lang w:eastAsia="sk-SK"/>
              </w:rPr>
              <w:t>ž</w:t>
            </w:r>
            <w:r w:rsidRPr="00F74B61">
              <w:rPr>
                <w:rFonts w:ascii="TimesNewRoman" w:hAnsi="TimesNewRoman" w:cs="TimesNewRoman"/>
                <w:sz w:val="20"/>
                <w:lang w:eastAsia="sk-SK"/>
              </w:rPr>
              <w:t>i</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výni</w:t>
            </w:r>
            <w:r w:rsidRPr="00F74B61">
              <w:rPr>
                <w:rFonts w:ascii="TimesNewRoman" w:hAnsi="TimesNewRoman" w:cs="TimesNewRoman"/>
                <w:sz w:val="20"/>
                <w:lang w:eastAsia="sk-SK"/>
              </w:rPr>
              <w:t>mku poskytnutú odsekom 1, predlo</w:t>
            </w:r>
            <w:r w:rsidRPr="00F74B61">
              <w:rPr>
                <w:rFonts w:ascii="TimesNewRoman+01" w:hAnsi="TimesNewRoman+01" w:cs="TimesNewRoman+01"/>
                <w:sz w:val="20"/>
                <w:lang w:eastAsia="sk-SK"/>
              </w:rPr>
              <w:t>ž</w:t>
            </w:r>
            <w:r w:rsidRPr="00F74B61">
              <w:rPr>
                <w:rFonts w:ascii="TimesNewRoman" w:hAnsi="TimesNewRoman" w:cs="TimesNewRoman"/>
                <w:sz w:val="20"/>
                <w:lang w:eastAsia="sk-SK"/>
              </w:rPr>
              <w:t xml:space="preserve">í Komisii vopred svoju </w:t>
            </w:r>
            <w:r w:rsidRPr="00F74B61">
              <w:rPr>
                <w:rFonts w:ascii="TimesNewRoman+01" w:hAnsi="TimesNewRoman+01" w:cs="TimesNewRoman+01"/>
                <w:sz w:val="20"/>
                <w:lang w:eastAsia="sk-SK"/>
              </w:rPr>
              <w:t>ž</w:t>
            </w:r>
            <w:r w:rsidRPr="00F74B61">
              <w:rPr>
                <w:rFonts w:ascii="TimesNewRoman" w:hAnsi="TimesNewRoman" w:cs="TimesNewRoman"/>
                <w:sz w:val="20"/>
                <w:lang w:eastAsia="sk-SK"/>
              </w:rPr>
              <w:t>iados</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vrátane jej zdôvodnenia.</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Zdôvodnenie bude obsahova</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 xml:space="preserve">dôkaz, </w:t>
            </w:r>
            <w:r w:rsidRPr="00F74B61">
              <w:rPr>
                <w:rFonts w:ascii="TimesNewRoman+01" w:hAnsi="TimesNewRoman+01" w:cs="TimesNewRoman+01"/>
                <w:sz w:val="20"/>
                <w:lang w:eastAsia="sk-SK"/>
              </w:rPr>
              <w:t>ž</w:t>
            </w:r>
            <w:r w:rsidRPr="00F74B61">
              <w:rPr>
                <w:rFonts w:ascii="TimesNewRoman" w:hAnsi="TimesNewRoman" w:cs="TimesNewRoman"/>
                <w:sz w:val="20"/>
                <w:lang w:eastAsia="sk-SK"/>
              </w:rPr>
              <w:t>e výnimka re</w:t>
            </w:r>
            <w:r w:rsidRPr="00F74B61">
              <w:rPr>
                <w:rFonts w:ascii="TimesNewRoman+01" w:hAnsi="TimesNewRoman+01" w:cs="TimesNewRoman+01"/>
                <w:sz w:val="20"/>
                <w:lang w:eastAsia="sk-SK"/>
              </w:rPr>
              <w:t>š</w:t>
            </w:r>
            <w:r w:rsidRPr="00F74B61">
              <w:rPr>
                <w:rFonts w:ascii="TimesNewRoman" w:hAnsi="TimesNewRoman" w:cs="TimesNewRoman"/>
                <w:sz w:val="20"/>
                <w:lang w:eastAsia="sk-SK"/>
              </w:rPr>
              <w:t xml:space="preserve">pektuje princípy proporcionality a </w:t>
            </w:r>
            <w:r w:rsidRPr="00F74B61">
              <w:rPr>
                <w:rFonts w:ascii="TimesNewRoman+01" w:hAnsi="TimesNewRoman+01" w:cs="TimesNewRoman+01"/>
                <w:sz w:val="20"/>
                <w:lang w:eastAsia="sk-SK"/>
              </w:rPr>
              <w:t>ž</w:t>
            </w:r>
            <w:r w:rsidRPr="00F74B61">
              <w:rPr>
                <w:rFonts w:ascii="TimesNewRoman" w:hAnsi="TimesNewRoman" w:cs="TimesNewRoman"/>
                <w:sz w:val="20"/>
                <w:lang w:eastAsia="sk-SK"/>
              </w:rPr>
              <w:t>e nebude naru</w:t>
            </w:r>
            <w:r w:rsidRPr="00F74B61">
              <w:rPr>
                <w:rFonts w:ascii="TimesNewRoman+01" w:hAnsi="TimesNewRoman+01" w:cs="TimesNewRoman+01"/>
                <w:sz w:val="20"/>
                <w:lang w:eastAsia="sk-SK"/>
              </w:rPr>
              <w:t>š</w:t>
            </w:r>
            <w:r w:rsidRPr="00F74B61">
              <w:rPr>
                <w:rFonts w:ascii="TimesNewRoman" w:hAnsi="TimesNewRoman" w:cs="TimesNewRoman"/>
                <w:sz w:val="20"/>
                <w:lang w:eastAsia="sk-SK"/>
              </w:rPr>
              <w:t>ova</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vo</w:t>
            </w:r>
            <w:r w:rsidRPr="00F74B61">
              <w:rPr>
                <w:rFonts w:ascii="TimesNewRoman+01" w:hAnsi="TimesNewRoman+01" w:cs="TimesNewRoman+01"/>
                <w:sz w:val="20"/>
                <w:lang w:eastAsia="sk-SK"/>
              </w:rPr>
              <w:t>ľ</w:t>
            </w:r>
            <w:r w:rsidRPr="00F74B61">
              <w:rPr>
                <w:rFonts w:ascii="TimesNewRoman" w:hAnsi="TimesNewRoman" w:cs="TimesNewRoman"/>
                <w:sz w:val="20"/>
                <w:lang w:eastAsia="sk-SK"/>
              </w:rPr>
              <w:t>ný pohyb tovaru a osôb.</w:t>
            </w:r>
          </w:p>
          <w:p w:rsidR="00C751EE" w:rsidRPr="00F74B61" w:rsidP="00C751EE">
            <w:pPr>
              <w:pStyle w:val="Heading2"/>
              <w:jc w:val="both"/>
              <w:rPr>
                <w:rFonts w:ascii="Times New Roman" w:hAnsi="Times New Roman"/>
                <w:b w:val="0"/>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O3</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3. Zú</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astnené </w:t>
            </w:r>
            <w:r w:rsidRPr="00F74B61">
              <w:rPr>
                <w:rFonts w:ascii="TimesNewRoman+01" w:hAnsi="TimesNewRoman+01" w:cs="TimesNewRoman+01"/>
                <w:sz w:val="20"/>
                <w:lang w:eastAsia="sk-SK"/>
              </w:rPr>
              <w:t>č</w:t>
            </w:r>
            <w:r w:rsidRPr="00F74B61">
              <w:rPr>
                <w:rFonts w:ascii="TimesNewRoman" w:hAnsi="TimesNewRoman" w:cs="TimesNewRoman"/>
                <w:sz w:val="20"/>
                <w:lang w:eastAsia="sk-SK"/>
              </w:rPr>
              <w:t>lens</w:t>
            </w:r>
            <w:r w:rsidRPr="00F74B61">
              <w:rPr>
                <w:rFonts w:ascii="TimesNewRoman" w:hAnsi="TimesNewRoman" w:cs="TimesNewRoman"/>
                <w:sz w:val="20"/>
                <w:lang w:eastAsia="sk-SK"/>
              </w:rPr>
              <w:t xml:space="preserve">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poskytnú Komisii príslu</w:t>
            </w:r>
            <w:r w:rsidRPr="00F74B61">
              <w:rPr>
                <w:rFonts w:ascii="TimesNewRoman+01" w:hAnsi="TimesNewRoman+01" w:cs="TimesNewRoman+01"/>
                <w:sz w:val="20"/>
                <w:lang w:eastAsia="sk-SK"/>
              </w:rPr>
              <w:t>š</w:t>
            </w:r>
            <w:r w:rsidRPr="00F74B61">
              <w:rPr>
                <w:rFonts w:ascii="TimesNewRoman" w:hAnsi="TimesNewRoman" w:cs="TimesNewRoman"/>
                <w:sz w:val="20"/>
                <w:lang w:eastAsia="sk-SK"/>
              </w:rPr>
              <w:t>né environmentálne údaje pre dotknutú aglomeráciu alebo oblas</w:t>
            </w:r>
            <w:r w:rsidRPr="00F74B61">
              <w:rPr>
                <w:rFonts w:ascii="TimesNewRoman+01" w:hAnsi="TimesNewRoman+01" w:cs="TimesNewRoman+01"/>
                <w:sz w:val="20"/>
                <w:lang w:eastAsia="sk-SK"/>
              </w:rPr>
              <w:t>ť</w:t>
            </w:r>
            <w:r w:rsidRPr="00F74B61">
              <w:rPr>
                <w:rFonts w:ascii="TimesNewRoman" w:hAnsi="TimesNewRoman" w:cs="TimesNewRoman"/>
                <w:sz w:val="20"/>
                <w:lang w:eastAsia="sk-SK"/>
              </w:rPr>
              <w:t>, ako aj predpokladané ú</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inky navrhovaných opatrení na </w:t>
            </w:r>
            <w:r w:rsidRPr="00F74B61">
              <w:rPr>
                <w:rFonts w:ascii="TimesNewRoman+01" w:hAnsi="TimesNewRoman+01" w:cs="TimesNewRoman+01"/>
                <w:sz w:val="20"/>
                <w:lang w:eastAsia="sk-SK"/>
              </w:rPr>
              <w:t>ž</w:t>
            </w:r>
            <w:r w:rsidRPr="00F74B61">
              <w:rPr>
                <w:rFonts w:ascii="TimesNewRoman" w:hAnsi="TimesNewRoman" w:cs="TimesNewRoman"/>
                <w:sz w:val="20"/>
                <w:lang w:eastAsia="sk-SK"/>
              </w:rPr>
              <w:t>ivotné prostredie.</w:t>
            </w:r>
          </w:p>
          <w:p w:rsidR="00C751EE" w:rsidRPr="00F74B61" w:rsidP="00C751EE">
            <w:pPr>
              <w:pStyle w:val="Heading2"/>
              <w:jc w:val="both"/>
              <w:rPr>
                <w:rFonts w:ascii="Times New Roman" w:hAnsi="Times New Roman"/>
                <w:b w:val="0"/>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O4</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4. Komisia poskytne bez zbyto</w:t>
            </w:r>
            <w:r w:rsidRPr="00F74B61">
              <w:rPr>
                <w:rFonts w:ascii="TimesNewRoman+01" w:hAnsi="TimesNewRoman+01" w:cs="TimesNewRoman+01"/>
                <w:sz w:val="20"/>
                <w:lang w:eastAsia="sk-SK"/>
              </w:rPr>
              <w:t>č</w:t>
            </w:r>
            <w:r w:rsidRPr="00F74B61">
              <w:rPr>
                <w:rFonts w:ascii="TimesNewRoman" w:hAnsi="TimesNewRoman" w:cs="TimesNewRoman"/>
                <w:sz w:val="20"/>
                <w:lang w:eastAsia="sk-SK"/>
              </w:rPr>
              <w:t>ného odkladu tieto informácie</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ostatným</w:t>
            </w:r>
            <w:r w:rsidRPr="00F74B61">
              <w:rPr>
                <w:rFonts w:ascii="TimesNewRoman" w:hAnsi="TimesNewRoman" w:cs="TimesNewRoman"/>
                <w:sz w:val="20"/>
                <w:lang w:eastAsia="sk-SK"/>
              </w:rPr>
              <w:t xml:space="preserve">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lenským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tátom.</w:t>
            </w:r>
          </w:p>
          <w:p w:rsidR="00C751EE" w:rsidRPr="00F74B61" w:rsidP="00C751EE">
            <w:pPr>
              <w:pStyle w:val="Heading2"/>
              <w:jc w:val="both"/>
              <w:rPr>
                <w:rFonts w:ascii="Times New Roman" w:hAnsi="Times New Roman"/>
                <w:b w:val="0"/>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O5</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5.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mô</w:t>
            </w:r>
            <w:r w:rsidRPr="00F74B61">
              <w:rPr>
                <w:rFonts w:ascii="TimesNewRoman+01" w:hAnsi="TimesNewRoman+01" w:cs="TimesNewRoman+01"/>
                <w:sz w:val="20"/>
                <w:lang w:eastAsia="sk-SK"/>
              </w:rPr>
              <w:t>ž</w:t>
            </w:r>
            <w:r w:rsidRPr="00F74B61">
              <w:rPr>
                <w:rFonts w:ascii="TimesNewRoman" w:hAnsi="TimesNewRoman" w:cs="TimesNewRoman"/>
                <w:sz w:val="20"/>
                <w:lang w:eastAsia="sk-SK"/>
              </w:rPr>
              <w:t>u na po</w:t>
            </w:r>
            <w:r w:rsidRPr="00F74B61">
              <w:rPr>
                <w:rFonts w:ascii="TimesNewRoman+01" w:hAnsi="TimesNewRoman+01" w:cs="TimesNewRoman+01"/>
                <w:sz w:val="20"/>
                <w:lang w:eastAsia="sk-SK"/>
              </w:rPr>
              <w:t>ž</w:t>
            </w:r>
            <w:r w:rsidRPr="00F74B61">
              <w:rPr>
                <w:rFonts w:ascii="TimesNewRoman" w:hAnsi="TimesNewRoman" w:cs="TimesNewRoman"/>
                <w:sz w:val="20"/>
                <w:lang w:eastAsia="sk-SK"/>
              </w:rPr>
              <w:t>iadanie poskytnú</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svoj komentár</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k </w:t>
            </w:r>
            <w:r w:rsidRPr="00F74B61">
              <w:rPr>
                <w:rFonts w:ascii="TimesNewRoman+01" w:hAnsi="TimesNewRoman+01" w:cs="TimesNewRoman+01"/>
                <w:sz w:val="20"/>
                <w:lang w:eastAsia="sk-SK"/>
              </w:rPr>
              <w:t>ž</w:t>
            </w:r>
            <w:r w:rsidRPr="00F74B61">
              <w:rPr>
                <w:rFonts w:ascii="TimesNewRoman" w:hAnsi="TimesNewRoman" w:cs="TimesNewRoman"/>
                <w:sz w:val="20"/>
                <w:lang w:eastAsia="sk-SK"/>
              </w:rPr>
              <w:t>iadosti a zdôvodnenie do dvoch mesiacov od dátumu poskytnutia informácie Komisii.</w:t>
            </w:r>
          </w:p>
          <w:p w:rsidR="00C751EE" w:rsidRPr="00F74B61" w:rsidP="00C751EE">
            <w:pPr>
              <w:pStyle w:val="Heading2"/>
              <w:jc w:val="both"/>
              <w:rPr>
                <w:rFonts w:ascii="Times New Roman" w:hAnsi="Times New Roman"/>
                <w:b w:val="0"/>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Č6</w:t>
            </w:r>
          </w:p>
          <w:p w:rsidR="00C751EE" w:rsidRPr="00F74B61" w:rsidP="00C751EE">
            <w:pPr>
              <w:jc w:val="both"/>
              <w:rPr>
                <w:sz w:val="20"/>
              </w:rPr>
            </w:pPr>
            <w:r w:rsidRPr="00F74B61">
              <w:rPr>
                <w:sz w:val="20"/>
              </w:rPr>
              <w:t>O6</w:t>
            </w:r>
          </w:p>
        </w:tc>
        <w:tc>
          <w:tcPr>
            <w:tcW w:w="5245" w:type="dxa"/>
            <w:tcBorders>
              <w:top w:val="single" w:sz="4" w:space="0" w:color="auto"/>
              <w:bottom w:val="single" w:sz="4" w:space="0" w:color="auto"/>
            </w:tcBorders>
          </w:tcPr>
          <w:p w:rsidR="00C751EE" w:rsidRPr="00F74B61" w:rsidP="00C751EE">
            <w:pPr>
              <w:pStyle w:val="Heading2"/>
              <w:ind w:left="0" w:firstLine="0"/>
              <w:jc w:val="both"/>
              <w:rPr>
                <w:rFonts w:ascii="Times New Roman" w:hAnsi="Times New Roman"/>
                <w:b w:val="0"/>
                <w:i/>
                <w:sz w:val="20"/>
              </w:rPr>
            </w:pPr>
            <w:r w:rsidRPr="00F74B61">
              <w:rPr>
                <w:rFonts w:ascii="TimesNewRoman" w:hAnsi="TimesNewRoman" w:cs="TimesNewRoman"/>
                <w:b w:val="0"/>
                <w:spacing w:val="0"/>
                <w:sz w:val="20"/>
                <w:lang w:eastAsia="sk-SK"/>
              </w:rPr>
              <w:t>6. Komisia prijme k žiadosti členských štátov rozhodnutie do troch mesiacov po dátume predloženia komentára členského štátu. Komisia vezme komentár členského štátu na vedomie a informuje ho o svojom rozhodnutí a súčasne informuje Európsky parlament a Radu.</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Č7</w:t>
            </w:r>
          </w:p>
        </w:tc>
        <w:tc>
          <w:tcPr>
            <w:tcW w:w="5245" w:type="dxa"/>
            <w:tcBorders>
              <w:top w:val="single" w:sz="4" w:space="0" w:color="auto"/>
              <w:bottom w:val="single" w:sz="4" w:space="0" w:color="auto"/>
            </w:tcBorders>
          </w:tcPr>
          <w:p w:rsidR="00C751EE" w:rsidRPr="00F74B61" w:rsidP="00C751EE">
            <w:pPr>
              <w:pStyle w:val="Heading2"/>
              <w:jc w:val="both"/>
              <w:rPr>
                <w:rFonts w:ascii="TimesNewRoman" w:hAnsi="TimesNewRoman" w:cs="TimesNewRoman"/>
                <w:b w:val="0"/>
                <w:spacing w:val="0"/>
                <w:sz w:val="20"/>
                <w:lang w:eastAsia="sk-SK"/>
              </w:rPr>
            </w:pPr>
            <w:r w:rsidRPr="00F74B61">
              <w:rPr>
                <w:rFonts w:ascii="TimesNewRoman" w:hAnsi="TimesNewRoman" w:cs="TimesNewRoman"/>
                <w:b w:val="0"/>
                <w:spacing w:val="0"/>
                <w:sz w:val="20"/>
                <w:lang w:eastAsia="sk-SK"/>
              </w:rPr>
              <w:t>Článok 7</w:t>
            </w:r>
          </w:p>
          <w:p w:rsidR="00C751EE" w:rsidRPr="00F74B61" w:rsidP="00C751EE">
            <w:pPr>
              <w:pStyle w:val="Heading1"/>
              <w:tabs>
                <w:tab w:val="left" w:pos="880"/>
                <w:tab w:val="left" w:pos="1134"/>
                <w:tab w:val="left" w:pos="1418"/>
                <w:tab w:val="left" w:pos="1701"/>
                <w:tab w:val="left" w:pos="1985"/>
              </w:tabs>
              <w:spacing w:before="0"/>
              <w:jc w:val="both"/>
              <w:rPr>
                <w:rFonts w:ascii="TimesNewRoman" w:hAnsi="TimesNewRoman" w:cs="TimesNewRoman"/>
                <w:b w:val="0"/>
                <w:kern w:val="0"/>
                <w:sz w:val="20"/>
                <w:lang w:eastAsia="sk-SK"/>
              </w:rPr>
            </w:pPr>
            <w:r w:rsidRPr="00F74B61">
              <w:rPr>
                <w:rFonts w:ascii="TimesNewRoman" w:hAnsi="TimesNewRoman" w:cs="TimesNewRoman"/>
                <w:b w:val="0"/>
                <w:kern w:val="0"/>
                <w:sz w:val="20"/>
                <w:lang w:eastAsia="sk-SK"/>
              </w:rPr>
              <w:t>Zmena v zásobovaní surovou ropou</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Ak v dôsledku neočakávanej udalosti bráni náhla zmena v zásobovaní surovou ropou alebo ropnými produktmi rafinériám členského štátu rešpektovať požiadavky na špecifikácie paliva uvedené v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lánkoch </w:t>
            </w:r>
            <w:smartTag w:uri="urn:schemas-microsoft-com:office:smarttags" w:element="metricconverter">
              <w:smartTagPr>
                <w:attr w:name="ProductID" w:val="3 a"/>
              </w:smartTagPr>
              <w:r w:rsidRPr="00F74B61">
                <w:rPr>
                  <w:rFonts w:ascii="TimesNewRoman" w:hAnsi="TimesNewRoman" w:cs="TimesNewRoman"/>
                  <w:sz w:val="20"/>
                  <w:lang w:eastAsia="sk-SK"/>
                </w:rPr>
                <w:t>3 a</w:t>
              </w:r>
            </w:smartTag>
            <w:r w:rsidRPr="00F74B61">
              <w:rPr>
                <w:rFonts w:ascii="TimesNewRoman" w:hAnsi="TimesNewRoman" w:cs="TimesNewRoman"/>
                <w:sz w:val="20"/>
                <w:lang w:eastAsia="sk-SK"/>
              </w:rPr>
              <w:t xml:space="preserve"> 4, tento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lenský </w:t>
            </w:r>
            <w:r w:rsidRPr="00F74B61">
              <w:rPr>
                <w:rFonts w:ascii="TimesNewRoman+01" w:hAnsi="TimesNewRoman+01" w:cs="TimesNewRoman+01"/>
                <w:sz w:val="20"/>
                <w:lang w:eastAsia="sk-SK"/>
              </w:rPr>
              <w:t>š</w:t>
            </w:r>
            <w:r w:rsidRPr="00F74B61">
              <w:rPr>
                <w:rFonts w:ascii="TimesNewRoman" w:hAnsi="TimesNewRoman" w:cs="TimesNewRoman"/>
                <w:sz w:val="20"/>
                <w:lang w:eastAsia="sk-SK"/>
              </w:rPr>
              <w:t xml:space="preserve">tát o tom informuje Komisiu. Komisia </w:t>
            </w:r>
            <w:r w:rsidRPr="00F74B61">
              <w:rPr>
                <w:rFonts w:ascii="TimesNewRoman" w:hAnsi="TimesNewRoman" w:cs="TimesNewRoman"/>
                <w:sz w:val="20"/>
                <w:lang w:eastAsia="sk-SK"/>
              </w:rPr>
              <w:t xml:space="preserve">po tom, ako informuje ostatné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mô</w:t>
            </w:r>
            <w:r w:rsidRPr="00F74B61">
              <w:rPr>
                <w:rFonts w:ascii="TimesNewRoman+01" w:hAnsi="TimesNewRoman+01" w:cs="TimesNewRoman+01"/>
                <w:sz w:val="20"/>
                <w:lang w:eastAsia="sk-SK"/>
              </w:rPr>
              <w:t>ž</w:t>
            </w:r>
            <w:r w:rsidRPr="00F74B61">
              <w:rPr>
                <w:rFonts w:ascii="TimesNewRoman" w:hAnsi="TimesNewRoman" w:cs="TimesNewRoman"/>
                <w:sz w:val="20"/>
                <w:lang w:eastAsia="sk-SK"/>
              </w:rPr>
              <w:t>e povoli</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vy</w:t>
            </w:r>
            <w:r w:rsidRPr="00F74B61">
              <w:rPr>
                <w:rFonts w:ascii="TimesNewRoman+01" w:hAnsi="TimesNewRoman+01" w:cs="TimesNewRoman+01"/>
                <w:sz w:val="20"/>
                <w:lang w:eastAsia="sk-SK"/>
              </w:rPr>
              <w:t>šš</w:t>
            </w:r>
            <w:r w:rsidRPr="00F74B61">
              <w:rPr>
                <w:rFonts w:ascii="TimesNewRoman" w:hAnsi="TimesNewRoman" w:cs="TimesNewRoman"/>
                <w:sz w:val="20"/>
                <w:lang w:eastAsia="sk-SK"/>
              </w:rPr>
              <w:t xml:space="preserve">ie limitné hodnoty v tomto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lenskom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táte na jednu alebo viaceré zlo</w:t>
            </w:r>
            <w:r w:rsidRPr="00F74B61">
              <w:rPr>
                <w:rFonts w:ascii="TimesNewRoman+01" w:hAnsi="TimesNewRoman+01" w:cs="TimesNewRoman+01"/>
                <w:sz w:val="20"/>
                <w:lang w:eastAsia="sk-SK"/>
              </w:rPr>
              <w:t>ž</w:t>
            </w:r>
            <w:r w:rsidRPr="00F74B61">
              <w:rPr>
                <w:rFonts w:ascii="TimesNewRoman" w:hAnsi="TimesNewRoman" w:cs="TimesNewRoman"/>
                <w:sz w:val="20"/>
                <w:lang w:eastAsia="sk-SK"/>
              </w:rPr>
              <w:t>ky paliva po</w:t>
            </w:r>
            <w:r w:rsidRPr="00F74B61">
              <w:rPr>
                <w:rFonts w:ascii="TimesNewRoman+01" w:hAnsi="TimesNewRoman+01" w:cs="TimesNewRoman+01"/>
                <w:sz w:val="20"/>
                <w:lang w:eastAsia="sk-SK"/>
              </w:rPr>
              <w:t>č</w:t>
            </w:r>
            <w:r w:rsidRPr="00F74B61">
              <w:rPr>
                <w:rFonts w:ascii="TimesNewRoman" w:hAnsi="TimesNewRoman" w:cs="TimesNewRoman"/>
                <w:sz w:val="20"/>
                <w:lang w:eastAsia="sk-SK"/>
              </w:rPr>
              <w:t>as obdobia neprekra</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ujúceho 6 mesiacov. </w:t>
            </w:r>
          </w:p>
          <w:p w:rsidR="00C751EE" w:rsidRPr="00F74B61" w:rsidP="00C751EE">
            <w:pPr>
              <w:autoSpaceDE w:val="0"/>
              <w:autoSpaceDN w:val="0"/>
              <w:adjustRightInd w:val="0"/>
              <w:jc w:val="both"/>
              <w:rPr>
                <w:rFonts w:ascii="TimesNewRoman" w:hAnsi="TimesNewRoman" w:cs="TimesNewRoman"/>
                <w:sz w:val="20"/>
                <w:lang w:eastAsia="sk-SK"/>
              </w:rPr>
            </w:pP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Komisia informuje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Európsky parlament a Radu o tomto roz</w:t>
            </w:r>
            <w:r w:rsidRPr="00F74B61">
              <w:rPr>
                <w:rFonts w:ascii="TimesNewRoman" w:hAnsi="TimesNewRoman" w:cs="TimesNewRoman"/>
                <w:sz w:val="20"/>
                <w:lang w:eastAsia="sk-SK"/>
              </w:rPr>
              <w:t>hodnutí.</w:t>
            </w:r>
          </w:p>
          <w:p w:rsidR="00C751EE" w:rsidRPr="00F74B61" w:rsidP="00C751EE">
            <w:pPr>
              <w:autoSpaceDE w:val="0"/>
              <w:autoSpaceDN w:val="0"/>
              <w:adjustRightInd w:val="0"/>
              <w:jc w:val="both"/>
              <w:rPr>
                <w:rFonts w:ascii="TimesNewRoman" w:hAnsi="TimesNewRoman" w:cs="TimesNewRoman"/>
                <w:sz w:val="20"/>
                <w:lang w:eastAsia="sk-SK"/>
              </w:rPr>
            </w:pPr>
          </w:p>
          <w:p w:rsidR="00C56909" w:rsidP="00C751EE">
            <w:pPr>
              <w:tabs>
                <w:tab w:val="left" w:pos="0"/>
              </w:tabs>
              <w:jc w:val="both"/>
              <w:rPr>
                <w:rFonts w:ascii="TimesNewRoman" w:hAnsi="TimesNewRoman" w:cs="TimesNewRoman"/>
                <w:sz w:val="20"/>
                <w:lang w:eastAsia="sk-SK"/>
              </w:rPr>
            </w:pPr>
            <w:r w:rsidRPr="00F74B61" w:rsidR="00C751EE">
              <w:rPr>
                <w:rFonts w:ascii="TimesNewRoman" w:hAnsi="TimesNewRoman" w:cs="TimesNewRoman"/>
                <w:sz w:val="20"/>
                <w:lang w:eastAsia="sk-SK"/>
              </w:rPr>
              <w:t>Ka</w:t>
            </w:r>
            <w:r w:rsidRPr="00F74B61" w:rsidR="00C751EE">
              <w:rPr>
                <w:rFonts w:ascii="TimesNewRoman+01" w:hAnsi="TimesNewRoman+01" w:cs="TimesNewRoman+01"/>
                <w:sz w:val="20"/>
                <w:lang w:eastAsia="sk-SK"/>
              </w:rPr>
              <w:t>ž</w:t>
            </w:r>
            <w:r w:rsidRPr="00F74B61" w:rsidR="00C751EE">
              <w:rPr>
                <w:rFonts w:ascii="TimesNewRoman" w:hAnsi="TimesNewRoman" w:cs="TimesNewRoman"/>
                <w:sz w:val="20"/>
                <w:lang w:eastAsia="sk-SK"/>
              </w:rPr>
              <w:t xml:space="preserve">dý </w:t>
            </w:r>
            <w:r w:rsidRPr="00F74B61" w:rsidR="00C751EE">
              <w:rPr>
                <w:rFonts w:ascii="TimesNewRoman+01" w:hAnsi="TimesNewRoman+01" w:cs="TimesNewRoman+01"/>
                <w:sz w:val="20"/>
                <w:lang w:eastAsia="sk-SK"/>
              </w:rPr>
              <w:t>č</w:t>
            </w:r>
            <w:r w:rsidRPr="00F74B61" w:rsidR="00C751EE">
              <w:rPr>
                <w:rFonts w:ascii="TimesNewRoman" w:hAnsi="TimesNewRoman" w:cs="TimesNewRoman"/>
                <w:sz w:val="20"/>
                <w:lang w:eastAsia="sk-SK"/>
              </w:rPr>
              <w:t xml:space="preserve">lenský </w:t>
            </w:r>
            <w:r w:rsidRPr="00F74B61" w:rsidR="00C751EE">
              <w:rPr>
                <w:rFonts w:ascii="TimesNewRoman+01" w:hAnsi="TimesNewRoman+01" w:cs="TimesNewRoman+01"/>
                <w:sz w:val="20"/>
                <w:lang w:eastAsia="sk-SK"/>
              </w:rPr>
              <w:t>š</w:t>
            </w:r>
            <w:r w:rsidRPr="00F74B61" w:rsidR="00C751EE">
              <w:rPr>
                <w:rFonts w:ascii="TimesNewRoman" w:hAnsi="TimesNewRoman" w:cs="TimesNewRoman"/>
                <w:sz w:val="20"/>
                <w:lang w:eastAsia="sk-SK"/>
              </w:rPr>
              <w:t>tát sa mô</w:t>
            </w:r>
            <w:r w:rsidRPr="00F74B61" w:rsidR="00C751EE">
              <w:rPr>
                <w:rFonts w:ascii="TimesNewRoman+01" w:hAnsi="TimesNewRoman+01" w:cs="TimesNewRoman+01"/>
                <w:sz w:val="20"/>
                <w:lang w:eastAsia="sk-SK"/>
              </w:rPr>
              <w:t>ž</w:t>
            </w:r>
            <w:r w:rsidRPr="00F74B61" w:rsidR="00C751EE">
              <w:rPr>
                <w:rFonts w:ascii="TimesNewRoman" w:hAnsi="TimesNewRoman" w:cs="TimesNewRoman"/>
                <w:sz w:val="20"/>
                <w:lang w:eastAsia="sk-SK"/>
              </w:rPr>
              <w:t>e odvola</w:t>
            </w:r>
            <w:r w:rsidRPr="00F74B61" w:rsidR="00C751EE">
              <w:rPr>
                <w:rFonts w:ascii="TimesNewRoman+01" w:hAnsi="TimesNewRoman+01" w:cs="TimesNewRoman+01"/>
                <w:sz w:val="20"/>
                <w:lang w:eastAsia="sk-SK"/>
              </w:rPr>
              <w:t xml:space="preserve">ť </w:t>
            </w:r>
            <w:r w:rsidRPr="00F74B61" w:rsidR="00C751EE">
              <w:rPr>
                <w:rFonts w:ascii="TimesNewRoman" w:hAnsi="TimesNewRoman" w:cs="TimesNewRoman"/>
                <w:sz w:val="20"/>
                <w:lang w:eastAsia="sk-SK"/>
              </w:rPr>
              <w:t xml:space="preserve">Rade proti rozhodnutiu Komisie do jedného mesiaca od jeho oznámenia. </w:t>
            </w:r>
          </w:p>
          <w:p w:rsidR="00C56909" w:rsidP="00C751EE">
            <w:pPr>
              <w:tabs>
                <w:tab w:val="left" w:pos="0"/>
              </w:tabs>
              <w:jc w:val="both"/>
              <w:rPr>
                <w:rFonts w:ascii="TimesNewRoman" w:hAnsi="TimesNewRoman" w:cs="TimesNewRoman"/>
                <w:sz w:val="20"/>
                <w:lang w:eastAsia="sk-SK"/>
              </w:rPr>
            </w:pPr>
          </w:p>
          <w:p w:rsidR="00C751EE" w:rsidRPr="00F74B61" w:rsidP="00C751EE">
            <w:pPr>
              <w:tabs>
                <w:tab w:val="left" w:pos="0"/>
              </w:tabs>
              <w:jc w:val="both"/>
              <w:rPr>
                <w:sz w:val="20"/>
              </w:rPr>
            </w:pPr>
            <w:r w:rsidRPr="00F74B61">
              <w:rPr>
                <w:rFonts w:ascii="TimesNewRoman" w:hAnsi="TimesNewRoman" w:cs="TimesNewRoman"/>
                <w:sz w:val="20"/>
                <w:lang w:eastAsia="sk-SK"/>
              </w:rPr>
              <w:t>Rada, rozhodujúca kvalifikovanou vä</w:t>
            </w:r>
            <w:r w:rsidRPr="00F74B61">
              <w:rPr>
                <w:rFonts w:ascii="TimesNewRoman+01" w:hAnsi="TimesNewRoman+01" w:cs="TimesNewRoman+01"/>
                <w:sz w:val="20"/>
                <w:lang w:eastAsia="sk-SK"/>
              </w:rPr>
              <w:t>čš</w:t>
            </w:r>
            <w:r w:rsidRPr="00F74B61">
              <w:rPr>
                <w:rFonts w:ascii="TimesNewRoman" w:hAnsi="TimesNewRoman" w:cs="TimesNewRoman"/>
                <w:sz w:val="20"/>
                <w:lang w:eastAsia="sk-SK"/>
              </w:rPr>
              <w:t>inou, mô</w:t>
            </w:r>
            <w:r w:rsidRPr="00F74B61">
              <w:rPr>
                <w:rFonts w:ascii="TimesNewRoman+01" w:hAnsi="TimesNewRoman+01" w:cs="TimesNewRoman+01"/>
                <w:sz w:val="20"/>
                <w:lang w:eastAsia="sk-SK"/>
              </w:rPr>
              <w:t>ž</w:t>
            </w:r>
            <w:r w:rsidRPr="00F74B61">
              <w:rPr>
                <w:rFonts w:ascii="TimesNewRoman" w:hAnsi="TimesNewRoman" w:cs="TimesNewRoman"/>
                <w:sz w:val="20"/>
                <w:lang w:eastAsia="sk-SK"/>
              </w:rPr>
              <w:t>e prija</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odli</w:t>
            </w:r>
            <w:r w:rsidRPr="00F74B61">
              <w:rPr>
                <w:rFonts w:ascii="TimesNewRoman+01" w:hAnsi="TimesNewRoman+01" w:cs="TimesNewRoman+01"/>
                <w:sz w:val="20"/>
                <w:lang w:eastAsia="sk-SK"/>
              </w:rPr>
              <w:t>š</w:t>
            </w:r>
            <w:r w:rsidRPr="00F74B61">
              <w:rPr>
                <w:rFonts w:ascii="TimesNewRoman" w:hAnsi="TimesNewRoman" w:cs="TimesNewRoman"/>
                <w:sz w:val="20"/>
                <w:lang w:eastAsia="sk-SK"/>
              </w:rPr>
              <w:t>né rozhodnutie do dvoch mesiacov od predlo</w:t>
            </w:r>
            <w:r w:rsidRPr="00F74B61">
              <w:rPr>
                <w:rFonts w:ascii="TimesNewRoman+01" w:hAnsi="TimesNewRoman+01" w:cs="TimesNewRoman+01"/>
                <w:sz w:val="20"/>
                <w:lang w:eastAsia="sk-SK"/>
              </w:rPr>
              <w:t>ž</w:t>
            </w:r>
            <w:r w:rsidRPr="00F74B61">
              <w:rPr>
                <w:rFonts w:ascii="TimesNewRoman" w:hAnsi="TimesNewRoman" w:cs="TimesNewRoman"/>
                <w:sz w:val="20"/>
                <w:lang w:eastAsia="sk-SK"/>
              </w:rPr>
              <w:t>enia zále</w:t>
            </w:r>
            <w:r w:rsidRPr="00F74B61">
              <w:rPr>
                <w:rFonts w:ascii="TimesNewRoman+01" w:hAnsi="TimesNewRoman+01" w:cs="TimesNewRoman+01"/>
                <w:sz w:val="20"/>
                <w:lang w:eastAsia="sk-SK"/>
              </w:rPr>
              <w:t>ž</w:t>
            </w:r>
            <w:r w:rsidRPr="00F74B61">
              <w:rPr>
                <w:rFonts w:ascii="TimesNewRoman" w:hAnsi="TimesNewRoman" w:cs="TimesNewRoman"/>
                <w:sz w:val="20"/>
                <w:lang w:eastAsia="sk-SK"/>
              </w:rPr>
              <w:t>itosti.</w:t>
            </w:r>
          </w:p>
        </w:tc>
        <w:tc>
          <w:tcPr>
            <w:tcW w:w="567" w:type="dxa"/>
            <w:tcBorders>
              <w:top w:val="single" w:sz="4" w:space="0" w:color="auto"/>
              <w:bottom w:val="single" w:sz="4" w:space="0" w:color="auto"/>
            </w:tcBorders>
          </w:tcPr>
          <w:p w:rsidR="00C57416" w:rsidRPr="00E85020" w:rsidP="00C57416">
            <w:pPr>
              <w:jc w:val="both"/>
              <w:rPr>
                <w:sz w:val="20"/>
              </w:rPr>
            </w:pPr>
            <w:r w:rsidRPr="00E85020">
              <w:rPr>
                <w:sz w:val="20"/>
              </w:rPr>
              <w:t>N</w:t>
            </w:r>
          </w:p>
          <w:p w:rsidR="00F95FA8" w:rsidRPr="00E85020" w:rsidP="00C751EE">
            <w:pPr>
              <w:jc w:val="both"/>
              <w:rPr>
                <w:sz w:val="20"/>
              </w:rPr>
            </w:pPr>
          </w:p>
        </w:tc>
        <w:tc>
          <w:tcPr>
            <w:tcW w:w="1276" w:type="dxa"/>
            <w:tcBorders>
              <w:top w:val="single" w:sz="4" w:space="0" w:color="auto"/>
              <w:bottom w:val="single" w:sz="4" w:space="0" w:color="auto"/>
            </w:tcBorders>
          </w:tcPr>
          <w:p w:rsidR="00C751EE" w:rsidRPr="00E85020" w:rsidP="00C751EE">
            <w:pPr>
              <w:jc w:val="center"/>
              <w:rPr>
                <w:sz w:val="20"/>
              </w:rPr>
            </w:pPr>
            <w:r w:rsidRPr="00E85020" w:rsidR="00F95FA8">
              <w:rPr>
                <w:sz w:val="20"/>
              </w:rPr>
              <w:t>NV1</w:t>
            </w:r>
          </w:p>
        </w:tc>
        <w:tc>
          <w:tcPr>
            <w:tcW w:w="709" w:type="dxa"/>
            <w:tcBorders>
              <w:top w:val="single" w:sz="4" w:space="0" w:color="auto"/>
              <w:bottom w:val="single" w:sz="4" w:space="0" w:color="auto"/>
            </w:tcBorders>
          </w:tcPr>
          <w:p w:rsidR="00C751EE" w:rsidRPr="00E85020" w:rsidP="00E85020">
            <w:pPr>
              <w:pStyle w:val="BodyText21"/>
            </w:pPr>
            <w:r w:rsidRPr="00E85020" w:rsidR="00F95FA8">
              <w:t>Pr</w:t>
            </w:r>
            <w:r w:rsidRPr="00E85020" w:rsidR="00E85020">
              <w:t>íloha</w:t>
            </w:r>
            <w:r w:rsidRPr="00E85020" w:rsidR="00F95FA8">
              <w:t xml:space="preserve"> č.1</w:t>
            </w:r>
          </w:p>
          <w:p w:rsidR="00E85020" w:rsidRPr="00E85020" w:rsidP="00E85020">
            <w:pPr>
              <w:pStyle w:val="BodyText21"/>
            </w:pPr>
            <w:r w:rsidRPr="00E85020">
              <w:t>P8</w:t>
            </w:r>
          </w:p>
        </w:tc>
        <w:tc>
          <w:tcPr>
            <w:tcW w:w="4110" w:type="dxa"/>
            <w:tcBorders>
              <w:top w:val="single" w:sz="4" w:space="0" w:color="auto"/>
              <w:bottom w:val="single" w:sz="4" w:space="0" w:color="auto"/>
            </w:tcBorders>
          </w:tcPr>
          <w:p w:rsidR="00F95FA8" w:rsidRPr="0050391B" w:rsidP="00F95FA8">
            <w:pPr>
              <w:pStyle w:val="BodyTextIndent"/>
              <w:rPr>
                <w:color w:val="000000"/>
                <w:lang w:eastAsia="sk-SK"/>
              </w:rPr>
            </w:pPr>
            <w:r w:rsidRPr="0050391B">
              <w:rPr>
                <w:color w:val="000000"/>
                <w:lang w:eastAsia="sk-SK"/>
              </w:rPr>
              <w:t>8. KVALITA PALÍV podľa § 36 zákona</w:t>
            </w:r>
          </w:p>
          <w:tbl>
            <w:tblPr>
              <w:tblStyle w:val="TableNorm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
            <w:tblGrid>
              <w:gridCol w:w="1116"/>
              <w:gridCol w:w="1716"/>
              <w:gridCol w:w="1122"/>
            </w:tblGrid>
            <w:tr w:rsidTr="00F95FA8">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Ex>
              <w:trPr>
                <w:jc w:val="center"/>
              </w:trPr>
              <w:tc>
                <w:tcPr>
                  <w:tcW w:w="119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F95FA8" w:rsidRPr="009D4B31" w:rsidP="00F95FA8">
                  <w:pPr>
                    <w:rPr>
                      <w:rFonts w:eastAsia="Trebuchet MS"/>
                      <w:sz w:val="20"/>
                    </w:rPr>
                  </w:pPr>
                  <w:r w:rsidRPr="009D4B31">
                    <w:rPr>
                      <w:rFonts w:eastAsia="Trebuchet MS"/>
                      <w:sz w:val="20"/>
                      <w:lang w:eastAsia="zh-CN" w:bidi="ar"/>
                    </w:rPr>
                    <w:t>Oznámenie</w:t>
                    <w:br/>
                    <w:t>o náhlej zmene v zásobovaní surovou ropou</w:t>
                  </w:r>
                </w:p>
              </w:tc>
              <w:tc>
                <w:tcPr>
                  <w:tcW w:w="184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F95FA8" w:rsidRPr="0050391B" w:rsidP="00F95FA8">
                  <w:pPr>
                    <w:rPr>
                      <w:rFonts w:eastAsia="Trebuchet MS"/>
                      <w:sz w:val="20"/>
                    </w:rPr>
                  </w:pPr>
                  <w:r w:rsidRPr="0050391B">
                    <w:rPr>
                      <w:rFonts w:eastAsia="Trebuchet MS"/>
                      <w:sz w:val="20"/>
                      <w:lang w:eastAsia="zh-CN" w:bidi="ar"/>
                    </w:rPr>
                    <w:t>Oznámenie, ak v dôsledku neočakávanej udalosti bráni náhla zmena v zásobovaní surovou ropou alebo ropnými produktmi rafinériám rešpektovať požiadavky na špecifikáciu paliva podľa tejto smernice.</w:t>
                  </w:r>
                </w:p>
              </w:tc>
              <w:tc>
                <w:tcPr>
                  <w:tcW w:w="120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F95FA8" w:rsidRPr="0050391B" w:rsidP="00F95FA8">
                  <w:pPr>
                    <w:rPr>
                      <w:rFonts w:eastAsia="Trebuchet MS"/>
                      <w:sz w:val="20"/>
                    </w:rPr>
                  </w:pPr>
                  <w:r w:rsidRPr="0050391B">
                    <w:rPr>
                      <w:rFonts w:eastAsia="Trebuchet MS"/>
                      <w:sz w:val="20"/>
                      <w:lang w:eastAsia="zh-CN" w:bidi="ar"/>
                    </w:rPr>
                    <w:t>Bezodkladne</w:t>
                  </w:r>
                </w:p>
              </w:tc>
            </w:tr>
          </w:tbl>
          <w:p w:rsidR="00C751EE" w:rsidRPr="0050391B" w:rsidP="00C751EE">
            <w:pPr>
              <w:pStyle w:val="Heading6"/>
              <w:rPr>
                <w:b w:val="0"/>
                <w:sz w:val="20"/>
              </w:rPr>
            </w:pPr>
          </w:p>
        </w:tc>
        <w:tc>
          <w:tcPr>
            <w:tcW w:w="709" w:type="dxa"/>
            <w:tcBorders>
              <w:top w:val="single" w:sz="4" w:space="0" w:color="auto"/>
              <w:bottom w:val="single" w:sz="4" w:space="0" w:color="auto"/>
            </w:tcBorders>
          </w:tcPr>
          <w:p w:rsidR="00C751EE" w:rsidRPr="00F74B61" w:rsidP="00C751EE">
            <w:pPr>
              <w:jc w:val="both"/>
              <w:rPr>
                <w:sz w:val="20"/>
              </w:rPr>
            </w:pPr>
            <w:r w:rsidR="00DE59B3">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P="00C751EE">
            <w:pPr>
              <w:jc w:val="both"/>
              <w:rPr>
                <w:sz w:val="20"/>
              </w:rPr>
            </w:pPr>
            <w:r w:rsidRPr="00F74B61">
              <w:rPr>
                <w:sz w:val="20"/>
              </w:rPr>
              <w:t>Č7a</w:t>
            </w:r>
          </w:p>
          <w:p w:rsidR="00C751EE" w:rsidRPr="00F74B61" w:rsidP="00C751EE">
            <w:pPr>
              <w:jc w:val="both"/>
              <w:rPr>
                <w:sz w:val="20"/>
              </w:rPr>
            </w:pPr>
            <w:r>
              <w:rPr>
                <w:sz w:val="20"/>
              </w:rPr>
              <w:t>O1</w:t>
            </w:r>
          </w:p>
        </w:tc>
        <w:tc>
          <w:tcPr>
            <w:tcW w:w="5245" w:type="dxa"/>
            <w:tcBorders>
              <w:top w:val="single" w:sz="4" w:space="0" w:color="auto"/>
              <w:bottom w:val="single" w:sz="4" w:space="0" w:color="auto"/>
            </w:tcBorders>
          </w:tcPr>
          <w:p w:rsidR="00C751EE" w:rsidRPr="004D1DCA" w:rsidP="00C751EE">
            <w:pPr>
              <w:pStyle w:val="Heading2"/>
              <w:jc w:val="both"/>
              <w:rPr>
                <w:rFonts w:ascii="TimesNewRoman" w:hAnsi="TimesNewRoman" w:cs="TimesNewRoman"/>
                <w:b w:val="0"/>
                <w:spacing w:val="0"/>
                <w:sz w:val="20"/>
                <w:lang w:eastAsia="sk-SK"/>
              </w:rPr>
            </w:pPr>
            <w:r w:rsidRPr="004D1DCA">
              <w:rPr>
                <w:rFonts w:ascii="TimesNewRoman" w:hAnsi="TimesNewRoman" w:cs="TimesNewRoman"/>
                <w:b w:val="0"/>
                <w:spacing w:val="0"/>
                <w:sz w:val="20"/>
                <w:lang w:eastAsia="sk-SK"/>
              </w:rPr>
              <w:t>Článok 7a</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Zníženie emisií skleníkových plynov</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1. Členské štáty určia dodávateľa alebo dodávateľov zodpovedných za monitorovanie a podávanie správ o emisiách skleníkových plynov po</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as </w:t>
            </w:r>
            <w:r w:rsidRPr="004D1DCA">
              <w:rPr>
                <w:rFonts w:ascii="TimesNewRoman+01" w:hAnsi="TimesNewRoman+01" w:cs="TimesNewRoman+01"/>
                <w:sz w:val="20"/>
                <w:lang w:eastAsia="sk-SK"/>
              </w:rPr>
              <w:t>ž</w:t>
            </w:r>
            <w:r w:rsidRPr="004D1DCA">
              <w:rPr>
                <w:rFonts w:ascii="TimesNewRoman" w:hAnsi="TimesNewRoman" w:cs="TimesNewRoman"/>
                <w:sz w:val="20"/>
                <w:lang w:eastAsia="sk-SK"/>
              </w:rPr>
              <w:t xml:space="preserve">ivotného cyklu na </w:t>
            </w:r>
            <w:r w:rsidRPr="004D1DCA">
              <w:rPr>
                <w:rFonts w:ascii="TimesNewRoman" w:hAnsi="TimesNewRoman" w:cs="TimesNewRoman"/>
                <w:sz w:val="20"/>
                <w:lang w:eastAsia="sk-SK"/>
              </w:rPr>
              <w:t>jednotku energie z palív a dodávanej energie. V prípade dodávate</w:t>
            </w:r>
            <w:r w:rsidRPr="004D1DCA">
              <w:rPr>
                <w:rFonts w:ascii="TimesNewRoman+01" w:hAnsi="TimesNewRoman+01" w:cs="TimesNewRoman+01"/>
                <w:sz w:val="20"/>
                <w:lang w:eastAsia="sk-SK"/>
              </w:rPr>
              <w:t>ľ</w:t>
            </w:r>
            <w:r w:rsidRPr="004D1DCA">
              <w:rPr>
                <w:rFonts w:ascii="TimesNewRoman" w:hAnsi="TimesNewRoman" w:cs="TimesNewRoman"/>
                <w:sz w:val="20"/>
                <w:lang w:eastAsia="sk-SK"/>
              </w:rPr>
              <w:t>ov elektrickej energie vyu</w:t>
            </w:r>
            <w:r w:rsidRPr="004D1DCA">
              <w:rPr>
                <w:rFonts w:ascii="TimesNewRoman+01" w:hAnsi="TimesNewRoman+01" w:cs="TimesNewRoman+01"/>
                <w:sz w:val="20"/>
                <w:lang w:eastAsia="sk-SK"/>
              </w:rPr>
              <w:t>ž</w:t>
            </w:r>
            <w:r w:rsidRPr="004D1DCA">
              <w:rPr>
                <w:rFonts w:ascii="TimesNewRoman" w:hAnsi="TimesNewRoman" w:cs="TimesNewRoman"/>
                <w:sz w:val="20"/>
                <w:lang w:eastAsia="sk-SK"/>
              </w:rPr>
              <w:t xml:space="preserve">ívanej v cestných vozidlách </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lenské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táty zabezpe</w:t>
            </w:r>
            <w:r w:rsidRPr="004D1DCA">
              <w:rPr>
                <w:rFonts w:ascii="TimesNewRoman+01" w:hAnsi="TimesNewRoman+01" w:cs="TimesNewRoman+01"/>
                <w:sz w:val="20"/>
                <w:lang w:eastAsia="sk-SK"/>
              </w:rPr>
              <w:t>č</w:t>
            </w:r>
            <w:r w:rsidRPr="004D1DCA">
              <w:rPr>
                <w:rFonts w:ascii="TimesNewRoman" w:hAnsi="TimesNewRoman" w:cs="TimesNewRoman"/>
                <w:sz w:val="20"/>
                <w:lang w:eastAsia="sk-SK"/>
              </w:rPr>
              <w:t>ia, aby si títo dodávatelia mohli zvoli</w:t>
            </w:r>
            <w:r w:rsidRPr="004D1DCA">
              <w:rPr>
                <w:rFonts w:ascii="TimesNewRoman+01" w:hAnsi="TimesNewRoman+01" w:cs="TimesNewRoman+01"/>
                <w:sz w:val="20"/>
                <w:lang w:eastAsia="sk-SK"/>
              </w:rPr>
              <w:t>ť</w:t>
            </w:r>
            <w:r w:rsidRPr="004D1DCA">
              <w:rPr>
                <w:rFonts w:ascii="TimesNewRoman" w:hAnsi="TimesNewRoman" w:cs="TimesNewRoman"/>
                <w:sz w:val="20"/>
                <w:lang w:eastAsia="sk-SK"/>
              </w:rPr>
              <w:t xml:space="preserve"> mo</w:t>
            </w:r>
            <w:r w:rsidRPr="004D1DCA">
              <w:rPr>
                <w:rFonts w:ascii="TimesNewRoman+01" w:hAnsi="TimesNewRoman+01" w:cs="TimesNewRoman+01"/>
                <w:sz w:val="20"/>
                <w:lang w:eastAsia="sk-SK"/>
              </w:rPr>
              <w:t>ž</w:t>
            </w:r>
            <w:r w:rsidRPr="004D1DCA">
              <w:rPr>
                <w:rFonts w:ascii="TimesNewRoman" w:hAnsi="TimesNewRoman" w:cs="TimesNewRoman"/>
                <w:sz w:val="20"/>
                <w:lang w:eastAsia="sk-SK"/>
              </w:rPr>
              <w:t>nos</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prispie</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k záväzku zni</w:t>
            </w:r>
            <w:r w:rsidRPr="004D1DCA">
              <w:rPr>
                <w:rFonts w:ascii="TimesNewRoman+01" w:hAnsi="TimesNewRoman+01" w:cs="TimesNewRoman+01"/>
                <w:sz w:val="20"/>
                <w:lang w:eastAsia="sk-SK"/>
              </w:rPr>
              <w:t>ž</w:t>
            </w:r>
            <w:r w:rsidRPr="004D1DCA">
              <w:rPr>
                <w:rFonts w:ascii="TimesNewRoman" w:hAnsi="TimesNewRoman" w:cs="TimesNewRoman"/>
                <w:sz w:val="20"/>
                <w:lang w:eastAsia="sk-SK"/>
              </w:rPr>
              <w:t>ovania emisií stanovenému v odseku 2, ak p</w:t>
            </w:r>
            <w:r w:rsidRPr="004D1DCA">
              <w:rPr>
                <w:rFonts w:ascii="TimesNewRoman" w:hAnsi="TimesNewRoman" w:cs="TimesNewRoman"/>
                <w:sz w:val="20"/>
                <w:lang w:eastAsia="sk-SK"/>
              </w:rPr>
              <w:t>reuká</w:t>
            </w:r>
            <w:r w:rsidRPr="004D1DCA">
              <w:rPr>
                <w:rFonts w:ascii="TimesNewRoman+01" w:hAnsi="TimesNewRoman+01" w:cs="TimesNewRoman+01"/>
                <w:sz w:val="20"/>
                <w:lang w:eastAsia="sk-SK"/>
              </w:rPr>
              <w:t>ž</w:t>
            </w:r>
            <w:r w:rsidRPr="004D1DCA">
              <w:rPr>
                <w:rFonts w:ascii="TimesNewRoman" w:hAnsi="TimesNewRoman" w:cs="TimesNewRoman"/>
                <w:sz w:val="20"/>
                <w:lang w:eastAsia="sk-SK"/>
              </w:rPr>
              <w:t xml:space="preserve">u, </w:t>
            </w:r>
            <w:r w:rsidRPr="004D1DCA">
              <w:rPr>
                <w:rFonts w:ascii="TimesNewRoman+01" w:hAnsi="TimesNewRoman+01" w:cs="TimesNewRoman+01"/>
                <w:sz w:val="20"/>
                <w:lang w:eastAsia="sk-SK"/>
              </w:rPr>
              <w:t>ž</w:t>
            </w:r>
            <w:r w:rsidRPr="004D1DCA">
              <w:rPr>
                <w:rFonts w:ascii="TimesNewRoman" w:hAnsi="TimesNewRoman" w:cs="TimesNewRoman"/>
                <w:sz w:val="20"/>
                <w:lang w:eastAsia="sk-SK"/>
              </w:rPr>
              <w:t>e mô</w:t>
            </w:r>
            <w:r w:rsidRPr="004D1DCA">
              <w:rPr>
                <w:rFonts w:ascii="TimesNewRoman+01" w:hAnsi="TimesNewRoman+01" w:cs="TimesNewRoman+01"/>
                <w:sz w:val="20"/>
                <w:lang w:eastAsia="sk-SK"/>
              </w:rPr>
              <w:t>ž</w:t>
            </w:r>
            <w:r w:rsidRPr="004D1DCA">
              <w:rPr>
                <w:rFonts w:ascii="TimesNewRoman" w:hAnsi="TimesNewRoman" w:cs="TimesNewRoman"/>
                <w:sz w:val="20"/>
                <w:lang w:eastAsia="sk-SK"/>
              </w:rPr>
              <w:t>u nále</w:t>
            </w:r>
            <w:r w:rsidRPr="004D1DCA">
              <w:rPr>
                <w:rFonts w:ascii="TimesNewRoman+01" w:hAnsi="TimesNewRoman+01" w:cs="TimesNewRoman+01"/>
                <w:sz w:val="20"/>
                <w:lang w:eastAsia="sk-SK"/>
              </w:rPr>
              <w:t>ž</w:t>
            </w:r>
            <w:r w:rsidRPr="004D1DCA">
              <w:rPr>
                <w:rFonts w:ascii="TimesNewRoman" w:hAnsi="TimesNewRoman" w:cs="TimesNewRoman"/>
                <w:sz w:val="20"/>
                <w:lang w:eastAsia="sk-SK"/>
              </w:rPr>
              <w:t>ite mera</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a sledova</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mno</w:t>
            </w:r>
            <w:r w:rsidRPr="004D1DCA">
              <w:rPr>
                <w:rFonts w:ascii="TimesNewRoman+01" w:hAnsi="TimesNewRoman+01" w:cs="TimesNewRoman+01"/>
                <w:sz w:val="20"/>
                <w:lang w:eastAsia="sk-SK"/>
              </w:rPr>
              <w:t>ž</w:t>
            </w:r>
            <w:r w:rsidRPr="004D1DCA">
              <w:rPr>
                <w:rFonts w:ascii="TimesNewRoman" w:hAnsi="TimesNewRoman" w:cs="TimesNewRoman"/>
                <w:sz w:val="20"/>
                <w:lang w:eastAsia="sk-SK"/>
              </w:rPr>
              <w:t>stvo elektrickej energie dodávanej na pou</w:t>
            </w:r>
            <w:r w:rsidRPr="004D1DCA">
              <w:rPr>
                <w:rFonts w:ascii="TimesNewRoman+01" w:hAnsi="TimesNewRoman+01" w:cs="TimesNewRoman+01"/>
                <w:sz w:val="20"/>
                <w:lang w:eastAsia="sk-SK"/>
              </w:rPr>
              <w:t>ž</w:t>
            </w:r>
            <w:r w:rsidRPr="004D1DCA">
              <w:rPr>
                <w:rFonts w:ascii="TimesNewRoman" w:hAnsi="TimesNewRoman" w:cs="TimesNewRoman"/>
                <w:sz w:val="20"/>
                <w:lang w:eastAsia="sk-SK"/>
              </w:rPr>
              <w:t>ívanie v týchto vozidlách.</w:t>
            </w:r>
          </w:p>
          <w:p w:rsidR="00C56909"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V prípade dodávateľov biopalív na využitie v leteckej doprave členské štáty môžu takýmto dodávateľom povoliť, aby si zvolili možnosť prispieť k záväzku znižovania emisií stanovenému v odseku 2 tohto článku za predpokladu, že tieto biopalivá spĺňajú kritériá trvalej udržateľnosti stanovené v článku 7b.</w:t>
            </w: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56E23"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S ú</w:t>
            </w:r>
            <w:r w:rsidRPr="004D1DCA">
              <w:rPr>
                <w:rFonts w:ascii="TimesNewRoman+01" w:hAnsi="TimesNewRoman+01" w:cs="TimesNewRoman+01"/>
                <w:sz w:val="20"/>
                <w:lang w:eastAsia="sk-SK"/>
              </w:rPr>
              <w:t>č</w:t>
            </w:r>
            <w:r w:rsidRPr="004D1DCA">
              <w:rPr>
                <w:rFonts w:ascii="TimesNewRoman" w:hAnsi="TimesNewRoman" w:cs="TimesNewRoman"/>
                <w:sz w:val="20"/>
                <w:lang w:eastAsia="sk-SK"/>
              </w:rPr>
              <w:t>innos</w:t>
            </w:r>
            <w:r w:rsidRPr="004D1DCA">
              <w:rPr>
                <w:rFonts w:ascii="TimesNewRoman+01" w:hAnsi="TimesNewRoman+01" w:cs="TimesNewRoman+01"/>
                <w:sz w:val="20"/>
                <w:lang w:eastAsia="sk-SK"/>
              </w:rPr>
              <w:t>ť</w:t>
            </w:r>
            <w:r w:rsidRPr="004D1DCA">
              <w:rPr>
                <w:rFonts w:ascii="TimesNewRoman" w:hAnsi="TimesNewRoman" w:cs="TimesNewRoman"/>
                <w:sz w:val="20"/>
                <w:lang w:eastAsia="sk-SK"/>
              </w:rPr>
              <w:t>ou od 1. januára 2011 dodávatelia ka</w:t>
            </w:r>
            <w:r w:rsidRPr="004D1DCA">
              <w:rPr>
                <w:rFonts w:ascii="TimesNewRoman+01" w:hAnsi="TimesNewRoman+01" w:cs="TimesNewRoman+01"/>
                <w:sz w:val="20"/>
                <w:lang w:eastAsia="sk-SK"/>
              </w:rPr>
              <w:t>ž</w:t>
            </w:r>
            <w:r w:rsidRPr="004D1DCA">
              <w:rPr>
                <w:rFonts w:ascii="TimesNewRoman" w:hAnsi="TimesNewRoman" w:cs="TimesNewRoman"/>
                <w:sz w:val="20"/>
                <w:lang w:eastAsia="sk-SK"/>
              </w:rPr>
              <w:t>doro</w:t>
            </w:r>
            <w:r w:rsidRPr="004D1DCA">
              <w:rPr>
                <w:rFonts w:ascii="TimesNewRoman+01" w:hAnsi="TimesNewRoman+01" w:cs="TimesNewRoman+01"/>
                <w:sz w:val="20"/>
                <w:lang w:eastAsia="sk-SK"/>
              </w:rPr>
              <w:t>č</w:t>
            </w:r>
            <w:r w:rsidRPr="004D1DCA">
              <w:rPr>
                <w:rFonts w:ascii="TimesNewRoman" w:hAnsi="TimesNewRoman" w:cs="TimesNewRoman"/>
                <w:sz w:val="20"/>
                <w:lang w:eastAsia="sk-SK"/>
              </w:rPr>
              <w:t>ne podávajú orgánu ur</w:t>
            </w:r>
            <w:r w:rsidRPr="004D1DCA">
              <w:rPr>
                <w:rFonts w:ascii="TimesNewRoman+01" w:hAnsi="TimesNewRoman+01" w:cs="TimesNewRoman+01"/>
                <w:sz w:val="20"/>
                <w:lang w:eastAsia="sk-SK"/>
              </w:rPr>
              <w:t>č</w:t>
            </w:r>
            <w:r w:rsidRPr="004D1DCA">
              <w:rPr>
                <w:rFonts w:ascii="TimesNewRoman" w:hAnsi="TimesNewRoman" w:cs="TimesNewRoman"/>
                <w:sz w:val="20"/>
                <w:lang w:eastAsia="sk-SK"/>
              </w:rPr>
              <w:t>e</w:t>
            </w:r>
            <w:r w:rsidRPr="004D1DCA">
              <w:rPr>
                <w:rFonts w:ascii="TimesNewRoman" w:hAnsi="TimesNewRoman" w:cs="TimesNewRoman"/>
                <w:sz w:val="20"/>
                <w:lang w:eastAsia="sk-SK"/>
              </w:rPr>
              <w:t xml:space="preserve">nému </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lenským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tátom správu o intenzite skleníkových plynov z palív a dodávanej energie v rámci ka</w:t>
            </w:r>
            <w:r w:rsidRPr="004D1DCA">
              <w:rPr>
                <w:rFonts w:ascii="TimesNewRoman+01" w:hAnsi="TimesNewRoman+01" w:cs="TimesNewRoman+01"/>
                <w:sz w:val="20"/>
                <w:lang w:eastAsia="sk-SK"/>
              </w:rPr>
              <w:t>ž</w:t>
            </w:r>
            <w:r w:rsidRPr="004D1DCA">
              <w:rPr>
                <w:rFonts w:ascii="TimesNewRoman" w:hAnsi="TimesNewRoman" w:cs="TimesNewRoman"/>
                <w:sz w:val="20"/>
                <w:lang w:eastAsia="sk-SK"/>
              </w:rPr>
              <w:t xml:space="preserve">dého </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lenského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tátu, ktorá obsahuje aspo</w:t>
            </w:r>
            <w:r w:rsidRPr="004D1DCA">
              <w:rPr>
                <w:rFonts w:ascii="TimesNewRoman+01" w:hAnsi="TimesNewRoman+01" w:cs="TimesNewRoman+01"/>
                <w:sz w:val="20"/>
                <w:lang w:eastAsia="sk-SK"/>
              </w:rPr>
              <w:t xml:space="preserve">ň </w:t>
            </w:r>
            <w:r w:rsidRPr="004D1DCA">
              <w:rPr>
                <w:rFonts w:ascii="TimesNewRoman" w:hAnsi="TimesNewRoman" w:cs="TimesNewRoman"/>
                <w:sz w:val="20"/>
                <w:lang w:eastAsia="sk-SK"/>
              </w:rPr>
              <w:t>tieto informácie:</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a) celkový objem ka</w:t>
            </w:r>
            <w:r w:rsidRPr="004D1DCA">
              <w:rPr>
                <w:rFonts w:ascii="TimesNewRoman+01" w:hAnsi="TimesNewRoman+01" w:cs="TimesNewRoman+01"/>
                <w:sz w:val="20"/>
                <w:lang w:eastAsia="sk-SK"/>
              </w:rPr>
              <w:t>ž</w:t>
            </w:r>
            <w:r w:rsidRPr="004D1DCA">
              <w:rPr>
                <w:rFonts w:ascii="TimesNewRoman" w:hAnsi="TimesNewRoman" w:cs="TimesNewRoman"/>
                <w:sz w:val="20"/>
                <w:lang w:eastAsia="sk-SK"/>
              </w:rPr>
              <w:t>dého typu paliva alebo dodávanej energie a</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b) emisie skleníkových plynov po</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as </w:t>
            </w:r>
            <w:r w:rsidRPr="004D1DCA">
              <w:rPr>
                <w:rFonts w:ascii="TimesNewRoman+01" w:hAnsi="TimesNewRoman+01" w:cs="TimesNewRoman+01"/>
                <w:sz w:val="20"/>
                <w:lang w:eastAsia="sk-SK"/>
              </w:rPr>
              <w:t>ž</w:t>
            </w:r>
            <w:r w:rsidRPr="004D1DCA">
              <w:rPr>
                <w:rFonts w:ascii="TimesNewRoman" w:hAnsi="TimesNewRoman" w:cs="TimesNewRoman"/>
                <w:sz w:val="20"/>
                <w:lang w:eastAsia="sk-SK"/>
              </w:rPr>
              <w:t>ivotného cyklu na jednotku energie.</w:t>
            </w: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605411"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FA6D87"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01" w:hAnsi="TimesNewRoman+01" w:cs="TimesNewRoman+01"/>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lenské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táty zabezpe</w:t>
            </w:r>
            <w:r w:rsidRPr="004D1DCA">
              <w:rPr>
                <w:rFonts w:ascii="TimesNewRoman+01" w:hAnsi="TimesNewRoman+01" w:cs="TimesNewRoman+01"/>
                <w:sz w:val="20"/>
                <w:lang w:eastAsia="sk-SK"/>
              </w:rPr>
              <w:t>č</w:t>
            </w:r>
            <w:r w:rsidRPr="004D1DCA">
              <w:rPr>
                <w:rFonts w:ascii="TimesNewRoman" w:hAnsi="TimesNewRoman" w:cs="TimesNewRoman"/>
                <w:sz w:val="20"/>
                <w:lang w:eastAsia="sk-SK"/>
              </w:rPr>
              <w:t>ia overovanie týchto správ.</w:t>
            </w: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C751EE" w:rsidRPr="004D1DCA" w:rsidP="00C751EE">
            <w:pPr>
              <w:autoSpaceDE w:val="0"/>
              <w:autoSpaceDN w:val="0"/>
              <w:adjustRightInd w:val="0"/>
              <w:jc w:val="both"/>
              <w:rPr>
                <w:rFonts w:ascii="TimesNewRoman" w:hAnsi="TimesNewRoman" w:cs="TimesNewRoman"/>
                <w:sz w:val="20"/>
                <w:lang w:eastAsia="sk-SK"/>
              </w:rPr>
            </w:pPr>
          </w:p>
          <w:p w:rsidR="00A72AC7" w:rsidRPr="004D1DCA" w:rsidP="00C751EE">
            <w:pPr>
              <w:autoSpaceDE w:val="0"/>
              <w:autoSpaceDN w:val="0"/>
              <w:adjustRightInd w:val="0"/>
              <w:jc w:val="both"/>
              <w:rPr>
                <w:rFonts w:ascii="TimesNewRoman" w:hAnsi="TimesNewRoman" w:cs="TimesNewRoman"/>
                <w:sz w:val="20"/>
                <w:lang w:eastAsia="sk-SK"/>
              </w:rPr>
            </w:pPr>
          </w:p>
          <w:p w:rsidR="00C751EE" w:rsidRPr="004D1DCA" w:rsidP="00D24C4F">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Komisia v prípade potreby vypracuje usmernenia o vykonávaní tohto odseku.</w:t>
            </w:r>
          </w:p>
        </w:tc>
        <w:tc>
          <w:tcPr>
            <w:tcW w:w="567" w:type="dxa"/>
            <w:tcBorders>
              <w:top w:val="single" w:sz="4" w:space="0" w:color="auto"/>
              <w:bottom w:val="single" w:sz="4" w:space="0" w:color="auto"/>
            </w:tcBorders>
          </w:tcPr>
          <w:p w:rsidR="00C751EE" w:rsidRPr="00E02262" w:rsidP="00C751EE">
            <w:pPr>
              <w:jc w:val="center"/>
              <w:rPr>
                <w:sz w:val="20"/>
              </w:rPr>
            </w:pPr>
            <w:r w:rsidRPr="00E02262">
              <w:rPr>
                <w:sz w:val="20"/>
              </w:rPr>
              <w:t>N</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751EE" w:rsidP="00C751EE">
            <w:pPr>
              <w:rPr>
                <w:sz w:val="20"/>
              </w:rPr>
            </w:pPr>
          </w:p>
          <w:p w:rsidR="00C56E23" w:rsidP="00C751EE">
            <w:pPr>
              <w:rPr>
                <w:sz w:val="20"/>
              </w:rPr>
            </w:pPr>
          </w:p>
          <w:p w:rsidR="00D24C4F" w:rsidP="00C751EE">
            <w:pPr>
              <w:rPr>
                <w:sz w:val="20"/>
              </w:rPr>
            </w:pPr>
          </w:p>
          <w:p w:rsidR="00D24C4F" w:rsidP="00C751EE">
            <w:pPr>
              <w:rPr>
                <w:sz w:val="20"/>
              </w:rPr>
            </w:pPr>
          </w:p>
          <w:p w:rsidR="00D24C4F" w:rsidP="00C751EE">
            <w:pPr>
              <w:rPr>
                <w:sz w:val="20"/>
              </w:rPr>
            </w:pPr>
          </w:p>
          <w:p w:rsidR="00D24C4F" w:rsidP="00C751EE">
            <w:pPr>
              <w:rPr>
                <w:sz w:val="20"/>
              </w:rPr>
            </w:pPr>
          </w:p>
          <w:p w:rsidR="004F703F" w:rsidP="00C751EE">
            <w:pPr>
              <w:rPr>
                <w:sz w:val="20"/>
              </w:rPr>
            </w:pPr>
          </w:p>
          <w:p w:rsidR="00C751EE" w:rsidP="00C751EE">
            <w:pPr>
              <w:rPr>
                <w:sz w:val="20"/>
              </w:rPr>
            </w:pPr>
            <w:r>
              <w:rPr>
                <w:sz w:val="20"/>
              </w:rPr>
              <w:t>n.a.</w:t>
            </w:r>
          </w:p>
          <w:p w:rsidR="00C751EE" w:rsidRPr="00E02262" w:rsidP="00C751EE">
            <w:pPr>
              <w:rPr>
                <w:sz w:val="20"/>
              </w:rPr>
            </w:pPr>
          </w:p>
        </w:tc>
        <w:tc>
          <w:tcPr>
            <w:tcW w:w="1276" w:type="dxa"/>
            <w:tcBorders>
              <w:top w:val="single" w:sz="4" w:space="0" w:color="auto"/>
              <w:bottom w:val="single" w:sz="4" w:space="0" w:color="auto"/>
            </w:tcBorders>
          </w:tcPr>
          <w:p w:rsidR="00C751EE" w:rsidRPr="00E02262" w:rsidP="00C751EE">
            <w:pPr>
              <w:jc w:val="center"/>
              <w:rPr>
                <w:sz w:val="20"/>
              </w:rPr>
            </w:pPr>
            <w:r w:rsidRPr="00E02262">
              <w:rPr>
                <w:sz w:val="20"/>
              </w:rPr>
              <w:t>Z</w:t>
            </w:r>
            <w:r>
              <w:rPr>
                <w:sz w:val="20"/>
              </w:rPr>
              <w:t xml:space="preserve"> </w:t>
            </w:r>
            <w:r w:rsidRPr="00E02262">
              <w:rPr>
                <w:sz w:val="20"/>
              </w:rPr>
              <w:t>309/2009</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P="00C751EE">
            <w:pPr>
              <w:jc w:val="center"/>
              <w:rPr>
                <w:sz w:val="20"/>
              </w:rPr>
            </w:pPr>
          </w:p>
          <w:p w:rsidR="00C56E23" w:rsidP="00C751EE">
            <w:pPr>
              <w:jc w:val="center"/>
              <w:rPr>
                <w:sz w:val="20"/>
              </w:rPr>
            </w:pPr>
          </w:p>
          <w:p w:rsidR="00C56E23" w:rsidRPr="00E02262" w:rsidP="00C751EE">
            <w:pPr>
              <w:jc w:val="center"/>
              <w:rPr>
                <w:sz w:val="20"/>
              </w:rPr>
            </w:pPr>
          </w:p>
          <w:p w:rsidR="00C751EE" w:rsidP="00C751EE">
            <w:pPr>
              <w:jc w:val="center"/>
              <w:rPr>
                <w:sz w:val="20"/>
              </w:rPr>
            </w:pPr>
          </w:p>
          <w:p w:rsidR="00FA6D87" w:rsidP="00C751EE">
            <w:pPr>
              <w:jc w:val="center"/>
              <w:rPr>
                <w:sz w:val="20"/>
              </w:rPr>
            </w:pPr>
          </w:p>
          <w:p w:rsidR="00FA6D87" w:rsidP="00C751EE">
            <w:pPr>
              <w:jc w:val="center"/>
              <w:rPr>
                <w:sz w:val="20"/>
              </w:rPr>
            </w:pPr>
          </w:p>
          <w:p w:rsidR="00FA6D87" w:rsidP="00C751EE">
            <w:pPr>
              <w:jc w:val="center"/>
              <w:rPr>
                <w:sz w:val="20"/>
              </w:rPr>
            </w:pPr>
          </w:p>
          <w:p w:rsidR="00FA6D87" w:rsidP="00C751EE">
            <w:pPr>
              <w:jc w:val="center"/>
              <w:rPr>
                <w:sz w:val="20"/>
              </w:rPr>
            </w:pPr>
          </w:p>
          <w:p w:rsidR="00FA6D87" w:rsidRPr="00E02262" w:rsidP="00C751EE">
            <w:pPr>
              <w:jc w:val="center"/>
              <w:rPr>
                <w:sz w:val="20"/>
              </w:rPr>
            </w:pPr>
          </w:p>
          <w:p w:rsidR="00C751EE" w:rsidRPr="00E02262" w:rsidP="00C751EE">
            <w:pPr>
              <w:jc w:val="center"/>
              <w:rPr>
                <w:sz w:val="20"/>
              </w:rPr>
            </w:pPr>
          </w:p>
          <w:p w:rsidR="00C751EE" w:rsidRPr="00E02262" w:rsidP="00C751EE">
            <w:pPr>
              <w:jc w:val="center"/>
              <w:rPr>
                <w:sz w:val="20"/>
              </w:rPr>
            </w:pPr>
            <w:r w:rsidRPr="00E02262">
              <w:rPr>
                <w:sz w:val="20"/>
              </w:rPr>
              <w:t>V</w:t>
            </w:r>
            <w:r>
              <w:rPr>
                <w:sz w:val="20"/>
              </w:rPr>
              <w:t xml:space="preserve"> </w:t>
            </w:r>
            <w:r w:rsidRPr="00E02262">
              <w:rPr>
                <w:sz w:val="20"/>
              </w:rPr>
              <w:t>271/2011</w:t>
            </w:r>
          </w:p>
          <w:p w:rsidR="00C751EE" w:rsidRPr="00E02262" w:rsidP="00C751EE">
            <w:pPr>
              <w:jc w:val="center"/>
              <w:rPr>
                <w:sz w:val="20"/>
              </w:rPr>
            </w:pPr>
          </w:p>
          <w:p w:rsidR="00C751EE" w:rsidP="00C751EE">
            <w:pPr>
              <w:jc w:val="center"/>
              <w:rPr>
                <w:sz w:val="20"/>
              </w:rPr>
            </w:pPr>
          </w:p>
          <w:p w:rsidR="00FA6D87" w:rsidRPr="00E02262" w:rsidP="00C751EE">
            <w:pPr>
              <w:jc w:val="center"/>
              <w:rPr>
                <w:sz w:val="20"/>
              </w:rPr>
            </w:pPr>
          </w:p>
          <w:p w:rsidR="00C751EE" w:rsidP="00C751EE">
            <w:pPr>
              <w:jc w:val="center"/>
              <w:rPr>
                <w:sz w:val="20"/>
              </w:rPr>
            </w:pPr>
            <w:r w:rsidRPr="00E02262">
              <w:rPr>
                <w:sz w:val="20"/>
              </w:rPr>
              <w:t>Z</w:t>
            </w:r>
            <w:r>
              <w:rPr>
                <w:sz w:val="20"/>
              </w:rPr>
              <w:t xml:space="preserve"> </w:t>
            </w:r>
            <w:r w:rsidRPr="00E02262">
              <w:rPr>
                <w:sz w:val="20"/>
              </w:rPr>
              <w:t>309/2009</w:t>
            </w: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C751EE" w:rsidP="00C751EE">
            <w:pPr>
              <w:jc w:val="center"/>
              <w:rPr>
                <w:sz w:val="20"/>
              </w:rPr>
            </w:pPr>
          </w:p>
          <w:p w:rsidR="00C751EE" w:rsidP="00C751EE">
            <w:pPr>
              <w:jc w:val="center"/>
              <w:rPr>
                <w:sz w:val="20"/>
              </w:rPr>
            </w:pPr>
          </w:p>
          <w:p w:rsidR="004F703F" w:rsidP="00C751EE">
            <w:pPr>
              <w:jc w:val="center"/>
              <w:rPr>
                <w:sz w:val="20"/>
              </w:rPr>
            </w:pPr>
          </w:p>
          <w:p w:rsidR="004F703F" w:rsidP="00C751EE">
            <w:pPr>
              <w:jc w:val="center"/>
              <w:rPr>
                <w:sz w:val="20"/>
              </w:rPr>
            </w:pPr>
          </w:p>
          <w:p w:rsidR="004F703F" w:rsidP="00C751EE">
            <w:pPr>
              <w:jc w:val="center"/>
              <w:rPr>
                <w:sz w:val="20"/>
              </w:rPr>
            </w:pPr>
          </w:p>
          <w:p w:rsidR="00D24C4F" w:rsidP="00D24C4F">
            <w:pPr>
              <w:jc w:val="center"/>
              <w:rPr>
                <w:sz w:val="20"/>
              </w:rPr>
            </w:pPr>
            <w:r w:rsidRPr="00E02262">
              <w:rPr>
                <w:sz w:val="20"/>
              </w:rPr>
              <w:t>Z</w:t>
            </w:r>
            <w:r>
              <w:rPr>
                <w:sz w:val="20"/>
              </w:rPr>
              <w:t xml:space="preserve"> </w:t>
            </w:r>
            <w:r w:rsidRPr="00E02262">
              <w:rPr>
                <w:sz w:val="20"/>
              </w:rPr>
              <w:t>309/2009</w:t>
            </w:r>
          </w:p>
          <w:p w:rsidR="00C751EE" w:rsidP="00C751EE">
            <w:pPr>
              <w:jc w:val="center"/>
              <w:rPr>
                <w:sz w:val="20"/>
              </w:rPr>
            </w:pPr>
          </w:p>
          <w:p w:rsidR="00D24C4F" w:rsidP="00C751EE">
            <w:pPr>
              <w:jc w:val="center"/>
              <w:rPr>
                <w:sz w:val="20"/>
              </w:rPr>
            </w:pPr>
          </w:p>
          <w:p w:rsidR="00D24C4F" w:rsidP="00C751EE">
            <w:pPr>
              <w:jc w:val="center"/>
              <w:rPr>
                <w:sz w:val="20"/>
              </w:rPr>
            </w:pPr>
          </w:p>
          <w:p w:rsidR="004F703F" w:rsidP="00C751EE">
            <w:pPr>
              <w:jc w:val="center"/>
              <w:rPr>
                <w:sz w:val="20"/>
              </w:rPr>
            </w:pPr>
          </w:p>
          <w:p w:rsidR="00D24C4F" w:rsidP="00C751EE">
            <w:pPr>
              <w:jc w:val="center"/>
              <w:rPr>
                <w:sz w:val="20"/>
              </w:rPr>
            </w:pPr>
          </w:p>
          <w:p w:rsidR="00D24C4F" w:rsidRPr="00E02262" w:rsidP="00A72AC7">
            <w:pPr>
              <w:jc w:val="center"/>
              <w:rPr>
                <w:sz w:val="20"/>
              </w:rPr>
            </w:pPr>
          </w:p>
        </w:tc>
        <w:tc>
          <w:tcPr>
            <w:tcW w:w="709" w:type="dxa"/>
            <w:tcBorders>
              <w:top w:val="single" w:sz="4" w:space="0" w:color="auto"/>
              <w:bottom w:val="single" w:sz="4" w:space="0" w:color="auto"/>
            </w:tcBorders>
          </w:tcPr>
          <w:p w:rsidR="00C751EE" w:rsidRPr="00E02262" w:rsidP="00C751EE">
            <w:pPr>
              <w:jc w:val="center"/>
              <w:rPr>
                <w:sz w:val="20"/>
              </w:rPr>
            </w:pPr>
            <w:r w:rsidRPr="00E02262">
              <w:rPr>
                <w:sz w:val="20"/>
              </w:rPr>
              <w:t>§14c</w:t>
            </w:r>
          </w:p>
          <w:p w:rsidR="00C751EE" w:rsidRPr="00E02262" w:rsidP="00C751EE">
            <w:pPr>
              <w:jc w:val="center"/>
              <w:rPr>
                <w:sz w:val="20"/>
              </w:rPr>
            </w:pPr>
            <w:r w:rsidR="00F327A9">
              <w:rPr>
                <w:sz w:val="20"/>
              </w:rPr>
              <w:t>O3</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P="00C751EE">
            <w:pPr>
              <w:jc w:val="center"/>
              <w:rPr>
                <w:sz w:val="20"/>
              </w:rPr>
            </w:pPr>
          </w:p>
          <w:p w:rsidR="004F703F"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r w:rsidRPr="00E02262">
              <w:rPr>
                <w:sz w:val="20"/>
              </w:rPr>
              <w:t>§14c</w:t>
            </w:r>
          </w:p>
          <w:p w:rsidR="00C751EE" w:rsidRPr="00E02262" w:rsidP="00C751EE">
            <w:pPr>
              <w:jc w:val="center"/>
              <w:rPr>
                <w:sz w:val="20"/>
              </w:rPr>
            </w:pPr>
            <w:r w:rsidR="00F327A9">
              <w:rPr>
                <w:sz w:val="20"/>
              </w:rPr>
              <w:t>O9</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P="00C751EE">
            <w:pPr>
              <w:jc w:val="center"/>
              <w:rPr>
                <w:sz w:val="20"/>
              </w:rPr>
            </w:pPr>
          </w:p>
          <w:p w:rsidR="00F327A9" w:rsidRPr="00E02262" w:rsidP="00F327A9">
            <w:pPr>
              <w:jc w:val="center"/>
              <w:rPr>
                <w:sz w:val="20"/>
              </w:rPr>
            </w:pPr>
            <w:r w:rsidRPr="00E02262">
              <w:rPr>
                <w:sz w:val="20"/>
              </w:rPr>
              <w:t>§14c</w:t>
            </w:r>
          </w:p>
          <w:p w:rsidR="00F327A9" w:rsidRPr="00E02262" w:rsidP="00F327A9">
            <w:pPr>
              <w:jc w:val="center"/>
              <w:rPr>
                <w:sz w:val="20"/>
              </w:rPr>
            </w:pPr>
            <w:r w:rsidR="00514034">
              <w:rPr>
                <w:sz w:val="20"/>
              </w:rPr>
              <w:t>O7</w:t>
            </w:r>
          </w:p>
          <w:p w:rsidR="00F327A9" w:rsidP="00C751EE">
            <w:pPr>
              <w:jc w:val="center"/>
              <w:rPr>
                <w:sz w:val="20"/>
              </w:rPr>
            </w:pPr>
          </w:p>
          <w:p w:rsidR="00F327A9" w:rsidP="00C751EE">
            <w:pPr>
              <w:jc w:val="center"/>
              <w:rPr>
                <w:sz w:val="20"/>
              </w:rPr>
            </w:pPr>
          </w:p>
          <w:p w:rsidR="00F327A9" w:rsidP="00C751EE">
            <w:pPr>
              <w:jc w:val="center"/>
              <w:rPr>
                <w:sz w:val="20"/>
              </w:rPr>
            </w:pPr>
          </w:p>
          <w:p w:rsidR="004F703F" w:rsidP="00C751EE">
            <w:pPr>
              <w:jc w:val="center"/>
              <w:rPr>
                <w:sz w:val="20"/>
              </w:rPr>
            </w:pPr>
          </w:p>
          <w:p w:rsidR="00F327A9" w:rsidRPr="00E02262" w:rsidP="00C751EE">
            <w:pPr>
              <w:jc w:val="center"/>
              <w:rPr>
                <w:sz w:val="20"/>
              </w:rPr>
            </w:pPr>
          </w:p>
          <w:p w:rsidR="00C751EE" w:rsidRPr="00E02262" w:rsidP="00C751EE">
            <w:pPr>
              <w:jc w:val="center"/>
              <w:rPr>
                <w:sz w:val="20"/>
              </w:rPr>
            </w:pPr>
            <w:r w:rsidRPr="00E02262">
              <w:rPr>
                <w:sz w:val="20"/>
              </w:rPr>
              <w:t>§19b O1</w:t>
            </w:r>
          </w:p>
          <w:p w:rsidR="00C751EE" w:rsidRPr="00E02262" w:rsidP="00C751EE">
            <w:pPr>
              <w:jc w:val="center"/>
              <w:rPr>
                <w:sz w:val="20"/>
              </w:rPr>
            </w:pPr>
            <w:r w:rsidR="00C56E23">
              <w:rPr>
                <w:sz w:val="20"/>
              </w:rPr>
              <w:t>P</w:t>
            </w:r>
            <w:r w:rsidRPr="00E02262">
              <w:rPr>
                <w:sz w:val="20"/>
              </w:rPr>
              <w:t>m</w:t>
            </w:r>
          </w:p>
          <w:p w:rsidR="00C751EE" w:rsidRPr="00E02262" w:rsidP="00C751EE">
            <w:pPr>
              <w:jc w:val="center"/>
              <w:rPr>
                <w:sz w:val="20"/>
              </w:rPr>
            </w:pPr>
          </w:p>
          <w:p w:rsidR="004F703F" w:rsidP="00C751EE">
            <w:pPr>
              <w:jc w:val="center"/>
              <w:rPr>
                <w:sz w:val="20"/>
              </w:rPr>
            </w:pPr>
          </w:p>
          <w:p w:rsidR="00C751EE" w:rsidRPr="00E02262" w:rsidP="00C751EE">
            <w:pPr>
              <w:jc w:val="center"/>
              <w:rPr>
                <w:sz w:val="20"/>
              </w:rPr>
            </w:pPr>
            <w:r>
              <w:rPr>
                <w:sz w:val="20"/>
              </w:rPr>
              <w:t>§9</w:t>
            </w:r>
          </w:p>
          <w:p w:rsidR="00C751EE" w:rsidRPr="00E02262" w:rsidP="00C751EE">
            <w:pPr>
              <w:jc w:val="center"/>
              <w:rPr>
                <w:sz w:val="20"/>
              </w:rPr>
            </w:pPr>
            <w:r w:rsidRPr="00E02262">
              <w:rPr>
                <w:sz w:val="20"/>
              </w:rPr>
              <w:t>O2</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r>
              <w:rPr>
                <w:sz w:val="20"/>
              </w:rPr>
              <w:t>§</w:t>
            </w:r>
            <w:r w:rsidRPr="00E02262">
              <w:rPr>
                <w:sz w:val="20"/>
              </w:rPr>
              <w:t>14c</w:t>
            </w:r>
          </w:p>
          <w:p w:rsidR="00C751EE" w:rsidP="00C751EE">
            <w:pPr>
              <w:jc w:val="center"/>
              <w:rPr>
                <w:sz w:val="20"/>
              </w:rPr>
            </w:pPr>
            <w:r w:rsidR="00605411">
              <w:rPr>
                <w:sz w:val="20"/>
              </w:rPr>
              <w:t>O3</w:t>
            </w:r>
          </w:p>
          <w:p w:rsidR="00605411" w:rsidRPr="00E02262" w:rsidP="00C751EE">
            <w:pPr>
              <w:jc w:val="center"/>
              <w:rPr>
                <w:sz w:val="20"/>
              </w:rPr>
            </w:pPr>
            <w:r>
              <w:rPr>
                <w:sz w:val="20"/>
              </w:rPr>
              <w:t>O4</w:t>
            </w: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605411" w:rsidP="00C751EE">
            <w:pPr>
              <w:jc w:val="center"/>
              <w:rPr>
                <w:sz w:val="20"/>
              </w:rPr>
            </w:pPr>
          </w:p>
          <w:p w:rsidR="00C751EE" w:rsidP="00C751EE">
            <w:pPr>
              <w:jc w:val="center"/>
              <w:rPr>
                <w:sz w:val="20"/>
              </w:rPr>
            </w:pPr>
          </w:p>
          <w:p w:rsidR="004F703F" w:rsidP="00C751EE">
            <w:pPr>
              <w:jc w:val="center"/>
              <w:rPr>
                <w:sz w:val="20"/>
              </w:rPr>
            </w:pPr>
          </w:p>
          <w:p w:rsidR="00C751EE" w:rsidP="00C751EE">
            <w:pPr>
              <w:jc w:val="center"/>
              <w:rPr>
                <w:sz w:val="20"/>
              </w:rPr>
            </w:pPr>
          </w:p>
          <w:p w:rsidR="00C751EE" w:rsidRPr="002F7E97" w:rsidP="00C751EE">
            <w:pPr>
              <w:jc w:val="center"/>
              <w:rPr>
                <w:sz w:val="20"/>
              </w:rPr>
            </w:pPr>
            <w:r>
              <w:rPr>
                <w:sz w:val="20"/>
              </w:rPr>
              <w:t>§</w:t>
            </w:r>
            <w:r w:rsidR="00D24C4F">
              <w:rPr>
                <w:sz w:val="20"/>
              </w:rPr>
              <w:t>14c O12</w:t>
            </w:r>
          </w:p>
          <w:p w:rsidR="00C751EE" w:rsidP="00C751EE">
            <w:pPr>
              <w:jc w:val="center"/>
              <w:rPr>
                <w:sz w:val="20"/>
              </w:rPr>
            </w:pPr>
            <w:r>
              <w:rPr>
                <w:sz w:val="20"/>
              </w:rPr>
              <w:t>P</w:t>
            </w:r>
            <w:r w:rsidRPr="002F7E97">
              <w:rPr>
                <w:sz w:val="20"/>
              </w:rPr>
              <w:t>c</w:t>
            </w:r>
          </w:p>
          <w:p w:rsidR="00C751EE" w:rsidP="00C751EE">
            <w:pPr>
              <w:jc w:val="center"/>
              <w:rPr>
                <w:color w:val="0070C0"/>
                <w:sz w:val="20"/>
              </w:rPr>
            </w:pPr>
          </w:p>
          <w:p w:rsidR="004F703F" w:rsidP="00C751EE">
            <w:pPr>
              <w:jc w:val="center"/>
              <w:rPr>
                <w:color w:val="0070C0"/>
                <w:sz w:val="20"/>
              </w:rPr>
            </w:pPr>
          </w:p>
          <w:p w:rsidR="00C751EE" w:rsidRPr="002F7E97" w:rsidP="00C751EE">
            <w:pPr>
              <w:jc w:val="center"/>
              <w:rPr>
                <w:sz w:val="20"/>
              </w:rPr>
            </w:pPr>
          </w:p>
          <w:p w:rsidR="00C751EE" w:rsidRPr="00E02262" w:rsidP="00C751EE">
            <w:pPr>
              <w:jc w:val="center"/>
              <w:rPr>
                <w:sz w:val="20"/>
              </w:rPr>
            </w:pPr>
          </w:p>
        </w:tc>
        <w:tc>
          <w:tcPr>
            <w:tcW w:w="4110" w:type="dxa"/>
            <w:tcBorders>
              <w:top w:val="single" w:sz="4" w:space="0" w:color="auto"/>
              <w:bottom w:val="single" w:sz="4" w:space="0" w:color="auto"/>
            </w:tcBorders>
          </w:tcPr>
          <w:p w:rsidR="00C751EE" w:rsidRPr="004B3966" w:rsidP="00C751EE">
            <w:pPr>
              <w:jc w:val="both"/>
              <w:rPr>
                <w:sz w:val="20"/>
              </w:rPr>
            </w:pPr>
            <w:r w:rsidRPr="004B3966" w:rsidR="00F327A9">
              <w:rPr>
                <w:sz w:val="20"/>
              </w:rPr>
              <w:t>(3</w:t>
            </w:r>
            <w:r w:rsidRPr="004B3966">
              <w:rPr>
                <w:sz w:val="20"/>
              </w:rPr>
              <w:t xml:space="preserve">) </w:t>
            </w:r>
            <w:r w:rsidRPr="004B3966" w:rsidR="00F327A9">
              <w:rPr>
                <w:sz w:val="20"/>
              </w:rPr>
              <w:t xml:space="preserve">Právnická osoba alebo fyzická osoba, ktorá uvádza pohonnú látku na trh v Slovenskej </w:t>
            </w:r>
            <w:r w:rsidRPr="004B3966" w:rsidR="00F327A9">
              <w:rPr>
                <w:sz w:val="20"/>
              </w:rPr>
              <w:t>republike používanú na pohon cestných vozidiel, dráhových vozidiel, necestných strojov, plavidiel vnútrozemskej vodnej dopravy, poľnohospodárskych traktorov a lesných traktorov, rekreačných plavidiel alebo dodáva elektrinu používanú v cestných vozidlách, je povinná monitorovať, každoročne vypracovať a zaslať Slovenskému hydrometeorologickému ústavu na overenie správu o úrovni tvorby emisií skleníkových plynov počas životného cyklu na jednotku energie z pohonnej látky a dodávanej energie za predchádzajúci ro</w:t>
            </w:r>
            <w:r w:rsidRPr="004B3966" w:rsidR="00F327A9">
              <w:rPr>
                <w:sz w:val="20"/>
              </w:rPr>
              <w:t>k.</w:t>
            </w:r>
          </w:p>
          <w:p w:rsidR="00C751EE" w:rsidRPr="004B3966" w:rsidP="00F327A9">
            <w:pPr>
              <w:ind w:left="360" w:hanging="360"/>
              <w:jc w:val="both"/>
              <w:rPr>
                <w:sz w:val="20"/>
              </w:rPr>
            </w:pPr>
          </w:p>
          <w:p w:rsidR="00C751EE" w:rsidRPr="004B3966" w:rsidP="00C751EE">
            <w:pPr>
              <w:jc w:val="both"/>
              <w:rPr>
                <w:sz w:val="20"/>
              </w:rPr>
            </w:pPr>
          </w:p>
          <w:p w:rsidR="00C751EE" w:rsidRPr="004B3966" w:rsidP="00C751EE">
            <w:pPr>
              <w:jc w:val="both"/>
              <w:rPr>
                <w:sz w:val="20"/>
              </w:rPr>
            </w:pPr>
            <w:r w:rsidRPr="004B3966" w:rsidR="00514034">
              <w:rPr>
                <w:sz w:val="20"/>
              </w:rPr>
              <w:t>(9</w:t>
            </w:r>
            <w:r w:rsidRPr="004B3966">
              <w:rPr>
                <w:sz w:val="20"/>
              </w:rPr>
              <w:t>) Dodávateľ elektriny využívanej v cestných vozidlách môže splniť povinnosť znížiť emisie skleníkových plynov počas životného cyklu na</w:t>
            </w:r>
            <w:r w:rsidRPr="004B3966" w:rsidR="00F327A9">
              <w:rPr>
                <w:sz w:val="20"/>
              </w:rPr>
              <w:t xml:space="preserve"> jednotku energie podľa odseku 6</w:t>
            </w:r>
            <w:r w:rsidRPr="004B3966">
              <w:rPr>
                <w:sz w:val="20"/>
              </w:rPr>
              <w:t xml:space="preserve">, ak preukáže, že môže náležite </w:t>
            </w:r>
            <w:r w:rsidRPr="004B3966" w:rsidR="00F327A9">
              <w:rPr>
                <w:sz w:val="20"/>
              </w:rPr>
              <w:t>merať a sledovať množstvo elektriny dodávanej na využívanie v týchto vozidlách</w:t>
            </w:r>
            <w:r w:rsidRPr="004B3966">
              <w:rPr>
                <w:sz w:val="20"/>
              </w:rPr>
              <w:t>.</w:t>
            </w:r>
          </w:p>
          <w:p w:rsidR="00F327A9" w:rsidRPr="004B3966" w:rsidP="00C751EE">
            <w:pPr>
              <w:jc w:val="both"/>
              <w:rPr>
                <w:sz w:val="20"/>
              </w:rPr>
            </w:pPr>
          </w:p>
          <w:p w:rsidR="00F327A9" w:rsidRPr="004B3966" w:rsidP="00514034">
            <w:pPr>
              <w:jc w:val="both"/>
              <w:rPr>
                <w:sz w:val="20"/>
              </w:rPr>
            </w:pPr>
            <w:r w:rsidRPr="004B3966" w:rsidR="00514034">
              <w:rPr>
                <w:sz w:val="20"/>
              </w:rPr>
              <w:t xml:space="preserve">(7) </w:t>
            </w:r>
            <w:r w:rsidRPr="004B3966">
              <w:rPr>
                <w:sz w:val="20"/>
              </w:rPr>
              <w:t>Právnická osoba alebo fyzická osoba môže povinnosť podľa odseku 6 splniť aj dodávkami biopalív na využitie v leteckej doprave, ak spĺňajú kritériá trvalej udržateľnosti podľa§ 19b ods. 1písm. a).</w:t>
            </w:r>
          </w:p>
          <w:p w:rsidR="00F327A9" w:rsidRPr="004B3966" w:rsidP="00C751EE">
            <w:pPr>
              <w:jc w:val="both"/>
              <w:rPr>
                <w:sz w:val="20"/>
              </w:rPr>
            </w:pPr>
          </w:p>
          <w:p w:rsidR="00C751EE" w:rsidRPr="004B3966" w:rsidP="00C751EE">
            <w:pPr>
              <w:pStyle w:val="BodyText"/>
              <w:tabs>
                <w:tab w:val="left" w:pos="360"/>
              </w:tabs>
              <w:rPr>
                <w:sz w:val="20"/>
              </w:rPr>
            </w:pPr>
          </w:p>
          <w:p w:rsidR="00C751EE" w:rsidRPr="004B3966" w:rsidP="00C751EE">
            <w:pPr>
              <w:jc w:val="both"/>
              <w:rPr>
                <w:sz w:val="20"/>
              </w:rPr>
            </w:pPr>
            <w:r w:rsidRPr="004B3966">
              <w:rPr>
                <w:sz w:val="20"/>
              </w:rPr>
              <w:t>m) podrobnosti o spôsobe merania množstva elektriny dodávanej na využívanie v cestných vozidlách od dodávateľov elektriny.</w:t>
            </w:r>
          </w:p>
          <w:p w:rsidR="00C56E23" w:rsidRPr="004B3966" w:rsidP="00C751EE">
            <w:pPr>
              <w:jc w:val="both"/>
              <w:rPr>
                <w:sz w:val="20"/>
              </w:rPr>
            </w:pPr>
          </w:p>
          <w:p w:rsidR="00C56E23" w:rsidRPr="004B3966" w:rsidP="00C751EE">
            <w:pPr>
              <w:jc w:val="both"/>
              <w:rPr>
                <w:sz w:val="20"/>
              </w:rPr>
            </w:pPr>
          </w:p>
          <w:p w:rsidR="00C751EE" w:rsidRPr="004B3966" w:rsidP="00C751EE">
            <w:pPr>
              <w:jc w:val="both"/>
              <w:rPr>
                <w:sz w:val="20"/>
              </w:rPr>
            </w:pPr>
            <w:r w:rsidRPr="004B3966">
              <w:rPr>
                <w:sz w:val="20"/>
              </w:rPr>
              <w:t>(2) Ciele, ktoré sú uvedené v odseku 1, môže plniť aj dodávateľ elektriny využívanej v cest</w:t>
            </w:r>
            <w:r w:rsidRPr="004B3966" w:rsidR="00C56E23">
              <w:rPr>
                <w:sz w:val="20"/>
              </w:rPr>
              <w:t>ných vozidlách podľa § 14c ods. 9</w:t>
            </w:r>
            <w:r w:rsidRPr="004B3966">
              <w:rPr>
                <w:sz w:val="20"/>
              </w:rPr>
              <w:t xml:space="preserve"> zákona.</w:t>
            </w:r>
          </w:p>
          <w:p w:rsidR="00C751EE" w:rsidRPr="004B3966" w:rsidP="00C751EE">
            <w:pPr>
              <w:pStyle w:val="BodyText"/>
              <w:tabs>
                <w:tab w:val="left" w:pos="360"/>
              </w:tabs>
              <w:rPr>
                <w:sz w:val="20"/>
              </w:rPr>
            </w:pPr>
          </w:p>
          <w:p w:rsidR="00C751EE" w:rsidRPr="004B3966" w:rsidP="00C751EE">
            <w:pPr>
              <w:jc w:val="both"/>
              <w:rPr>
                <w:sz w:val="20"/>
              </w:rPr>
            </w:pPr>
            <w:r w:rsidRPr="004B3966" w:rsidR="00605411">
              <w:rPr>
                <w:sz w:val="20"/>
              </w:rPr>
              <w:t>(3</w:t>
            </w:r>
            <w:r w:rsidRPr="004B3966">
              <w:rPr>
                <w:sz w:val="20"/>
              </w:rPr>
              <w:t xml:space="preserve">) </w:t>
            </w:r>
            <w:r w:rsidRPr="004B3966" w:rsidR="00605411">
              <w:rPr>
                <w:sz w:val="20"/>
              </w:rPr>
              <w:t>Právnická osoba alebo fyzická osoba, ktorá uvádza pohonnú látku na trh v Slovenskej republike používanú na pohon cestných vozidiel, dráhových vozidiel, necestných strojov, plavidiel vnútrozemskej vodnej dopravy, poľnohospodárskych traktorov a lesných traktorov, rekreačných plavidiel alebo dodáva elektrinu používanú v cestných vozidlách, je povinná monitorovať, každoročne vypracovať a zaslať Slovenskému hydrometeorologickému ústavu na overenie správu o úrovni tvorby emisií skleníkových plynov počas životného cyklu na jednotk</w:t>
            </w:r>
            <w:r w:rsidRPr="004B3966" w:rsidR="00605411">
              <w:rPr>
                <w:sz w:val="20"/>
              </w:rPr>
              <w:t>u energie z pohonnej látky a dodávanej energie za predchádzajúci rok.</w:t>
            </w:r>
          </w:p>
          <w:p w:rsidR="00605411" w:rsidRPr="004B3966" w:rsidP="00C751EE">
            <w:pPr>
              <w:jc w:val="both"/>
              <w:rPr>
                <w:sz w:val="20"/>
              </w:rPr>
            </w:pPr>
          </w:p>
          <w:p w:rsidR="00605411" w:rsidRPr="004B3966" w:rsidP="00C751EE">
            <w:pPr>
              <w:jc w:val="both"/>
              <w:rPr>
                <w:sz w:val="20"/>
              </w:rPr>
            </w:pPr>
            <w:r w:rsidRPr="004B3966">
              <w:rPr>
                <w:sz w:val="20"/>
              </w:rPr>
              <w:t>(4) Správa podľa odseku 3 obsahuje</w:t>
            </w:r>
          </w:p>
          <w:p w:rsidR="00C751EE" w:rsidRPr="004B3966" w:rsidP="00C751EE">
            <w:pPr>
              <w:ind w:left="360" w:hanging="360"/>
              <w:jc w:val="both"/>
              <w:rPr>
                <w:sz w:val="20"/>
              </w:rPr>
            </w:pPr>
            <w:r w:rsidRPr="004B3966">
              <w:rPr>
                <w:sz w:val="20"/>
              </w:rPr>
              <w:t xml:space="preserve">a)  </w:t>
            </w:r>
            <w:r w:rsidRPr="004B3966" w:rsidR="00605411">
              <w:rPr>
                <w:sz w:val="20"/>
              </w:rPr>
              <w:t>celkový objem každého typu pohonnej látky alebo dodávanej energie s údajom o mieste ich nákupu a pôvode</w:t>
            </w:r>
            <w:r w:rsidRPr="004B3966">
              <w:rPr>
                <w:sz w:val="20"/>
              </w:rPr>
              <w:t>,</w:t>
            </w:r>
          </w:p>
          <w:p w:rsidR="00C751EE" w:rsidRPr="004B3966" w:rsidP="00C751EE">
            <w:pPr>
              <w:ind w:left="374" w:hanging="374"/>
              <w:jc w:val="both"/>
              <w:rPr>
                <w:sz w:val="20"/>
              </w:rPr>
            </w:pPr>
            <w:r w:rsidRPr="004B3966" w:rsidR="00605411">
              <w:rPr>
                <w:sz w:val="20"/>
              </w:rPr>
              <w:t>b)  emisie skleníkových plynov počas živo</w:t>
            </w:r>
            <w:r w:rsidRPr="004B3966" w:rsidR="00605411">
              <w:rPr>
                <w:sz w:val="20"/>
              </w:rPr>
              <w:t>tného cyklu na jednotku energie</w:t>
            </w:r>
            <w:r w:rsidRPr="004B3966">
              <w:rPr>
                <w:sz w:val="20"/>
              </w:rPr>
              <w:t>,</w:t>
            </w:r>
          </w:p>
          <w:p w:rsidR="00C751EE" w:rsidRPr="004B3966" w:rsidP="00C751EE">
            <w:pPr>
              <w:ind w:left="360" w:hanging="360"/>
              <w:jc w:val="both"/>
              <w:rPr>
                <w:sz w:val="20"/>
              </w:rPr>
            </w:pPr>
            <w:r w:rsidRPr="004B3966">
              <w:rPr>
                <w:sz w:val="20"/>
              </w:rPr>
              <w:t xml:space="preserve">c)  </w:t>
            </w:r>
            <w:r w:rsidRPr="004B3966" w:rsidR="00605411">
              <w:rPr>
                <w:sz w:val="20"/>
              </w:rPr>
              <w:t>údaje potrebné na identifikáciu pohonnej látky alebo dodávanej energie,</w:t>
            </w:r>
          </w:p>
          <w:p w:rsidR="00605411" w:rsidRPr="004B3966" w:rsidP="00C751EE">
            <w:pPr>
              <w:ind w:left="360" w:hanging="360"/>
              <w:jc w:val="both"/>
              <w:rPr>
                <w:sz w:val="20"/>
              </w:rPr>
            </w:pPr>
            <w:r w:rsidRPr="004B3966">
              <w:rPr>
                <w:sz w:val="20"/>
              </w:rPr>
              <w:t>d) spôsob dosahovania úspor emisií skleníkových plynov,</w:t>
            </w:r>
          </w:p>
          <w:p w:rsidR="00605411" w:rsidRPr="004B3966" w:rsidP="00C751EE">
            <w:pPr>
              <w:ind w:left="360" w:hanging="360"/>
              <w:jc w:val="both"/>
              <w:rPr>
                <w:sz w:val="20"/>
              </w:rPr>
            </w:pPr>
            <w:r w:rsidRPr="004B3966">
              <w:rPr>
                <w:sz w:val="20"/>
              </w:rPr>
              <w:t>e) spôsob výpočtu úspor emisií skleníkových plynov,</w:t>
            </w:r>
          </w:p>
          <w:p w:rsidR="00605411" w:rsidRPr="004B3966" w:rsidP="00C751EE">
            <w:pPr>
              <w:ind w:left="360" w:hanging="360"/>
              <w:jc w:val="both"/>
              <w:rPr>
                <w:sz w:val="20"/>
              </w:rPr>
            </w:pPr>
            <w:r w:rsidRPr="004B3966">
              <w:rPr>
                <w:sz w:val="20"/>
              </w:rPr>
              <w:t>f) ďalšie údaje podľa§ 19b ods. 1 písm.</w:t>
            </w:r>
            <w:r w:rsidRPr="004B3966">
              <w:rPr>
                <w:sz w:val="20"/>
              </w:rPr>
              <w:t xml:space="preserve"> r).</w:t>
            </w:r>
          </w:p>
          <w:p w:rsidR="00C751EE" w:rsidRPr="004B3966" w:rsidP="00C751EE">
            <w:pPr>
              <w:pStyle w:val="BodyText"/>
              <w:tabs>
                <w:tab w:val="left" w:pos="360"/>
              </w:tabs>
              <w:rPr>
                <w:sz w:val="20"/>
              </w:rPr>
            </w:pPr>
          </w:p>
          <w:p w:rsidR="00D24C4F" w:rsidRPr="004B3966" w:rsidP="00C751EE">
            <w:pPr>
              <w:jc w:val="both"/>
              <w:rPr>
                <w:sz w:val="20"/>
              </w:rPr>
            </w:pPr>
            <w:r w:rsidRPr="004B3966">
              <w:rPr>
                <w:sz w:val="20"/>
              </w:rPr>
              <w:t>Slovenský hydrometeorologický ústav</w:t>
            </w:r>
          </w:p>
          <w:p w:rsidR="00D24C4F" w:rsidRPr="004B3966" w:rsidP="00D24C4F">
            <w:pPr>
              <w:numPr>
                <w:ilvl w:val="0"/>
                <w:numId w:val="5"/>
              </w:numPr>
              <w:jc w:val="both"/>
              <w:rPr>
                <w:sz w:val="20"/>
              </w:rPr>
            </w:pPr>
            <w:r w:rsidRPr="004B3966" w:rsidR="00C751EE">
              <w:rPr>
                <w:sz w:val="20"/>
              </w:rPr>
              <w:t>zabezpečuje každoročné overovanie správ, ktoré jej predkladajú právnické osoby al</w:t>
            </w:r>
            <w:r w:rsidRPr="004B3966">
              <w:rPr>
                <w:sz w:val="20"/>
              </w:rPr>
              <w:t>ebo fyzické osoby podľa odseku 3</w:t>
            </w:r>
            <w:r w:rsidRPr="004B3966" w:rsidR="00C751EE">
              <w:rPr>
                <w:sz w:val="20"/>
              </w:rPr>
              <w:t>,</w:t>
            </w:r>
          </w:p>
          <w:p w:rsidR="00C751EE" w:rsidRPr="004B3966" w:rsidP="00C751EE">
            <w:pPr>
              <w:pStyle w:val="BodyText"/>
              <w:tabs>
                <w:tab w:val="left" w:pos="360"/>
              </w:tabs>
              <w:rPr>
                <w:sz w:val="20"/>
              </w:rPr>
            </w:pPr>
          </w:p>
          <w:p w:rsidR="00C751EE" w:rsidRPr="004B3966" w:rsidP="00C751EE">
            <w:pPr>
              <w:jc w:val="both"/>
              <w:rPr>
                <w:sz w:val="20"/>
              </w:rPr>
            </w:pPr>
          </w:p>
        </w:tc>
        <w:tc>
          <w:tcPr>
            <w:tcW w:w="709" w:type="dxa"/>
            <w:tcBorders>
              <w:top w:val="single" w:sz="4" w:space="0" w:color="auto"/>
              <w:bottom w:val="single" w:sz="4" w:space="0" w:color="auto"/>
            </w:tcBorders>
          </w:tcPr>
          <w:p w:rsidR="00C751EE" w:rsidRPr="00E02262" w:rsidP="00C751EE">
            <w:pPr>
              <w:jc w:val="center"/>
              <w:rPr>
                <w:sz w:val="20"/>
              </w:rPr>
            </w:pPr>
            <w:r w:rsidRPr="00E02262">
              <w:rPr>
                <w:sz w:val="20"/>
              </w:rPr>
              <w:t>Ú</w:t>
            </w: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jc w:val="center"/>
              <w:rPr>
                <w:sz w:val="20"/>
              </w:rPr>
            </w:pPr>
          </w:p>
          <w:p w:rsidR="00C751EE" w:rsidRPr="00E02262" w:rsidP="00C751EE">
            <w:pPr>
              <w:rPr>
                <w:sz w:val="20"/>
              </w:rPr>
            </w:pPr>
          </w:p>
        </w:tc>
        <w:tc>
          <w:tcPr>
            <w:tcW w:w="1701" w:type="dxa"/>
            <w:tcBorders>
              <w:top w:val="single" w:sz="4" w:space="0" w:color="auto"/>
              <w:bottom w:val="single" w:sz="4" w:space="0" w:color="auto"/>
            </w:tcBorders>
          </w:tcPr>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p w:rsidR="00C751EE"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P="00C751EE">
            <w:pPr>
              <w:jc w:val="both"/>
              <w:rPr>
                <w:sz w:val="20"/>
              </w:rPr>
            </w:pPr>
            <w:r w:rsidRPr="00F74B61">
              <w:rPr>
                <w:sz w:val="20"/>
              </w:rPr>
              <w:t>Č7a</w:t>
            </w:r>
          </w:p>
          <w:p w:rsidR="00C751EE" w:rsidRPr="00F74B61" w:rsidP="00C751EE">
            <w:pPr>
              <w:jc w:val="both"/>
              <w:rPr>
                <w:sz w:val="20"/>
              </w:rPr>
            </w:pPr>
            <w:r>
              <w:rPr>
                <w:sz w:val="20"/>
              </w:rPr>
              <w:t>O2</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 xml:space="preserve">2. </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lenské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táty od dodávate</w:t>
            </w:r>
            <w:r w:rsidRPr="004D1DCA">
              <w:rPr>
                <w:rFonts w:ascii="TimesNewRoman+01" w:hAnsi="TimesNewRoman+01" w:cs="TimesNewRoman+01"/>
                <w:sz w:val="20"/>
                <w:lang w:eastAsia="sk-SK"/>
              </w:rPr>
              <w:t>ľ</w:t>
            </w:r>
            <w:r w:rsidRPr="004D1DCA">
              <w:rPr>
                <w:rFonts w:ascii="TimesNewRoman" w:hAnsi="TimesNewRoman" w:cs="TimesNewRoman"/>
                <w:sz w:val="20"/>
                <w:lang w:eastAsia="sk-SK"/>
              </w:rPr>
              <w:t>ov p</w:t>
            </w:r>
            <w:r w:rsidRPr="004D1DCA">
              <w:rPr>
                <w:rFonts w:ascii="TimesNewRoman" w:hAnsi="TimesNewRoman" w:cs="TimesNewRoman"/>
                <w:sz w:val="20"/>
                <w:lang w:eastAsia="sk-SK"/>
              </w:rPr>
              <w:t>o</w:t>
            </w:r>
            <w:r w:rsidRPr="004D1DCA">
              <w:rPr>
                <w:rFonts w:ascii="TimesNewRoman+01" w:hAnsi="TimesNewRoman+01" w:cs="TimesNewRoman+01"/>
                <w:sz w:val="20"/>
                <w:lang w:eastAsia="sk-SK"/>
              </w:rPr>
              <w:t>ž</w:t>
            </w:r>
            <w:r w:rsidRPr="004D1DCA">
              <w:rPr>
                <w:rFonts w:ascii="TimesNewRoman" w:hAnsi="TimesNewRoman" w:cs="TimesNewRoman"/>
                <w:sz w:val="20"/>
                <w:lang w:eastAsia="sk-SK"/>
              </w:rPr>
              <w:t xml:space="preserve">adujú, aby do 31. </w:t>
            </w:r>
            <w:r w:rsidRPr="004D1DCA" w:rsidR="00C56909">
              <w:rPr>
                <w:rFonts w:ascii="TimesNewRoman" w:hAnsi="TimesNewRoman" w:cs="TimesNewRoman"/>
                <w:sz w:val="20"/>
                <w:lang w:eastAsia="sk-SK"/>
              </w:rPr>
              <w:t>d</w:t>
            </w:r>
            <w:r w:rsidRPr="004D1DCA">
              <w:rPr>
                <w:rFonts w:ascii="TimesNewRoman" w:hAnsi="TimesNewRoman" w:cs="TimesNewRoman"/>
                <w:sz w:val="20"/>
                <w:lang w:eastAsia="sk-SK"/>
              </w:rPr>
              <w:t>ecembra 2020</w:t>
            </w:r>
            <w:r w:rsidRPr="004D1DCA" w:rsidR="00C56909">
              <w:rPr>
                <w:rFonts w:ascii="TimesNewRoman" w:hAnsi="TimesNewRoman" w:cs="TimesNewRoman"/>
                <w:sz w:val="20"/>
                <w:lang w:eastAsia="sk-SK"/>
              </w:rPr>
              <w:t>,</w:t>
            </w:r>
            <w:r w:rsidRPr="004D1DCA">
              <w:rPr>
                <w:rFonts w:ascii="TimesNewRoman" w:hAnsi="TimesNewRoman" w:cs="TimesNewRoman"/>
                <w:sz w:val="20"/>
                <w:lang w:eastAsia="sk-SK"/>
              </w:rPr>
              <w:t xml:space="preserve"> pokia</w:t>
            </w:r>
            <w:r w:rsidRPr="004D1DCA">
              <w:rPr>
                <w:rFonts w:ascii="TimesNewRoman+01" w:hAnsi="TimesNewRoman+01" w:cs="TimesNewRoman+01"/>
                <w:sz w:val="20"/>
                <w:lang w:eastAsia="sk-SK"/>
              </w:rPr>
              <w:t xml:space="preserve">ľ </w:t>
            </w:r>
            <w:r w:rsidRPr="004D1DCA">
              <w:rPr>
                <w:rFonts w:ascii="TimesNewRoman" w:hAnsi="TimesNewRoman" w:cs="TimesNewRoman"/>
                <w:sz w:val="20"/>
                <w:lang w:eastAsia="sk-SK"/>
              </w:rPr>
              <w:t>mo</w:t>
            </w:r>
            <w:r w:rsidRPr="004D1DCA">
              <w:rPr>
                <w:rFonts w:ascii="TimesNewRoman+01" w:hAnsi="TimesNewRoman+01" w:cs="TimesNewRoman+01"/>
                <w:sz w:val="20"/>
                <w:lang w:eastAsia="sk-SK"/>
              </w:rPr>
              <w:t>ž</w:t>
            </w:r>
            <w:r w:rsidRPr="004D1DCA">
              <w:rPr>
                <w:rFonts w:ascii="TimesNewRoman" w:hAnsi="TimesNewRoman" w:cs="TimesNewRoman"/>
                <w:sz w:val="20"/>
                <w:lang w:eastAsia="sk-SK"/>
              </w:rPr>
              <w:t>no</w:t>
            </w:r>
            <w:r w:rsidRPr="004D1DCA" w:rsidR="00C56909">
              <w:rPr>
                <w:rFonts w:ascii="TimesNewRoman" w:hAnsi="TimesNewRoman" w:cs="TimesNewRoman"/>
                <w:sz w:val="20"/>
                <w:lang w:eastAsia="sk-SK"/>
              </w:rPr>
              <w:t>,</w:t>
            </w:r>
            <w:r w:rsidRPr="004D1DCA">
              <w:rPr>
                <w:rFonts w:ascii="TimesNewRoman" w:hAnsi="TimesNewRoman" w:cs="TimesNewRoman"/>
                <w:sz w:val="20"/>
                <w:lang w:eastAsia="sk-SK"/>
              </w:rPr>
              <w:t xml:space="preserve"> postupne zní</w:t>
            </w:r>
            <w:r w:rsidRPr="004D1DCA">
              <w:rPr>
                <w:rFonts w:ascii="TimesNewRoman+01" w:hAnsi="TimesNewRoman+01" w:cs="TimesNewRoman+01"/>
                <w:sz w:val="20"/>
                <w:lang w:eastAsia="sk-SK"/>
              </w:rPr>
              <w:t>ž</w:t>
            </w:r>
            <w:r w:rsidRPr="004D1DCA">
              <w:rPr>
                <w:rFonts w:ascii="TimesNewRoman" w:hAnsi="TimesNewRoman" w:cs="TimesNewRoman"/>
                <w:sz w:val="20"/>
                <w:lang w:eastAsia="sk-SK"/>
              </w:rPr>
              <w:t>ili emisie skleníkových plynov po</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as </w:t>
            </w:r>
            <w:r w:rsidRPr="004D1DCA">
              <w:rPr>
                <w:rFonts w:ascii="TimesNewRoman+01" w:hAnsi="TimesNewRoman+01" w:cs="TimesNewRoman+01"/>
                <w:sz w:val="20"/>
                <w:lang w:eastAsia="sk-SK"/>
              </w:rPr>
              <w:t>ž</w:t>
            </w:r>
            <w:r w:rsidRPr="004D1DCA">
              <w:rPr>
                <w:rFonts w:ascii="TimesNewRoman" w:hAnsi="TimesNewRoman" w:cs="TimesNewRoman"/>
                <w:sz w:val="20"/>
                <w:lang w:eastAsia="sk-SK"/>
              </w:rPr>
              <w:t>ivotného cyklu na jednotku energie z palív a dodávanej energie a</w:t>
            </w:r>
            <w:r w:rsidRPr="004D1DCA">
              <w:rPr>
                <w:rFonts w:ascii="TimesNewRoman+01" w:hAnsi="TimesNewRoman+01" w:cs="TimesNewRoman+01"/>
                <w:sz w:val="20"/>
                <w:lang w:eastAsia="sk-SK"/>
              </w:rPr>
              <w:t xml:space="preserve">ž </w:t>
            </w:r>
            <w:r w:rsidRPr="004D1DCA">
              <w:rPr>
                <w:rFonts w:ascii="TimesNewRoman" w:hAnsi="TimesNewRoman" w:cs="TimesNewRoman"/>
                <w:sz w:val="20"/>
                <w:lang w:eastAsia="sk-SK"/>
              </w:rPr>
              <w:t xml:space="preserve">o 10 % v porovnaní so základnou normou platnou pre palivá </w:t>
            </w:r>
            <w:r w:rsidRPr="004D1DCA" w:rsidR="00C56909">
              <w:rPr>
                <w:rFonts w:ascii="TimesNewRoman" w:hAnsi="TimesNewRoman" w:cs="TimesNewRoman"/>
                <w:sz w:val="20"/>
                <w:lang w:eastAsia="sk-SK"/>
              </w:rPr>
              <w:t>stanovenou</w:t>
            </w:r>
            <w:r w:rsidRPr="004D1DCA">
              <w:rPr>
                <w:rFonts w:ascii="TimesNewRoman" w:hAnsi="TimesNewRoman" w:cs="TimesNewRoman"/>
                <w:sz w:val="20"/>
                <w:lang w:eastAsia="sk-SK"/>
              </w:rPr>
              <w:t xml:space="preserve"> </w:t>
            </w:r>
            <w:r w:rsidRPr="004D1DCA" w:rsidR="00C56909">
              <w:rPr>
                <w:rFonts w:ascii="TimesNewRoman" w:hAnsi="TimesNewRoman" w:cs="TimesNewRoman"/>
                <w:sz w:val="20"/>
                <w:lang w:eastAsia="sk-SK"/>
              </w:rPr>
              <w:t>v prílohe II k smerni</w:t>
            </w:r>
            <w:r w:rsidRPr="004D1DCA" w:rsidR="00C56909">
              <w:rPr>
                <w:rFonts w:ascii="TimesNewRoman" w:hAnsi="TimesNewRoman" w:cs="TimesNewRoman"/>
                <w:sz w:val="20"/>
                <w:lang w:eastAsia="sk-SK"/>
              </w:rPr>
              <w:t xml:space="preserve">ci Rady (EÚ) 2015/652. </w:t>
            </w:r>
            <w:r w:rsidRPr="004D1DCA">
              <w:rPr>
                <w:rFonts w:ascii="TimesNewRoman" w:hAnsi="TimesNewRoman" w:cs="TimesNewRoman"/>
                <w:sz w:val="20"/>
                <w:lang w:eastAsia="sk-SK"/>
              </w:rPr>
              <w:t>Toto zní</w:t>
            </w:r>
            <w:r w:rsidRPr="004D1DCA">
              <w:rPr>
                <w:rFonts w:ascii="TimesNewRoman+01" w:hAnsi="TimesNewRoman+01" w:cs="TimesNewRoman+01"/>
                <w:sz w:val="20"/>
                <w:lang w:eastAsia="sk-SK"/>
              </w:rPr>
              <w:t>ž</w:t>
            </w:r>
            <w:r w:rsidRPr="004D1DCA">
              <w:rPr>
                <w:rFonts w:ascii="TimesNewRoman" w:hAnsi="TimesNewRoman" w:cs="TimesNewRoman"/>
                <w:sz w:val="20"/>
                <w:lang w:eastAsia="sk-SK"/>
              </w:rPr>
              <w:t>enie zah</w:t>
            </w:r>
            <w:r w:rsidRPr="004D1DCA">
              <w:rPr>
                <w:rFonts w:ascii="TimesNewRoman+01" w:hAnsi="TimesNewRoman+01" w:cs="TimesNewRoman+01"/>
                <w:sz w:val="20"/>
                <w:lang w:eastAsia="sk-SK"/>
              </w:rPr>
              <w:t>ŕň</w:t>
            </w:r>
            <w:r w:rsidRPr="004D1DCA">
              <w:rPr>
                <w:rFonts w:ascii="TimesNewRoman" w:hAnsi="TimesNewRoman" w:cs="TimesNewRoman"/>
                <w:sz w:val="20"/>
                <w:lang w:eastAsia="sk-SK"/>
              </w:rPr>
              <w:t>a:</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 xml:space="preserve">a) 6 % do 31. decembra 2020. </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lenské </w:t>
            </w:r>
            <w:r w:rsidRPr="004D1DCA">
              <w:rPr>
                <w:rFonts w:ascii="TimesNewRoman+01" w:hAnsi="TimesNewRoman+01" w:cs="TimesNewRoman+01"/>
                <w:sz w:val="20"/>
                <w:lang w:eastAsia="sk-SK"/>
              </w:rPr>
              <w:t>š</w:t>
            </w:r>
            <w:r w:rsidRPr="004D1DCA">
              <w:rPr>
                <w:rFonts w:ascii="TimesNewRoman" w:hAnsi="TimesNewRoman" w:cs="TimesNewRoman"/>
                <w:sz w:val="20"/>
                <w:lang w:eastAsia="sk-SK"/>
              </w:rPr>
              <w:t>táty mô</w:t>
            </w:r>
            <w:r w:rsidRPr="004D1DCA">
              <w:rPr>
                <w:rFonts w:ascii="TimesNewRoman+01" w:hAnsi="TimesNewRoman+01" w:cs="TimesNewRoman+01"/>
                <w:sz w:val="20"/>
                <w:lang w:eastAsia="sk-SK"/>
              </w:rPr>
              <w:t>ž</w:t>
            </w:r>
            <w:r w:rsidRPr="004D1DCA">
              <w:rPr>
                <w:rFonts w:ascii="TimesNewRoman" w:hAnsi="TimesNewRoman" w:cs="TimesNewRoman"/>
                <w:sz w:val="20"/>
                <w:lang w:eastAsia="sk-SK"/>
              </w:rPr>
              <w:t>u v záujme tohto</w:t>
            </w:r>
            <w:r w:rsidRPr="004D1DCA" w:rsidR="00C56909">
              <w:rPr>
                <w:rFonts w:ascii="TimesNewRoman" w:hAnsi="TimesNewRoman" w:cs="TimesNewRoman"/>
                <w:sz w:val="20"/>
                <w:lang w:eastAsia="sk-SK"/>
              </w:rPr>
              <w:t xml:space="preserve"> </w:t>
            </w:r>
            <w:r w:rsidRPr="004D1DCA">
              <w:rPr>
                <w:rFonts w:ascii="TimesNewRoman" w:hAnsi="TimesNewRoman" w:cs="TimesNewRoman"/>
                <w:sz w:val="20"/>
                <w:lang w:eastAsia="sk-SK"/>
              </w:rPr>
              <w:t>zní</w:t>
            </w:r>
            <w:r w:rsidRPr="004D1DCA">
              <w:rPr>
                <w:rFonts w:ascii="TimesNewRoman+01" w:hAnsi="TimesNewRoman+01" w:cs="TimesNewRoman+01"/>
                <w:sz w:val="20"/>
                <w:lang w:eastAsia="sk-SK"/>
              </w:rPr>
              <w:t>ž</w:t>
            </w:r>
            <w:r w:rsidRPr="004D1DCA">
              <w:rPr>
                <w:rFonts w:ascii="TimesNewRoman" w:hAnsi="TimesNewRoman" w:cs="TimesNewRoman"/>
                <w:sz w:val="20"/>
                <w:lang w:eastAsia="sk-SK"/>
              </w:rPr>
              <w:t>enia od dodávate</w:t>
            </w:r>
            <w:r w:rsidRPr="004D1DCA">
              <w:rPr>
                <w:rFonts w:ascii="TimesNewRoman+01" w:hAnsi="TimesNewRoman+01" w:cs="TimesNewRoman+01"/>
                <w:sz w:val="20"/>
                <w:lang w:eastAsia="sk-SK"/>
              </w:rPr>
              <w:t>ľ</w:t>
            </w:r>
            <w:r w:rsidRPr="004D1DCA">
              <w:rPr>
                <w:rFonts w:ascii="TimesNewRoman" w:hAnsi="TimesNewRoman" w:cs="TimesNewRoman"/>
                <w:sz w:val="20"/>
                <w:lang w:eastAsia="sk-SK"/>
              </w:rPr>
              <w:t>ov po</w:t>
            </w:r>
            <w:r w:rsidRPr="004D1DCA">
              <w:rPr>
                <w:rFonts w:ascii="TimesNewRoman+01" w:hAnsi="TimesNewRoman+01" w:cs="TimesNewRoman+01"/>
                <w:sz w:val="20"/>
                <w:lang w:eastAsia="sk-SK"/>
              </w:rPr>
              <w:t>ž</w:t>
            </w:r>
            <w:r w:rsidRPr="004D1DCA">
              <w:rPr>
                <w:rFonts w:ascii="TimesNewRoman" w:hAnsi="TimesNewRoman" w:cs="TimesNewRoman"/>
                <w:sz w:val="20"/>
                <w:lang w:eastAsia="sk-SK"/>
              </w:rPr>
              <w:t>adova</w:t>
            </w:r>
            <w:r w:rsidRPr="004D1DCA">
              <w:rPr>
                <w:rFonts w:ascii="TimesNewRoman+01" w:hAnsi="TimesNewRoman+01" w:cs="TimesNewRoman+01"/>
                <w:sz w:val="20"/>
                <w:lang w:eastAsia="sk-SK"/>
              </w:rPr>
              <w:t>ť</w:t>
            </w:r>
            <w:r w:rsidRPr="004D1DCA">
              <w:rPr>
                <w:rFonts w:ascii="TimesNewRoman" w:hAnsi="TimesNewRoman" w:cs="TimesNewRoman"/>
                <w:sz w:val="20"/>
                <w:lang w:eastAsia="sk-SK"/>
              </w:rPr>
              <w:t>, aby splnili tieto priebe</w:t>
            </w:r>
            <w:r w:rsidRPr="004D1DCA">
              <w:rPr>
                <w:rFonts w:ascii="TimesNewRoman+01" w:hAnsi="TimesNewRoman+01" w:cs="TimesNewRoman+01"/>
                <w:sz w:val="20"/>
                <w:lang w:eastAsia="sk-SK"/>
              </w:rPr>
              <w:t>ž</w:t>
            </w:r>
            <w:r w:rsidRPr="004D1DCA">
              <w:rPr>
                <w:rFonts w:ascii="TimesNewRoman" w:hAnsi="TimesNewRoman" w:cs="TimesNewRoman"/>
                <w:sz w:val="20"/>
                <w:lang w:eastAsia="sk-SK"/>
              </w:rPr>
              <w:t>né</w:t>
            </w:r>
            <w:r w:rsidRPr="004D1DCA" w:rsidR="00C56909">
              <w:rPr>
                <w:rFonts w:ascii="TimesNewRoman" w:hAnsi="TimesNewRoman" w:cs="TimesNewRoman"/>
                <w:sz w:val="20"/>
                <w:lang w:eastAsia="sk-SK"/>
              </w:rPr>
              <w:t xml:space="preserve"> </w:t>
            </w:r>
            <w:r w:rsidRPr="004D1DCA">
              <w:rPr>
                <w:rFonts w:ascii="TimesNewRoman" w:hAnsi="TimesNewRoman" w:cs="TimesNewRoman"/>
                <w:sz w:val="20"/>
                <w:lang w:eastAsia="sk-SK"/>
              </w:rPr>
              <w:t xml:space="preserve">ciele: 2 % do 31. decembra </w:t>
            </w:r>
            <w:smartTag w:uri="urn:schemas-microsoft-com:office:smarttags" w:element="metricconverter">
              <w:smartTagPr>
                <w:attr w:name="ProductID" w:val="2014 a"/>
              </w:smartTagPr>
              <w:r w:rsidRPr="004D1DCA">
                <w:rPr>
                  <w:rFonts w:ascii="TimesNewRoman" w:hAnsi="TimesNewRoman" w:cs="TimesNewRoman"/>
                  <w:sz w:val="20"/>
                  <w:lang w:eastAsia="sk-SK"/>
                </w:rPr>
                <w:t>2014 a</w:t>
              </w:r>
            </w:smartTag>
            <w:r w:rsidRPr="004D1DCA">
              <w:rPr>
                <w:rFonts w:ascii="TimesNewRoman" w:hAnsi="TimesNewRoman" w:cs="TimesNewRoman"/>
                <w:sz w:val="20"/>
                <w:lang w:eastAsia="sk-SK"/>
              </w:rPr>
              <w:t xml:space="preserve"> 4 % do 31. decembra 2017;</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b) predbe</w:t>
            </w:r>
            <w:r w:rsidRPr="004D1DCA">
              <w:rPr>
                <w:rFonts w:ascii="TimesNewRoman+01" w:hAnsi="TimesNewRoman+01" w:cs="TimesNewRoman+01"/>
                <w:sz w:val="20"/>
                <w:lang w:eastAsia="sk-SK"/>
              </w:rPr>
              <w:t>ž</w:t>
            </w:r>
            <w:r w:rsidRPr="004D1DCA">
              <w:rPr>
                <w:rFonts w:ascii="TimesNewRoman" w:hAnsi="TimesNewRoman" w:cs="TimesNewRoman"/>
                <w:sz w:val="20"/>
                <w:lang w:eastAsia="sk-SK"/>
              </w:rPr>
              <w:t>ný dodato</w:t>
            </w:r>
            <w:r w:rsidRPr="004D1DCA">
              <w:rPr>
                <w:rFonts w:ascii="TimesNewRoman+01" w:hAnsi="TimesNewRoman+01" w:cs="TimesNewRoman+01"/>
                <w:sz w:val="20"/>
                <w:lang w:eastAsia="sk-SK"/>
              </w:rPr>
              <w:t>č</w:t>
            </w:r>
            <w:r w:rsidRPr="004D1DCA">
              <w:rPr>
                <w:rFonts w:ascii="TimesNewRoman" w:hAnsi="TimesNewRoman" w:cs="TimesNewRoman"/>
                <w:sz w:val="20"/>
                <w:lang w:eastAsia="sk-SK"/>
              </w:rPr>
              <w:t>ný ci</w:t>
            </w:r>
            <w:r w:rsidRPr="004D1DCA">
              <w:rPr>
                <w:rFonts w:ascii="TimesNewRoman" w:hAnsi="TimesNewRoman" w:cs="TimesNewRoman"/>
                <w:sz w:val="20"/>
                <w:lang w:eastAsia="sk-SK"/>
              </w:rPr>
              <w:t>e</w:t>
            </w:r>
            <w:r w:rsidRPr="004D1DCA">
              <w:rPr>
                <w:rFonts w:ascii="TimesNewRoman+01" w:hAnsi="TimesNewRoman+01" w:cs="TimesNewRoman+01"/>
                <w:sz w:val="20"/>
                <w:lang w:eastAsia="sk-SK"/>
              </w:rPr>
              <w:t xml:space="preserve">ľ </w:t>
            </w:r>
            <w:r w:rsidRPr="004D1DCA">
              <w:rPr>
                <w:rFonts w:ascii="TimesNewRoman" w:hAnsi="TimesNewRoman" w:cs="TimesNewRoman"/>
                <w:sz w:val="20"/>
                <w:lang w:eastAsia="sk-SK"/>
              </w:rPr>
              <w:t xml:space="preserve">2 % do 31. decembra 2020 v súlade s </w:t>
            </w:r>
            <w:r w:rsidRPr="004D1DCA">
              <w:rPr>
                <w:rFonts w:ascii="TimesNewRoman+01" w:hAnsi="TimesNewRoman+01" w:cs="TimesNewRoman+01"/>
                <w:sz w:val="20"/>
                <w:lang w:eastAsia="sk-SK"/>
              </w:rPr>
              <w:t>č</w:t>
            </w:r>
            <w:r w:rsidRPr="004D1DCA">
              <w:rPr>
                <w:rFonts w:ascii="TimesNewRoman" w:hAnsi="TimesNewRoman" w:cs="TimesNewRoman"/>
                <w:sz w:val="20"/>
                <w:lang w:eastAsia="sk-SK"/>
              </w:rPr>
              <w:t>lánkom 9 ods. 1 písm. h), ktorý sa dosiahne jedným alebo oboma týmito spôsobmi:</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i) dodávkami energie pre dopravu dodávanej pre v</w:t>
            </w:r>
            <w:r w:rsidRPr="004D1DCA">
              <w:rPr>
                <w:rFonts w:ascii="TimesNewRoman+01" w:hAnsi="TimesNewRoman+01" w:cs="TimesNewRoman+01"/>
                <w:sz w:val="20"/>
                <w:lang w:eastAsia="sk-SK"/>
              </w:rPr>
              <w:t>š</w:t>
            </w:r>
            <w:r w:rsidRPr="004D1DCA">
              <w:rPr>
                <w:rFonts w:ascii="TimesNewRoman" w:hAnsi="TimesNewRoman" w:cs="TimesNewRoman"/>
                <w:sz w:val="20"/>
                <w:lang w:eastAsia="sk-SK"/>
              </w:rPr>
              <w:t>etky typy cestných vozidiel, necestných pojazdných strojov (vrátane plavidiel vnútrozem</w:t>
            </w:r>
            <w:r w:rsidRPr="004D1DCA">
              <w:rPr>
                <w:rFonts w:ascii="TimesNewRoman" w:hAnsi="TimesNewRoman" w:cs="TimesNewRoman"/>
                <w:sz w:val="20"/>
                <w:lang w:eastAsia="sk-SK"/>
              </w:rPr>
              <w:t>skej vodnej dopravy), po</w:t>
            </w:r>
            <w:r w:rsidRPr="004D1DCA">
              <w:rPr>
                <w:rFonts w:ascii="TimesNewRoman+01" w:hAnsi="TimesNewRoman+01" w:cs="TimesNewRoman+01"/>
                <w:sz w:val="20"/>
                <w:lang w:eastAsia="sk-SK"/>
              </w:rPr>
              <w:t>ľ</w:t>
            </w:r>
            <w:r w:rsidRPr="004D1DCA">
              <w:rPr>
                <w:rFonts w:ascii="TimesNewRoman" w:hAnsi="TimesNewRoman" w:cs="TimesNewRoman"/>
                <w:sz w:val="20"/>
                <w:lang w:eastAsia="sk-SK"/>
              </w:rPr>
              <w:t>nohospodárskych a lesných traktorov alebo rekrea</w:t>
            </w:r>
            <w:r w:rsidRPr="004D1DCA">
              <w:rPr>
                <w:rFonts w:ascii="TimesNewRoman+01" w:hAnsi="TimesNewRoman+01" w:cs="TimesNewRoman+01"/>
                <w:sz w:val="20"/>
                <w:lang w:eastAsia="sk-SK"/>
              </w:rPr>
              <w:t>č</w:t>
            </w:r>
            <w:r w:rsidRPr="004D1DCA">
              <w:rPr>
                <w:rFonts w:ascii="TimesNewRoman" w:hAnsi="TimesNewRoman" w:cs="TimesNewRoman"/>
                <w:sz w:val="20"/>
                <w:lang w:eastAsia="sk-SK"/>
              </w:rPr>
              <w:t>ných plavidiel;</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ii) pou</w:t>
            </w:r>
            <w:r w:rsidRPr="004D1DCA">
              <w:rPr>
                <w:rFonts w:ascii="TimesNewRoman+01" w:hAnsi="TimesNewRoman+01" w:cs="TimesNewRoman+01"/>
                <w:sz w:val="20"/>
                <w:lang w:eastAsia="sk-SK"/>
              </w:rPr>
              <w:t>ž</w:t>
            </w:r>
            <w:r w:rsidRPr="004D1DCA">
              <w:rPr>
                <w:rFonts w:ascii="TimesNewRoman" w:hAnsi="TimesNewRoman" w:cs="TimesNewRoman"/>
                <w:sz w:val="20"/>
                <w:lang w:eastAsia="sk-SK"/>
              </w:rPr>
              <w:t>itím akejko</w:t>
            </w:r>
            <w:r w:rsidRPr="004D1DCA">
              <w:rPr>
                <w:rFonts w:ascii="TimesNewRoman+01" w:hAnsi="TimesNewRoman+01" w:cs="TimesNewRoman+01"/>
                <w:sz w:val="20"/>
                <w:lang w:eastAsia="sk-SK"/>
              </w:rPr>
              <w:t>ľ</w:t>
            </w:r>
            <w:r w:rsidRPr="004D1DCA">
              <w:rPr>
                <w:rFonts w:ascii="TimesNewRoman" w:hAnsi="TimesNewRoman" w:cs="TimesNewRoman"/>
                <w:sz w:val="20"/>
                <w:lang w:eastAsia="sk-SK"/>
              </w:rPr>
              <w:t>vek technológie (vrátane zachytávania</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a uskladnenia uhlíka), ktorá umo</w:t>
            </w:r>
            <w:r w:rsidRPr="004D1DCA">
              <w:rPr>
                <w:rFonts w:ascii="TimesNewRoman+01" w:hAnsi="TimesNewRoman+01" w:cs="TimesNewRoman+01"/>
                <w:sz w:val="20"/>
                <w:lang w:eastAsia="sk-SK"/>
              </w:rPr>
              <w:t>ž</w:t>
            </w:r>
            <w:r w:rsidRPr="004D1DCA">
              <w:rPr>
                <w:rFonts w:ascii="TimesNewRoman" w:hAnsi="TimesNewRoman" w:cs="TimesNewRoman"/>
                <w:sz w:val="20"/>
                <w:lang w:eastAsia="sk-SK"/>
              </w:rPr>
              <w:t>ní zní</w:t>
            </w:r>
            <w:r w:rsidRPr="004D1DCA">
              <w:rPr>
                <w:rFonts w:ascii="TimesNewRoman+01" w:hAnsi="TimesNewRoman+01" w:cs="TimesNewRoman+01"/>
                <w:sz w:val="20"/>
                <w:lang w:eastAsia="sk-SK"/>
              </w:rPr>
              <w:t>ž</w:t>
            </w:r>
            <w:r w:rsidRPr="004D1DCA">
              <w:rPr>
                <w:rFonts w:ascii="TimesNewRoman" w:hAnsi="TimesNewRoman" w:cs="TimesNewRoman"/>
                <w:sz w:val="20"/>
                <w:lang w:eastAsia="sk-SK"/>
              </w:rPr>
              <w:t>i</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emisie skleníkových</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plynov po</w:t>
            </w:r>
            <w:r w:rsidRPr="004D1DCA">
              <w:rPr>
                <w:rFonts w:ascii="TimesNewRoman+01" w:hAnsi="TimesNewRoman+01" w:cs="TimesNewRoman+01"/>
                <w:sz w:val="20"/>
                <w:lang w:eastAsia="sk-SK"/>
              </w:rPr>
              <w:t>č</w:t>
            </w:r>
            <w:r w:rsidRPr="004D1DCA">
              <w:rPr>
                <w:rFonts w:ascii="TimesNewRoman" w:hAnsi="TimesNewRoman" w:cs="TimesNewRoman"/>
                <w:sz w:val="20"/>
                <w:lang w:eastAsia="sk-SK"/>
              </w:rPr>
              <w:t xml:space="preserve">as </w:t>
            </w:r>
            <w:r w:rsidRPr="004D1DCA">
              <w:rPr>
                <w:rFonts w:ascii="TimesNewRoman+01" w:hAnsi="TimesNewRoman+01" w:cs="TimesNewRoman+01"/>
                <w:sz w:val="20"/>
                <w:lang w:eastAsia="sk-SK"/>
              </w:rPr>
              <w:t>ž</w:t>
            </w:r>
            <w:r w:rsidRPr="004D1DCA">
              <w:rPr>
                <w:rFonts w:ascii="TimesNewRoman" w:hAnsi="TimesNewRoman" w:cs="TimesNewRoman"/>
                <w:sz w:val="20"/>
                <w:lang w:eastAsia="sk-SK"/>
              </w:rPr>
              <w:t>ivotného cyklu na jednotku ener</w:t>
            </w:r>
            <w:r w:rsidRPr="004D1DCA">
              <w:rPr>
                <w:rFonts w:ascii="TimesNewRoman" w:hAnsi="TimesNewRoman" w:cs="TimesNewRoman"/>
                <w:sz w:val="20"/>
                <w:lang w:eastAsia="sk-SK"/>
              </w:rPr>
              <w:t>gie z palív alebo</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dodávanej energie;</w:t>
            </w:r>
          </w:p>
          <w:p w:rsidR="00C751EE"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c) predbe</w:t>
            </w:r>
            <w:r w:rsidRPr="004D1DCA">
              <w:rPr>
                <w:rFonts w:ascii="TimesNewRoman+01" w:hAnsi="TimesNewRoman+01" w:cs="TimesNewRoman+01"/>
                <w:sz w:val="20"/>
                <w:lang w:eastAsia="sk-SK"/>
              </w:rPr>
              <w:t>ž</w:t>
            </w:r>
            <w:r w:rsidRPr="004D1DCA">
              <w:rPr>
                <w:rFonts w:ascii="TimesNewRoman" w:hAnsi="TimesNewRoman" w:cs="TimesNewRoman"/>
                <w:sz w:val="20"/>
                <w:lang w:eastAsia="sk-SK"/>
              </w:rPr>
              <w:t>ný dodato</w:t>
            </w:r>
            <w:r w:rsidRPr="004D1DCA">
              <w:rPr>
                <w:rFonts w:ascii="TimesNewRoman+01" w:hAnsi="TimesNewRoman+01" w:cs="TimesNewRoman+01"/>
                <w:sz w:val="20"/>
                <w:lang w:eastAsia="sk-SK"/>
              </w:rPr>
              <w:t>č</w:t>
            </w:r>
            <w:r w:rsidRPr="004D1DCA">
              <w:rPr>
                <w:rFonts w:ascii="TimesNewRoman" w:hAnsi="TimesNewRoman" w:cs="TimesNewRoman"/>
                <w:sz w:val="20"/>
                <w:lang w:eastAsia="sk-SK"/>
              </w:rPr>
              <w:t>ný cie</w:t>
            </w:r>
            <w:r w:rsidRPr="004D1DCA">
              <w:rPr>
                <w:rFonts w:ascii="TimesNewRoman+01" w:hAnsi="TimesNewRoman+01" w:cs="TimesNewRoman+01"/>
                <w:sz w:val="20"/>
                <w:lang w:eastAsia="sk-SK"/>
              </w:rPr>
              <w:t xml:space="preserve">ľ </w:t>
            </w:r>
            <w:r w:rsidRPr="004D1DCA">
              <w:rPr>
                <w:rFonts w:ascii="TimesNewRoman" w:hAnsi="TimesNewRoman" w:cs="TimesNewRoman"/>
                <w:sz w:val="20"/>
                <w:lang w:eastAsia="sk-SK"/>
              </w:rPr>
              <w:t xml:space="preserve">2 % do 31. decembra 2020 v súlade s </w:t>
            </w:r>
            <w:r w:rsidRPr="004D1DCA">
              <w:rPr>
                <w:rFonts w:ascii="TimesNewRoman+01" w:hAnsi="TimesNewRoman+01" w:cs="TimesNewRoman+01"/>
                <w:sz w:val="20"/>
                <w:lang w:eastAsia="sk-SK"/>
              </w:rPr>
              <w:t>č</w:t>
            </w:r>
            <w:r w:rsidRPr="004D1DCA">
              <w:rPr>
                <w:rFonts w:ascii="TimesNewRoman" w:hAnsi="TimesNewRoman" w:cs="TimesNewRoman"/>
                <w:sz w:val="20"/>
                <w:lang w:eastAsia="sk-SK"/>
              </w:rPr>
              <w:t>lánkom 9 ods. 1 písm. i), ktorý sa dosiahne pou</w:t>
            </w:r>
            <w:r w:rsidRPr="004D1DCA">
              <w:rPr>
                <w:rFonts w:ascii="TimesNewRoman+01" w:hAnsi="TimesNewRoman+01" w:cs="TimesNewRoman+01"/>
                <w:sz w:val="20"/>
                <w:lang w:eastAsia="sk-SK"/>
              </w:rPr>
              <w:t>ž</w:t>
            </w:r>
            <w:r w:rsidRPr="004D1DCA">
              <w:rPr>
                <w:rFonts w:ascii="TimesNewRoman" w:hAnsi="TimesNewRoman" w:cs="TimesNewRoman"/>
                <w:sz w:val="20"/>
                <w:lang w:eastAsia="sk-SK"/>
              </w:rPr>
              <w:t>itím kreditov zakúpených prostredníctvom mechanizmu čistého rozvoja v rámci Kjótskeho protokolu za podmien</w:t>
            </w:r>
            <w:r w:rsidRPr="004D1DCA">
              <w:rPr>
                <w:rFonts w:ascii="TimesNewRoman" w:hAnsi="TimesNewRoman" w:cs="TimesNewRoman"/>
                <w:sz w:val="20"/>
                <w:lang w:eastAsia="sk-SK"/>
              </w:rPr>
              <w:t>ok uvedených v smernici Európskeho parlamentu a Rady 2003/87/ES z 13. októbra 2003 o vytvorení systému obchodovania s emisnými kvótami skleníkových plynov v Spolo</w:t>
            </w:r>
            <w:r w:rsidRPr="004D1DCA">
              <w:rPr>
                <w:rFonts w:ascii="TimesNewRoman+01" w:hAnsi="TimesNewRoman+01" w:cs="TimesNewRoman+01"/>
                <w:sz w:val="20"/>
                <w:lang w:eastAsia="sk-SK"/>
              </w:rPr>
              <w:t>č</w:t>
            </w:r>
            <w:r w:rsidRPr="004D1DCA">
              <w:rPr>
                <w:rFonts w:ascii="TimesNewRoman" w:hAnsi="TimesNewRoman" w:cs="TimesNewRoman"/>
                <w:sz w:val="20"/>
                <w:lang w:eastAsia="sk-SK"/>
              </w:rPr>
              <w:t>enstve (</w:t>
            </w:r>
            <w:r w:rsidRPr="004D1DCA">
              <w:rPr>
                <w:rFonts w:ascii="TimesNewRoman" w:hAnsi="TimesNewRoman" w:cs="TimesNewRoman"/>
                <w:sz w:val="20"/>
                <w:vertAlign w:val="superscript"/>
                <w:lang w:eastAsia="sk-SK"/>
              </w:rPr>
              <w:t>1</w:t>
            </w:r>
            <w:r w:rsidRPr="004D1DCA">
              <w:rPr>
                <w:rFonts w:ascii="TimesNewRoman" w:hAnsi="TimesNewRoman" w:cs="TimesNewRoman"/>
                <w:sz w:val="20"/>
                <w:lang w:eastAsia="sk-SK"/>
              </w:rPr>
              <w:t>) s cie</w:t>
            </w:r>
            <w:r w:rsidRPr="004D1DCA">
              <w:rPr>
                <w:rFonts w:ascii="TimesNewRoman+01" w:hAnsi="TimesNewRoman+01" w:cs="TimesNewRoman+01"/>
                <w:sz w:val="20"/>
                <w:lang w:eastAsia="sk-SK"/>
              </w:rPr>
              <w:t>ľ</w:t>
            </w:r>
            <w:r w:rsidRPr="004D1DCA">
              <w:rPr>
                <w:rFonts w:ascii="TimesNewRoman" w:hAnsi="TimesNewRoman" w:cs="TimesNewRoman"/>
                <w:sz w:val="20"/>
                <w:lang w:eastAsia="sk-SK"/>
              </w:rPr>
              <w:t>om zni</w:t>
            </w:r>
            <w:r w:rsidRPr="004D1DCA">
              <w:rPr>
                <w:rFonts w:ascii="TimesNewRoman+01" w:hAnsi="TimesNewRoman+01" w:cs="TimesNewRoman+01"/>
                <w:sz w:val="20"/>
                <w:lang w:eastAsia="sk-SK"/>
              </w:rPr>
              <w:t>ž</w:t>
            </w:r>
            <w:r w:rsidRPr="004D1DCA">
              <w:rPr>
                <w:rFonts w:ascii="TimesNewRoman" w:hAnsi="TimesNewRoman" w:cs="TimesNewRoman"/>
                <w:sz w:val="20"/>
                <w:lang w:eastAsia="sk-SK"/>
              </w:rPr>
              <w:t>ova</w:t>
            </w:r>
            <w:r w:rsidRPr="004D1DCA">
              <w:rPr>
                <w:rFonts w:ascii="TimesNewRoman+01" w:hAnsi="TimesNewRoman+01" w:cs="TimesNewRoman+01"/>
                <w:sz w:val="20"/>
                <w:lang w:eastAsia="sk-SK"/>
              </w:rPr>
              <w:t xml:space="preserve">ť </w:t>
            </w:r>
            <w:r w:rsidRPr="004D1DCA">
              <w:rPr>
                <w:rFonts w:ascii="TimesNewRoman" w:hAnsi="TimesNewRoman" w:cs="TimesNewRoman"/>
                <w:sz w:val="20"/>
                <w:lang w:eastAsia="sk-SK"/>
              </w:rPr>
              <w:t>emisie v rámci odvetvia dodávok paliva.</w:t>
            </w:r>
          </w:p>
          <w:p w:rsidR="00CA3E77"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0B63FA" w:rsidRPr="004D1DCA" w:rsidP="00C751EE">
            <w:pPr>
              <w:autoSpaceDE w:val="0"/>
              <w:autoSpaceDN w:val="0"/>
              <w:adjustRightInd w:val="0"/>
              <w:jc w:val="both"/>
              <w:rPr>
                <w:rFonts w:ascii="TimesNewRoman" w:hAnsi="TimesNewRoman" w:cs="TimesNewRoman"/>
                <w:sz w:val="20"/>
                <w:lang w:eastAsia="sk-SK"/>
              </w:rPr>
            </w:pPr>
          </w:p>
          <w:p w:rsidR="00CA3E77" w:rsidRPr="004D1DCA" w:rsidP="00C751EE">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Členské štáty môžu stanoviť, že maximálny podiel biopalív vyrábaných z obilnín a iných plodín bohatých na škrob, cukornatých plodín a olejnín a z plodín pestovaných ako hlavné plodiny predovšetkým na energetické účely na poľnohospodárskej pôde na účel splnenia cieľa uvedeného v prvom pododseku tohto odseku nesmie prekročiť maximálny podiel stanovený v článku 3 ods. 4 druhom pododseku písm. d) smernice 2009/28/ES.</w:t>
            </w:r>
          </w:p>
          <w:p w:rsidR="00C751EE" w:rsidRPr="004D1DCA"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082D13" w:rsidP="00C751EE">
            <w:pPr>
              <w:jc w:val="center"/>
              <w:rPr>
                <w:sz w:val="20"/>
              </w:rPr>
            </w:pPr>
            <w:r w:rsidRPr="00082D13">
              <w:rPr>
                <w:sz w:val="20"/>
              </w:rPr>
              <w:t>N</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0B63FA" w:rsidRPr="004D1DCA" w:rsidP="00C751EE">
            <w:pPr>
              <w:jc w:val="center"/>
              <w:rPr>
                <w:sz w:val="20"/>
              </w:rPr>
            </w:pPr>
            <w:r w:rsidRPr="004D1DCA">
              <w:rPr>
                <w:sz w:val="20"/>
              </w:rPr>
              <w:t>D</w:t>
            </w:r>
          </w:p>
        </w:tc>
        <w:tc>
          <w:tcPr>
            <w:tcW w:w="1276" w:type="dxa"/>
            <w:tcBorders>
              <w:top w:val="single" w:sz="4" w:space="0" w:color="auto"/>
              <w:bottom w:val="single" w:sz="4" w:space="0" w:color="auto"/>
            </w:tcBorders>
          </w:tcPr>
          <w:p w:rsidR="00C751EE" w:rsidRPr="00082D13" w:rsidP="00C751EE">
            <w:pPr>
              <w:jc w:val="center"/>
              <w:rPr>
                <w:sz w:val="20"/>
              </w:rPr>
            </w:pPr>
            <w:r w:rsidRPr="00082D13">
              <w:rPr>
                <w:sz w:val="20"/>
              </w:rPr>
              <w:t>Z</w:t>
            </w:r>
            <w:r>
              <w:rPr>
                <w:sz w:val="20"/>
              </w:rPr>
              <w:t xml:space="preserve"> </w:t>
            </w:r>
            <w:r w:rsidRPr="00082D13">
              <w:rPr>
                <w:sz w:val="20"/>
              </w:rPr>
              <w:t>309/2009</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C751EE"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sidRPr="00082D13">
              <w:rPr>
                <w:sz w:val="20"/>
              </w:rPr>
              <w:t>V</w:t>
            </w:r>
            <w:r>
              <w:rPr>
                <w:sz w:val="20"/>
              </w:rPr>
              <w:t xml:space="preserve"> </w:t>
            </w:r>
            <w:r w:rsidRPr="00082D13">
              <w:rPr>
                <w:sz w:val="20"/>
              </w:rPr>
              <w:t>271/2011</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tc>
        <w:tc>
          <w:tcPr>
            <w:tcW w:w="709" w:type="dxa"/>
            <w:tcBorders>
              <w:top w:val="single" w:sz="4" w:space="0" w:color="auto"/>
              <w:bottom w:val="single" w:sz="4" w:space="0" w:color="auto"/>
            </w:tcBorders>
          </w:tcPr>
          <w:p w:rsidR="00C751EE" w:rsidRPr="00082D13" w:rsidP="00C751EE">
            <w:pPr>
              <w:jc w:val="center"/>
              <w:rPr>
                <w:sz w:val="20"/>
              </w:rPr>
            </w:pPr>
            <w:r w:rsidRPr="00082D13">
              <w:rPr>
                <w:sz w:val="20"/>
              </w:rPr>
              <w:t>§14c</w:t>
            </w:r>
          </w:p>
          <w:p w:rsidR="00C751EE" w:rsidRPr="00082D13" w:rsidP="00C751EE">
            <w:pPr>
              <w:jc w:val="center"/>
              <w:rPr>
                <w:sz w:val="20"/>
              </w:rPr>
            </w:pPr>
            <w:r w:rsidR="00E440FA">
              <w:rPr>
                <w:sz w:val="20"/>
              </w:rPr>
              <w:t>O6</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sidRPr="00082D13">
              <w:rPr>
                <w:sz w:val="20"/>
              </w:rPr>
              <w:t>§14</w:t>
            </w:r>
            <w:r w:rsidRPr="00082D13">
              <w:rPr>
                <w:sz w:val="20"/>
              </w:rPr>
              <w:t>c</w:t>
            </w:r>
          </w:p>
          <w:p w:rsidR="00C751EE" w:rsidRPr="00082D13" w:rsidP="00C751EE">
            <w:pPr>
              <w:jc w:val="center"/>
              <w:rPr>
                <w:sz w:val="20"/>
              </w:rPr>
            </w:pPr>
            <w:r w:rsidR="00FC0F2F">
              <w:rPr>
                <w:sz w:val="20"/>
              </w:rPr>
              <w:t>O9</w:t>
            </w: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Pr>
                <w:sz w:val="20"/>
              </w:rPr>
              <w:t>§</w:t>
            </w:r>
            <w:r w:rsidRPr="00082D13">
              <w:rPr>
                <w:sz w:val="20"/>
              </w:rPr>
              <w:t>19b</w:t>
            </w:r>
          </w:p>
          <w:p w:rsidR="00C751EE" w:rsidRPr="00082D13" w:rsidP="00C751EE">
            <w:pPr>
              <w:jc w:val="center"/>
              <w:rPr>
                <w:sz w:val="20"/>
              </w:rPr>
            </w:pPr>
            <w:r w:rsidRPr="00082D13">
              <w:rPr>
                <w:sz w:val="20"/>
              </w:rPr>
              <w:t>O1</w:t>
            </w:r>
          </w:p>
          <w:p w:rsidR="00C751EE" w:rsidRPr="00082D13" w:rsidP="00C751EE">
            <w:pPr>
              <w:jc w:val="center"/>
              <w:rPr>
                <w:sz w:val="20"/>
              </w:rPr>
            </w:pPr>
            <w:r>
              <w:rPr>
                <w:sz w:val="20"/>
              </w:rPr>
              <w:t>P</w:t>
            </w:r>
            <w:r w:rsidRPr="00082D13">
              <w:rPr>
                <w:sz w:val="20"/>
              </w:rPr>
              <w:t>k</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C751EE" w:rsidP="00C751EE">
            <w:pPr>
              <w:jc w:val="center"/>
              <w:rPr>
                <w:sz w:val="20"/>
              </w:rPr>
            </w:pPr>
          </w:p>
          <w:p w:rsidR="00C751EE" w:rsidRPr="00082D13" w:rsidP="00C751EE">
            <w:pPr>
              <w:jc w:val="center"/>
              <w:rPr>
                <w:sz w:val="20"/>
              </w:rPr>
            </w:pPr>
            <w:r>
              <w:rPr>
                <w:sz w:val="20"/>
              </w:rPr>
              <w:t>§9</w:t>
            </w:r>
          </w:p>
          <w:p w:rsidR="00C751EE" w:rsidRPr="00082D13" w:rsidP="00C751EE">
            <w:pPr>
              <w:jc w:val="center"/>
              <w:rPr>
                <w:sz w:val="20"/>
              </w:rPr>
            </w:pPr>
            <w:r w:rsidRPr="00082D13">
              <w:rPr>
                <w:sz w:val="20"/>
              </w:rPr>
              <w:t>O1</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tc>
        <w:tc>
          <w:tcPr>
            <w:tcW w:w="4110" w:type="dxa"/>
            <w:tcBorders>
              <w:top w:val="single" w:sz="4" w:space="0" w:color="auto"/>
              <w:bottom w:val="single" w:sz="4" w:space="0" w:color="auto"/>
            </w:tcBorders>
          </w:tcPr>
          <w:p w:rsidR="00C751EE" w:rsidRPr="004B3966" w:rsidP="00C751EE">
            <w:pPr>
              <w:jc w:val="both"/>
              <w:rPr>
                <w:sz w:val="20"/>
              </w:rPr>
            </w:pPr>
            <w:r w:rsidRPr="004B3966" w:rsidR="00E440FA">
              <w:rPr>
                <w:sz w:val="20"/>
              </w:rPr>
              <w:t>(6</w:t>
            </w:r>
            <w:r w:rsidRPr="004B3966">
              <w:rPr>
                <w:sz w:val="20"/>
              </w:rPr>
              <w:t xml:space="preserve">) </w:t>
            </w:r>
            <w:r w:rsidRPr="004B3966" w:rsidR="00E440FA">
              <w:rPr>
                <w:sz w:val="20"/>
              </w:rPr>
              <w:t>Právnická osoba alebo fyzická osoba, ktorá uvádza pohonnú látku na trh v Slovenskej republike, je povinná</w:t>
            </w:r>
          </w:p>
          <w:p w:rsidR="00E440FA" w:rsidRPr="004B3966" w:rsidP="00C751EE">
            <w:pPr>
              <w:jc w:val="both"/>
              <w:rPr>
                <w:sz w:val="20"/>
              </w:rPr>
            </w:pPr>
            <w:r w:rsidRPr="004B3966">
              <w:rPr>
                <w:sz w:val="20"/>
              </w:rPr>
              <w:t>a) znížiť priemerné ročné emisie skleníkových plynov počas životného cyklu na jednotku energie z pohonn</w:t>
            </w:r>
            <w:r w:rsidRPr="004B3966">
              <w:rPr>
                <w:sz w:val="20"/>
              </w:rPr>
              <w:t xml:space="preserve">ých látok a dodávanej energie o </w:t>
            </w:r>
            <w:r w:rsidRPr="004B3966">
              <w:rPr>
                <w:rStyle w:val="highlight"/>
                <w:sz w:val="20"/>
              </w:rPr>
              <w:t>6 %</w:t>
            </w:r>
            <w:r w:rsidRPr="004B3966">
              <w:rPr>
                <w:sz w:val="20"/>
              </w:rPr>
              <w:t xml:space="preserve"> do 31. decembra 2020 v porovnaní s referenčnou hodnotou 94,1 g CO2ekv/MJ,</w:t>
            </w:r>
          </w:p>
          <w:p w:rsidR="00E440FA" w:rsidRPr="004B3966" w:rsidP="00C751EE">
            <w:pPr>
              <w:jc w:val="both"/>
              <w:rPr>
                <w:sz w:val="20"/>
              </w:rPr>
            </w:pPr>
            <w:r w:rsidRPr="004B3966">
              <w:rPr>
                <w:sz w:val="20"/>
              </w:rPr>
              <w:t>b) plniť priebežné ciele podľa§ 19b ods. 1 písm. k).</w:t>
            </w:r>
          </w:p>
          <w:p w:rsidR="00C751EE" w:rsidRPr="004B3966" w:rsidP="00C751EE">
            <w:pPr>
              <w:pStyle w:val="BodyText"/>
              <w:tabs>
                <w:tab w:val="left" w:pos="360"/>
              </w:tabs>
              <w:rPr>
                <w:sz w:val="20"/>
              </w:rPr>
            </w:pPr>
          </w:p>
          <w:p w:rsidR="00FC0F2F" w:rsidRPr="004B3966" w:rsidP="00FC0F2F">
            <w:pPr>
              <w:jc w:val="both"/>
              <w:rPr>
                <w:sz w:val="20"/>
              </w:rPr>
            </w:pPr>
            <w:r w:rsidRPr="004B3966">
              <w:rPr>
                <w:sz w:val="20"/>
              </w:rPr>
              <w:t>(9) Dodávateľ elektriny využívanej v cestných vozidlách môže splniť povinnosť znížiť emisie skleníkových plynov počas životného cyklu na jednotku energie podľa odseku 6, ak preukáže, že môže náležite merať a sledovať množstvo elektriny dodávanej na využívanie v týchto vozidlách.</w:t>
            </w:r>
          </w:p>
          <w:p w:rsidR="00C751EE" w:rsidRPr="004B3966" w:rsidP="00C751EE">
            <w:pPr>
              <w:pStyle w:val="BodyText"/>
              <w:tabs>
                <w:tab w:val="left" w:pos="360"/>
              </w:tabs>
              <w:rPr>
                <w:sz w:val="20"/>
              </w:rPr>
            </w:pPr>
          </w:p>
          <w:p w:rsidR="00C751EE" w:rsidRPr="004B3966" w:rsidP="001B596A">
            <w:pPr>
              <w:numPr>
                <w:ilvl w:val="1"/>
                <w:numId w:val="7"/>
              </w:numPr>
              <w:tabs>
                <w:tab w:val="num" w:pos="90"/>
                <w:tab w:val="clear" w:pos="1440"/>
              </w:tabs>
              <w:ind w:left="90" w:hanging="1440"/>
              <w:jc w:val="both"/>
              <w:rPr>
                <w:sz w:val="20"/>
              </w:rPr>
            </w:pPr>
            <w:r w:rsidRPr="004B3966">
              <w:rPr>
                <w:sz w:val="20"/>
              </w:rPr>
              <w:t>k) 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 14c ods. 3 a 4,</w:t>
            </w:r>
          </w:p>
          <w:p w:rsidR="00C751EE" w:rsidRPr="004B3966" w:rsidP="00C751EE">
            <w:pPr>
              <w:pStyle w:val="BodyText"/>
              <w:tabs>
                <w:tab w:val="left" w:pos="360"/>
              </w:tabs>
              <w:rPr>
                <w:sz w:val="20"/>
              </w:rPr>
            </w:pPr>
          </w:p>
          <w:p w:rsidR="00C751EE" w:rsidRPr="004B3966" w:rsidP="00C751EE">
            <w:pPr>
              <w:autoSpaceDE w:val="0"/>
              <w:autoSpaceDN w:val="0"/>
              <w:adjustRightInd w:val="0"/>
              <w:jc w:val="both"/>
              <w:rPr>
                <w:sz w:val="20"/>
              </w:rPr>
            </w:pPr>
            <w:r w:rsidRPr="004B3966">
              <w:rPr>
                <w:sz w:val="20"/>
              </w:rPr>
              <w:t xml:space="preserve">(1) </w:t>
            </w:r>
            <w:r w:rsidRPr="004B3966" w:rsidR="00FC0F2F">
              <w:rPr>
                <w:sz w:val="20"/>
              </w:rPr>
              <w:t>Právnická osoba alebo fyzická osoba, ktorá uvádza pohonnú látku na trh, plní pri znižovaní emisií skleníkových plynov počas životného cyklu na jednotku energie z pohonnej látky tieto ciele platné pre kalendárny rok</w:t>
            </w:r>
            <w:r w:rsidRPr="004B3966">
              <w:rPr>
                <w:sz w:val="20"/>
              </w:rPr>
              <w:t>:</w:t>
            </w:r>
          </w:p>
          <w:p w:rsidR="00C751EE" w:rsidRPr="004B3966" w:rsidP="00C751EE">
            <w:pPr>
              <w:autoSpaceDE w:val="0"/>
              <w:autoSpaceDN w:val="0"/>
              <w:adjustRightInd w:val="0"/>
              <w:jc w:val="both"/>
              <w:rPr>
                <w:sz w:val="20"/>
              </w:rPr>
            </w:pPr>
            <w:r w:rsidRPr="004B3966">
              <w:rPr>
                <w:sz w:val="20"/>
              </w:rPr>
              <w:t xml:space="preserve">a) </w:t>
            </w:r>
            <w:r w:rsidRPr="004B3966" w:rsidR="00FC0F2F">
              <w:rPr>
                <w:sz w:val="20"/>
              </w:rPr>
              <w:t>6 % do 31. decembra 2020</w:t>
            </w:r>
            <w:r w:rsidRPr="004B3966">
              <w:rPr>
                <w:sz w:val="20"/>
              </w:rPr>
              <w:t>,</w:t>
            </w:r>
          </w:p>
          <w:p w:rsidR="00C751EE" w:rsidRPr="004B3966" w:rsidP="00C751EE">
            <w:pPr>
              <w:autoSpaceDE w:val="0"/>
              <w:autoSpaceDN w:val="0"/>
              <w:adjustRightInd w:val="0"/>
              <w:jc w:val="both"/>
              <w:rPr>
                <w:sz w:val="20"/>
              </w:rPr>
            </w:pPr>
            <w:r w:rsidRPr="004B3966">
              <w:rPr>
                <w:sz w:val="20"/>
              </w:rPr>
              <w:t xml:space="preserve">b) </w:t>
            </w:r>
            <w:r w:rsidRPr="004B3966" w:rsidR="00FC0F2F">
              <w:rPr>
                <w:sz w:val="20"/>
              </w:rPr>
              <w:t xml:space="preserve">priebežné ciele 2 % do </w:t>
            </w:r>
            <w:r w:rsidRPr="004B3966" w:rsidR="00FC0F2F">
              <w:rPr>
                <w:sz w:val="20"/>
              </w:rPr>
              <w:t>31. decembra 2017, 3 %     od 1. januára 2018 a 3,8 % od 1. januára 2019</w:t>
            </w:r>
            <w:r w:rsidRPr="004B3966">
              <w:rPr>
                <w:sz w:val="20"/>
              </w:rPr>
              <w:t>,</w:t>
            </w:r>
          </w:p>
          <w:p w:rsidR="00C751EE" w:rsidRPr="004B3966" w:rsidP="00C751EE">
            <w:pPr>
              <w:autoSpaceDE w:val="0"/>
              <w:autoSpaceDN w:val="0"/>
              <w:adjustRightInd w:val="0"/>
              <w:jc w:val="both"/>
              <w:rPr>
                <w:sz w:val="20"/>
              </w:rPr>
            </w:pPr>
            <w:r w:rsidRPr="004B3966">
              <w:rPr>
                <w:sz w:val="20"/>
              </w:rPr>
              <w:t xml:space="preserve">c) </w:t>
            </w:r>
            <w:r w:rsidRPr="004B3966" w:rsidR="00FC0F2F">
              <w:rPr>
                <w:sz w:val="20"/>
              </w:rPr>
              <w:t>priebežný cieľ 6 % každoročne od 1. januára 2021 do 31. decembra 2030.</w:t>
            </w:r>
          </w:p>
        </w:tc>
        <w:tc>
          <w:tcPr>
            <w:tcW w:w="709" w:type="dxa"/>
            <w:tcBorders>
              <w:top w:val="single" w:sz="4" w:space="0" w:color="auto"/>
              <w:bottom w:val="single" w:sz="4" w:space="0" w:color="auto"/>
            </w:tcBorders>
          </w:tcPr>
          <w:p w:rsidR="00C751EE" w:rsidP="00C751EE">
            <w:pPr>
              <w:jc w:val="center"/>
              <w:rPr>
                <w:sz w:val="20"/>
              </w:rPr>
            </w:pPr>
            <w:r w:rsidRPr="00082D13">
              <w:rPr>
                <w:sz w:val="20"/>
              </w:rPr>
              <w:t>Ú</w:t>
            </w: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p>
          <w:p w:rsidR="00225FBA" w:rsidP="00C751EE">
            <w:pPr>
              <w:jc w:val="center"/>
              <w:rPr>
                <w:sz w:val="20"/>
              </w:rPr>
            </w:pPr>
            <w:r>
              <w:rPr>
                <w:sz w:val="20"/>
              </w:rPr>
              <w:t>Ž</w:t>
            </w:r>
          </w:p>
          <w:p w:rsidR="00225FBA" w:rsidP="00C751EE">
            <w:pPr>
              <w:jc w:val="center"/>
              <w:rPr>
                <w:sz w:val="20"/>
              </w:rPr>
            </w:pPr>
          </w:p>
          <w:p w:rsidR="00225FBA" w:rsidRPr="00082D13" w:rsidP="00C751EE">
            <w:pPr>
              <w:jc w:val="center"/>
              <w:rPr>
                <w:sz w:val="20"/>
              </w:rPr>
            </w:pPr>
          </w:p>
        </w:tc>
        <w:tc>
          <w:tcPr>
            <w:tcW w:w="1701" w:type="dxa"/>
            <w:tcBorders>
              <w:top w:val="single" w:sz="4" w:space="0" w:color="auto"/>
              <w:bottom w:val="single" w:sz="4" w:space="0" w:color="auto"/>
            </w:tcBorders>
          </w:tcPr>
          <w:p w:rsidR="00C751EE"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P="00C751EE">
            <w:pPr>
              <w:jc w:val="both"/>
              <w:rPr>
                <w:sz w:val="20"/>
              </w:rPr>
            </w:pPr>
            <w:r w:rsidRPr="00F74B61">
              <w:rPr>
                <w:sz w:val="20"/>
              </w:rPr>
              <w:t>Č7a</w:t>
            </w:r>
          </w:p>
          <w:p w:rsidR="00C751EE" w:rsidRPr="00F74B61" w:rsidP="00C751EE">
            <w:pPr>
              <w:jc w:val="both"/>
              <w:rPr>
                <w:sz w:val="20"/>
              </w:rPr>
            </w:pPr>
            <w:r>
              <w:rPr>
                <w:sz w:val="20"/>
              </w:rPr>
              <w:t>O3</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3. Emisie skleníkových plynov po</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as </w:t>
            </w:r>
            <w:r w:rsidRPr="00F74B61">
              <w:rPr>
                <w:rFonts w:ascii="TimesNewRoman+01" w:hAnsi="TimesNewRoman+01" w:cs="TimesNewRoman+01"/>
                <w:sz w:val="20"/>
                <w:lang w:eastAsia="sk-SK"/>
              </w:rPr>
              <w:t>ž</w:t>
            </w:r>
            <w:r w:rsidRPr="00F74B61">
              <w:rPr>
                <w:rFonts w:ascii="TimesNewRoman" w:hAnsi="TimesNewRoman" w:cs="TimesNewRoman"/>
                <w:sz w:val="20"/>
                <w:lang w:eastAsia="sk-SK"/>
              </w:rPr>
              <w:t>ivotného cyklu biopal</w:t>
            </w:r>
            <w:r w:rsidRPr="00F74B61">
              <w:rPr>
                <w:rFonts w:ascii="TimesNewRoman" w:hAnsi="TimesNewRoman" w:cs="TimesNewRoman"/>
                <w:sz w:val="20"/>
                <w:lang w:eastAsia="sk-SK"/>
              </w:rPr>
              <w:t>ív sa</w:t>
            </w:r>
            <w:r>
              <w:rPr>
                <w:rFonts w:ascii="TimesNewRoman" w:hAnsi="TimesNewRoman" w:cs="TimesNewRoman"/>
                <w:sz w:val="20"/>
                <w:lang w:eastAsia="sk-SK"/>
              </w:rPr>
              <w:t xml:space="preserve"> </w:t>
            </w:r>
            <w:r w:rsidRPr="00F74B61">
              <w:rPr>
                <w:rFonts w:ascii="TimesNewRoman" w:hAnsi="TimesNewRoman" w:cs="TimesNewRoman"/>
                <w:sz w:val="20"/>
                <w:lang w:eastAsia="sk-SK"/>
              </w:rPr>
              <w:t>vypo</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ítavajú v súlade s </w:t>
            </w:r>
            <w:r w:rsidRPr="00F74B61">
              <w:rPr>
                <w:rFonts w:ascii="TimesNewRoman+01" w:hAnsi="TimesNewRoman+01" w:cs="TimesNewRoman+01"/>
                <w:sz w:val="20"/>
                <w:lang w:eastAsia="sk-SK"/>
              </w:rPr>
              <w:t>č</w:t>
            </w:r>
            <w:r w:rsidRPr="00F74B61">
              <w:rPr>
                <w:rFonts w:ascii="TimesNewRoman" w:hAnsi="TimesNewRoman" w:cs="TimesNewRoman"/>
                <w:sz w:val="20"/>
                <w:lang w:eastAsia="sk-SK"/>
              </w:rPr>
              <w:t>lánkom 7d. Emisie skleníkových plynov</w:t>
            </w:r>
            <w:r>
              <w:rPr>
                <w:rFonts w:ascii="TimesNewRoman" w:hAnsi="TimesNewRoman" w:cs="TimesNewRoman"/>
                <w:sz w:val="20"/>
                <w:lang w:eastAsia="sk-SK"/>
              </w:rPr>
              <w:t xml:space="preserve"> </w:t>
            </w:r>
            <w:r w:rsidRPr="00F74B61">
              <w:rPr>
                <w:rFonts w:ascii="TimesNewRoman" w:hAnsi="TimesNewRoman" w:cs="TimesNewRoman"/>
                <w:sz w:val="20"/>
                <w:lang w:eastAsia="sk-SK"/>
              </w:rPr>
              <w:t>po</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as </w:t>
            </w:r>
            <w:r w:rsidRPr="00F74B61">
              <w:rPr>
                <w:rFonts w:ascii="TimesNewRoman+01" w:hAnsi="TimesNewRoman+01" w:cs="TimesNewRoman+01"/>
                <w:sz w:val="20"/>
                <w:lang w:eastAsia="sk-SK"/>
              </w:rPr>
              <w:t>ž</w:t>
            </w:r>
            <w:r w:rsidRPr="00F74B61">
              <w:rPr>
                <w:rFonts w:ascii="TimesNewRoman" w:hAnsi="TimesNewRoman" w:cs="TimesNewRoman"/>
                <w:sz w:val="20"/>
                <w:lang w:eastAsia="sk-SK"/>
              </w:rPr>
              <w:t>ivotného cyklu iných druhov palív a energií sa vypo</w:t>
            </w:r>
            <w:r w:rsidRPr="00F74B61">
              <w:rPr>
                <w:rFonts w:ascii="TimesNewRoman+01" w:hAnsi="TimesNewRoman+01" w:cs="TimesNewRoman+01"/>
                <w:sz w:val="20"/>
                <w:lang w:eastAsia="sk-SK"/>
              </w:rPr>
              <w:t>č</w:t>
            </w:r>
            <w:r w:rsidRPr="00F74B61">
              <w:rPr>
                <w:rFonts w:ascii="TimesNewRoman" w:hAnsi="TimesNewRoman" w:cs="TimesNewRoman"/>
                <w:sz w:val="20"/>
                <w:lang w:eastAsia="sk-SK"/>
              </w:rPr>
              <w:t>ítavajú</w:t>
            </w:r>
            <w:r>
              <w:rPr>
                <w:rFonts w:ascii="TimesNewRoman" w:hAnsi="TimesNewRoman" w:cs="TimesNewRoman"/>
                <w:sz w:val="20"/>
                <w:lang w:eastAsia="sk-SK"/>
              </w:rPr>
              <w:t xml:space="preserve"> </w:t>
            </w:r>
            <w:r w:rsidRPr="00F74B61">
              <w:rPr>
                <w:rFonts w:ascii="TimesNewRoman" w:hAnsi="TimesNewRoman" w:cs="TimesNewRoman"/>
                <w:sz w:val="20"/>
                <w:lang w:eastAsia="sk-SK"/>
              </w:rPr>
              <w:t xml:space="preserve">na základe metodiky stanovenej v súlade s odsekom 5 tohto </w:t>
            </w:r>
            <w:r w:rsidRPr="00F74B61">
              <w:rPr>
                <w:rFonts w:ascii="TimesNewRoman+01" w:hAnsi="TimesNewRoman+01" w:cs="TimesNewRoman+01"/>
                <w:sz w:val="20"/>
                <w:lang w:eastAsia="sk-SK"/>
              </w:rPr>
              <w:t>č</w:t>
            </w:r>
            <w:r w:rsidRPr="00F74B61">
              <w:rPr>
                <w:rFonts w:ascii="TimesNewRoman" w:hAnsi="TimesNewRoman" w:cs="TimesNewRoman"/>
                <w:sz w:val="20"/>
                <w:lang w:eastAsia="sk-SK"/>
              </w:rPr>
              <w:t>lánku.</w:t>
            </w:r>
          </w:p>
          <w:p w:rsidR="00C751EE" w:rsidRPr="00F74B61"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082D13" w:rsidP="00C751EE">
            <w:pPr>
              <w:jc w:val="center"/>
              <w:rPr>
                <w:sz w:val="20"/>
              </w:rPr>
            </w:pPr>
            <w:r w:rsidRPr="00082D13">
              <w:rPr>
                <w:sz w:val="20"/>
              </w:rPr>
              <w:t>N</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tc>
        <w:tc>
          <w:tcPr>
            <w:tcW w:w="1276" w:type="dxa"/>
            <w:tcBorders>
              <w:top w:val="single" w:sz="4" w:space="0" w:color="auto"/>
              <w:bottom w:val="single" w:sz="4" w:space="0" w:color="auto"/>
            </w:tcBorders>
          </w:tcPr>
          <w:p w:rsidR="00C751EE" w:rsidRPr="00082D13" w:rsidP="00C751EE">
            <w:pPr>
              <w:jc w:val="center"/>
              <w:rPr>
                <w:sz w:val="20"/>
              </w:rPr>
            </w:pPr>
            <w:r w:rsidRPr="00082D13">
              <w:rPr>
                <w:sz w:val="20"/>
              </w:rPr>
              <w:t>Z</w:t>
            </w:r>
            <w:r>
              <w:rPr>
                <w:sz w:val="20"/>
              </w:rPr>
              <w:t xml:space="preserve"> </w:t>
            </w:r>
            <w:r w:rsidRPr="00082D13">
              <w:rPr>
                <w:sz w:val="20"/>
              </w:rPr>
              <w:t>309/2009</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6E77B9" w:rsidP="00C751EE">
            <w:pPr>
              <w:jc w:val="center"/>
              <w:rPr>
                <w:sz w:val="20"/>
              </w:rPr>
            </w:pPr>
          </w:p>
          <w:p w:rsidR="006E77B9" w:rsidP="00C751EE">
            <w:pPr>
              <w:jc w:val="center"/>
              <w:rPr>
                <w:sz w:val="20"/>
              </w:rPr>
            </w:pPr>
          </w:p>
          <w:p w:rsidR="006E77B9" w:rsidP="00C751EE">
            <w:pPr>
              <w:jc w:val="center"/>
              <w:rPr>
                <w:sz w:val="20"/>
              </w:rPr>
            </w:pPr>
          </w:p>
          <w:p w:rsidR="006862AE" w:rsidRPr="00082D13" w:rsidP="00C751EE">
            <w:pPr>
              <w:jc w:val="center"/>
              <w:rPr>
                <w:sz w:val="20"/>
              </w:rPr>
            </w:pPr>
          </w:p>
          <w:p w:rsidR="00C751EE" w:rsidP="00C751EE">
            <w:pPr>
              <w:jc w:val="center"/>
              <w:rPr>
                <w:sz w:val="20"/>
              </w:rPr>
            </w:pPr>
          </w:p>
          <w:p w:rsidR="00C751EE" w:rsidRPr="00082D13" w:rsidP="00C751EE">
            <w:pPr>
              <w:jc w:val="center"/>
              <w:rPr>
                <w:sz w:val="20"/>
              </w:rPr>
            </w:pPr>
            <w:r w:rsidRPr="00082D13">
              <w:rPr>
                <w:sz w:val="20"/>
              </w:rPr>
              <w:t>V</w:t>
            </w:r>
            <w:r>
              <w:rPr>
                <w:sz w:val="20"/>
              </w:rPr>
              <w:t xml:space="preserve"> </w:t>
            </w:r>
            <w:r w:rsidRPr="00082D13">
              <w:rPr>
                <w:sz w:val="20"/>
              </w:rPr>
              <w:t>271/2011</w:t>
            </w:r>
          </w:p>
          <w:p w:rsidR="00C751EE" w:rsidRPr="00082D13" w:rsidP="00C751EE">
            <w:pPr>
              <w:jc w:val="center"/>
              <w:rPr>
                <w:sz w:val="20"/>
              </w:rPr>
            </w:pPr>
          </w:p>
        </w:tc>
        <w:tc>
          <w:tcPr>
            <w:tcW w:w="709" w:type="dxa"/>
            <w:tcBorders>
              <w:top w:val="single" w:sz="4" w:space="0" w:color="auto"/>
              <w:bottom w:val="single" w:sz="4" w:space="0" w:color="auto"/>
            </w:tcBorders>
          </w:tcPr>
          <w:p w:rsidR="00C751EE" w:rsidRPr="00082D13" w:rsidP="00C751EE">
            <w:pPr>
              <w:jc w:val="center"/>
              <w:rPr>
                <w:sz w:val="20"/>
              </w:rPr>
            </w:pPr>
            <w:r>
              <w:rPr>
                <w:sz w:val="20"/>
              </w:rPr>
              <w:t>§</w:t>
            </w:r>
            <w:r w:rsidRPr="00082D13">
              <w:rPr>
                <w:sz w:val="20"/>
              </w:rPr>
              <w:t>14b</w:t>
            </w:r>
          </w:p>
          <w:p w:rsidR="00C751EE" w:rsidRPr="00082D13" w:rsidP="00C751EE">
            <w:pPr>
              <w:jc w:val="center"/>
              <w:rPr>
                <w:sz w:val="20"/>
              </w:rPr>
            </w:pPr>
            <w:r w:rsidRPr="00082D13">
              <w:rPr>
                <w:sz w:val="20"/>
              </w:rPr>
              <w:t>O6</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6862AE" w:rsidP="00C751EE">
            <w:pPr>
              <w:jc w:val="center"/>
              <w:rPr>
                <w:sz w:val="20"/>
              </w:rPr>
            </w:pPr>
          </w:p>
          <w:p w:rsidR="006862AE" w:rsidP="00C751EE">
            <w:pPr>
              <w:jc w:val="center"/>
              <w:rPr>
                <w:sz w:val="20"/>
              </w:rPr>
            </w:pPr>
          </w:p>
          <w:p w:rsidR="00C751EE" w:rsidRPr="00082D13" w:rsidP="00C751EE">
            <w:pPr>
              <w:jc w:val="center"/>
              <w:rPr>
                <w:sz w:val="20"/>
              </w:rPr>
            </w:pPr>
            <w:r>
              <w:rPr>
                <w:sz w:val="20"/>
              </w:rPr>
              <w:t>§</w:t>
            </w:r>
            <w:r w:rsidRPr="00082D13">
              <w:rPr>
                <w:sz w:val="20"/>
              </w:rPr>
              <w:t>19b</w:t>
            </w:r>
          </w:p>
          <w:p w:rsidR="00C751EE" w:rsidRPr="00082D13" w:rsidP="00C751EE">
            <w:pPr>
              <w:jc w:val="center"/>
              <w:rPr>
                <w:sz w:val="20"/>
              </w:rPr>
            </w:pPr>
            <w:r w:rsidRPr="00082D13">
              <w:rPr>
                <w:sz w:val="20"/>
              </w:rPr>
              <w:t>O1</w:t>
            </w:r>
          </w:p>
          <w:p w:rsidR="00C751EE" w:rsidRPr="00082D13" w:rsidP="00C751EE">
            <w:pPr>
              <w:jc w:val="center"/>
              <w:rPr>
                <w:sz w:val="20"/>
              </w:rPr>
            </w:pPr>
            <w:r>
              <w:rPr>
                <w:sz w:val="20"/>
              </w:rPr>
              <w:t>P</w:t>
            </w:r>
            <w:r w:rsidRPr="00082D13">
              <w:rPr>
                <w:sz w:val="20"/>
              </w:rPr>
              <w:t>f</w:t>
            </w:r>
          </w:p>
          <w:p w:rsidR="00C751EE" w:rsidRPr="00082D13" w:rsidP="00C751EE">
            <w:pPr>
              <w:jc w:val="center"/>
              <w:rPr>
                <w:sz w:val="20"/>
              </w:rPr>
            </w:pPr>
          </w:p>
          <w:p w:rsidR="00C751EE" w:rsidP="00C751EE">
            <w:pPr>
              <w:jc w:val="center"/>
              <w:rPr>
                <w:sz w:val="20"/>
              </w:rPr>
            </w:pPr>
          </w:p>
          <w:p w:rsidR="006E77B9" w:rsidRPr="00082D13" w:rsidP="00C751EE">
            <w:pPr>
              <w:jc w:val="center"/>
              <w:rPr>
                <w:sz w:val="20"/>
              </w:rPr>
            </w:pPr>
          </w:p>
          <w:p w:rsidR="00C751EE" w:rsidP="00C751EE">
            <w:pPr>
              <w:jc w:val="center"/>
              <w:rPr>
                <w:sz w:val="20"/>
              </w:rPr>
            </w:pPr>
          </w:p>
          <w:p w:rsidR="006E77B9" w:rsidP="00C751EE">
            <w:pPr>
              <w:jc w:val="center"/>
              <w:rPr>
                <w:sz w:val="20"/>
              </w:rPr>
            </w:pPr>
          </w:p>
          <w:p w:rsidR="00C751EE" w:rsidRPr="00082D13" w:rsidP="00C751EE">
            <w:pPr>
              <w:jc w:val="center"/>
              <w:rPr>
                <w:sz w:val="20"/>
              </w:rPr>
            </w:pPr>
            <w:r w:rsidRPr="00082D13">
              <w:rPr>
                <w:sz w:val="20"/>
              </w:rPr>
              <w:t>§5</w:t>
            </w:r>
          </w:p>
          <w:p w:rsidR="00C751EE" w:rsidRPr="00082D13" w:rsidP="00C751EE">
            <w:pPr>
              <w:jc w:val="center"/>
              <w:rPr>
                <w:sz w:val="20"/>
              </w:rPr>
            </w:pPr>
            <w:r w:rsidRPr="00082D13">
              <w:rPr>
                <w:sz w:val="20"/>
              </w:rPr>
              <w:t>O1</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6E77B9"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Pr>
                <w:sz w:val="20"/>
              </w:rPr>
              <w:t>§</w:t>
            </w:r>
            <w:r w:rsidRPr="00082D13">
              <w:rPr>
                <w:sz w:val="20"/>
              </w:rPr>
              <w:t>5</w:t>
            </w:r>
          </w:p>
          <w:p w:rsidR="00C751EE" w:rsidRPr="00082D13" w:rsidP="00C751EE">
            <w:pPr>
              <w:jc w:val="center"/>
              <w:rPr>
                <w:sz w:val="20"/>
              </w:rPr>
            </w:pPr>
            <w:r w:rsidRPr="00082D13">
              <w:rPr>
                <w:sz w:val="20"/>
              </w:rPr>
              <w:t>O2</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P="00C751EE">
            <w:pPr>
              <w:jc w:val="center"/>
              <w:rPr>
                <w:sz w:val="20"/>
              </w:rPr>
            </w:pPr>
          </w:p>
          <w:p w:rsidR="00A56871" w:rsidP="00C751EE">
            <w:pPr>
              <w:jc w:val="center"/>
              <w:rPr>
                <w:sz w:val="20"/>
              </w:rPr>
            </w:pPr>
          </w:p>
          <w:p w:rsidR="00A56871" w:rsidP="00C751EE">
            <w:pPr>
              <w:jc w:val="center"/>
              <w:rPr>
                <w:sz w:val="20"/>
              </w:rPr>
            </w:pPr>
          </w:p>
          <w:p w:rsidR="00A56871"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Pr>
                <w:sz w:val="20"/>
              </w:rPr>
              <w:t>§</w:t>
            </w:r>
            <w:r w:rsidRPr="00082D13">
              <w:rPr>
                <w:sz w:val="20"/>
              </w:rPr>
              <w:t>5</w:t>
            </w:r>
          </w:p>
          <w:p w:rsidR="00C751EE" w:rsidRPr="00082D13" w:rsidP="00C751EE">
            <w:pPr>
              <w:jc w:val="center"/>
              <w:rPr>
                <w:sz w:val="20"/>
              </w:rPr>
            </w:pPr>
            <w:r w:rsidRPr="00082D13">
              <w:rPr>
                <w:sz w:val="20"/>
              </w:rPr>
              <w:t>O3</w:t>
            </w: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r>
              <w:rPr>
                <w:sz w:val="20"/>
              </w:rPr>
              <w:t>§</w:t>
            </w:r>
            <w:r w:rsidRPr="00082D13">
              <w:rPr>
                <w:sz w:val="20"/>
              </w:rPr>
              <w:t>5</w:t>
            </w:r>
          </w:p>
          <w:p w:rsidR="00C751EE" w:rsidRPr="00082D13" w:rsidP="00C751EE">
            <w:pPr>
              <w:jc w:val="center"/>
              <w:rPr>
                <w:sz w:val="20"/>
              </w:rPr>
            </w:pPr>
            <w:r w:rsidRPr="00082D13">
              <w:rPr>
                <w:sz w:val="20"/>
              </w:rPr>
              <w:t>O4</w:t>
            </w:r>
          </w:p>
        </w:tc>
        <w:tc>
          <w:tcPr>
            <w:tcW w:w="4110" w:type="dxa"/>
            <w:tcBorders>
              <w:top w:val="single" w:sz="4" w:space="0" w:color="auto"/>
              <w:bottom w:val="single" w:sz="4" w:space="0" w:color="auto"/>
            </w:tcBorders>
          </w:tcPr>
          <w:p w:rsidR="00630E66" w:rsidRPr="004B3966" w:rsidP="00C751EE">
            <w:pPr>
              <w:jc w:val="both"/>
              <w:rPr>
                <w:sz w:val="20"/>
              </w:rPr>
            </w:pPr>
            <w:r w:rsidRPr="004B3966" w:rsidR="00C751EE">
              <w:rPr>
                <w:sz w:val="20"/>
              </w:rPr>
              <w:t xml:space="preserve">(6) </w:t>
            </w:r>
            <w:r w:rsidRPr="004B3966">
              <w:rPr>
                <w:sz w:val="20"/>
              </w:rPr>
              <w:t>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w:t>
            </w:r>
            <w:r w:rsidRPr="004B3966">
              <w:rPr>
                <w:sz w:val="20"/>
              </w:rPr>
              <w:t>okvapalín.</w:t>
            </w:r>
          </w:p>
          <w:p w:rsidR="006862AE" w:rsidRPr="004B3966" w:rsidP="00C751EE">
            <w:pPr>
              <w:jc w:val="both"/>
              <w:rPr>
                <w:sz w:val="20"/>
              </w:rPr>
            </w:pPr>
          </w:p>
          <w:p w:rsidR="006E77B9" w:rsidRPr="004B3966" w:rsidP="00C751EE">
            <w:pPr>
              <w:jc w:val="both"/>
              <w:rPr>
                <w:sz w:val="20"/>
              </w:rPr>
            </w:pPr>
            <w:r w:rsidRPr="004B3966">
              <w:rPr>
                <w:sz w:val="20"/>
              </w:rPr>
              <w:t>Ministerstvo životného prostredia všeobecne záväzným právnym predpisom ustanoví</w:t>
            </w:r>
          </w:p>
          <w:p w:rsidR="006E77B9" w:rsidRPr="004B3966" w:rsidP="00C751EE">
            <w:pPr>
              <w:jc w:val="both"/>
              <w:rPr>
                <w:sz w:val="20"/>
              </w:rPr>
            </w:pPr>
            <w:r w:rsidRPr="004B3966" w:rsidR="00C751EE">
              <w:rPr>
                <w:sz w:val="20"/>
              </w:rPr>
              <w:t xml:space="preserve">f) </w:t>
            </w:r>
            <w:r w:rsidRPr="004B3966">
              <w:rPr>
                <w:sz w:val="20"/>
              </w:rPr>
              <w:t>metodiku výpočtu a zjednodušenú metodiku výpočtu emisií skleníkových plynov počas životného cyklu pohonných látok a biokvapalín a spôsob výpočtu úspory emisií skleníkových plynov, ktorá vyplýva z využívania biopalív a biokvapalín,</w:t>
            </w:r>
          </w:p>
          <w:p w:rsidR="00C751EE" w:rsidRPr="004B3966" w:rsidP="00C751EE">
            <w:pPr>
              <w:pStyle w:val="BodyText"/>
              <w:tabs>
                <w:tab w:val="left" w:pos="360"/>
              </w:tabs>
              <w:rPr>
                <w:sz w:val="20"/>
              </w:rPr>
            </w:pPr>
          </w:p>
          <w:p w:rsidR="00C751EE" w:rsidRPr="004B3966" w:rsidP="00C751EE">
            <w:pPr>
              <w:autoSpaceDE w:val="0"/>
              <w:autoSpaceDN w:val="0"/>
              <w:adjustRightInd w:val="0"/>
              <w:jc w:val="both"/>
              <w:rPr>
                <w:sz w:val="20"/>
              </w:rPr>
            </w:pPr>
            <w:r w:rsidRPr="004B3966">
              <w:rPr>
                <w:sz w:val="20"/>
              </w:rPr>
              <w:t xml:space="preserve">(1) </w:t>
            </w:r>
            <w:r w:rsidRPr="004B3966" w:rsidR="006E77B9">
              <w:rPr>
                <w:sz w:val="20"/>
              </w:rPr>
              <w:t>Na účely § 3 a 4 sa emisie skleníkových plynov počas životného cyklu biopalív a biokvapalín vypočítajú podľa niektorej z týchto možností</w:t>
            </w:r>
            <w:r w:rsidRPr="004B3966">
              <w:rPr>
                <w:sz w:val="20"/>
              </w:rPr>
              <w:t>:</w:t>
            </w:r>
          </w:p>
          <w:p w:rsidR="00C751EE" w:rsidRPr="004B3966" w:rsidP="00C751EE">
            <w:pPr>
              <w:autoSpaceDE w:val="0"/>
              <w:autoSpaceDN w:val="0"/>
              <w:adjustRightInd w:val="0"/>
              <w:jc w:val="both"/>
              <w:rPr>
                <w:sz w:val="20"/>
              </w:rPr>
            </w:pPr>
            <w:r w:rsidRPr="004B3966">
              <w:rPr>
                <w:sz w:val="20"/>
              </w:rPr>
              <w:t xml:space="preserve">a) </w:t>
            </w:r>
            <w:r w:rsidRPr="004B3966" w:rsidR="006E77B9">
              <w:rPr>
                <w:sz w:val="20"/>
              </w:rPr>
              <w:t>ak je určená hodnota úspor emisií skleníkových plynov v rámci výrobného reťazca biopalív stanovená v prílohe č. 2 časti A alebo časti B a hodnota e</w:t>
            </w:r>
            <w:r w:rsidRPr="004B3966" w:rsidR="006E77B9">
              <w:rPr>
                <w:sz w:val="20"/>
                <w:vertAlign w:val="subscript"/>
              </w:rPr>
              <w:t>l</w:t>
            </w:r>
            <w:r w:rsidRPr="004B3966" w:rsidR="006E77B9">
              <w:rPr>
                <w:sz w:val="20"/>
              </w:rPr>
              <w:t xml:space="preserve"> pre tieto biopalivá vypočítaná v súlade s bodom 7 časti C prílohy č. 2 je rovná alebo menšia ako nula, použije sa určená hodnota</w:t>
            </w:r>
            <w:r w:rsidRPr="004B3966">
              <w:rPr>
                <w:sz w:val="20"/>
              </w:rPr>
              <w:t>,</w:t>
            </w:r>
          </w:p>
          <w:p w:rsidR="006E77B9" w:rsidRPr="004B3966" w:rsidP="00C751EE">
            <w:pPr>
              <w:autoSpaceDE w:val="0"/>
              <w:autoSpaceDN w:val="0"/>
              <w:adjustRightInd w:val="0"/>
              <w:jc w:val="both"/>
              <w:rPr>
                <w:sz w:val="20"/>
              </w:rPr>
            </w:pPr>
            <w:r w:rsidRPr="004B3966" w:rsidR="00C751EE">
              <w:rPr>
                <w:sz w:val="20"/>
              </w:rPr>
              <w:t xml:space="preserve">b) </w:t>
            </w:r>
            <w:r w:rsidRPr="004B3966">
              <w:rPr>
                <w:sz w:val="20"/>
              </w:rPr>
              <w:t xml:space="preserve">použije sa skutočná hodnota vypočítaná v súlade s metodikou stanovenou v prílohe č. 2 časti C alebo </w:t>
            </w:r>
          </w:p>
          <w:p w:rsidR="00C751EE" w:rsidRPr="004B3966" w:rsidP="00C751EE">
            <w:pPr>
              <w:autoSpaceDE w:val="0"/>
              <w:autoSpaceDN w:val="0"/>
              <w:adjustRightInd w:val="0"/>
              <w:jc w:val="both"/>
              <w:rPr>
                <w:sz w:val="20"/>
              </w:rPr>
            </w:pPr>
            <w:r w:rsidRPr="004B3966">
              <w:rPr>
                <w:sz w:val="20"/>
              </w:rPr>
              <w:t xml:space="preserve">c) </w:t>
            </w:r>
            <w:r w:rsidRPr="004B3966" w:rsidR="006E77B9">
              <w:rPr>
                <w:sz w:val="20"/>
              </w:rPr>
              <w:t>použije sa hodnota vypočítaná ako súčet faktorov vzorca uvedeného v bode 1 časti C prílohy č. 2, pričom pri niektorých faktoroch možno použiť podrobné určené hodnoty z prílohy č. 2 časti D alebo časti E a pri všetkých ostatných faktoroch skutočné hodnoty vypočítané v súlade s metodikou stanovenou v prílohe č. 2 časti C</w:t>
            </w:r>
            <w:r w:rsidRPr="004B3966">
              <w:rPr>
                <w:sz w:val="20"/>
              </w:rPr>
              <w:t>.</w:t>
            </w:r>
          </w:p>
          <w:p w:rsidR="00C751EE" w:rsidRPr="004B3966" w:rsidP="00C751EE">
            <w:pPr>
              <w:ind w:left="720"/>
              <w:jc w:val="both"/>
              <w:rPr>
                <w:sz w:val="20"/>
              </w:rPr>
            </w:pPr>
          </w:p>
          <w:p w:rsidR="00C751EE" w:rsidRPr="004B3966" w:rsidP="00C751EE">
            <w:pPr>
              <w:ind w:left="720"/>
              <w:jc w:val="both"/>
              <w:rPr>
                <w:sz w:val="20"/>
              </w:rPr>
            </w:pPr>
          </w:p>
          <w:p w:rsidR="00A56871" w:rsidRPr="004B3966" w:rsidP="00C751EE">
            <w:pPr>
              <w:autoSpaceDE w:val="0"/>
              <w:autoSpaceDN w:val="0"/>
              <w:adjustRightInd w:val="0"/>
              <w:jc w:val="both"/>
              <w:rPr>
                <w:sz w:val="20"/>
              </w:rPr>
            </w:pPr>
            <w:r w:rsidRPr="004B3966" w:rsidR="00C751EE">
              <w:rPr>
                <w:sz w:val="20"/>
              </w:rPr>
              <w:t xml:space="preserve">(2) </w:t>
            </w:r>
            <w:r w:rsidRPr="004B3966">
              <w:rPr>
                <w:sz w:val="20"/>
              </w:rPr>
              <w:t>Určené hodnoty v prílohe č. 2 časti A a podrobné určené hodnoty na pestovanie v prílohe č. 2 časti D sa môžu uplatňovať iba v prípade, ak sú suroviny na ich výrobu</w:t>
            </w:r>
          </w:p>
          <w:p w:rsidR="00C751EE" w:rsidRPr="004B3966" w:rsidP="00C751EE">
            <w:pPr>
              <w:autoSpaceDE w:val="0"/>
              <w:autoSpaceDN w:val="0"/>
              <w:adjustRightInd w:val="0"/>
              <w:jc w:val="both"/>
              <w:rPr>
                <w:sz w:val="20"/>
              </w:rPr>
            </w:pPr>
            <w:r w:rsidRPr="004B3966">
              <w:rPr>
                <w:sz w:val="20"/>
              </w:rPr>
              <w:t xml:space="preserve">a) </w:t>
            </w:r>
            <w:r w:rsidRPr="004B3966" w:rsidR="00A56871">
              <w:rPr>
                <w:sz w:val="20"/>
              </w:rPr>
              <w:t>pestované mimo členských štátov</w:t>
            </w:r>
            <w:r w:rsidRPr="004B3966">
              <w:rPr>
                <w:sz w:val="20"/>
              </w:rPr>
              <w:t>,</w:t>
            </w:r>
          </w:p>
          <w:p w:rsidR="00C751EE" w:rsidRPr="004B3966" w:rsidP="00C751EE">
            <w:pPr>
              <w:autoSpaceDE w:val="0"/>
              <w:autoSpaceDN w:val="0"/>
              <w:adjustRightInd w:val="0"/>
              <w:jc w:val="both"/>
              <w:rPr>
                <w:sz w:val="20"/>
              </w:rPr>
            </w:pPr>
            <w:r w:rsidRPr="004B3966">
              <w:rPr>
                <w:sz w:val="20"/>
              </w:rPr>
              <w:t>b) pestované v</w:t>
            </w:r>
            <w:r w:rsidRPr="004B3966" w:rsidR="00A56871">
              <w:rPr>
                <w:sz w:val="20"/>
              </w:rPr>
              <w:t xml:space="preserve"> členských štátoch </w:t>
            </w:r>
            <w:r w:rsidRPr="004B3966">
              <w:rPr>
                <w:sz w:val="20"/>
              </w:rPr>
              <w:t>v</w:t>
            </w:r>
            <w:r w:rsidRPr="004B3966" w:rsidR="00A56871">
              <w:rPr>
                <w:sz w:val="20"/>
              </w:rPr>
              <w:t> </w:t>
            </w:r>
            <w:r w:rsidRPr="004B3966">
              <w:rPr>
                <w:sz w:val="20"/>
              </w:rPr>
              <w:t>oblastiach</w:t>
            </w:r>
            <w:r w:rsidRPr="004B3966" w:rsidR="00A56871">
              <w:rPr>
                <w:sz w:val="20"/>
              </w:rPr>
              <w:t xml:space="preserve"> schválených Európskou komisiou</w:t>
            </w:r>
            <w:r w:rsidRPr="004B3966">
              <w:rPr>
                <w:sz w:val="20"/>
              </w:rPr>
              <w:t>, v ktorých možno očakávať, že bežné emisie skleníkových plynov z pestovania poľnohospodárskych surovín sa rovnajú</w:t>
            </w:r>
            <w:r w:rsidRPr="004B3966" w:rsidR="00A56871">
              <w:rPr>
                <w:sz w:val="20"/>
              </w:rPr>
              <w:t xml:space="preserve"> alebo sú nižšie ako emisie uvedené </w:t>
            </w:r>
            <w:r w:rsidRPr="004B3966">
              <w:rPr>
                <w:sz w:val="20"/>
              </w:rPr>
              <w:t>pod nadpisom „Roztriedenie určených hodnôt pre pestovanie“ v prílohe č. 2 časti D</w:t>
            </w:r>
            <w:r w:rsidRPr="004B3966" w:rsidR="00A56871">
              <w:rPr>
                <w:sz w:val="20"/>
              </w:rPr>
              <w:t>,</w:t>
            </w:r>
          </w:p>
          <w:p w:rsidR="00C751EE" w:rsidRPr="004B3966" w:rsidP="00C751EE">
            <w:pPr>
              <w:autoSpaceDE w:val="0"/>
              <w:autoSpaceDN w:val="0"/>
              <w:adjustRightInd w:val="0"/>
              <w:jc w:val="both"/>
              <w:rPr>
                <w:sz w:val="20"/>
              </w:rPr>
            </w:pPr>
            <w:r w:rsidRPr="004B3966">
              <w:rPr>
                <w:sz w:val="20"/>
              </w:rPr>
              <w:t>c)</w:t>
            </w:r>
            <w:r w:rsidRPr="004B3966" w:rsidR="00A56871">
              <w:rPr>
                <w:sz w:val="20"/>
              </w:rPr>
              <w:t xml:space="preserve"> </w:t>
            </w:r>
            <w:r w:rsidRPr="004B3966">
              <w:rPr>
                <w:sz w:val="20"/>
              </w:rPr>
              <w:t>odpadom alebo zvyškami okrem zvyškov z poľnohospodárstva, akvakultúry a rybolovu.</w:t>
            </w:r>
          </w:p>
          <w:p w:rsidR="00A56871"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(3) Pre biopalivá a biokvapaliny, na ktoré sa nevzťahuje odsek 2, sa použijú skutočné hodnoty na pestovanie.</w:t>
            </w:r>
          </w:p>
          <w:p w:rsidR="00C751EE"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 xml:space="preserve">(4) </w:t>
            </w:r>
            <w:r w:rsidRPr="004B3966" w:rsidR="00A408E9">
              <w:rPr>
                <w:sz w:val="20"/>
              </w:rPr>
              <w:t>Upravené hodnoty koeficientov zohľadňujúce špecifické podmienky Slovenskej republiky, akceptované hodnoty určených emisií skleníkových plynov z pestovania podľa územných jednotiek, akceptované výpočtové schémy a výpočtové prostriedky zverejňuje ministerstvo na svojom webovom sídle</w:t>
            </w:r>
            <w:r w:rsidRPr="004B3966">
              <w:rPr>
                <w:sz w:val="20"/>
              </w:rPr>
              <w:t>.</w:t>
            </w:r>
            <w:r w:rsidRPr="004B3966" w:rsidR="00C72D3A">
              <w:rPr>
                <w:sz w:val="20"/>
              </w:rPr>
              <w:t xml:space="preserve"> </w:t>
            </w:r>
          </w:p>
        </w:tc>
        <w:tc>
          <w:tcPr>
            <w:tcW w:w="709" w:type="dxa"/>
            <w:tcBorders>
              <w:top w:val="single" w:sz="4" w:space="0" w:color="auto"/>
              <w:bottom w:val="single" w:sz="4" w:space="0" w:color="auto"/>
            </w:tcBorders>
          </w:tcPr>
          <w:p w:rsidR="00C751EE" w:rsidRPr="00082D13" w:rsidP="00C751EE">
            <w:pPr>
              <w:jc w:val="center"/>
              <w:rPr>
                <w:sz w:val="20"/>
              </w:rPr>
            </w:pPr>
            <w:r w:rsidRPr="00082D13">
              <w:rPr>
                <w:sz w:val="20"/>
              </w:rPr>
              <w:t>Ú</w:t>
            </w: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p w:rsidR="00C751EE" w:rsidRPr="00082D13" w:rsidP="00C751EE">
            <w:pPr>
              <w:jc w:val="center"/>
              <w:rPr>
                <w:sz w:val="20"/>
              </w:rPr>
            </w:pPr>
          </w:p>
        </w:tc>
        <w:tc>
          <w:tcPr>
            <w:tcW w:w="1701" w:type="dxa"/>
            <w:tcBorders>
              <w:top w:val="single" w:sz="4" w:space="0" w:color="auto"/>
              <w:bottom w:val="single" w:sz="4" w:space="0" w:color="auto"/>
            </w:tcBorders>
          </w:tcPr>
          <w:p w:rsidR="00C751EE" w:rsidRPr="00082D13" w:rsidP="00C751EE">
            <w:pPr>
              <w:jc w:val="both"/>
              <w:rPr>
                <w:sz w:val="20"/>
              </w:rPr>
            </w:pPr>
          </w:p>
        </w:tc>
      </w:tr>
      <w:tr w:rsidTr="002E524C">
        <w:tblPrEx>
          <w:tblW w:w="14954" w:type="dxa"/>
          <w:tblLayout w:type="fixed"/>
          <w:tblCellMar>
            <w:left w:w="70" w:type="dxa"/>
            <w:right w:w="70" w:type="dxa"/>
          </w:tblCellMar>
          <w:tblLook w:val="0000"/>
        </w:tblPrEx>
        <w:trPr>
          <w:trHeight w:val="1132"/>
        </w:trPr>
        <w:tc>
          <w:tcPr>
            <w:tcW w:w="637" w:type="dxa"/>
            <w:tcBorders>
              <w:top w:val="single" w:sz="4" w:space="0" w:color="auto"/>
              <w:bottom w:val="single" w:sz="4" w:space="0" w:color="auto"/>
            </w:tcBorders>
          </w:tcPr>
          <w:p w:rsidR="00C751EE" w:rsidP="00C751EE">
            <w:pPr>
              <w:jc w:val="both"/>
              <w:rPr>
                <w:sz w:val="20"/>
              </w:rPr>
            </w:pPr>
            <w:r w:rsidRPr="00F74B61">
              <w:rPr>
                <w:sz w:val="20"/>
              </w:rPr>
              <w:t>Č7a</w:t>
            </w:r>
          </w:p>
          <w:p w:rsidR="00C751EE" w:rsidRPr="00F74B61" w:rsidP="00C751EE">
            <w:pPr>
              <w:jc w:val="both"/>
              <w:rPr>
                <w:sz w:val="20"/>
              </w:rPr>
            </w:pPr>
            <w:r>
              <w:rPr>
                <w:sz w:val="20"/>
              </w:rPr>
              <w:t>O4</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01" w:hAnsi="TimesNewRoman+01" w:cs="TimesNewRoman+01"/>
                <w:sz w:val="20"/>
                <w:lang w:eastAsia="sk-SK"/>
              </w:rPr>
            </w:pPr>
            <w:r w:rsidRPr="00F74B61">
              <w:rPr>
                <w:rFonts w:ascii="TimesNewRoman" w:hAnsi="TimesNewRoman" w:cs="TimesNewRoman"/>
                <w:sz w:val="20"/>
                <w:lang w:eastAsia="sk-SK"/>
              </w:rPr>
              <w:t xml:space="preserve">4.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zabezpe</w:t>
            </w:r>
            <w:r w:rsidRPr="00F74B61">
              <w:rPr>
                <w:rFonts w:ascii="TimesNewRoman+01" w:hAnsi="TimesNewRoman+01" w:cs="TimesNewRoman+01"/>
                <w:sz w:val="20"/>
                <w:lang w:eastAsia="sk-SK"/>
              </w:rPr>
              <w:t>č</w:t>
            </w:r>
            <w:r w:rsidRPr="00F74B61">
              <w:rPr>
                <w:rFonts w:ascii="TimesNewRoman" w:hAnsi="TimesNewRoman" w:cs="TimesNewRoman"/>
                <w:sz w:val="20"/>
                <w:lang w:eastAsia="sk-SK"/>
              </w:rPr>
              <w:t>ia, aby skupina dodávate</w:t>
            </w:r>
            <w:r w:rsidRPr="00F74B61">
              <w:rPr>
                <w:rFonts w:ascii="TimesNewRoman+01" w:hAnsi="TimesNewRoman+01" w:cs="TimesNewRoman+01"/>
                <w:sz w:val="20"/>
                <w:lang w:eastAsia="sk-SK"/>
              </w:rPr>
              <w:t>ľ</w:t>
            </w:r>
            <w:r w:rsidRPr="00F74B61">
              <w:rPr>
                <w:rFonts w:ascii="TimesNewRoman" w:hAnsi="TimesNewRoman" w:cs="TimesNewRoman"/>
                <w:sz w:val="20"/>
                <w:lang w:eastAsia="sk-SK"/>
              </w:rPr>
              <w:t>ov mala mo</w:t>
            </w:r>
            <w:r w:rsidRPr="00F74B61">
              <w:rPr>
                <w:rFonts w:ascii="TimesNewRoman+01" w:hAnsi="TimesNewRoman+01" w:cs="TimesNewRoman+01"/>
                <w:sz w:val="20"/>
                <w:lang w:eastAsia="sk-SK"/>
              </w:rPr>
              <w:t>ž</w:t>
            </w:r>
            <w:r w:rsidRPr="00F74B61">
              <w:rPr>
                <w:rFonts w:ascii="TimesNewRoman" w:hAnsi="TimesNewRoman" w:cs="TimesNewRoman"/>
                <w:sz w:val="20"/>
                <w:lang w:eastAsia="sk-SK"/>
              </w:rPr>
              <w:t>nos</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zvoli</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si spolo</w:t>
            </w:r>
            <w:r w:rsidRPr="00F74B61">
              <w:rPr>
                <w:rFonts w:ascii="TimesNewRoman+01" w:hAnsi="TimesNewRoman+01" w:cs="TimesNewRoman+01"/>
                <w:sz w:val="20"/>
                <w:lang w:eastAsia="sk-SK"/>
              </w:rPr>
              <w:t>č</w:t>
            </w:r>
            <w:r w:rsidRPr="00F74B61">
              <w:rPr>
                <w:rFonts w:ascii="TimesNewRoman" w:hAnsi="TimesNewRoman" w:cs="TimesNewRoman"/>
                <w:sz w:val="20"/>
                <w:lang w:eastAsia="sk-SK"/>
              </w:rPr>
              <w:t>né splnenie záväz</w:t>
            </w:r>
            <w:r w:rsidRPr="00F74B61">
              <w:rPr>
                <w:rFonts w:ascii="TimesNewRoman" w:hAnsi="TimesNewRoman" w:cs="TimesNewRoman"/>
                <w:sz w:val="20"/>
                <w:lang w:eastAsia="sk-SK"/>
              </w:rPr>
              <w:t>kov týkajúcich sa zni</w:t>
            </w:r>
            <w:r w:rsidRPr="00F74B61">
              <w:rPr>
                <w:rFonts w:ascii="TimesNewRoman+01" w:hAnsi="TimesNewRoman+01" w:cs="TimesNewRoman+01"/>
                <w:sz w:val="20"/>
                <w:lang w:eastAsia="sk-SK"/>
              </w:rPr>
              <w:t>ž</w:t>
            </w:r>
            <w:r w:rsidRPr="00F74B61">
              <w:rPr>
                <w:rFonts w:ascii="TimesNewRoman" w:hAnsi="TimesNewRoman" w:cs="TimesNewRoman"/>
                <w:sz w:val="20"/>
                <w:lang w:eastAsia="sk-SK"/>
              </w:rPr>
              <w:t>ovania emisií</w:t>
            </w:r>
            <w:r w:rsidRPr="00F74B61">
              <w:rPr>
                <w:rFonts w:ascii="TimesNewRoman+01" w:hAnsi="TimesNewRoman+01" w:cs="TimesNewRoman+01"/>
                <w:sz w:val="20"/>
                <w:lang w:eastAsia="sk-SK"/>
              </w:rPr>
              <w:t xml:space="preserve"> </w:t>
            </w:r>
            <w:r w:rsidRPr="00F74B61">
              <w:rPr>
                <w:rFonts w:ascii="TimesNewRoman" w:hAnsi="TimesNewRoman" w:cs="TimesNewRoman"/>
                <w:sz w:val="20"/>
                <w:lang w:eastAsia="sk-SK"/>
              </w:rPr>
              <w:t>pod</w:t>
            </w:r>
            <w:r w:rsidRPr="00F74B61">
              <w:rPr>
                <w:rFonts w:ascii="TimesNewRoman+01" w:hAnsi="TimesNewRoman+01" w:cs="TimesNewRoman+01"/>
                <w:sz w:val="20"/>
                <w:lang w:eastAsia="sk-SK"/>
              </w:rPr>
              <w:t>ľ</w:t>
            </w:r>
            <w:r w:rsidRPr="00F74B61">
              <w:rPr>
                <w:rFonts w:ascii="TimesNewRoman" w:hAnsi="TimesNewRoman" w:cs="TimesNewRoman"/>
                <w:sz w:val="20"/>
                <w:lang w:eastAsia="sk-SK"/>
              </w:rPr>
              <w:t>a odseku 2. V takom prípade sa na ú</w:t>
            </w:r>
            <w:r w:rsidRPr="00F74B61">
              <w:rPr>
                <w:rFonts w:ascii="TimesNewRoman+01" w:hAnsi="TimesNewRoman+01" w:cs="TimesNewRoman+01"/>
                <w:sz w:val="20"/>
                <w:lang w:eastAsia="sk-SK"/>
              </w:rPr>
              <w:t>č</w:t>
            </w:r>
            <w:r w:rsidRPr="00F74B61">
              <w:rPr>
                <w:rFonts w:ascii="TimesNewRoman" w:hAnsi="TimesNewRoman" w:cs="TimesNewRoman"/>
                <w:sz w:val="20"/>
                <w:lang w:eastAsia="sk-SK"/>
              </w:rPr>
              <w:t>ely odseku 2 pova</w:t>
            </w:r>
            <w:r w:rsidRPr="00F74B61">
              <w:rPr>
                <w:rFonts w:ascii="TimesNewRoman+01" w:hAnsi="TimesNewRoman+01" w:cs="TimesNewRoman+01"/>
                <w:sz w:val="20"/>
                <w:lang w:eastAsia="sk-SK"/>
              </w:rPr>
              <w:t>ž</w:t>
            </w:r>
            <w:r w:rsidRPr="00F74B61">
              <w:rPr>
                <w:rFonts w:ascii="TimesNewRoman" w:hAnsi="TimesNewRoman" w:cs="TimesNewRoman"/>
                <w:sz w:val="20"/>
                <w:lang w:eastAsia="sk-SK"/>
              </w:rPr>
              <w:t>ujú za</w:t>
            </w:r>
            <w:r w:rsidRPr="00F74B61">
              <w:rPr>
                <w:rFonts w:ascii="TimesNewRoman+01" w:hAnsi="TimesNewRoman+01" w:cs="TimesNewRoman+01"/>
                <w:sz w:val="20"/>
                <w:lang w:eastAsia="sk-SK"/>
              </w:rPr>
              <w:t xml:space="preserve"> </w:t>
            </w:r>
            <w:r w:rsidRPr="00F74B61">
              <w:rPr>
                <w:rFonts w:ascii="TimesNewRoman" w:hAnsi="TimesNewRoman" w:cs="TimesNewRoman"/>
                <w:sz w:val="20"/>
                <w:lang w:eastAsia="sk-SK"/>
              </w:rPr>
              <w:t>jedného dodávate</w:t>
            </w:r>
            <w:r w:rsidRPr="00F74B61">
              <w:rPr>
                <w:rFonts w:ascii="TimesNewRoman+01" w:hAnsi="TimesNewRoman+01" w:cs="TimesNewRoman+01"/>
                <w:sz w:val="20"/>
                <w:lang w:eastAsia="sk-SK"/>
              </w:rPr>
              <w:t>ľ</w:t>
            </w:r>
            <w:r w:rsidRPr="00F74B61">
              <w:rPr>
                <w:rFonts w:ascii="TimesNewRoman" w:hAnsi="TimesNewRoman" w:cs="TimesNewRoman"/>
                <w:sz w:val="20"/>
                <w:lang w:eastAsia="sk-SK"/>
              </w:rPr>
              <w:t>a.</w:t>
            </w:r>
          </w:p>
          <w:p w:rsidR="00C751EE" w:rsidRPr="00F74B61"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2A270F" w:rsidP="00C751EE">
            <w:pPr>
              <w:jc w:val="center"/>
              <w:rPr>
                <w:sz w:val="20"/>
              </w:rPr>
            </w:pPr>
            <w:r w:rsidRPr="002A270F">
              <w:rPr>
                <w:sz w:val="20"/>
              </w:rPr>
              <w:t>N</w:t>
            </w:r>
          </w:p>
          <w:p w:rsidR="00C751EE" w:rsidRPr="002A270F" w:rsidP="00C751EE">
            <w:pPr>
              <w:jc w:val="center"/>
              <w:rPr>
                <w:sz w:val="20"/>
              </w:rPr>
            </w:pPr>
          </w:p>
          <w:p w:rsidR="00C751EE" w:rsidRPr="002A270F" w:rsidP="00C751EE">
            <w:pPr>
              <w:jc w:val="center"/>
              <w:rPr>
                <w:sz w:val="20"/>
              </w:rPr>
            </w:pPr>
          </w:p>
          <w:p w:rsidR="00C751EE" w:rsidRPr="002A270F" w:rsidP="00C751EE">
            <w:pPr>
              <w:jc w:val="center"/>
              <w:rPr>
                <w:sz w:val="20"/>
              </w:rPr>
            </w:pPr>
          </w:p>
          <w:p w:rsidR="00C751EE" w:rsidRPr="002A270F" w:rsidP="00C751EE">
            <w:pPr>
              <w:jc w:val="center"/>
              <w:rPr>
                <w:sz w:val="20"/>
              </w:rPr>
            </w:pPr>
          </w:p>
          <w:p w:rsidR="00C751EE" w:rsidRPr="002A270F" w:rsidP="00C751EE">
            <w:pPr>
              <w:jc w:val="center"/>
              <w:rPr>
                <w:sz w:val="20"/>
              </w:rPr>
            </w:pPr>
          </w:p>
        </w:tc>
        <w:tc>
          <w:tcPr>
            <w:tcW w:w="1276" w:type="dxa"/>
            <w:tcBorders>
              <w:top w:val="single" w:sz="4" w:space="0" w:color="auto"/>
              <w:bottom w:val="single" w:sz="4" w:space="0" w:color="auto"/>
            </w:tcBorders>
          </w:tcPr>
          <w:p w:rsidR="00C751EE" w:rsidRPr="002A270F" w:rsidP="00C751EE">
            <w:pPr>
              <w:jc w:val="center"/>
              <w:rPr>
                <w:sz w:val="20"/>
              </w:rPr>
            </w:pPr>
            <w:r>
              <w:rPr>
                <w:sz w:val="20"/>
              </w:rPr>
              <w:t>Z 309/2009</w:t>
            </w:r>
          </w:p>
          <w:p w:rsidR="00C751EE" w:rsidRPr="002A270F" w:rsidP="00C751EE">
            <w:pPr>
              <w:jc w:val="center"/>
              <w:rPr>
                <w:sz w:val="20"/>
              </w:rPr>
            </w:pPr>
          </w:p>
          <w:p w:rsidR="00C751EE" w:rsidRPr="002A270F" w:rsidP="00C751EE">
            <w:pPr>
              <w:jc w:val="center"/>
              <w:rPr>
                <w:sz w:val="20"/>
              </w:rPr>
            </w:pPr>
          </w:p>
          <w:p w:rsidR="00C751EE" w:rsidRPr="002A270F" w:rsidP="00C751EE">
            <w:pPr>
              <w:jc w:val="center"/>
              <w:rPr>
                <w:sz w:val="20"/>
              </w:rPr>
            </w:pPr>
          </w:p>
          <w:p w:rsidR="00C751EE" w:rsidP="00C751EE">
            <w:pPr>
              <w:jc w:val="center"/>
              <w:rPr>
                <w:sz w:val="20"/>
              </w:rPr>
            </w:pPr>
          </w:p>
          <w:p w:rsidR="00C751EE" w:rsidP="00C751EE">
            <w:pPr>
              <w:jc w:val="center"/>
              <w:rPr>
                <w:sz w:val="20"/>
              </w:rPr>
            </w:pPr>
          </w:p>
          <w:p w:rsidR="006862AE" w:rsidP="00C751EE">
            <w:pPr>
              <w:jc w:val="center"/>
              <w:rPr>
                <w:sz w:val="20"/>
              </w:rPr>
            </w:pPr>
          </w:p>
          <w:p w:rsidR="006862AE" w:rsidP="00C751EE">
            <w:pPr>
              <w:jc w:val="center"/>
              <w:rPr>
                <w:sz w:val="20"/>
              </w:rPr>
            </w:pPr>
          </w:p>
          <w:p w:rsidR="006862AE" w:rsidRPr="002A270F" w:rsidP="00C751EE">
            <w:pPr>
              <w:jc w:val="center"/>
              <w:rPr>
                <w:sz w:val="20"/>
              </w:rPr>
            </w:pPr>
          </w:p>
          <w:p w:rsidR="00C751EE" w:rsidRPr="002A270F" w:rsidP="00C751EE">
            <w:pPr>
              <w:jc w:val="center"/>
              <w:rPr>
                <w:sz w:val="20"/>
              </w:rPr>
            </w:pPr>
          </w:p>
          <w:p w:rsidR="00C751EE" w:rsidRPr="002A270F" w:rsidP="00C751EE">
            <w:pPr>
              <w:jc w:val="center"/>
              <w:rPr>
                <w:sz w:val="20"/>
              </w:rPr>
            </w:pPr>
            <w:r>
              <w:rPr>
                <w:sz w:val="20"/>
              </w:rPr>
              <w:t>V 271/2011</w:t>
            </w:r>
          </w:p>
        </w:tc>
        <w:tc>
          <w:tcPr>
            <w:tcW w:w="709" w:type="dxa"/>
            <w:tcBorders>
              <w:top w:val="single" w:sz="4" w:space="0" w:color="auto"/>
              <w:bottom w:val="single" w:sz="4" w:space="0" w:color="auto"/>
            </w:tcBorders>
          </w:tcPr>
          <w:p w:rsidR="00C751EE" w:rsidRPr="002A270F" w:rsidP="00C751EE">
            <w:pPr>
              <w:jc w:val="center"/>
              <w:rPr>
                <w:sz w:val="20"/>
              </w:rPr>
            </w:pPr>
            <w:r>
              <w:rPr>
                <w:sz w:val="20"/>
              </w:rPr>
              <w:t>§</w:t>
            </w:r>
            <w:r w:rsidRPr="002A270F">
              <w:rPr>
                <w:sz w:val="20"/>
              </w:rPr>
              <w:t>19b</w:t>
            </w:r>
          </w:p>
          <w:p w:rsidR="00C751EE" w:rsidRPr="002A270F" w:rsidP="00C751EE">
            <w:pPr>
              <w:jc w:val="center"/>
              <w:rPr>
                <w:sz w:val="20"/>
              </w:rPr>
            </w:pPr>
            <w:r w:rsidRPr="002A270F">
              <w:rPr>
                <w:sz w:val="20"/>
              </w:rPr>
              <w:t>O1</w:t>
            </w:r>
          </w:p>
          <w:p w:rsidR="00C751EE" w:rsidRPr="002A270F" w:rsidP="00C751EE">
            <w:pPr>
              <w:jc w:val="center"/>
              <w:rPr>
                <w:sz w:val="20"/>
              </w:rPr>
            </w:pPr>
            <w:r>
              <w:rPr>
                <w:sz w:val="20"/>
              </w:rPr>
              <w:t>P</w:t>
            </w:r>
            <w:r w:rsidRPr="002A270F">
              <w:rPr>
                <w:sz w:val="20"/>
              </w:rPr>
              <w:t>k</w:t>
            </w:r>
          </w:p>
          <w:p w:rsidR="00C751EE" w:rsidRPr="002A270F" w:rsidP="00C751EE">
            <w:pPr>
              <w:jc w:val="center"/>
              <w:rPr>
                <w:sz w:val="20"/>
              </w:rPr>
            </w:pPr>
          </w:p>
          <w:p w:rsidR="00C751EE" w:rsidP="00C751EE">
            <w:pPr>
              <w:jc w:val="center"/>
              <w:rPr>
                <w:sz w:val="20"/>
              </w:rPr>
            </w:pPr>
          </w:p>
          <w:p w:rsidR="00C751EE" w:rsidP="00C751EE">
            <w:pPr>
              <w:jc w:val="center"/>
              <w:rPr>
                <w:sz w:val="20"/>
              </w:rPr>
            </w:pPr>
          </w:p>
          <w:p w:rsidR="00C751EE" w:rsidP="00C751EE">
            <w:pPr>
              <w:jc w:val="center"/>
              <w:rPr>
                <w:sz w:val="20"/>
              </w:rPr>
            </w:pPr>
          </w:p>
          <w:p w:rsidR="006862AE" w:rsidP="00C751EE">
            <w:pPr>
              <w:jc w:val="center"/>
              <w:rPr>
                <w:sz w:val="20"/>
              </w:rPr>
            </w:pPr>
          </w:p>
          <w:p w:rsidR="006862AE" w:rsidP="00C751EE">
            <w:pPr>
              <w:jc w:val="center"/>
              <w:rPr>
                <w:sz w:val="20"/>
              </w:rPr>
            </w:pPr>
          </w:p>
          <w:p w:rsidR="00C751EE" w:rsidP="00C751EE">
            <w:pPr>
              <w:jc w:val="center"/>
              <w:rPr>
                <w:sz w:val="20"/>
              </w:rPr>
            </w:pPr>
          </w:p>
          <w:p w:rsidR="00C751EE" w:rsidRPr="002A270F" w:rsidP="00C751EE">
            <w:pPr>
              <w:jc w:val="center"/>
              <w:rPr>
                <w:sz w:val="20"/>
              </w:rPr>
            </w:pPr>
            <w:r>
              <w:rPr>
                <w:sz w:val="20"/>
              </w:rPr>
              <w:t>§</w:t>
            </w:r>
            <w:r w:rsidRPr="002A270F">
              <w:rPr>
                <w:sz w:val="20"/>
              </w:rPr>
              <w:t>10 O3</w:t>
            </w:r>
          </w:p>
        </w:tc>
        <w:tc>
          <w:tcPr>
            <w:tcW w:w="4110" w:type="dxa"/>
            <w:tcBorders>
              <w:top w:val="single" w:sz="4" w:space="0" w:color="auto"/>
              <w:bottom w:val="single" w:sz="4" w:space="0" w:color="auto"/>
            </w:tcBorders>
          </w:tcPr>
          <w:p w:rsidR="006862AE" w:rsidRPr="004B3966" w:rsidP="006862AE">
            <w:pPr>
              <w:jc w:val="both"/>
              <w:rPr>
                <w:sz w:val="20"/>
              </w:rPr>
            </w:pPr>
            <w:r w:rsidRPr="004B3966">
              <w:rPr>
                <w:sz w:val="20"/>
              </w:rPr>
              <w:t xml:space="preserve">Ministerstvo životného prostredia všeobecne záväzným právnym predpisom </w:t>
            </w:r>
            <w:r w:rsidRPr="004B3966">
              <w:rPr>
                <w:sz w:val="20"/>
              </w:rPr>
              <w:t>ustanoví</w:t>
            </w:r>
          </w:p>
          <w:p w:rsidR="00C751EE" w:rsidRPr="004B3966" w:rsidP="001B596A">
            <w:pPr>
              <w:numPr>
                <w:ilvl w:val="1"/>
                <w:numId w:val="7"/>
              </w:numPr>
              <w:tabs>
                <w:tab w:val="num" w:pos="90"/>
                <w:tab w:val="clear" w:pos="1440"/>
              </w:tabs>
              <w:ind w:left="90" w:hanging="1440"/>
              <w:jc w:val="both"/>
              <w:rPr>
                <w:sz w:val="20"/>
              </w:rPr>
            </w:pPr>
            <w:r w:rsidRPr="004B3966">
              <w:rPr>
                <w:sz w:val="20"/>
              </w:rPr>
              <w:t xml:space="preserve">k) </w:t>
            </w:r>
            <w:r w:rsidRPr="004B3966" w:rsidR="006862AE">
              <w:rPr>
                <w:sz w:val="20"/>
              </w:rPr>
              <w:t>priebežné ciele a predbežný dodatočný cieľ týkajúci sa záväzku zníženia emisií skleníkových plynov počas životného cyklu na jednotku energie z pohonných látok iných ako biopalíva dodávanej elektriny využívanej v cestných vozidlách a možnosť spoločného plnenia tohto záväzku podľa§ 14c ods. 6 a 9</w:t>
            </w:r>
            <w:r w:rsidRPr="004B3966">
              <w:rPr>
                <w:sz w:val="20"/>
              </w:rPr>
              <w:t>,</w:t>
            </w:r>
          </w:p>
          <w:p w:rsidR="00C751EE" w:rsidRPr="004B3966" w:rsidP="00C751EE">
            <w:pPr>
              <w:pStyle w:val="BodyText"/>
              <w:tabs>
                <w:tab w:val="left" w:pos="360"/>
              </w:tabs>
              <w:rPr>
                <w:sz w:val="20"/>
              </w:rPr>
            </w:pPr>
          </w:p>
          <w:p w:rsidR="001358C3" w:rsidRPr="004B3966" w:rsidP="001358C3">
            <w:pPr>
              <w:autoSpaceDE w:val="0"/>
              <w:autoSpaceDN w:val="0"/>
              <w:adjustRightInd w:val="0"/>
              <w:jc w:val="both"/>
              <w:rPr>
                <w:sz w:val="20"/>
              </w:rPr>
            </w:pPr>
            <w:r w:rsidRPr="004B3966">
              <w:rPr>
                <w:sz w:val="19"/>
                <w:szCs w:val="19"/>
              </w:rPr>
              <w:t>(3</w:t>
            </w:r>
            <w:r w:rsidRPr="004B3966">
              <w:rPr>
                <w:sz w:val="20"/>
              </w:rPr>
              <w:t>) Právnická osoba alebo fyzická osoba, ktorá uvádza pohonnú látku a elektrinu pre cestnévozidlá na trh, používa pri vykazovaní plnenia cieľov podľa§ 9 ods. 1 základnú normu platnú prepohonné látky 94,</w:t>
            </w:r>
            <w:r w:rsidRPr="004B3966">
              <w:rPr>
                <w:sz w:val="20"/>
              </w:rPr>
              <w:t xml:space="preserve">1 g </w:t>
            </w:r>
            <w:r w:rsidRPr="004B3966">
              <w:rPr>
                <w:sz w:val="19"/>
                <w:szCs w:val="19"/>
              </w:rPr>
              <w:t>CO</w:t>
            </w:r>
            <w:r w:rsidRPr="004B3966">
              <w:rPr>
                <w:sz w:val="19"/>
                <w:szCs w:val="19"/>
                <w:vertAlign w:val="subscript"/>
              </w:rPr>
              <w:t>2</w:t>
            </w:r>
            <w:r w:rsidRPr="004B3966">
              <w:rPr>
                <w:sz w:val="19"/>
                <w:szCs w:val="19"/>
              </w:rPr>
              <w:t>eq</w:t>
            </w:r>
            <w:r w:rsidRPr="004B3966">
              <w:rPr>
                <w:sz w:val="20"/>
              </w:rPr>
              <w:t xml:space="preserve"> /MJ.</w:t>
            </w:r>
          </w:p>
        </w:tc>
        <w:tc>
          <w:tcPr>
            <w:tcW w:w="709" w:type="dxa"/>
            <w:tcBorders>
              <w:top w:val="single" w:sz="4" w:space="0" w:color="auto"/>
              <w:bottom w:val="single" w:sz="4" w:space="0" w:color="auto"/>
            </w:tcBorders>
          </w:tcPr>
          <w:p w:rsidR="00C751EE" w:rsidRPr="00EA5C97" w:rsidP="00C751EE">
            <w:pPr>
              <w:jc w:val="center"/>
              <w:rPr>
                <w:sz w:val="20"/>
              </w:rPr>
            </w:pPr>
            <w:r w:rsidRPr="00EA5C97">
              <w:rPr>
                <w:sz w:val="20"/>
              </w:rPr>
              <w:t>Ú</w:t>
            </w:r>
          </w:p>
        </w:tc>
        <w:tc>
          <w:tcPr>
            <w:tcW w:w="1701" w:type="dxa"/>
            <w:tcBorders>
              <w:top w:val="single" w:sz="4" w:space="0" w:color="auto"/>
              <w:bottom w:val="single" w:sz="4" w:space="0" w:color="auto"/>
            </w:tcBorders>
          </w:tcPr>
          <w:p w:rsidR="00C751EE"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1121"/>
        </w:trPr>
        <w:tc>
          <w:tcPr>
            <w:tcW w:w="637" w:type="dxa"/>
            <w:tcBorders>
              <w:top w:val="single" w:sz="4" w:space="0" w:color="auto"/>
              <w:bottom w:val="single" w:sz="4" w:space="0" w:color="auto"/>
            </w:tcBorders>
          </w:tcPr>
          <w:p w:rsidR="00C751EE" w:rsidP="00C751EE">
            <w:pPr>
              <w:jc w:val="both"/>
              <w:rPr>
                <w:sz w:val="20"/>
              </w:rPr>
            </w:pPr>
            <w:r w:rsidRPr="00F74B61">
              <w:rPr>
                <w:sz w:val="20"/>
              </w:rPr>
              <w:t>Č7a</w:t>
            </w:r>
          </w:p>
          <w:p w:rsidR="00C751EE" w:rsidRPr="00F74B61" w:rsidP="00C751EE">
            <w:pPr>
              <w:jc w:val="both"/>
              <w:rPr>
                <w:sz w:val="20"/>
              </w:rPr>
            </w:pPr>
            <w:r>
              <w:rPr>
                <w:sz w:val="20"/>
              </w:rPr>
              <w:t>O5</w:t>
            </w:r>
          </w:p>
        </w:tc>
        <w:tc>
          <w:tcPr>
            <w:tcW w:w="5245" w:type="dxa"/>
            <w:tcBorders>
              <w:top w:val="single" w:sz="4" w:space="0" w:color="auto"/>
              <w:bottom w:val="single" w:sz="4" w:space="0" w:color="auto"/>
            </w:tcBorders>
          </w:tcPr>
          <w:p w:rsidR="00C751EE" w:rsidRPr="004D1DCA" w:rsidP="00CA3E77">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 xml:space="preserve">5. </w:t>
            </w:r>
            <w:r w:rsidRPr="004D1DCA" w:rsidR="00CA3E77">
              <w:rPr>
                <w:rFonts w:ascii="TimesNewRoman" w:hAnsi="TimesNewRoman" w:cs="TimesNewRoman"/>
                <w:sz w:val="20"/>
                <w:lang w:eastAsia="sk-SK"/>
              </w:rPr>
              <w:t>Komisia prijme vykonávacie akty v súlade s postupom preskúmania uvedeným v článku 11 ods. 3, v ktorých sa stanovia podrobné pravidlá na jednotné vykonávanie odseku 4 tohto článku členskými štátmi.</w:t>
            </w:r>
          </w:p>
        </w:tc>
        <w:tc>
          <w:tcPr>
            <w:tcW w:w="567" w:type="dxa"/>
            <w:tcBorders>
              <w:top w:val="single" w:sz="4" w:space="0" w:color="auto"/>
              <w:bottom w:val="single" w:sz="4" w:space="0" w:color="auto"/>
            </w:tcBorders>
          </w:tcPr>
          <w:p w:rsidR="00C751EE" w:rsidRPr="00EA5C97" w:rsidP="00C751EE">
            <w:pPr>
              <w:jc w:val="center"/>
              <w:rPr>
                <w:sz w:val="20"/>
              </w:rPr>
            </w:pPr>
            <w:r w:rsidRPr="002A270F">
              <w:rPr>
                <w:sz w:val="20"/>
              </w:rPr>
              <w:t>n.a</w:t>
            </w:r>
            <w:r w:rsidRPr="00EA5C97">
              <w:rPr>
                <w:sz w:val="20"/>
              </w:rPr>
              <w:t>.</w:t>
            </w:r>
          </w:p>
          <w:p w:rsidR="00C751EE" w:rsidRPr="00EA5C97" w:rsidP="00C751EE">
            <w:pPr>
              <w:jc w:val="center"/>
              <w:rPr>
                <w:sz w:val="20"/>
              </w:rPr>
            </w:pPr>
          </w:p>
          <w:p w:rsidR="00C751EE" w:rsidRPr="00EA5C97" w:rsidP="00C751EE">
            <w:pPr>
              <w:jc w:val="center"/>
              <w:rPr>
                <w:sz w:val="20"/>
              </w:rPr>
            </w:pPr>
          </w:p>
          <w:p w:rsidR="00C751EE" w:rsidRPr="00EA5C97" w:rsidP="00C751EE">
            <w:pPr>
              <w:jc w:val="center"/>
              <w:rPr>
                <w:sz w:val="20"/>
              </w:rPr>
            </w:pPr>
          </w:p>
        </w:tc>
        <w:tc>
          <w:tcPr>
            <w:tcW w:w="1276" w:type="dxa"/>
            <w:tcBorders>
              <w:top w:val="single" w:sz="4" w:space="0" w:color="auto"/>
              <w:bottom w:val="single" w:sz="4" w:space="0" w:color="auto"/>
            </w:tcBorders>
          </w:tcPr>
          <w:p w:rsidR="00C751EE" w:rsidRPr="00EA5C97" w:rsidP="00C751EE">
            <w:pPr>
              <w:jc w:val="center"/>
              <w:rPr>
                <w:sz w:val="20"/>
              </w:rPr>
            </w:pPr>
          </w:p>
          <w:p w:rsidR="00C751EE" w:rsidRPr="00EA5C97" w:rsidP="00C751EE">
            <w:pPr>
              <w:jc w:val="center"/>
              <w:rPr>
                <w:sz w:val="20"/>
              </w:rPr>
            </w:pPr>
          </w:p>
          <w:p w:rsidR="00C751EE" w:rsidRPr="00EA5C97" w:rsidP="00C751EE">
            <w:pPr>
              <w:jc w:val="center"/>
              <w:rPr>
                <w:sz w:val="20"/>
              </w:rPr>
            </w:pPr>
          </w:p>
          <w:p w:rsidR="00C751EE" w:rsidRPr="00EA5C97" w:rsidP="00C751EE">
            <w:pPr>
              <w:jc w:val="center"/>
              <w:rPr>
                <w:sz w:val="20"/>
              </w:rPr>
            </w:pPr>
          </w:p>
        </w:tc>
        <w:tc>
          <w:tcPr>
            <w:tcW w:w="709" w:type="dxa"/>
            <w:tcBorders>
              <w:top w:val="single" w:sz="4" w:space="0" w:color="auto"/>
              <w:bottom w:val="single" w:sz="4" w:space="0" w:color="auto"/>
            </w:tcBorders>
          </w:tcPr>
          <w:p w:rsidR="00C751EE" w:rsidRPr="00EA5C97" w:rsidP="00C751EE">
            <w:pPr>
              <w:jc w:val="center"/>
              <w:rPr>
                <w:sz w:val="20"/>
              </w:rPr>
            </w:pPr>
          </w:p>
          <w:p w:rsidR="00C751EE" w:rsidRPr="00EA5C97" w:rsidP="00C751EE">
            <w:pPr>
              <w:jc w:val="center"/>
              <w:rPr>
                <w:sz w:val="20"/>
              </w:rPr>
            </w:pPr>
          </w:p>
          <w:p w:rsidR="00C751EE" w:rsidRPr="00EA5C97" w:rsidP="00C751EE">
            <w:pPr>
              <w:jc w:val="center"/>
              <w:rPr>
                <w:sz w:val="20"/>
              </w:rPr>
            </w:pPr>
          </w:p>
          <w:p w:rsidR="00C751EE" w:rsidRPr="00EA5C97" w:rsidP="00C751EE">
            <w:pPr>
              <w:jc w:val="center"/>
              <w:rPr>
                <w:sz w:val="20"/>
              </w:rPr>
            </w:pPr>
            <w:r w:rsidRPr="00EA5C97">
              <w:rPr>
                <w:sz w:val="20"/>
              </w:rPr>
              <w:t xml:space="preserve"> </w:t>
            </w:r>
          </w:p>
        </w:tc>
        <w:tc>
          <w:tcPr>
            <w:tcW w:w="4110" w:type="dxa"/>
            <w:tcBorders>
              <w:top w:val="single" w:sz="4" w:space="0" w:color="auto"/>
              <w:bottom w:val="single" w:sz="4" w:space="0" w:color="auto"/>
            </w:tcBorders>
          </w:tcPr>
          <w:p w:rsidR="00C751EE" w:rsidRPr="00A755D5" w:rsidP="00C751EE">
            <w:pPr>
              <w:pStyle w:val="BodyText"/>
              <w:tabs>
                <w:tab w:val="left" w:pos="360"/>
              </w:tabs>
              <w:rPr>
                <w:sz w:val="19"/>
                <w:szCs w:val="19"/>
                <w:highlight w:val="yellow"/>
              </w:rPr>
            </w:pPr>
          </w:p>
          <w:p w:rsidR="00C751EE" w:rsidRPr="00A755D5" w:rsidP="00C751EE">
            <w:pPr>
              <w:jc w:val="both"/>
              <w:rPr>
                <w:sz w:val="19"/>
                <w:szCs w:val="19"/>
                <w:highlight w:val="yellow"/>
              </w:rPr>
            </w:pPr>
          </w:p>
          <w:p w:rsidR="00C751EE" w:rsidRPr="00A755D5" w:rsidP="00C751EE">
            <w:pPr>
              <w:jc w:val="both"/>
              <w:rPr>
                <w:sz w:val="19"/>
                <w:szCs w:val="19"/>
                <w:highlight w:val="yellow"/>
              </w:rPr>
            </w:pPr>
          </w:p>
          <w:p w:rsidR="00C751EE" w:rsidRPr="00A755D5" w:rsidP="001672C4">
            <w:pPr>
              <w:pStyle w:val="BodyText"/>
              <w:tabs>
                <w:tab w:val="left" w:pos="360"/>
              </w:tabs>
              <w:rPr>
                <w:sz w:val="19"/>
                <w:szCs w:val="19"/>
                <w:highlight w:val="yellow"/>
              </w:rPr>
            </w:pPr>
          </w:p>
        </w:tc>
        <w:tc>
          <w:tcPr>
            <w:tcW w:w="709" w:type="dxa"/>
            <w:tcBorders>
              <w:top w:val="single" w:sz="4" w:space="0" w:color="auto"/>
              <w:bottom w:val="single" w:sz="4" w:space="0" w:color="auto"/>
            </w:tcBorders>
          </w:tcPr>
          <w:p w:rsidR="00C751EE" w:rsidP="00C751EE">
            <w:pPr>
              <w:jc w:val="center"/>
              <w:rPr>
                <w:sz w:val="20"/>
              </w:rPr>
            </w:pPr>
          </w:p>
          <w:p w:rsidR="00C751EE" w:rsidP="00C751EE">
            <w:pPr>
              <w:jc w:val="center"/>
              <w:rPr>
                <w:sz w:val="20"/>
              </w:rPr>
            </w:pPr>
          </w:p>
          <w:p w:rsidR="00C751EE" w:rsidP="00C751EE">
            <w:pPr>
              <w:jc w:val="center"/>
              <w:rPr>
                <w:sz w:val="20"/>
              </w:rPr>
            </w:pPr>
          </w:p>
          <w:p w:rsidR="00C751EE" w:rsidRPr="00EA5C97" w:rsidP="00C751EE">
            <w:pPr>
              <w:jc w:val="center"/>
              <w:rPr>
                <w:sz w:val="20"/>
              </w:rPr>
            </w:pPr>
          </w:p>
        </w:tc>
        <w:tc>
          <w:tcPr>
            <w:tcW w:w="1701" w:type="dxa"/>
            <w:tcBorders>
              <w:top w:val="single" w:sz="4" w:space="0" w:color="auto"/>
              <w:bottom w:val="single" w:sz="4" w:space="0" w:color="auto"/>
            </w:tcBorders>
          </w:tcPr>
          <w:p w:rsidR="00C751EE"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693"/>
        </w:trPr>
        <w:tc>
          <w:tcPr>
            <w:tcW w:w="637" w:type="dxa"/>
            <w:tcBorders>
              <w:top w:val="single" w:sz="4" w:space="0" w:color="auto"/>
              <w:bottom w:val="single" w:sz="4" w:space="0" w:color="auto"/>
            </w:tcBorders>
          </w:tcPr>
          <w:p w:rsidR="00CA3E77" w:rsidP="00CA3E77">
            <w:pPr>
              <w:jc w:val="both"/>
              <w:rPr>
                <w:sz w:val="20"/>
              </w:rPr>
            </w:pPr>
            <w:r w:rsidRPr="00F74B61">
              <w:rPr>
                <w:sz w:val="20"/>
              </w:rPr>
              <w:t>Č7a</w:t>
            </w:r>
          </w:p>
          <w:p w:rsidR="00CA3E77" w:rsidRPr="00F74B61" w:rsidP="00CA3E77">
            <w:pPr>
              <w:jc w:val="both"/>
              <w:rPr>
                <w:sz w:val="20"/>
              </w:rPr>
            </w:pPr>
            <w:r>
              <w:rPr>
                <w:sz w:val="20"/>
              </w:rPr>
              <w:t>O6</w:t>
            </w:r>
          </w:p>
        </w:tc>
        <w:tc>
          <w:tcPr>
            <w:tcW w:w="5245" w:type="dxa"/>
            <w:tcBorders>
              <w:top w:val="single" w:sz="4" w:space="0" w:color="auto"/>
              <w:bottom w:val="single" w:sz="4" w:space="0" w:color="auto"/>
            </w:tcBorders>
          </w:tcPr>
          <w:p w:rsidR="00CA3E77" w:rsidRPr="004D1DCA" w:rsidP="00CA3E77">
            <w:pPr>
              <w:pStyle w:val="norm"/>
              <w:rPr>
                <w:rFonts w:ascii="TimesNewRoman" w:hAnsi="TimesNewRoman" w:cs="TimesNewRoman"/>
                <w:sz w:val="20"/>
                <w:szCs w:val="20"/>
              </w:rPr>
            </w:pPr>
            <w:r w:rsidRPr="004D1DCA">
              <w:rPr>
                <w:rFonts w:ascii="TimesNewRoman" w:hAnsi="TimesNewRoman" w:cs="TimesNewRoman"/>
                <w:sz w:val="20"/>
                <w:szCs w:val="20"/>
              </w:rPr>
              <w:t>6. Komisia je splnomocnená prijať najneskôr do 31. decembra 2017 delegované akty s cieľom stanoviť určené hodnoty emisií skleníkových plynov, ak takéto hodnoty ešte neboli stanovené pred 5. októbrom 2015, pokiaľ ide o:</w:t>
            </w:r>
          </w:p>
          <w:p w:rsidR="00CA3E77" w:rsidRPr="004D1DCA" w:rsidP="00CA3E77">
            <w:pPr>
              <w:pStyle w:val="norm"/>
              <w:rPr>
                <w:rFonts w:ascii="TimesNewRoman" w:hAnsi="TimesNewRoman" w:cs="TimesNewRoman"/>
                <w:sz w:val="20"/>
                <w:szCs w:val="20"/>
              </w:rPr>
            </w:pPr>
            <w:r w:rsidRPr="004D1DCA">
              <w:rPr>
                <w:rFonts w:ascii="TimesNewRoman" w:hAnsi="TimesNewRoman" w:cs="TimesNewRoman"/>
                <w:sz w:val="20"/>
                <w:szCs w:val="20"/>
              </w:rPr>
              <w:t>a) kvapalné a plynné motorové palivá z obnoviteľných zdrojov nebiologického pôvodu;</w:t>
            </w:r>
          </w:p>
          <w:p w:rsidR="00CA3E77" w:rsidRPr="004D1DCA" w:rsidP="00CA3E77">
            <w:pPr>
              <w:pStyle w:val="norm"/>
              <w:rPr>
                <w:rFonts w:ascii="TimesNewRoman" w:hAnsi="TimesNewRoman" w:cs="TimesNewRoman"/>
                <w:sz w:val="20"/>
                <w:szCs w:val="20"/>
              </w:rPr>
            </w:pPr>
            <w:r w:rsidRPr="004D1DCA">
              <w:rPr>
                <w:rFonts w:ascii="TimesNewRoman" w:hAnsi="TimesNewRoman" w:cs="TimesNewRoman"/>
                <w:sz w:val="20"/>
                <w:szCs w:val="20"/>
              </w:rPr>
              <w:t xml:space="preserve">b) zachytávanie a využívanie uhlíka na účely dopravy.  </w:t>
            </w:r>
          </w:p>
        </w:tc>
        <w:tc>
          <w:tcPr>
            <w:tcW w:w="567" w:type="dxa"/>
            <w:tcBorders>
              <w:top w:val="single" w:sz="4" w:space="0" w:color="auto"/>
              <w:bottom w:val="single" w:sz="4" w:space="0" w:color="auto"/>
            </w:tcBorders>
          </w:tcPr>
          <w:p w:rsidR="00CA3E77" w:rsidRPr="002A270F" w:rsidP="00C751EE">
            <w:pPr>
              <w:jc w:val="center"/>
              <w:rPr>
                <w:sz w:val="20"/>
              </w:rPr>
            </w:pPr>
            <w:r w:rsidR="001672C4">
              <w:rPr>
                <w:sz w:val="20"/>
              </w:rPr>
              <w:t>n.a.</w:t>
            </w:r>
          </w:p>
        </w:tc>
        <w:tc>
          <w:tcPr>
            <w:tcW w:w="1276" w:type="dxa"/>
            <w:tcBorders>
              <w:top w:val="single" w:sz="4" w:space="0" w:color="auto"/>
              <w:bottom w:val="single" w:sz="4" w:space="0" w:color="auto"/>
            </w:tcBorders>
          </w:tcPr>
          <w:p w:rsidR="00CA3E77" w:rsidRPr="00EA5C97" w:rsidP="00C751EE">
            <w:pPr>
              <w:jc w:val="center"/>
              <w:rPr>
                <w:sz w:val="20"/>
              </w:rPr>
            </w:pPr>
          </w:p>
        </w:tc>
        <w:tc>
          <w:tcPr>
            <w:tcW w:w="709" w:type="dxa"/>
            <w:tcBorders>
              <w:top w:val="single" w:sz="4" w:space="0" w:color="auto"/>
              <w:bottom w:val="single" w:sz="4" w:space="0" w:color="auto"/>
            </w:tcBorders>
          </w:tcPr>
          <w:p w:rsidR="00CA3E77" w:rsidRPr="00EA5C97" w:rsidP="00C751EE">
            <w:pPr>
              <w:jc w:val="center"/>
              <w:rPr>
                <w:sz w:val="20"/>
              </w:rPr>
            </w:pPr>
          </w:p>
        </w:tc>
        <w:tc>
          <w:tcPr>
            <w:tcW w:w="4110" w:type="dxa"/>
            <w:tcBorders>
              <w:top w:val="single" w:sz="4" w:space="0" w:color="auto"/>
              <w:bottom w:val="single" w:sz="4" w:space="0" w:color="auto"/>
            </w:tcBorders>
          </w:tcPr>
          <w:p w:rsidR="00CA3E77" w:rsidRPr="00A755D5" w:rsidP="00C751EE">
            <w:pPr>
              <w:pStyle w:val="BodyText"/>
              <w:tabs>
                <w:tab w:val="left" w:pos="360"/>
              </w:tabs>
              <w:rPr>
                <w:sz w:val="19"/>
                <w:szCs w:val="19"/>
                <w:highlight w:val="yellow"/>
              </w:rPr>
            </w:pPr>
          </w:p>
        </w:tc>
        <w:tc>
          <w:tcPr>
            <w:tcW w:w="709" w:type="dxa"/>
            <w:tcBorders>
              <w:top w:val="single" w:sz="4" w:space="0" w:color="auto"/>
              <w:bottom w:val="single" w:sz="4" w:space="0" w:color="auto"/>
            </w:tcBorders>
          </w:tcPr>
          <w:p w:rsidR="00CA3E77" w:rsidP="00C751EE">
            <w:pPr>
              <w:jc w:val="center"/>
              <w:rPr>
                <w:sz w:val="20"/>
              </w:rPr>
            </w:pPr>
          </w:p>
        </w:tc>
        <w:tc>
          <w:tcPr>
            <w:tcW w:w="1701" w:type="dxa"/>
            <w:tcBorders>
              <w:top w:val="single" w:sz="4" w:space="0" w:color="auto"/>
              <w:bottom w:val="single" w:sz="4" w:space="0" w:color="auto"/>
            </w:tcBorders>
          </w:tcPr>
          <w:p w:rsidR="00CA3E77"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424"/>
        </w:trPr>
        <w:tc>
          <w:tcPr>
            <w:tcW w:w="637" w:type="dxa"/>
            <w:tcBorders>
              <w:top w:val="single" w:sz="4" w:space="0" w:color="auto"/>
              <w:bottom w:val="single" w:sz="4" w:space="0" w:color="auto"/>
            </w:tcBorders>
          </w:tcPr>
          <w:p w:rsidR="00CA3E77" w:rsidP="00CA3E77">
            <w:pPr>
              <w:jc w:val="both"/>
              <w:rPr>
                <w:sz w:val="20"/>
              </w:rPr>
            </w:pPr>
            <w:r w:rsidRPr="00F74B61">
              <w:rPr>
                <w:sz w:val="20"/>
              </w:rPr>
              <w:t>Č7a</w:t>
            </w:r>
          </w:p>
          <w:p w:rsidR="00CA3E77" w:rsidRPr="00F74B61" w:rsidP="00CA3E77">
            <w:pPr>
              <w:jc w:val="both"/>
              <w:rPr>
                <w:sz w:val="20"/>
              </w:rPr>
            </w:pPr>
            <w:r>
              <w:rPr>
                <w:sz w:val="20"/>
              </w:rPr>
              <w:t>O7</w:t>
            </w:r>
          </w:p>
        </w:tc>
        <w:tc>
          <w:tcPr>
            <w:tcW w:w="5245" w:type="dxa"/>
            <w:tcBorders>
              <w:top w:val="single" w:sz="4" w:space="0" w:color="auto"/>
              <w:bottom w:val="single" w:sz="4" w:space="0" w:color="auto"/>
            </w:tcBorders>
          </w:tcPr>
          <w:p w:rsidR="00CA3E77" w:rsidRPr="004D1DCA" w:rsidP="00CA3E77">
            <w:pPr>
              <w:jc w:val="both"/>
              <w:rPr>
                <w:rFonts w:ascii="TimesNewRoman" w:hAnsi="TimesNewRoman" w:cs="TimesNewRoman"/>
                <w:sz w:val="20"/>
                <w:lang w:eastAsia="sk-SK"/>
              </w:rPr>
            </w:pPr>
            <w:r w:rsidRPr="004D1DCA">
              <w:rPr>
                <w:rFonts w:ascii="TimesNewRoman" w:hAnsi="TimesNewRoman" w:cs="TimesNewRoman"/>
                <w:sz w:val="20"/>
                <w:lang w:eastAsia="sk-SK"/>
              </w:rPr>
              <w:t>7. Členské štáty v rámci postupu nahlasovania podľa odseku 1 zabezpečia, aby dodávatelia palív každoročne nahlásili orgánu, ktorý určí členský štát, spôsoby výroby biopalív, objemy biopalív odvodených od surovín v zmysle kategorizácie v časti A prílohy V a emisie skleníkových plynov počas životného cyklu na jednotku energie vrátane predbežných stredných hodnôt odhadovaných emisií z biopalív vyplývajúcich z nepriamej zmeny využívania pôdy. Členské štáty nahlásia uvedené údaje Komisii.</w:t>
            </w:r>
          </w:p>
        </w:tc>
        <w:tc>
          <w:tcPr>
            <w:tcW w:w="567" w:type="dxa"/>
            <w:tcBorders>
              <w:top w:val="single" w:sz="4" w:space="0" w:color="auto"/>
              <w:bottom w:val="single" w:sz="4" w:space="0" w:color="auto"/>
            </w:tcBorders>
          </w:tcPr>
          <w:p w:rsidR="00CA3E77" w:rsidRPr="002A270F" w:rsidP="00C751EE">
            <w:pPr>
              <w:jc w:val="center"/>
              <w:rPr>
                <w:sz w:val="20"/>
              </w:rPr>
            </w:pPr>
            <w:r w:rsidR="008E10F5">
              <w:rPr>
                <w:sz w:val="20"/>
              </w:rPr>
              <w:t>N</w:t>
            </w:r>
          </w:p>
        </w:tc>
        <w:tc>
          <w:tcPr>
            <w:tcW w:w="1276" w:type="dxa"/>
            <w:tcBorders>
              <w:top w:val="single" w:sz="4" w:space="0" w:color="auto"/>
              <w:bottom w:val="single" w:sz="4" w:space="0" w:color="auto"/>
            </w:tcBorders>
          </w:tcPr>
          <w:p w:rsidR="00CA3E77" w:rsidP="00C751EE">
            <w:pPr>
              <w:jc w:val="center"/>
              <w:rPr>
                <w:sz w:val="20"/>
              </w:rPr>
            </w:pPr>
            <w:r w:rsidR="008E10F5">
              <w:rPr>
                <w:sz w:val="20"/>
              </w:rPr>
              <w:t>Z 309/2009</w:t>
            </w:r>
          </w:p>
          <w:p w:rsidR="008E10F5"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8E10F5" w:rsidRPr="00EA5C97" w:rsidP="00C751EE">
            <w:pPr>
              <w:jc w:val="center"/>
              <w:rPr>
                <w:sz w:val="20"/>
              </w:rPr>
            </w:pPr>
            <w:r>
              <w:rPr>
                <w:sz w:val="20"/>
              </w:rPr>
              <w:t>V 271/2011</w:t>
            </w:r>
          </w:p>
        </w:tc>
        <w:tc>
          <w:tcPr>
            <w:tcW w:w="709" w:type="dxa"/>
            <w:tcBorders>
              <w:top w:val="single" w:sz="4" w:space="0" w:color="auto"/>
              <w:bottom w:val="single" w:sz="4" w:space="0" w:color="auto"/>
            </w:tcBorders>
          </w:tcPr>
          <w:p w:rsidR="00CA3E77" w:rsidP="00C751EE">
            <w:pPr>
              <w:jc w:val="center"/>
              <w:rPr>
                <w:sz w:val="20"/>
              </w:rPr>
            </w:pPr>
            <w:r w:rsidR="008E10F5">
              <w:rPr>
                <w:sz w:val="20"/>
              </w:rPr>
              <w:t>§14c</w:t>
            </w:r>
          </w:p>
          <w:p w:rsidR="008E10F5" w:rsidP="00C751EE">
            <w:pPr>
              <w:jc w:val="center"/>
              <w:rPr>
                <w:sz w:val="20"/>
              </w:rPr>
            </w:pPr>
            <w:r>
              <w:rPr>
                <w:sz w:val="20"/>
              </w:rPr>
              <w:t>O3</w:t>
            </w: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p>
          <w:p w:rsidR="004001A0" w:rsidP="00C751EE">
            <w:pPr>
              <w:jc w:val="center"/>
              <w:rPr>
                <w:sz w:val="20"/>
              </w:rPr>
            </w:pPr>
            <w:r>
              <w:rPr>
                <w:sz w:val="20"/>
              </w:rPr>
              <w:t>§10</w:t>
            </w:r>
          </w:p>
          <w:p w:rsidR="004001A0" w:rsidRPr="00EA5C97" w:rsidP="00C751EE">
            <w:pPr>
              <w:jc w:val="center"/>
              <w:rPr>
                <w:sz w:val="20"/>
              </w:rPr>
            </w:pPr>
            <w:r>
              <w:rPr>
                <w:sz w:val="20"/>
              </w:rPr>
              <w:t>O7</w:t>
            </w:r>
          </w:p>
        </w:tc>
        <w:tc>
          <w:tcPr>
            <w:tcW w:w="4110" w:type="dxa"/>
            <w:tcBorders>
              <w:top w:val="single" w:sz="4" w:space="0" w:color="auto"/>
              <w:bottom w:val="single" w:sz="4" w:space="0" w:color="auto"/>
            </w:tcBorders>
          </w:tcPr>
          <w:p w:rsidR="00CA3E77" w:rsidRPr="004B3966" w:rsidP="004001A0">
            <w:pPr>
              <w:pStyle w:val="BodyText"/>
              <w:tabs>
                <w:tab w:val="left" w:pos="360"/>
              </w:tabs>
              <w:rPr>
                <w:sz w:val="20"/>
                <w:lang w:eastAsia="en-US"/>
              </w:rPr>
            </w:pPr>
            <w:r w:rsidRPr="004B3966" w:rsidR="004001A0">
              <w:rPr>
                <w:sz w:val="20"/>
                <w:lang w:eastAsia="en-US"/>
              </w:rPr>
              <w:t>(3) Právnická osoba alebo fyzická osoba, ktorá uvádza pohonnú látku na trh v Slovenskej republike používanú na pohon cestných vozidiel, dráhových vozidiel, necestných strojov, plavidiel vnútrozemskej vodnej dopravy, poľnohospodárskych traktorov a lesných traktorov, rekreačných plavidiel alebo dodáva elektrinu používanú v cestných vozidlách, je povinná monitorovať, každoročne vypracovať a zaslať Slovenskému hydrometeorologickému ústavu na overenie správu o úrovni tvorby emisií skleníkových plynov počas životného cyklu na jednotku energie z pohonnej látky a dodávanej energie za predchádzajúci rok.</w:t>
            </w:r>
          </w:p>
          <w:p w:rsidR="004001A0" w:rsidRPr="004B3966" w:rsidP="004001A0">
            <w:pPr>
              <w:pStyle w:val="BodyText"/>
              <w:tabs>
                <w:tab w:val="left" w:pos="360"/>
              </w:tabs>
              <w:rPr>
                <w:sz w:val="20"/>
                <w:lang w:eastAsia="en-US"/>
              </w:rPr>
            </w:pPr>
          </w:p>
          <w:p w:rsidR="004001A0" w:rsidRPr="004B3966" w:rsidP="004001A0">
            <w:pPr>
              <w:pStyle w:val="BodyText"/>
              <w:tabs>
                <w:tab w:val="left" w:pos="360"/>
              </w:tabs>
              <w:rPr>
                <w:sz w:val="20"/>
                <w:lang w:eastAsia="en-US"/>
              </w:rPr>
            </w:pPr>
            <w:r w:rsidRPr="004B3966">
              <w:rPr>
                <w:sz w:val="20"/>
                <w:lang w:eastAsia="en-US"/>
              </w:rPr>
              <w:t>(7) Harmonizovaný formát správ obsahuje aj predbežné stredné hodnoty odhadovaných emisií skleníkových plynov vyplývajúcich z nepriamej zmeny využívania pôdy, ktoré sú uvedené v prílohe č. 5. Hodnoty nemajú žiadny vplyv na výpočet emisií skleníkových plynov počas životného cyklu biopalív a biokvapalín podľa § 5 a ani na výpočet emisií skleníkových plynov počas životného cyklu pohonných látok a dodávanej energie podľa odsekov 2 a 3.</w:t>
            </w:r>
          </w:p>
        </w:tc>
        <w:tc>
          <w:tcPr>
            <w:tcW w:w="709" w:type="dxa"/>
            <w:tcBorders>
              <w:top w:val="single" w:sz="4" w:space="0" w:color="auto"/>
              <w:bottom w:val="single" w:sz="4" w:space="0" w:color="auto"/>
            </w:tcBorders>
          </w:tcPr>
          <w:p w:rsidR="008E10F5" w:rsidRPr="002A270F" w:rsidP="008E10F5">
            <w:pPr>
              <w:jc w:val="center"/>
              <w:rPr>
                <w:rFonts w:ascii="EUAlbertina" w:hAnsi="EUAlbertina" w:cs="EUAlbertina"/>
                <w:sz w:val="20"/>
                <w:lang w:eastAsia="sk-SK"/>
              </w:rPr>
            </w:pPr>
            <w:r w:rsidRPr="002A270F">
              <w:rPr>
                <w:rFonts w:ascii="EUAlbertina" w:hAnsi="EUAlbertina" w:cs="EUAlbertina"/>
                <w:sz w:val="20"/>
                <w:lang w:eastAsia="sk-SK"/>
              </w:rPr>
              <w:t>Ú</w:t>
            </w:r>
          </w:p>
          <w:p w:rsidR="00CA3E77" w:rsidP="00C751EE">
            <w:pPr>
              <w:jc w:val="center"/>
              <w:rPr>
                <w:sz w:val="20"/>
              </w:rPr>
            </w:pPr>
          </w:p>
        </w:tc>
        <w:tc>
          <w:tcPr>
            <w:tcW w:w="1701" w:type="dxa"/>
            <w:tcBorders>
              <w:top w:val="single" w:sz="4" w:space="0" w:color="auto"/>
              <w:bottom w:val="single" w:sz="4" w:space="0" w:color="auto"/>
            </w:tcBorders>
          </w:tcPr>
          <w:p w:rsidR="00CA3E77" w:rsidRPr="006B6DE8" w:rsidP="00C751EE">
            <w:pPr>
              <w:jc w:val="both"/>
              <w:rPr>
                <w:color w:val="0070C0"/>
                <w:sz w:val="20"/>
              </w:rPr>
            </w:pPr>
          </w:p>
        </w:tc>
      </w:tr>
      <w:tr w:rsidTr="002E524C">
        <w:tblPrEx>
          <w:tblW w:w="14954" w:type="dxa"/>
          <w:tblLayout w:type="fixed"/>
          <w:tblCellMar>
            <w:left w:w="70" w:type="dxa"/>
            <w:right w:w="70" w:type="dxa"/>
          </w:tblCellMar>
          <w:tblLook w:val="0000"/>
        </w:tblPrEx>
        <w:trPr>
          <w:trHeight w:val="3676"/>
        </w:trPr>
        <w:tc>
          <w:tcPr>
            <w:tcW w:w="637" w:type="dxa"/>
            <w:tcBorders>
              <w:top w:val="single" w:sz="4" w:space="0" w:color="auto"/>
              <w:bottom w:val="single" w:sz="4" w:space="0" w:color="auto"/>
            </w:tcBorders>
          </w:tcPr>
          <w:p w:rsidR="00C751EE" w:rsidP="00C751EE">
            <w:pPr>
              <w:jc w:val="both"/>
              <w:rPr>
                <w:rFonts w:ascii="EUAlbertina" w:hAnsi="EUAlbertina" w:cs="EUAlbertina"/>
                <w:sz w:val="20"/>
                <w:lang w:eastAsia="sk-SK"/>
              </w:rPr>
            </w:pPr>
            <w:r w:rsidRPr="002A270F">
              <w:rPr>
                <w:rFonts w:ascii="EUAlbertina" w:hAnsi="EUAlbertina" w:cs="EUAlbertina"/>
                <w:sz w:val="20"/>
                <w:lang w:eastAsia="sk-SK"/>
              </w:rPr>
              <w:t>Č7b</w:t>
            </w:r>
          </w:p>
          <w:p w:rsidR="00C751EE" w:rsidRPr="002A270F" w:rsidP="00C751EE">
            <w:pPr>
              <w:jc w:val="both"/>
              <w:rPr>
                <w:rFonts w:ascii="EUAlbertina" w:hAnsi="EUAlbertina" w:cs="EUAlbertina"/>
                <w:sz w:val="20"/>
                <w:lang w:eastAsia="sk-SK"/>
              </w:rPr>
            </w:pPr>
            <w:r>
              <w:rPr>
                <w:rFonts w:ascii="EUAlbertina" w:hAnsi="EUAlbertina" w:cs="EUAlbertina"/>
                <w:sz w:val="20"/>
                <w:lang w:eastAsia="sk-SK"/>
              </w:rPr>
              <w:t>O1</w:t>
            </w:r>
          </w:p>
        </w:tc>
        <w:tc>
          <w:tcPr>
            <w:tcW w:w="5245" w:type="dxa"/>
            <w:tcBorders>
              <w:top w:val="single" w:sz="4" w:space="0" w:color="auto"/>
              <w:bottom w:val="single" w:sz="4" w:space="0" w:color="auto"/>
            </w:tcBorders>
          </w:tcPr>
          <w:p w:rsidR="00C751EE" w:rsidRPr="002A270F" w:rsidP="00305C2D">
            <w:pPr>
              <w:autoSpaceDE w:val="0"/>
              <w:autoSpaceDN w:val="0"/>
              <w:adjustRightInd w:val="0"/>
              <w:jc w:val="both"/>
              <w:rPr>
                <w:rFonts w:ascii="EUAlbertina" w:hAnsi="EUAlbertina" w:cs="EUAlbertina"/>
                <w:sz w:val="20"/>
                <w:lang w:eastAsia="sk-SK"/>
              </w:rPr>
            </w:pPr>
            <w:r w:rsidRPr="002A270F">
              <w:rPr>
                <w:rFonts w:ascii="EUAlbertina" w:hAnsi="EUAlbertina" w:cs="EUAlbertina"/>
                <w:sz w:val="20"/>
                <w:lang w:eastAsia="sk-SK"/>
              </w:rPr>
              <w:t>Článok 7b</w:t>
            </w:r>
          </w:p>
          <w:p w:rsidR="00C751EE" w:rsidRPr="002A270F" w:rsidP="00305C2D">
            <w:pPr>
              <w:autoSpaceDE w:val="0"/>
              <w:autoSpaceDN w:val="0"/>
              <w:adjustRightInd w:val="0"/>
              <w:jc w:val="both"/>
              <w:rPr>
                <w:rFonts w:ascii="EUAlbertina" w:hAnsi="EUAlbertina" w:cs="EUAlbertina"/>
                <w:sz w:val="20"/>
                <w:lang w:eastAsia="sk-SK"/>
              </w:rPr>
            </w:pPr>
            <w:r w:rsidRPr="002A270F">
              <w:rPr>
                <w:rFonts w:ascii="EUAlbertina" w:hAnsi="EUAlbertina" w:cs="EUAlbertina"/>
                <w:sz w:val="20"/>
                <w:lang w:eastAsia="sk-SK"/>
              </w:rPr>
              <w:t xml:space="preserve">Kritériá trvalej udržateľnosti </w:t>
            </w:r>
            <w:r w:rsidR="00305C2D">
              <w:rPr>
                <w:rFonts w:ascii="EUAlbertina" w:hAnsi="EUAlbertina" w:cs="EUAlbertina"/>
                <w:sz w:val="20"/>
                <w:lang w:eastAsia="sk-SK"/>
              </w:rPr>
              <w:t>pre biopalivá</w:t>
            </w:r>
          </w:p>
          <w:p w:rsidR="00C751EE" w:rsidRPr="002A270F" w:rsidP="00305C2D">
            <w:pPr>
              <w:autoSpaceDE w:val="0"/>
              <w:autoSpaceDN w:val="0"/>
              <w:adjustRightInd w:val="0"/>
              <w:jc w:val="both"/>
              <w:rPr>
                <w:rFonts w:ascii="TimesNewRoman" w:hAnsi="TimesNewRoman" w:cs="TimesNewRoman"/>
                <w:sz w:val="20"/>
                <w:lang w:eastAsia="sk-SK"/>
              </w:rPr>
            </w:pPr>
            <w:r w:rsidRPr="002A270F">
              <w:rPr>
                <w:rFonts w:ascii="TimesNewRoman" w:hAnsi="TimesNewRoman" w:cs="TimesNewRoman"/>
                <w:sz w:val="20"/>
                <w:lang w:eastAsia="sk-SK"/>
              </w:rPr>
              <w:t>1. Bez o</w:t>
            </w:r>
            <w:r w:rsidRPr="002A270F">
              <w:rPr>
                <w:rFonts w:ascii="TimesNewRoman" w:hAnsi="TimesNewRoman" w:cs="TimesNewRoman"/>
                <w:sz w:val="20"/>
                <w:lang w:eastAsia="sk-SK"/>
              </w:rPr>
              <w:t>h</w:t>
            </w:r>
            <w:r w:rsidRPr="002A270F">
              <w:rPr>
                <w:rFonts w:ascii="TimesNewRoman+01" w:hAnsi="TimesNewRoman+01" w:cs="TimesNewRoman+01"/>
                <w:sz w:val="20"/>
                <w:lang w:eastAsia="sk-SK"/>
              </w:rPr>
              <w:t>ľ</w:t>
            </w:r>
            <w:r w:rsidRPr="002A270F">
              <w:rPr>
                <w:rFonts w:ascii="TimesNewRoman" w:hAnsi="TimesNewRoman" w:cs="TimesNewRoman"/>
                <w:sz w:val="20"/>
                <w:lang w:eastAsia="sk-SK"/>
              </w:rPr>
              <w:t xml:space="preserve">adu na to, </w:t>
            </w:r>
            <w:r w:rsidRPr="002A270F">
              <w:rPr>
                <w:rFonts w:ascii="TimesNewRoman+01" w:hAnsi="TimesNewRoman+01" w:cs="TimesNewRoman+01"/>
                <w:sz w:val="20"/>
                <w:lang w:eastAsia="sk-SK"/>
              </w:rPr>
              <w:t>č</w:t>
            </w:r>
            <w:r w:rsidRPr="002A270F">
              <w:rPr>
                <w:rFonts w:ascii="TimesNewRoman" w:hAnsi="TimesNewRoman" w:cs="TimesNewRoman"/>
                <w:sz w:val="20"/>
                <w:lang w:eastAsia="sk-SK"/>
              </w:rPr>
              <w:t>i sa suroviny vypestovali na území Spolo</w:t>
            </w:r>
            <w:r w:rsidRPr="002A270F">
              <w:rPr>
                <w:rFonts w:ascii="TimesNewRoman+01" w:hAnsi="TimesNewRoman+01" w:cs="TimesNewRoman+01"/>
                <w:sz w:val="20"/>
                <w:lang w:eastAsia="sk-SK"/>
              </w:rPr>
              <w:t>č</w:t>
            </w:r>
            <w:r w:rsidRPr="002A270F">
              <w:rPr>
                <w:rFonts w:ascii="TimesNewRoman" w:hAnsi="TimesNewRoman" w:cs="TimesNewRoman"/>
                <w:sz w:val="20"/>
                <w:lang w:eastAsia="sk-SK"/>
              </w:rPr>
              <w:t>enstva alebo mimo neho, sa energia z biopalív zoh</w:t>
            </w:r>
            <w:r w:rsidRPr="002A270F">
              <w:rPr>
                <w:rFonts w:ascii="TimesNewRoman+01" w:hAnsi="TimesNewRoman+01" w:cs="TimesNewRoman+01"/>
                <w:sz w:val="20"/>
                <w:lang w:eastAsia="sk-SK"/>
              </w:rPr>
              <w:t>ľ</w:t>
            </w:r>
            <w:r w:rsidRPr="002A270F">
              <w:rPr>
                <w:rFonts w:ascii="TimesNewRoman" w:hAnsi="TimesNewRoman" w:cs="TimesNewRoman"/>
                <w:sz w:val="20"/>
                <w:lang w:eastAsia="sk-SK"/>
              </w:rPr>
              <w:t>ad</w:t>
            </w:r>
            <w:r w:rsidRPr="002A270F">
              <w:rPr>
                <w:rFonts w:ascii="TimesNewRoman+01" w:hAnsi="TimesNewRoman+01" w:cs="TimesNewRoman+01"/>
                <w:sz w:val="20"/>
                <w:lang w:eastAsia="sk-SK"/>
              </w:rPr>
              <w:t>ň</w:t>
            </w:r>
            <w:r w:rsidRPr="002A270F">
              <w:rPr>
                <w:rFonts w:ascii="TimesNewRoman" w:hAnsi="TimesNewRoman" w:cs="TimesNewRoman"/>
                <w:sz w:val="20"/>
                <w:lang w:eastAsia="sk-SK"/>
              </w:rPr>
              <w:t>uje na ú</w:t>
            </w:r>
            <w:r w:rsidRPr="002A270F">
              <w:rPr>
                <w:rFonts w:ascii="TimesNewRoman+01" w:hAnsi="TimesNewRoman+01" w:cs="TimesNewRoman+01"/>
                <w:sz w:val="20"/>
                <w:lang w:eastAsia="sk-SK"/>
              </w:rPr>
              <w:t>č</w:t>
            </w:r>
            <w:r w:rsidRPr="002A270F">
              <w:rPr>
                <w:rFonts w:ascii="TimesNewRoman" w:hAnsi="TimesNewRoman" w:cs="TimesNewRoman"/>
                <w:sz w:val="20"/>
                <w:lang w:eastAsia="sk-SK"/>
              </w:rPr>
              <w:t xml:space="preserve">ely </w:t>
            </w:r>
            <w:r w:rsidRPr="002A270F">
              <w:rPr>
                <w:rFonts w:ascii="TimesNewRoman+01" w:hAnsi="TimesNewRoman+01" w:cs="TimesNewRoman+01"/>
                <w:sz w:val="20"/>
                <w:lang w:eastAsia="sk-SK"/>
              </w:rPr>
              <w:t>č</w:t>
            </w:r>
            <w:r w:rsidRPr="002A270F">
              <w:rPr>
                <w:rFonts w:ascii="TimesNewRoman" w:hAnsi="TimesNewRoman" w:cs="TimesNewRoman"/>
                <w:sz w:val="20"/>
                <w:lang w:eastAsia="sk-SK"/>
              </w:rPr>
              <w:t>lánku 7a, len ak sp</w:t>
            </w:r>
            <w:r w:rsidRPr="002A270F">
              <w:rPr>
                <w:rFonts w:ascii="TimesNewRoman+01" w:hAnsi="TimesNewRoman+01" w:cs="TimesNewRoman+01"/>
                <w:sz w:val="20"/>
                <w:lang w:eastAsia="sk-SK"/>
              </w:rPr>
              <w:t>ĺň</w:t>
            </w:r>
            <w:r w:rsidRPr="002A270F">
              <w:rPr>
                <w:rFonts w:ascii="TimesNewRoman" w:hAnsi="TimesNewRoman" w:cs="TimesNewRoman"/>
                <w:sz w:val="20"/>
                <w:lang w:eastAsia="sk-SK"/>
              </w:rPr>
              <w:t>ajú kritériá trvalej udr</w:t>
            </w:r>
            <w:r w:rsidRPr="002A270F">
              <w:rPr>
                <w:rFonts w:ascii="TimesNewRoman+01" w:hAnsi="TimesNewRoman+01" w:cs="TimesNewRoman+01"/>
                <w:sz w:val="20"/>
                <w:lang w:eastAsia="sk-SK"/>
              </w:rPr>
              <w:t>ž</w:t>
            </w:r>
            <w:r w:rsidRPr="002A270F">
              <w:rPr>
                <w:rFonts w:ascii="TimesNewRoman" w:hAnsi="TimesNewRoman" w:cs="TimesNewRoman"/>
                <w:sz w:val="20"/>
                <w:lang w:eastAsia="sk-SK"/>
              </w:rPr>
              <w:t>ate</w:t>
            </w:r>
            <w:r w:rsidRPr="002A270F">
              <w:rPr>
                <w:rFonts w:ascii="TimesNewRoman+01" w:hAnsi="TimesNewRoman+01" w:cs="TimesNewRoman+01"/>
                <w:sz w:val="20"/>
                <w:lang w:eastAsia="sk-SK"/>
              </w:rPr>
              <w:t>ľ</w:t>
            </w:r>
            <w:r w:rsidRPr="002A270F">
              <w:rPr>
                <w:rFonts w:ascii="TimesNewRoman" w:hAnsi="TimesNewRoman" w:cs="TimesNewRoman"/>
                <w:sz w:val="20"/>
                <w:lang w:eastAsia="sk-SK"/>
              </w:rPr>
              <w:t>nosti uvedené v odsekoch 2 a</w:t>
            </w:r>
            <w:r w:rsidRPr="002A270F">
              <w:rPr>
                <w:rFonts w:ascii="TimesNewRoman+01" w:hAnsi="TimesNewRoman+01" w:cs="TimesNewRoman+01"/>
                <w:sz w:val="20"/>
                <w:lang w:eastAsia="sk-SK"/>
              </w:rPr>
              <w:t xml:space="preserve">ž </w:t>
            </w:r>
            <w:r w:rsidRPr="002A270F">
              <w:rPr>
                <w:rFonts w:ascii="TimesNewRoman" w:hAnsi="TimesNewRoman" w:cs="TimesNewRoman"/>
                <w:sz w:val="20"/>
                <w:lang w:eastAsia="sk-SK"/>
              </w:rPr>
              <w:t xml:space="preserve">6 tohto </w:t>
            </w:r>
            <w:r w:rsidRPr="002A270F">
              <w:rPr>
                <w:rFonts w:ascii="TimesNewRoman+01" w:hAnsi="TimesNewRoman+01" w:cs="TimesNewRoman+01"/>
                <w:sz w:val="20"/>
                <w:lang w:eastAsia="sk-SK"/>
              </w:rPr>
              <w:t>č</w:t>
            </w:r>
            <w:r w:rsidRPr="002A270F">
              <w:rPr>
                <w:rFonts w:ascii="TimesNewRoman" w:hAnsi="TimesNewRoman" w:cs="TimesNewRoman"/>
                <w:sz w:val="20"/>
                <w:lang w:eastAsia="sk-SK"/>
              </w:rPr>
              <w:t>lánku.</w:t>
            </w:r>
          </w:p>
          <w:p w:rsidR="0048275D" w:rsidRPr="002A270F" w:rsidP="00A72AC7">
            <w:pPr>
              <w:autoSpaceDE w:val="0"/>
              <w:autoSpaceDN w:val="0"/>
              <w:adjustRightInd w:val="0"/>
              <w:jc w:val="both"/>
              <w:rPr>
                <w:rFonts w:ascii="TimesNewRoman" w:hAnsi="TimesNewRoman" w:cs="TimesNewRoman"/>
                <w:sz w:val="20"/>
                <w:lang w:eastAsia="sk-SK"/>
              </w:rPr>
            </w:pPr>
            <w:r w:rsidRPr="002A270F" w:rsidR="00C751EE">
              <w:rPr>
                <w:rFonts w:ascii="TimesNewRoman" w:hAnsi="TimesNewRoman" w:cs="TimesNewRoman"/>
                <w:sz w:val="20"/>
                <w:lang w:eastAsia="sk-SK"/>
              </w:rPr>
              <w:t>Aby sa v</w:t>
            </w:r>
            <w:r w:rsidRPr="002A270F" w:rsidR="00C751EE">
              <w:rPr>
                <w:rFonts w:ascii="TimesNewRoman+01" w:hAnsi="TimesNewRoman+01" w:cs="TimesNewRoman+01"/>
                <w:sz w:val="20"/>
                <w:lang w:eastAsia="sk-SK"/>
              </w:rPr>
              <w:t>š</w:t>
            </w:r>
            <w:r w:rsidRPr="002A270F" w:rsidR="00C751EE">
              <w:rPr>
                <w:rFonts w:ascii="TimesNewRoman" w:hAnsi="TimesNewRoman" w:cs="TimesNewRoman"/>
                <w:sz w:val="20"/>
                <w:lang w:eastAsia="sk-SK"/>
              </w:rPr>
              <w:t>ak na ú</w:t>
            </w:r>
            <w:r w:rsidRPr="002A270F" w:rsidR="00C751EE">
              <w:rPr>
                <w:rFonts w:ascii="TimesNewRoman+01" w:hAnsi="TimesNewRoman+01" w:cs="TimesNewRoman+01"/>
                <w:sz w:val="20"/>
                <w:lang w:eastAsia="sk-SK"/>
              </w:rPr>
              <w:t>č</w:t>
            </w:r>
            <w:r w:rsidRPr="002A270F" w:rsidR="00C751EE">
              <w:rPr>
                <w:rFonts w:ascii="TimesNewRoman" w:hAnsi="TimesNewRoman" w:cs="TimesNewRoman"/>
                <w:sz w:val="20"/>
                <w:lang w:eastAsia="sk-SK"/>
              </w:rPr>
              <w:t xml:space="preserve">ely uvedené v </w:t>
            </w:r>
            <w:r w:rsidRPr="002A270F" w:rsidR="00C751EE">
              <w:rPr>
                <w:rFonts w:ascii="TimesNewRoman+01" w:hAnsi="TimesNewRoman+01" w:cs="TimesNewRoman+01"/>
                <w:sz w:val="20"/>
                <w:lang w:eastAsia="sk-SK"/>
              </w:rPr>
              <w:t>č</w:t>
            </w:r>
            <w:r w:rsidRPr="002A270F" w:rsidR="00C751EE">
              <w:rPr>
                <w:rFonts w:ascii="TimesNewRoman" w:hAnsi="TimesNewRoman" w:cs="TimesNewRoman"/>
                <w:sz w:val="20"/>
                <w:lang w:eastAsia="sk-SK"/>
              </w:rPr>
              <w:t xml:space="preserve">lánku </w:t>
            </w:r>
            <w:r w:rsidRPr="002A270F" w:rsidR="00C751EE">
              <w:rPr>
                <w:rFonts w:ascii="TimesNewRoman" w:hAnsi="TimesNewRoman" w:cs="TimesNewRoman"/>
                <w:sz w:val="20"/>
                <w:lang w:eastAsia="sk-SK"/>
              </w:rPr>
              <w:t>7a zoh</w:t>
            </w:r>
            <w:r w:rsidRPr="002A270F" w:rsidR="00C751EE">
              <w:rPr>
                <w:rFonts w:ascii="TimesNewRoman+01" w:hAnsi="TimesNewRoman+01" w:cs="TimesNewRoman+01"/>
                <w:sz w:val="20"/>
                <w:lang w:eastAsia="sk-SK"/>
              </w:rPr>
              <w:t>ľ</w:t>
            </w:r>
            <w:r w:rsidRPr="002A270F" w:rsidR="00C751EE">
              <w:rPr>
                <w:rFonts w:ascii="TimesNewRoman" w:hAnsi="TimesNewRoman" w:cs="TimesNewRoman"/>
                <w:sz w:val="20"/>
                <w:lang w:eastAsia="sk-SK"/>
              </w:rPr>
              <w:t>adnili biopalivá vyrobené z odpadu a zvy</w:t>
            </w:r>
            <w:r w:rsidRPr="002A270F" w:rsidR="00C751EE">
              <w:rPr>
                <w:rFonts w:ascii="TimesNewRoman+01" w:hAnsi="TimesNewRoman+01" w:cs="TimesNewRoman+01"/>
                <w:sz w:val="20"/>
                <w:lang w:eastAsia="sk-SK"/>
              </w:rPr>
              <w:t>š</w:t>
            </w:r>
            <w:r w:rsidRPr="002A270F" w:rsidR="00C751EE">
              <w:rPr>
                <w:rFonts w:ascii="TimesNewRoman" w:hAnsi="TimesNewRoman" w:cs="TimesNewRoman"/>
                <w:sz w:val="20"/>
                <w:lang w:eastAsia="sk-SK"/>
              </w:rPr>
              <w:t>kov iných ako zvy</w:t>
            </w:r>
            <w:r w:rsidRPr="002A270F" w:rsidR="00C751EE">
              <w:rPr>
                <w:rFonts w:ascii="TimesNewRoman+01" w:hAnsi="TimesNewRoman+01" w:cs="TimesNewRoman+01"/>
                <w:sz w:val="20"/>
                <w:lang w:eastAsia="sk-SK"/>
              </w:rPr>
              <w:t>š</w:t>
            </w:r>
            <w:r w:rsidRPr="002A270F" w:rsidR="00C751EE">
              <w:rPr>
                <w:rFonts w:ascii="TimesNewRoman" w:hAnsi="TimesNewRoman" w:cs="TimesNewRoman"/>
                <w:sz w:val="20"/>
                <w:lang w:eastAsia="sk-SK"/>
              </w:rPr>
              <w:t>kov z po</w:t>
            </w:r>
            <w:r w:rsidRPr="002A270F" w:rsidR="00C751EE">
              <w:rPr>
                <w:rFonts w:ascii="TimesNewRoman+01" w:hAnsi="TimesNewRoman+01" w:cs="TimesNewRoman+01"/>
                <w:sz w:val="20"/>
                <w:lang w:eastAsia="sk-SK"/>
              </w:rPr>
              <w:t>ľ</w:t>
            </w:r>
            <w:r w:rsidRPr="002A270F" w:rsidR="00C751EE">
              <w:rPr>
                <w:rFonts w:ascii="TimesNewRoman" w:hAnsi="TimesNewRoman" w:cs="TimesNewRoman"/>
                <w:sz w:val="20"/>
                <w:lang w:eastAsia="sk-SK"/>
              </w:rPr>
              <w:t>nohospodárstva, akvakultúry, rybolovu a lesníctva, sta</w:t>
            </w:r>
            <w:r w:rsidRPr="002A270F" w:rsidR="00C751EE">
              <w:rPr>
                <w:rFonts w:ascii="TimesNewRoman+01" w:hAnsi="TimesNewRoman+01" w:cs="TimesNewRoman+01"/>
                <w:sz w:val="20"/>
                <w:lang w:eastAsia="sk-SK"/>
              </w:rPr>
              <w:t>č</w:t>
            </w:r>
            <w:r w:rsidRPr="002A270F" w:rsidR="00C751EE">
              <w:rPr>
                <w:rFonts w:ascii="TimesNewRoman" w:hAnsi="TimesNewRoman" w:cs="TimesNewRoman"/>
                <w:sz w:val="20"/>
                <w:lang w:eastAsia="sk-SK"/>
              </w:rPr>
              <w:t>í, ak sp</w:t>
            </w:r>
            <w:r w:rsidRPr="002A270F" w:rsidR="00C751EE">
              <w:rPr>
                <w:rFonts w:ascii="TimesNewRoman+01" w:hAnsi="TimesNewRoman+01" w:cs="TimesNewRoman+01"/>
                <w:sz w:val="20"/>
                <w:lang w:eastAsia="sk-SK"/>
              </w:rPr>
              <w:t>ĺň</w:t>
            </w:r>
            <w:r w:rsidRPr="002A270F" w:rsidR="00C751EE">
              <w:rPr>
                <w:rFonts w:ascii="TimesNewRoman" w:hAnsi="TimesNewRoman" w:cs="TimesNewRoman"/>
                <w:sz w:val="20"/>
                <w:lang w:eastAsia="sk-SK"/>
              </w:rPr>
              <w:t>ajú kritérium trvalej udr</w:t>
            </w:r>
            <w:r w:rsidRPr="002A270F" w:rsidR="00C751EE">
              <w:rPr>
                <w:rFonts w:ascii="TimesNewRoman+01" w:hAnsi="TimesNewRoman+01" w:cs="TimesNewRoman+01"/>
                <w:sz w:val="20"/>
                <w:lang w:eastAsia="sk-SK"/>
              </w:rPr>
              <w:t>ž</w:t>
            </w:r>
            <w:r w:rsidRPr="002A270F" w:rsidR="00C751EE">
              <w:rPr>
                <w:rFonts w:ascii="TimesNewRoman" w:hAnsi="TimesNewRoman" w:cs="TimesNewRoman"/>
                <w:sz w:val="20"/>
                <w:lang w:eastAsia="sk-SK"/>
              </w:rPr>
              <w:t>ate</w:t>
            </w:r>
            <w:r w:rsidRPr="002A270F" w:rsidR="00C751EE">
              <w:rPr>
                <w:rFonts w:ascii="TimesNewRoman+01" w:hAnsi="TimesNewRoman+01" w:cs="TimesNewRoman+01"/>
                <w:sz w:val="20"/>
                <w:lang w:eastAsia="sk-SK"/>
              </w:rPr>
              <w:t>ľ</w:t>
            </w:r>
            <w:r w:rsidRPr="002A270F" w:rsidR="00C751EE">
              <w:rPr>
                <w:rFonts w:ascii="TimesNewRoman" w:hAnsi="TimesNewRoman" w:cs="TimesNewRoman"/>
                <w:sz w:val="20"/>
                <w:lang w:eastAsia="sk-SK"/>
              </w:rPr>
              <w:t xml:space="preserve">nosti uvedené v odseku 2 tohto </w:t>
            </w:r>
            <w:r w:rsidRPr="002A270F" w:rsidR="00C751EE">
              <w:rPr>
                <w:rFonts w:ascii="TimesNewRoman+01" w:hAnsi="TimesNewRoman+01" w:cs="TimesNewRoman+01"/>
                <w:sz w:val="20"/>
                <w:lang w:eastAsia="sk-SK"/>
              </w:rPr>
              <w:t>č</w:t>
            </w:r>
            <w:r w:rsidRPr="002A270F" w:rsidR="00C751EE">
              <w:rPr>
                <w:rFonts w:ascii="TimesNewRoman" w:hAnsi="TimesNewRoman" w:cs="TimesNewRoman"/>
                <w:sz w:val="20"/>
                <w:lang w:eastAsia="sk-SK"/>
              </w:rPr>
              <w:t>lánku.</w:t>
            </w:r>
          </w:p>
        </w:tc>
        <w:tc>
          <w:tcPr>
            <w:tcW w:w="567" w:type="dxa"/>
            <w:tcBorders>
              <w:top w:val="single" w:sz="4" w:space="0" w:color="auto"/>
              <w:bottom w:val="single" w:sz="4" w:space="0" w:color="auto"/>
            </w:tcBorders>
          </w:tcPr>
          <w:p w:rsidR="00C751EE" w:rsidRPr="002A270F" w:rsidP="00C751EE">
            <w:pPr>
              <w:jc w:val="both"/>
              <w:rPr>
                <w:rFonts w:ascii="EUAlbertina" w:hAnsi="EUAlbertina" w:cs="EUAlbertina"/>
                <w:sz w:val="20"/>
                <w:lang w:eastAsia="sk-SK"/>
              </w:rPr>
            </w:pPr>
            <w:r w:rsidRPr="002A270F">
              <w:rPr>
                <w:rFonts w:ascii="EUAlbertina" w:hAnsi="EUAlbertina" w:cs="EUAlbertina"/>
                <w:sz w:val="20"/>
                <w:lang w:eastAsia="sk-SK"/>
              </w:rPr>
              <w:t>N</w:t>
            </w:r>
          </w:p>
        </w:tc>
        <w:tc>
          <w:tcPr>
            <w:tcW w:w="1276" w:type="dxa"/>
            <w:tcBorders>
              <w:top w:val="single" w:sz="4" w:space="0" w:color="auto"/>
              <w:bottom w:val="single" w:sz="4" w:space="0" w:color="auto"/>
            </w:tcBorders>
          </w:tcPr>
          <w:p w:rsidR="00C751EE" w:rsidRPr="002A270F" w:rsidP="00C751EE">
            <w:pPr>
              <w:jc w:val="center"/>
              <w:rPr>
                <w:sz w:val="20"/>
              </w:rPr>
            </w:pPr>
            <w:r>
              <w:rPr>
                <w:sz w:val="20"/>
              </w:rPr>
              <w:t>Z 309/2009</w:t>
            </w: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r>
              <w:rPr>
                <w:sz w:val="20"/>
              </w:rPr>
              <w:t>V 271/2011</w:t>
            </w:r>
          </w:p>
        </w:tc>
        <w:tc>
          <w:tcPr>
            <w:tcW w:w="709" w:type="dxa"/>
            <w:tcBorders>
              <w:top w:val="single" w:sz="4" w:space="0" w:color="auto"/>
              <w:bottom w:val="single" w:sz="4" w:space="0" w:color="auto"/>
            </w:tcBorders>
          </w:tcPr>
          <w:p w:rsidR="00C751EE" w:rsidRPr="002A270F" w:rsidP="00C751EE">
            <w:pPr>
              <w:pStyle w:val="BodyText21"/>
              <w:spacing w:before="0"/>
              <w:jc w:val="center"/>
              <w:rPr>
                <w:lang w:eastAsia="en-US"/>
              </w:rPr>
            </w:pPr>
            <w:r>
              <w:rPr>
                <w:lang w:eastAsia="en-US"/>
              </w:rPr>
              <w:t>§</w:t>
            </w:r>
            <w:r w:rsidRPr="002A270F">
              <w:rPr>
                <w:lang w:eastAsia="en-US"/>
              </w:rPr>
              <w:t>6</w:t>
            </w:r>
          </w:p>
          <w:p w:rsidR="00C751EE" w:rsidRPr="002A270F" w:rsidP="00C751EE">
            <w:pPr>
              <w:pStyle w:val="BodyText21"/>
              <w:spacing w:before="0"/>
              <w:jc w:val="center"/>
              <w:rPr>
                <w:lang w:eastAsia="en-US"/>
              </w:rPr>
            </w:pPr>
            <w:r w:rsidRPr="002A270F">
              <w:rPr>
                <w:lang w:eastAsia="en-US"/>
              </w:rPr>
              <w:t>O2</w:t>
            </w:r>
          </w:p>
          <w:p w:rsidR="00C751EE" w:rsidRPr="002A270F" w:rsidP="00C751EE">
            <w:pPr>
              <w:pStyle w:val="BodyText21"/>
              <w:spacing w:before="0"/>
              <w:jc w:val="center"/>
              <w:rPr>
                <w:lang w:eastAsia="en-US"/>
              </w:rPr>
            </w:pPr>
            <w:r>
              <w:rPr>
                <w:lang w:eastAsia="en-US"/>
              </w:rPr>
              <w:t>P</w:t>
            </w:r>
            <w:r w:rsidRPr="002A270F">
              <w:rPr>
                <w:lang w:eastAsia="en-US"/>
              </w:rPr>
              <w:t>e</w:t>
            </w:r>
          </w:p>
          <w:p w:rsidR="00C751EE" w:rsidRPr="002A270F" w:rsidP="00C751EE">
            <w:pPr>
              <w:pStyle w:val="BodyText21"/>
              <w:spacing w:before="0"/>
              <w:jc w:val="center"/>
              <w:rPr>
                <w:lang w:eastAsia="en-US"/>
              </w:rPr>
            </w:pPr>
          </w:p>
          <w:p w:rsidR="00C751EE" w:rsidRPr="002A270F" w:rsidP="00C751EE">
            <w:pPr>
              <w:pStyle w:val="BodyText21"/>
              <w:spacing w:before="0"/>
              <w:jc w:val="center"/>
              <w:rPr>
                <w:lang w:eastAsia="en-US"/>
              </w:rPr>
            </w:pPr>
            <w:r>
              <w:rPr>
                <w:lang w:eastAsia="en-US"/>
              </w:rPr>
              <w:t>§</w:t>
            </w:r>
            <w:r w:rsidRPr="002A270F">
              <w:rPr>
                <w:lang w:eastAsia="en-US"/>
              </w:rPr>
              <w:t>14</w:t>
            </w:r>
            <w:r w:rsidR="005D71FB">
              <w:rPr>
                <w:lang w:eastAsia="en-US"/>
              </w:rPr>
              <w:t>a</w:t>
            </w:r>
          </w:p>
          <w:p w:rsidR="00C751EE" w:rsidRPr="002A270F" w:rsidP="00C751EE">
            <w:pPr>
              <w:pStyle w:val="BodyText21"/>
              <w:spacing w:before="0"/>
              <w:jc w:val="center"/>
              <w:rPr>
                <w:lang w:eastAsia="en-US"/>
              </w:rPr>
            </w:pPr>
            <w:r w:rsidR="005D71FB">
              <w:rPr>
                <w:lang w:eastAsia="en-US"/>
              </w:rPr>
              <w:t>O</w:t>
            </w:r>
            <w:r w:rsidR="005D71FB">
              <w:rPr>
                <w:lang w:eastAsia="en-US"/>
              </w:rPr>
              <w:t>8</w:t>
            </w:r>
          </w:p>
          <w:p w:rsidR="00C751EE" w:rsidRPr="002A270F" w:rsidP="00C751EE">
            <w:pPr>
              <w:pStyle w:val="BodyText21"/>
              <w:spacing w:before="0"/>
              <w:rPr>
                <w:lang w:eastAsia="en-US"/>
              </w:rPr>
            </w:pPr>
          </w:p>
          <w:p w:rsidR="00C751EE" w:rsidRPr="002A270F" w:rsidP="00C751EE">
            <w:pPr>
              <w:pStyle w:val="BodyText21"/>
              <w:spacing w:before="0"/>
              <w:rPr>
                <w:lang w:eastAsia="en-US"/>
              </w:rPr>
            </w:pPr>
          </w:p>
          <w:p w:rsidR="00C751EE" w:rsidRPr="002A270F" w:rsidP="004B3966">
            <w:pPr>
              <w:pStyle w:val="BodyText21"/>
              <w:spacing w:before="0"/>
              <w:jc w:val="center"/>
              <w:rPr>
                <w:lang w:eastAsia="en-US"/>
              </w:rPr>
            </w:pPr>
            <w:r>
              <w:rPr>
                <w:lang w:eastAsia="en-US"/>
              </w:rPr>
              <w:t>§</w:t>
            </w:r>
            <w:r w:rsidRPr="002A270F">
              <w:rPr>
                <w:lang w:eastAsia="en-US"/>
              </w:rPr>
              <w:t>3</w:t>
            </w:r>
          </w:p>
          <w:p w:rsidR="00C751EE" w:rsidRPr="002A270F" w:rsidP="004B3966">
            <w:pPr>
              <w:pStyle w:val="BodyText21"/>
              <w:spacing w:before="0"/>
              <w:jc w:val="center"/>
              <w:rPr>
                <w:lang w:eastAsia="en-US"/>
              </w:rPr>
            </w:pPr>
            <w:r w:rsidRPr="002A270F">
              <w:rPr>
                <w:lang w:eastAsia="en-US"/>
              </w:rPr>
              <w:t>O10</w:t>
            </w:r>
          </w:p>
        </w:tc>
        <w:tc>
          <w:tcPr>
            <w:tcW w:w="4110" w:type="dxa"/>
            <w:tcBorders>
              <w:top w:val="single" w:sz="4" w:space="0" w:color="auto"/>
              <w:bottom w:val="single" w:sz="4" w:space="0" w:color="auto"/>
            </w:tcBorders>
          </w:tcPr>
          <w:p w:rsidR="00C751EE" w:rsidRPr="004B3966" w:rsidP="00C751EE">
            <w:pPr>
              <w:pStyle w:val="FootnoteText"/>
              <w:jc w:val="both"/>
              <w:rPr>
                <w:sz w:val="20"/>
                <w:lang w:eastAsia="en-US"/>
              </w:rPr>
            </w:pPr>
            <w:r w:rsidRPr="004B3966">
              <w:rPr>
                <w:sz w:val="20"/>
                <w:lang w:eastAsia="en-US"/>
              </w:rPr>
              <w:t>e) plnenie kritérií trvalej udržateľnosti, ak sa na výrobu elektriny použila biokvapalina.</w:t>
            </w:r>
          </w:p>
          <w:p w:rsidR="00C751EE" w:rsidRPr="004B3966" w:rsidP="00C751EE">
            <w:pPr>
              <w:pStyle w:val="FootnoteText"/>
              <w:jc w:val="both"/>
              <w:rPr>
                <w:sz w:val="20"/>
                <w:lang w:eastAsia="en-US"/>
              </w:rPr>
            </w:pPr>
          </w:p>
          <w:p w:rsidR="00C751EE" w:rsidRPr="004B3966" w:rsidP="00C751EE">
            <w:pPr>
              <w:pStyle w:val="FootnoteText"/>
              <w:jc w:val="both"/>
              <w:rPr>
                <w:sz w:val="20"/>
                <w:lang w:eastAsia="en-US"/>
              </w:rPr>
            </w:pPr>
          </w:p>
          <w:p w:rsidR="00C751EE" w:rsidRPr="004B3966" w:rsidP="00C751EE">
            <w:pPr>
              <w:jc w:val="both"/>
              <w:rPr>
                <w:sz w:val="20"/>
                <w:lang w:eastAsia="en-US"/>
              </w:rPr>
            </w:pPr>
            <w:r w:rsidRPr="004B3966" w:rsidR="005D71FB">
              <w:rPr>
                <w:sz w:val="20"/>
                <w:lang w:eastAsia="en-US"/>
              </w:rPr>
              <w:t>(8</w:t>
            </w:r>
            <w:r w:rsidRPr="004B3966">
              <w:rPr>
                <w:sz w:val="20"/>
                <w:lang w:eastAsia="en-US"/>
              </w:rPr>
              <w:t xml:space="preserve">) </w:t>
            </w:r>
            <w:r w:rsidRPr="004B3966" w:rsidR="005D71FB">
              <w:rPr>
                <w:sz w:val="20"/>
                <w:lang w:eastAsia="en-US"/>
              </w:rPr>
              <w:t>Na účely plnenia povinností podľa odseku 1 a 3 sa započítavajú len biopalivá, ktoré spĺňajú kritériá trvalej udržateľnosti podľa</w:t>
            </w:r>
            <w:r w:rsidRPr="004B3966" w:rsidR="005C606C">
              <w:rPr>
                <w:sz w:val="20"/>
                <w:lang w:eastAsia="en-US"/>
              </w:rPr>
              <w:t xml:space="preserve"> </w:t>
            </w:r>
            <w:r w:rsidRPr="004B3966" w:rsidR="005D71FB">
              <w:rPr>
                <w:sz w:val="20"/>
                <w:lang w:eastAsia="en-US"/>
              </w:rPr>
              <w:t xml:space="preserve">§ 19b ods. 1 písm. </w:t>
            </w:r>
            <w:r w:rsidRPr="004B3966" w:rsidR="005D71FB">
              <w:rPr>
                <w:sz w:val="20"/>
                <w:lang w:eastAsia="en-US"/>
              </w:rPr>
              <w:t>a)</w:t>
            </w:r>
            <w:r w:rsidRPr="004B3966">
              <w:rPr>
                <w:sz w:val="20"/>
                <w:lang w:eastAsia="en-US"/>
              </w:rPr>
              <w:t>.</w:t>
            </w:r>
          </w:p>
          <w:p w:rsidR="00C751EE" w:rsidRPr="004B3966" w:rsidP="00C751EE">
            <w:pPr>
              <w:jc w:val="both"/>
              <w:rPr>
                <w:sz w:val="20"/>
                <w:lang w:eastAsia="en-US"/>
              </w:rPr>
            </w:pPr>
          </w:p>
          <w:p w:rsidR="00C751EE" w:rsidRPr="004B3966" w:rsidP="00C751EE">
            <w:pPr>
              <w:autoSpaceDE w:val="0"/>
              <w:autoSpaceDN w:val="0"/>
              <w:adjustRightInd w:val="0"/>
              <w:jc w:val="both"/>
              <w:rPr>
                <w:sz w:val="20"/>
                <w:lang w:eastAsia="en-US"/>
              </w:rPr>
            </w:pPr>
            <w:r w:rsidRPr="004B3966">
              <w:rPr>
                <w:sz w:val="20"/>
                <w:lang w:eastAsia="en-US"/>
              </w:rPr>
              <w:t xml:space="preserve">(10) </w:t>
            </w:r>
            <w:r w:rsidRPr="004B3966" w:rsidR="00C214D8">
              <w:rPr>
                <w:sz w:val="20"/>
                <w:lang w:eastAsia="en-US"/>
              </w:rPr>
              <w:t>Biopalivá a biokvapaliny, ktoré nespĺňajú podmienky uvedené v odsekoch 2 až 9, nespĺňajú kritériá trvalej udržateľnosti. Pre biopalivá a biokvapaliny vyrobené z odpadu a zvyškov, okrem poľnohospodárskych, akvakultúrnych, rybárskych a lesníckych zvyškov, stačí, ak spĺňajú kritériá trvalej udržateľnosti podľa odsekov 2 až 4 a § 11</w:t>
            </w:r>
            <w:r w:rsidRPr="004B3966">
              <w:rPr>
                <w:sz w:val="20"/>
                <w:lang w:eastAsia="en-US"/>
              </w:rPr>
              <w:t>.</w:t>
            </w:r>
          </w:p>
        </w:tc>
        <w:tc>
          <w:tcPr>
            <w:tcW w:w="709" w:type="dxa"/>
            <w:tcBorders>
              <w:top w:val="single" w:sz="4" w:space="0" w:color="auto"/>
              <w:bottom w:val="single" w:sz="4" w:space="0" w:color="auto"/>
            </w:tcBorders>
          </w:tcPr>
          <w:p w:rsidR="00C751EE" w:rsidRPr="002A270F" w:rsidP="00C751EE">
            <w:pPr>
              <w:jc w:val="center"/>
              <w:rPr>
                <w:rFonts w:ascii="EUAlbertina" w:hAnsi="EUAlbertina" w:cs="EUAlbertina"/>
                <w:sz w:val="20"/>
                <w:lang w:eastAsia="sk-SK"/>
              </w:rPr>
            </w:pPr>
            <w:r w:rsidRPr="002A270F">
              <w:rPr>
                <w:rFonts w:ascii="EUAlbertina" w:hAnsi="EUAlbertina" w:cs="EUAlbertina"/>
                <w:sz w:val="20"/>
                <w:lang w:eastAsia="sk-SK"/>
              </w:rPr>
              <w:t>Ú</w:t>
            </w: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2A270F"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P="00C751EE">
            <w:pPr>
              <w:jc w:val="both"/>
              <w:rPr>
                <w:rFonts w:ascii="EUAlbertina" w:hAnsi="EUAlbertina" w:cs="EUAlbertina"/>
                <w:sz w:val="20"/>
                <w:lang w:eastAsia="sk-SK"/>
              </w:rPr>
            </w:pPr>
            <w:r w:rsidRPr="002A270F">
              <w:rPr>
                <w:rFonts w:ascii="EUAlbertina" w:hAnsi="EUAlbertina" w:cs="EUAlbertina"/>
                <w:sz w:val="20"/>
                <w:lang w:eastAsia="sk-SK"/>
              </w:rPr>
              <w:t>Č7b</w:t>
            </w:r>
          </w:p>
          <w:p w:rsidR="00C751EE" w:rsidRPr="002A270F" w:rsidP="00C751EE">
            <w:pPr>
              <w:jc w:val="both"/>
              <w:rPr>
                <w:rFonts w:ascii="EUAlbertina" w:hAnsi="EUAlbertina" w:cs="EUAlbertina"/>
                <w:sz w:val="20"/>
                <w:lang w:eastAsia="sk-SK"/>
              </w:rPr>
            </w:pPr>
            <w:r>
              <w:rPr>
                <w:rFonts w:ascii="EUAlbertina" w:hAnsi="EUAlbertina" w:cs="EUAlbertina"/>
                <w:sz w:val="20"/>
                <w:lang w:eastAsia="sk-SK"/>
              </w:rPr>
              <w:t>O2</w:t>
            </w:r>
          </w:p>
        </w:tc>
        <w:tc>
          <w:tcPr>
            <w:tcW w:w="5245" w:type="dxa"/>
            <w:tcBorders>
              <w:top w:val="single" w:sz="4" w:space="0" w:color="auto"/>
              <w:bottom w:val="single" w:sz="4" w:space="0" w:color="auto"/>
            </w:tcBorders>
          </w:tcPr>
          <w:p w:rsidR="00C751EE" w:rsidRPr="004D1DCA" w:rsidP="00305C2D">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2. Úspora emisií skleníkových plynov vyplývajúca z využívania</w:t>
            </w:r>
          </w:p>
          <w:p w:rsidR="00305C2D" w:rsidRPr="004D1DCA" w:rsidP="00305C2D">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biopalív, ktorá</w:t>
            </w:r>
            <w:r w:rsidRPr="004D1DCA" w:rsidR="00C751EE">
              <w:rPr>
                <w:rFonts w:ascii="TimesNewRoman" w:hAnsi="TimesNewRoman" w:cs="TimesNewRoman"/>
                <w:sz w:val="20"/>
                <w:lang w:eastAsia="sk-SK"/>
              </w:rPr>
              <w:t xml:space="preserve"> sa zohľadň</w:t>
            </w:r>
            <w:r w:rsidRPr="004D1DCA">
              <w:rPr>
                <w:rFonts w:ascii="TimesNewRoman" w:hAnsi="TimesNewRoman" w:cs="TimesNewRoman"/>
                <w:sz w:val="20"/>
                <w:lang w:eastAsia="sk-SK"/>
              </w:rPr>
              <w:t>uje</w:t>
            </w:r>
            <w:r w:rsidRPr="004D1DCA" w:rsidR="00C751EE">
              <w:rPr>
                <w:rFonts w:ascii="TimesNewRoman" w:hAnsi="TimesNewRoman" w:cs="TimesNewRoman"/>
                <w:sz w:val="20"/>
                <w:lang w:eastAsia="sk-SK"/>
              </w:rPr>
              <w:t xml:space="preserve"> na účely uvedené v odseku 1, </w:t>
            </w:r>
            <w:r w:rsidRPr="004D1DCA">
              <w:rPr>
                <w:rFonts w:ascii="TimesNewRoman" w:hAnsi="TimesNewRoman" w:cs="TimesNewRoman"/>
                <w:sz w:val="20"/>
                <w:lang w:eastAsia="sk-SK"/>
              </w:rPr>
              <w:t>dosahuje</w:t>
            </w:r>
            <w:r w:rsidRPr="004D1DCA" w:rsidR="00C751EE">
              <w:rPr>
                <w:rFonts w:ascii="TimesNewRoman" w:hAnsi="TimesNewRoman" w:cs="TimesNewRoman"/>
                <w:sz w:val="20"/>
                <w:lang w:eastAsia="sk-SK"/>
              </w:rPr>
              <w:t xml:space="preserve"> aspoň </w:t>
            </w:r>
            <w:r w:rsidRPr="004D1DCA">
              <w:rPr>
                <w:rFonts w:ascii="TimesNewRoman" w:hAnsi="TimesNewRoman" w:cs="TimesNewRoman"/>
                <w:sz w:val="20"/>
                <w:lang w:eastAsia="sk-SK"/>
              </w:rPr>
              <w:t>60</w:t>
            </w:r>
            <w:r w:rsidRPr="004D1DCA" w:rsidR="00C751EE">
              <w:rPr>
                <w:rFonts w:ascii="TimesNewRoman" w:hAnsi="TimesNewRoman" w:cs="TimesNewRoman"/>
                <w:sz w:val="20"/>
                <w:lang w:eastAsia="sk-SK"/>
              </w:rPr>
              <w:t xml:space="preserve"> %</w:t>
            </w:r>
            <w:r w:rsidRPr="004D1DCA">
              <w:rPr>
                <w:rFonts w:ascii="TimesNewRoman" w:hAnsi="TimesNewRoman" w:cs="TimesNewRoman"/>
                <w:sz w:val="20"/>
                <w:lang w:eastAsia="sk-SK"/>
              </w:rPr>
              <w:t xml:space="preserve"> v prípade biopalív vyrábaných zariadeniami, ktoré začali prevádzku po 5. októbri 2015</w:t>
            </w:r>
            <w:r w:rsidRPr="004D1DCA" w:rsidR="00C751EE">
              <w:rPr>
                <w:rFonts w:ascii="TimesNewRoman" w:hAnsi="TimesNewRoman" w:cs="TimesNewRoman"/>
                <w:sz w:val="20"/>
                <w:lang w:eastAsia="sk-SK"/>
              </w:rPr>
              <w:t xml:space="preserve">. </w:t>
            </w:r>
            <w:r w:rsidRPr="004D1DCA">
              <w:rPr>
                <w:rFonts w:ascii="TimesNewRoman" w:hAnsi="TimesNewRoman" w:cs="TimesNewRoman"/>
                <w:sz w:val="20"/>
                <w:lang w:eastAsia="sk-SK"/>
              </w:rPr>
              <w:t xml:space="preserve">Zariadenie sa považuje v prevádzke, ak sa uskutočnila fyzická výroba biopalív. </w:t>
            </w:r>
          </w:p>
          <w:p w:rsidR="00305C2D" w:rsidRPr="004D1DCA" w:rsidP="00305C2D">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V prípade zariadení, ktoré boli v prevádzke k 5. októbru 2015 alebo pred týmto dátumom, na úč</w:t>
            </w:r>
            <w:r w:rsidRPr="004D1DCA">
              <w:rPr>
                <w:rFonts w:ascii="TimesNewRoman" w:hAnsi="TimesNewRoman" w:cs="TimesNewRoman"/>
                <w:sz w:val="20"/>
                <w:lang w:eastAsia="sk-SK"/>
              </w:rPr>
              <w:t>ely uvedené v odseku 1 dosahujú biopalivá do 31. decembra 2017 úsporu emisií skleníkových plynov najmenej 35 % a od 1. januára 2018 najmenej 50 %.</w:t>
            </w:r>
          </w:p>
          <w:p w:rsidR="00305C2D" w:rsidRPr="004D1DCA" w:rsidP="00305C2D">
            <w:pPr>
              <w:autoSpaceDE w:val="0"/>
              <w:autoSpaceDN w:val="0"/>
              <w:adjustRightInd w:val="0"/>
              <w:jc w:val="both"/>
              <w:rPr>
                <w:rFonts w:ascii="TimesNewRoman" w:hAnsi="TimesNewRoman" w:cs="TimesNewRoman"/>
                <w:sz w:val="20"/>
                <w:lang w:eastAsia="sk-SK"/>
              </w:rPr>
            </w:pPr>
            <w:r w:rsidRPr="004D1DCA">
              <w:rPr>
                <w:rFonts w:ascii="TimesNewRoman" w:hAnsi="TimesNewRoman" w:cs="TimesNewRoman"/>
                <w:sz w:val="20"/>
                <w:lang w:eastAsia="sk-SK"/>
              </w:rPr>
              <w:t>Úspora emisií skleníkových plynov vyplývajúca z využívania biopalív sa vypočíta v súlade s článkom 7d ods. 1.</w:t>
            </w:r>
          </w:p>
          <w:p w:rsidR="00C751EE" w:rsidRPr="004D1DCA" w:rsidP="00305C2D">
            <w:pPr>
              <w:autoSpaceDE w:val="0"/>
              <w:autoSpaceDN w:val="0"/>
              <w:adjustRightInd w:val="0"/>
              <w:jc w:val="both"/>
              <w:rPr>
                <w:rFonts w:ascii="TimesNewRoman" w:hAnsi="TimesNewRoman" w:cs="TimesNewRoman"/>
                <w:sz w:val="20"/>
                <w:lang w:eastAsia="sk-SK"/>
              </w:rPr>
            </w:pPr>
          </w:p>
          <w:p w:rsidR="00C751EE" w:rsidRPr="004D1DCA" w:rsidP="00305C2D">
            <w:pPr>
              <w:autoSpaceDE w:val="0"/>
              <w:autoSpaceDN w:val="0"/>
              <w:adjustRightInd w:val="0"/>
              <w:jc w:val="both"/>
              <w:rPr>
                <w:rFonts w:ascii="TimesNewRoman" w:hAnsi="TimesNewRoman" w:cs="TimesNewRoman"/>
                <w:sz w:val="20"/>
                <w:lang w:eastAsia="sk-SK"/>
              </w:rPr>
            </w:pPr>
          </w:p>
          <w:p w:rsidR="00C751EE" w:rsidRPr="004D1DCA" w:rsidP="00305C2D">
            <w:pPr>
              <w:autoSpaceDE w:val="0"/>
              <w:autoSpaceDN w:val="0"/>
              <w:adjustRightInd w:val="0"/>
              <w:jc w:val="both"/>
              <w:rPr>
                <w:rFonts w:ascii="EUAlbertina" w:hAnsi="EUAlbertina" w:cs="EUAlbertina"/>
                <w:sz w:val="20"/>
                <w:lang w:eastAsia="sk-SK"/>
              </w:rPr>
            </w:pPr>
          </w:p>
        </w:tc>
        <w:tc>
          <w:tcPr>
            <w:tcW w:w="567" w:type="dxa"/>
            <w:tcBorders>
              <w:top w:val="single" w:sz="4" w:space="0" w:color="auto"/>
              <w:bottom w:val="single" w:sz="4" w:space="0" w:color="auto"/>
            </w:tcBorders>
          </w:tcPr>
          <w:p w:rsidR="00C751EE" w:rsidRPr="002A270F" w:rsidP="00C751EE">
            <w:pPr>
              <w:jc w:val="both"/>
              <w:rPr>
                <w:rFonts w:ascii="EUAlbertina" w:hAnsi="EUAlbertina" w:cs="EUAlbertina"/>
                <w:sz w:val="20"/>
                <w:lang w:eastAsia="sk-SK"/>
              </w:rPr>
            </w:pPr>
            <w:r w:rsidRPr="002A270F">
              <w:rPr>
                <w:rFonts w:ascii="EUAlbertina" w:hAnsi="EUAlbertina" w:cs="EUAlbertina"/>
                <w:sz w:val="20"/>
                <w:lang w:eastAsia="sk-SK"/>
              </w:rPr>
              <w:t>N</w:t>
            </w: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p w:rsidR="00C751EE" w:rsidP="00C751EE">
            <w:pPr>
              <w:jc w:val="both"/>
              <w:rPr>
                <w:rFonts w:ascii="EUAlbertina" w:hAnsi="EUAlbertina" w:cs="EUAlbertina"/>
                <w:sz w:val="20"/>
                <w:lang w:eastAsia="sk-SK"/>
              </w:rPr>
            </w:pPr>
          </w:p>
          <w:p w:rsidR="00C751EE" w:rsidRPr="002A270F"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2A270F" w:rsidP="00C751EE">
            <w:pPr>
              <w:jc w:val="center"/>
              <w:rPr>
                <w:rFonts w:ascii="EUAlbertina" w:hAnsi="EUAlbertina" w:cs="EUAlbertina"/>
                <w:sz w:val="20"/>
                <w:lang w:eastAsia="sk-SK"/>
              </w:rPr>
            </w:pPr>
            <w:r>
              <w:rPr>
                <w:sz w:val="20"/>
              </w:rPr>
              <w:t>V 271/2011</w:t>
            </w:r>
          </w:p>
        </w:tc>
        <w:tc>
          <w:tcPr>
            <w:tcW w:w="709" w:type="dxa"/>
            <w:tcBorders>
              <w:top w:val="single" w:sz="4" w:space="0" w:color="auto"/>
              <w:bottom w:val="single" w:sz="4" w:space="0" w:color="auto"/>
            </w:tcBorders>
          </w:tcPr>
          <w:p w:rsidR="00C751EE" w:rsidP="00C751EE">
            <w:pPr>
              <w:pStyle w:val="BodyText21"/>
              <w:jc w:val="center"/>
              <w:rPr>
                <w:lang w:eastAsia="en-US"/>
              </w:rPr>
            </w:pPr>
            <w:r w:rsidR="001525D5">
              <w:rPr>
                <w:lang w:eastAsia="en-US"/>
              </w:rPr>
              <w:t>§3</w:t>
            </w:r>
          </w:p>
          <w:p w:rsidR="001525D5" w:rsidRPr="002A270F" w:rsidP="00C751EE">
            <w:pPr>
              <w:pStyle w:val="BodyText21"/>
              <w:jc w:val="center"/>
              <w:rPr>
                <w:lang w:eastAsia="en-US"/>
              </w:rPr>
            </w:pPr>
            <w:r>
              <w:rPr>
                <w:lang w:eastAsia="en-US"/>
              </w:rPr>
              <w:t>O3</w:t>
            </w:r>
          </w:p>
        </w:tc>
        <w:tc>
          <w:tcPr>
            <w:tcW w:w="4110" w:type="dxa"/>
            <w:tcBorders>
              <w:top w:val="single" w:sz="4" w:space="0" w:color="auto"/>
              <w:bottom w:val="single" w:sz="4" w:space="0" w:color="auto"/>
            </w:tcBorders>
          </w:tcPr>
          <w:p w:rsidR="00C751EE" w:rsidRPr="004B3966" w:rsidP="001525D5">
            <w:pPr>
              <w:autoSpaceDE w:val="0"/>
              <w:autoSpaceDN w:val="0"/>
              <w:adjustRightInd w:val="0"/>
              <w:jc w:val="both"/>
              <w:rPr>
                <w:sz w:val="20"/>
                <w:lang w:eastAsia="en-US"/>
              </w:rPr>
            </w:pPr>
            <w:r w:rsidRPr="004B3966" w:rsidR="001525D5">
              <w:rPr>
                <w:sz w:val="20"/>
                <w:lang w:eastAsia="en-US"/>
              </w:rPr>
              <w:t>(3) Biopalivá alebo biokvapaliny spĺňajú kritériá trvalej udržateľnosti podľa odseku 1, ak</w:t>
            </w:r>
          </w:p>
          <w:p w:rsidR="001525D5" w:rsidRPr="004B3966" w:rsidP="001525D5">
            <w:pPr>
              <w:autoSpaceDE w:val="0"/>
              <w:autoSpaceDN w:val="0"/>
              <w:adjustRightInd w:val="0"/>
              <w:jc w:val="both"/>
              <w:rPr>
                <w:sz w:val="20"/>
                <w:lang w:eastAsia="en-US"/>
              </w:rPr>
            </w:pPr>
            <w:r w:rsidRPr="004B3966">
              <w:rPr>
                <w:sz w:val="20"/>
                <w:lang w:eastAsia="en-US"/>
              </w:rPr>
              <w:t>a) od 1. januára 2018 predstavuje úspora emisií skleníkových plynov najmenej 50 % pre biopalivá</w:t>
            </w:r>
            <w:r w:rsidRPr="004B3966" w:rsidR="00527E1D">
              <w:rPr>
                <w:sz w:val="20"/>
                <w:lang w:eastAsia="en-US"/>
              </w:rPr>
              <w:t xml:space="preserve"> </w:t>
            </w:r>
            <w:r w:rsidRPr="004B3966">
              <w:rPr>
                <w:sz w:val="20"/>
                <w:lang w:eastAsia="en-US"/>
              </w:rPr>
              <w:t>a biokvapaliny vyrobené v zariadeniach, v ktorých sa začala fyzická výroba biopalív alebo</w:t>
            </w:r>
            <w:r w:rsidRPr="004B3966" w:rsidR="00527E1D">
              <w:rPr>
                <w:sz w:val="20"/>
                <w:lang w:eastAsia="en-US"/>
              </w:rPr>
              <w:t xml:space="preserve"> </w:t>
            </w:r>
            <w:r w:rsidRPr="004B3966">
              <w:rPr>
                <w:sz w:val="20"/>
                <w:lang w:eastAsia="en-US"/>
              </w:rPr>
              <w:t>biokvapalín pred 5. októbrom 2015,</w:t>
            </w:r>
          </w:p>
          <w:p w:rsidR="001525D5" w:rsidRPr="004B3966" w:rsidP="001525D5">
            <w:pPr>
              <w:autoSpaceDE w:val="0"/>
              <w:autoSpaceDN w:val="0"/>
              <w:adjustRightInd w:val="0"/>
              <w:jc w:val="both"/>
              <w:rPr>
                <w:sz w:val="20"/>
                <w:lang w:eastAsia="en-US"/>
              </w:rPr>
            </w:pPr>
            <w:r w:rsidRPr="004B3966">
              <w:rPr>
                <w:sz w:val="20"/>
                <w:lang w:eastAsia="en-US"/>
              </w:rPr>
              <w:t>b) predstavuje úspora emisií skleníkových plynov najmenej 60 % pre biopalivá a biokvapaliny vyrobené v zariadeniach, v ktorých sa začala fyzická výroba biopalív a</w:t>
            </w:r>
            <w:r w:rsidRPr="004B3966">
              <w:rPr>
                <w:sz w:val="20"/>
                <w:lang w:eastAsia="en-US"/>
              </w:rPr>
              <w:t>lebo biokvapalín po 5. októbri 2015.</w:t>
            </w:r>
          </w:p>
        </w:tc>
        <w:tc>
          <w:tcPr>
            <w:tcW w:w="709" w:type="dxa"/>
            <w:tcBorders>
              <w:top w:val="single" w:sz="4" w:space="0" w:color="auto"/>
              <w:bottom w:val="single" w:sz="4" w:space="0" w:color="auto"/>
            </w:tcBorders>
          </w:tcPr>
          <w:p w:rsidR="00C751EE" w:rsidRPr="002A270F" w:rsidP="00C751EE">
            <w:pPr>
              <w:jc w:val="center"/>
              <w:rPr>
                <w:rFonts w:ascii="EUAlbertina" w:hAnsi="EUAlbertina" w:cs="EUAlbertina"/>
                <w:sz w:val="20"/>
                <w:lang w:eastAsia="sk-SK"/>
              </w:rPr>
            </w:pPr>
            <w:r w:rsidRPr="002A270F">
              <w:rPr>
                <w:rFonts w:ascii="EUAlbertina" w:hAnsi="EUAlbertina" w:cs="EUAlbertina"/>
                <w:sz w:val="20"/>
                <w:lang w:eastAsia="sk-SK"/>
              </w:rPr>
              <w:t>Ú</w:t>
            </w: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p w:rsidR="00C751EE" w:rsidRPr="002A270F"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2A270F"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RPr="003F508A" w:rsidP="00C751EE">
            <w:pPr>
              <w:jc w:val="both"/>
              <w:rPr>
                <w:rFonts w:ascii="EUAlbertina" w:hAnsi="EUAlbertina" w:cs="EUAlbertina"/>
                <w:sz w:val="20"/>
                <w:lang w:eastAsia="sk-SK"/>
              </w:rPr>
            </w:pPr>
            <w:r w:rsidRPr="003F508A">
              <w:rPr>
                <w:rFonts w:ascii="EUAlbertina" w:hAnsi="EUAlbertina" w:cs="EUAlbertina"/>
                <w:sz w:val="20"/>
                <w:lang w:eastAsia="sk-SK"/>
              </w:rPr>
              <w:t>Č7b</w:t>
            </w:r>
          </w:p>
          <w:p w:rsidR="00C751EE" w:rsidRPr="003F508A" w:rsidP="00C751EE">
            <w:pPr>
              <w:jc w:val="both"/>
              <w:rPr>
                <w:rFonts w:ascii="EUAlbertina" w:hAnsi="EUAlbertina" w:cs="EUAlbertina"/>
                <w:sz w:val="20"/>
                <w:lang w:eastAsia="sk-SK"/>
              </w:rPr>
            </w:pPr>
            <w:r w:rsidRPr="003F508A">
              <w:rPr>
                <w:rFonts w:ascii="EUAlbertina" w:hAnsi="EUAlbertina" w:cs="EUAlbertina"/>
                <w:sz w:val="20"/>
                <w:lang w:eastAsia="sk-SK"/>
              </w:rPr>
              <w:t>O3</w:t>
            </w:r>
          </w:p>
        </w:tc>
        <w:tc>
          <w:tcPr>
            <w:tcW w:w="5245" w:type="dxa"/>
            <w:tcBorders>
              <w:top w:val="single" w:sz="4" w:space="0" w:color="auto"/>
              <w:bottom w:val="single" w:sz="4" w:space="0" w:color="auto"/>
            </w:tcBorders>
          </w:tcPr>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3. Biopalivá zoh</w:t>
            </w:r>
            <w:r w:rsidRPr="003F508A">
              <w:rPr>
                <w:rFonts w:ascii="TimesNewRoman+01" w:hAnsi="TimesNewRoman+01" w:cs="TimesNewRoman+01"/>
                <w:sz w:val="20"/>
                <w:lang w:eastAsia="sk-SK"/>
              </w:rPr>
              <w:t>ľ</w:t>
            </w:r>
            <w:r w:rsidRPr="003F508A">
              <w:rPr>
                <w:rFonts w:ascii="TimesNewRoman" w:hAnsi="TimesNewRoman" w:cs="TimesNewRoman"/>
                <w:sz w:val="20"/>
                <w:lang w:eastAsia="sk-SK"/>
              </w:rPr>
              <w:t>adnené na ú</w:t>
            </w:r>
            <w:r w:rsidRPr="003F508A">
              <w:rPr>
                <w:rFonts w:ascii="TimesNewRoman+01" w:hAnsi="TimesNewRoman+01" w:cs="TimesNewRoman+01"/>
                <w:sz w:val="20"/>
                <w:lang w:eastAsia="sk-SK"/>
              </w:rPr>
              <w:t>č</w:t>
            </w:r>
            <w:r w:rsidRPr="003F508A">
              <w:rPr>
                <w:rFonts w:ascii="TimesNewRoman" w:hAnsi="TimesNewRoman" w:cs="TimesNewRoman"/>
                <w:sz w:val="20"/>
                <w:lang w:eastAsia="sk-SK"/>
              </w:rPr>
              <w:t>ely uvedené v odseku 1 nesmú by</w:t>
            </w:r>
            <w:r w:rsidRPr="003F508A">
              <w:rPr>
                <w:rFonts w:ascii="TimesNewRoman+01" w:hAnsi="TimesNewRoman+01" w:cs="TimesNewRoman+01"/>
                <w:sz w:val="20"/>
                <w:lang w:eastAsia="sk-SK"/>
              </w:rPr>
              <w:t xml:space="preserve">ť </w:t>
            </w:r>
            <w:r w:rsidRPr="003F508A">
              <w:rPr>
                <w:rFonts w:ascii="TimesNewRoman" w:hAnsi="TimesNewRoman" w:cs="TimesNewRoman"/>
                <w:sz w:val="20"/>
                <w:lang w:eastAsia="sk-SK"/>
              </w:rPr>
              <w:t>vyrobené zo surovín získaných z pôdy s vysokou hodnotou z h</w:t>
            </w:r>
            <w:r w:rsidRPr="003F508A">
              <w:rPr>
                <w:rFonts w:ascii="TimesNewRoman+01" w:hAnsi="TimesNewRoman+01" w:cs="TimesNewRoman+01"/>
                <w:sz w:val="20"/>
                <w:lang w:eastAsia="sk-SK"/>
              </w:rPr>
              <w:t>ľ</w:t>
            </w:r>
            <w:r w:rsidRPr="003F508A">
              <w:rPr>
                <w:rFonts w:ascii="TimesNewRoman" w:hAnsi="TimesNewRoman" w:cs="TimesNewRoman"/>
                <w:sz w:val="20"/>
                <w:lang w:eastAsia="sk-SK"/>
              </w:rPr>
              <w:t>adiska biodiverzity, t. j. pôdy, ktorá mala v alebo po januári 2008 aleb</w:t>
            </w:r>
            <w:r w:rsidRPr="003F508A">
              <w:rPr>
                <w:rFonts w:ascii="TimesNewRoman" w:hAnsi="TimesNewRoman" w:cs="TimesNewRoman"/>
                <w:sz w:val="20"/>
                <w:lang w:eastAsia="sk-SK"/>
              </w:rPr>
              <w:t>o po tomto dni, bez oh</w:t>
            </w:r>
            <w:r w:rsidRPr="003F508A">
              <w:rPr>
                <w:rFonts w:ascii="TimesNewRoman+01" w:hAnsi="TimesNewRoman+01" w:cs="TimesNewRoman+01"/>
                <w:sz w:val="20"/>
                <w:lang w:eastAsia="sk-SK"/>
              </w:rPr>
              <w:t>ľ</w:t>
            </w:r>
            <w:r w:rsidRPr="003F508A">
              <w:rPr>
                <w:rFonts w:ascii="TimesNewRoman" w:hAnsi="TimesNewRoman" w:cs="TimesNewRoman"/>
                <w:sz w:val="20"/>
                <w:lang w:eastAsia="sk-SK"/>
              </w:rPr>
              <w:t xml:space="preserve">adu na to, </w:t>
            </w:r>
            <w:r w:rsidRPr="003F508A">
              <w:rPr>
                <w:rFonts w:ascii="TimesNewRoman+01" w:hAnsi="TimesNewRoman+01" w:cs="TimesNewRoman+01"/>
                <w:sz w:val="20"/>
                <w:lang w:eastAsia="sk-SK"/>
              </w:rPr>
              <w:t>č</w:t>
            </w:r>
            <w:r w:rsidRPr="003F508A">
              <w:rPr>
                <w:rFonts w:ascii="TimesNewRoman" w:hAnsi="TimesNewRoman" w:cs="TimesNewRoman"/>
                <w:sz w:val="20"/>
                <w:lang w:eastAsia="sk-SK"/>
              </w:rPr>
              <w:t>i e</w:t>
            </w:r>
            <w:r w:rsidRPr="003F508A">
              <w:rPr>
                <w:rFonts w:ascii="TimesNewRoman+01" w:hAnsi="TimesNewRoman+01" w:cs="TimesNewRoman+01"/>
                <w:sz w:val="20"/>
                <w:lang w:eastAsia="sk-SK"/>
              </w:rPr>
              <w:t>š</w:t>
            </w:r>
            <w:r w:rsidRPr="003F508A">
              <w:rPr>
                <w:rFonts w:ascii="TimesNewRoman" w:hAnsi="TimesNewRoman" w:cs="TimesNewRoman"/>
                <w:sz w:val="20"/>
                <w:lang w:eastAsia="sk-SK"/>
              </w:rPr>
              <w:t>te stále má, status:</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 xml:space="preserve">a) pralesa a inej zalesnenej plochy, to znamená les a iné zalesnené plochy s prirodzene sa vyskytujúcimi druhmi bez zjavných známok </w:t>
            </w:r>
            <w:r w:rsidRPr="003F508A">
              <w:rPr>
                <w:rFonts w:ascii="TimesNewRoman+01" w:hAnsi="TimesNewRoman+01" w:cs="TimesNewRoman+01"/>
                <w:sz w:val="20"/>
                <w:lang w:eastAsia="sk-SK"/>
              </w:rPr>
              <w:t>ľ</w:t>
            </w:r>
            <w:r w:rsidRPr="003F508A">
              <w:rPr>
                <w:rFonts w:ascii="TimesNewRoman" w:hAnsi="TimesNewRoman" w:cs="TimesNewRoman"/>
                <w:sz w:val="20"/>
                <w:lang w:eastAsia="sk-SK"/>
              </w:rPr>
              <w:t xml:space="preserve">udskej </w:t>
            </w:r>
            <w:r w:rsidRPr="003F508A">
              <w:rPr>
                <w:rFonts w:ascii="TimesNewRoman+01" w:hAnsi="TimesNewRoman+01" w:cs="TimesNewRoman+01"/>
                <w:sz w:val="20"/>
                <w:lang w:eastAsia="sk-SK"/>
              </w:rPr>
              <w:t>č</w:t>
            </w:r>
            <w:r w:rsidRPr="003F508A">
              <w:rPr>
                <w:rFonts w:ascii="TimesNewRoman" w:hAnsi="TimesNewRoman" w:cs="TimesNewRoman"/>
                <w:sz w:val="20"/>
                <w:lang w:eastAsia="sk-SK"/>
              </w:rPr>
              <w:t>innosti a bez výrazného naru</w:t>
            </w:r>
            <w:r w:rsidRPr="003F508A">
              <w:rPr>
                <w:rFonts w:ascii="TimesNewRoman+01" w:hAnsi="TimesNewRoman+01" w:cs="TimesNewRoman+01"/>
                <w:sz w:val="20"/>
                <w:lang w:eastAsia="sk-SK"/>
              </w:rPr>
              <w:t>š</w:t>
            </w:r>
            <w:r w:rsidRPr="003F508A">
              <w:rPr>
                <w:rFonts w:ascii="TimesNewRoman" w:hAnsi="TimesNewRoman" w:cs="TimesNewRoman"/>
                <w:sz w:val="20"/>
                <w:lang w:eastAsia="sk-SK"/>
              </w:rPr>
              <w:t>enia ekologických procesov</w:t>
            </w:r>
            <w:r w:rsidRPr="003F508A">
              <w:rPr>
                <w:rFonts w:ascii="TimesNewRoman" w:hAnsi="TimesNewRoman" w:cs="TimesNewRoman"/>
                <w:sz w:val="20"/>
                <w:lang w:eastAsia="sk-SK"/>
              </w:rPr>
              <w:t>;</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b) oblastí ur</w:t>
            </w:r>
            <w:r w:rsidRPr="003F508A">
              <w:rPr>
                <w:rFonts w:ascii="TimesNewRoman+01" w:hAnsi="TimesNewRoman+01" w:cs="TimesNewRoman+01"/>
                <w:sz w:val="20"/>
                <w:lang w:eastAsia="sk-SK"/>
              </w:rPr>
              <w:t>č</w:t>
            </w:r>
            <w:r w:rsidRPr="003F508A">
              <w:rPr>
                <w:rFonts w:ascii="TimesNewRoman" w:hAnsi="TimesNewRoman" w:cs="TimesNewRoman"/>
                <w:sz w:val="20"/>
                <w:lang w:eastAsia="sk-SK"/>
              </w:rPr>
              <w:t xml:space="preserve">ených </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i) zákonom alebo príslu</w:t>
            </w:r>
            <w:r w:rsidRPr="003F508A">
              <w:rPr>
                <w:rFonts w:ascii="TimesNewRoman+01" w:hAnsi="TimesNewRoman+01" w:cs="TimesNewRoman+01"/>
                <w:sz w:val="20"/>
                <w:lang w:eastAsia="sk-SK"/>
              </w:rPr>
              <w:t>š</w:t>
            </w:r>
            <w:r w:rsidRPr="003F508A">
              <w:rPr>
                <w:rFonts w:ascii="TimesNewRoman" w:hAnsi="TimesNewRoman" w:cs="TimesNewRoman"/>
                <w:sz w:val="20"/>
                <w:lang w:eastAsia="sk-SK"/>
              </w:rPr>
              <w:t>ným orgánom na ú</w:t>
            </w:r>
            <w:r w:rsidRPr="003F508A">
              <w:rPr>
                <w:rFonts w:ascii="TimesNewRoman+01" w:hAnsi="TimesNewRoman+01" w:cs="TimesNewRoman+01"/>
                <w:sz w:val="20"/>
                <w:lang w:eastAsia="sk-SK"/>
              </w:rPr>
              <w:t>č</w:t>
            </w:r>
            <w:r w:rsidRPr="003F508A">
              <w:rPr>
                <w:rFonts w:ascii="TimesNewRoman" w:hAnsi="TimesNewRoman" w:cs="TimesNewRoman"/>
                <w:sz w:val="20"/>
                <w:lang w:eastAsia="sk-SK"/>
              </w:rPr>
              <w:t xml:space="preserve">ely ochrany prírody alebo </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ii) na ochranu vzácnych alebo ohrozených ekosystémov alebo</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druhov, uznaných medzinárodnými dohodami alebo zaradených</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na zoznamy vypracované medzivládnymi organizácia</w:t>
            </w:r>
            <w:r w:rsidRPr="003F508A">
              <w:rPr>
                <w:rFonts w:ascii="TimesNewRoman" w:hAnsi="TimesNewRoman" w:cs="TimesNewRoman"/>
                <w:sz w:val="20"/>
                <w:lang w:eastAsia="sk-SK"/>
              </w:rPr>
              <w:t>mi alebo</w:t>
            </w:r>
          </w:p>
          <w:p w:rsidR="009C28F7" w:rsidP="00C751EE">
            <w:pPr>
              <w:autoSpaceDE w:val="0"/>
              <w:autoSpaceDN w:val="0"/>
              <w:adjustRightInd w:val="0"/>
              <w:jc w:val="both"/>
              <w:rPr>
                <w:rFonts w:ascii="TimesNewRoman" w:hAnsi="TimesNewRoman" w:cs="TimesNewRoman"/>
                <w:sz w:val="20"/>
                <w:lang w:eastAsia="sk-SK"/>
              </w:rPr>
            </w:pPr>
            <w:r w:rsidRPr="003F508A" w:rsidR="00C751EE">
              <w:rPr>
                <w:rFonts w:ascii="TimesNewRoman" w:hAnsi="TimesNewRoman" w:cs="TimesNewRoman"/>
                <w:sz w:val="20"/>
                <w:lang w:eastAsia="sk-SK"/>
              </w:rPr>
              <w:t xml:space="preserve">Medzinárodným zväzom ochrany prírody, ak sú uznané v súlade s </w:t>
            </w:r>
            <w:r w:rsidRPr="003F508A" w:rsidR="00C751EE">
              <w:rPr>
                <w:rFonts w:ascii="TimesNewRoman+01" w:hAnsi="TimesNewRoman+01" w:cs="TimesNewRoman+01"/>
                <w:sz w:val="20"/>
                <w:lang w:eastAsia="sk-SK"/>
              </w:rPr>
              <w:t>č</w:t>
            </w:r>
            <w:r w:rsidRPr="003F508A" w:rsidR="00C751EE">
              <w:rPr>
                <w:rFonts w:ascii="TimesNewRoman" w:hAnsi="TimesNewRoman" w:cs="TimesNewRoman"/>
                <w:sz w:val="20"/>
                <w:lang w:eastAsia="sk-SK"/>
              </w:rPr>
              <w:t xml:space="preserve">lánkom 7c ods. 4 druhým pododsekom, </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pokia</w:t>
            </w:r>
            <w:r w:rsidRPr="003F508A">
              <w:rPr>
                <w:rFonts w:ascii="TimesNewRoman+01" w:hAnsi="TimesNewRoman+01" w:cs="TimesNewRoman+01"/>
                <w:sz w:val="20"/>
                <w:lang w:eastAsia="sk-SK"/>
              </w:rPr>
              <w:t xml:space="preserve">ľ </w:t>
            </w:r>
            <w:r w:rsidRPr="003F508A">
              <w:rPr>
                <w:rFonts w:ascii="TimesNewRoman" w:hAnsi="TimesNewRoman" w:cs="TimesNewRoman"/>
                <w:sz w:val="20"/>
                <w:lang w:eastAsia="sk-SK"/>
              </w:rPr>
              <w:t>nie sú predlo</w:t>
            </w:r>
            <w:r w:rsidRPr="003F508A">
              <w:rPr>
                <w:rFonts w:ascii="TimesNewRoman+01" w:hAnsi="TimesNewRoman+01" w:cs="TimesNewRoman+01"/>
                <w:sz w:val="20"/>
                <w:lang w:eastAsia="sk-SK"/>
              </w:rPr>
              <w:t>ž</w:t>
            </w:r>
            <w:r w:rsidRPr="003F508A">
              <w:rPr>
                <w:rFonts w:ascii="TimesNewRoman" w:hAnsi="TimesNewRoman" w:cs="TimesNewRoman"/>
                <w:sz w:val="20"/>
                <w:lang w:eastAsia="sk-SK"/>
              </w:rPr>
              <w:t xml:space="preserve">ené dôkazy o tom, </w:t>
            </w:r>
            <w:r w:rsidRPr="003F508A">
              <w:rPr>
                <w:rFonts w:ascii="TimesNewRoman+01" w:hAnsi="TimesNewRoman+01" w:cs="TimesNewRoman+01"/>
                <w:sz w:val="20"/>
                <w:lang w:eastAsia="sk-SK"/>
              </w:rPr>
              <w:t>ž</w:t>
            </w:r>
            <w:r w:rsidRPr="003F508A">
              <w:rPr>
                <w:rFonts w:ascii="TimesNewRoman" w:hAnsi="TimesNewRoman" w:cs="TimesNewRoman"/>
                <w:sz w:val="20"/>
                <w:lang w:eastAsia="sk-SK"/>
              </w:rPr>
              <w:t>e výroba danej suroviny nie je v rozpore s týmito ú</w:t>
            </w:r>
            <w:r w:rsidRPr="003F508A">
              <w:rPr>
                <w:rFonts w:ascii="TimesNewRoman+01" w:hAnsi="TimesNewRoman+01" w:cs="TimesNewRoman+01"/>
                <w:sz w:val="20"/>
                <w:lang w:eastAsia="sk-SK"/>
              </w:rPr>
              <w:t>č</w:t>
            </w:r>
            <w:r w:rsidRPr="003F508A">
              <w:rPr>
                <w:rFonts w:ascii="TimesNewRoman" w:hAnsi="TimesNewRoman" w:cs="TimesNewRoman"/>
                <w:sz w:val="20"/>
                <w:lang w:eastAsia="sk-SK"/>
              </w:rPr>
              <w:t>elmi ochrany prírody;</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c) trávnych porastov s vysokou bi</w:t>
            </w:r>
            <w:r w:rsidRPr="003F508A">
              <w:rPr>
                <w:rFonts w:ascii="TimesNewRoman" w:hAnsi="TimesNewRoman" w:cs="TimesNewRoman"/>
                <w:sz w:val="20"/>
                <w:lang w:eastAsia="sk-SK"/>
              </w:rPr>
              <w:t>ologickou rozmanitos</w:t>
            </w:r>
            <w:r w:rsidRPr="003F508A">
              <w:rPr>
                <w:rFonts w:ascii="TimesNewRoman+01" w:hAnsi="TimesNewRoman+01" w:cs="TimesNewRoman+01"/>
                <w:sz w:val="20"/>
                <w:lang w:eastAsia="sk-SK"/>
              </w:rPr>
              <w:t>ť</w:t>
            </w:r>
            <w:r w:rsidRPr="003F508A">
              <w:rPr>
                <w:rFonts w:ascii="TimesNewRoman" w:hAnsi="TimesNewRoman" w:cs="TimesNewRoman"/>
                <w:sz w:val="20"/>
                <w:lang w:eastAsia="sk-SK"/>
              </w:rPr>
              <w:t>ou:</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 xml:space="preserve">i) prirodzených, to znamená trávne porasty, ktoré by zostali trávnymi porastmi bez </w:t>
            </w:r>
            <w:r w:rsidRPr="003F508A">
              <w:rPr>
                <w:rFonts w:ascii="TimesNewRoman+01" w:hAnsi="TimesNewRoman+01" w:cs="TimesNewRoman+01"/>
                <w:sz w:val="20"/>
                <w:lang w:eastAsia="sk-SK"/>
              </w:rPr>
              <w:t>ľ</w:t>
            </w:r>
            <w:r w:rsidRPr="003F508A">
              <w:rPr>
                <w:rFonts w:ascii="TimesNewRoman" w:hAnsi="TimesNewRoman" w:cs="TimesNewRoman"/>
                <w:sz w:val="20"/>
                <w:lang w:eastAsia="sk-SK"/>
              </w:rPr>
              <w:t>udského zásahu a ktoré zachovávajú prirodzené zlo</w:t>
            </w:r>
            <w:r w:rsidRPr="003F508A">
              <w:rPr>
                <w:rFonts w:ascii="TimesNewRoman+01" w:hAnsi="TimesNewRoman+01" w:cs="TimesNewRoman+01"/>
                <w:sz w:val="20"/>
                <w:lang w:eastAsia="sk-SK"/>
              </w:rPr>
              <w:t>ž</w:t>
            </w:r>
            <w:r w:rsidRPr="003F508A">
              <w:rPr>
                <w:rFonts w:ascii="TimesNewRoman" w:hAnsi="TimesNewRoman" w:cs="TimesNewRoman"/>
                <w:sz w:val="20"/>
                <w:lang w:eastAsia="sk-SK"/>
              </w:rPr>
              <w:t>enie druhov a ekologické charakteristicky a procesy, alebo</w:t>
            </w:r>
          </w:p>
          <w:p w:rsidR="00C751EE" w:rsidRPr="003F508A" w:rsidP="00C751EE">
            <w:pPr>
              <w:autoSpaceDE w:val="0"/>
              <w:autoSpaceDN w:val="0"/>
              <w:adjustRightInd w:val="0"/>
              <w:jc w:val="both"/>
              <w:rPr>
                <w:rFonts w:ascii="TimesNewRoman" w:hAnsi="TimesNewRoman" w:cs="TimesNewRoman"/>
                <w:sz w:val="20"/>
                <w:lang w:eastAsia="sk-SK"/>
              </w:rPr>
            </w:pPr>
            <w:r w:rsidRPr="003F508A">
              <w:rPr>
                <w:rFonts w:ascii="TimesNewRoman" w:hAnsi="TimesNewRoman" w:cs="TimesNewRoman"/>
                <w:sz w:val="20"/>
                <w:lang w:eastAsia="sk-SK"/>
              </w:rPr>
              <w:t xml:space="preserve">ii) neprirodzených, to znamená trávne </w:t>
            </w:r>
            <w:r w:rsidRPr="003F508A">
              <w:rPr>
                <w:rFonts w:ascii="TimesNewRoman" w:hAnsi="TimesNewRoman" w:cs="TimesNewRoman"/>
                <w:sz w:val="20"/>
                <w:lang w:eastAsia="sk-SK"/>
              </w:rPr>
              <w:t xml:space="preserve">porasty, ktoré by nezostali trávnymi porastmi bez </w:t>
            </w:r>
            <w:r w:rsidRPr="003F508A">
              <w:rPr>
                <w:rFonts w:ascii="TimesNewRoman+01" w:hAnsi="TimesNewRoman+01" w:cs="TimesNewRoman+01"/>
                <w:sz w:val="20"/>
                <w:lang w:eastAsia="sk-SK"/>
              </w:rPr>
              <w:t>ľ</w:t>
            </w:r>
            <w:r w:rsidRPr="003F508A">
              <w:rPr>
                <w:rFonts w:ascii="TimesNewRoman" w:hAnsi="TimesNewRoman" w:cs="TimesNewRoman"/>
                <w:sz w:val="20"/>
                <w:lang w:eastAsia="sk-SK"/>
              </w:rPr>
              <w:t>udského zásahu a ktoré sú bohaté na druhy a nie sú znehodnotené, pokia</w:t>
            </w:r>
            <w:r w:rsidRPr="003F508A">
              <w:rPr>
                <w:rFonts w:ascii="TimesNewRoman+01" w:hAnsi="TimesNewRoman+01" w:cs="TimesNewRoman+01"/>
                <w:sz w:val="20"/>
                <w:lang w:eastAsia="sk-SK"/>
              </w:rPr>
              <w:t xml:space="preserve">ľ </w:t>
            </w:r>
            <w:r w:rsidRPr="003F508A">
              <w:rPr>
                <w:rFonts w:ascii="TimesNewRoman" w:hAnsi="TimesNewRoman" w:cs="TimesNewRoman"/>
                <w:sz w:val="20"/>
                <w:lang w:eastAsia="sk-SK"/>
              </w:rPr>
              <w:t xml:space="preserve">neexistujú dôkazy, </w:t>
            </w:r>
            <w:r w:rsidRPr="003F508A">
              <w:rPr>
                <w:rFonts w:ascii="TimesNewRoman+01" w:hAnsi="TimesNewRoman+01" w:cs="TimesNewRoman+01"/>
                <w:sz w:val="20"/>
                <w:lang w:eastAsia="sk-SK"/>
              </w:rPr>
              <w:t>ž</w:t>
            </w:r>
            <w:r w:rsidRPr="003F508A">
              <w:rPr>
                <w:rFonts w:ascii="TimesNewRoman" w:hAnsi="TimesNewRoman" w:cs="TimesNewRoman"/>
                <w:sz w:val="20"/>
                <w:lang w:eastAsia="sk-SK"/>
              </w:rPr>
              <w:t>e zber</w:t>
            </w:r>
            <w:r w:rsidR="009C28F7">
              <w:rPr>
                <w:rFonts w:ascii="TimesNewRoman" w:hAnsi="TimesNewRoman" w:cs="TimesNewRoman"/>
                <w:sz w:val="20"/>
                <w:lang w:eastAsia="sk-SK"/>
              </w:rPr>
              <w:t xml:space="preserve"> </w:t>
            </w:r>
            <w:r w:rsidRPr="003F508A">
              <w:rPr>
                <w:rFonts w:ascii="TimesNewRoman" w:hAnsi="TimesNewRoman" w:cs="TimesNewRoman"/>
                <w:sz w:val="20"/>
                <w:lang w:eastAsia="sk-SK"/>
              </w:rPr>
              <w:t>surovín je potrebný na zachovanie statusu trávneho porastu.</w:t>
            </w:r>
          </w:p>
          <w:p w:rsidR="00C751EE" w:rsidRPr="003F508A" w:rsidP="00C751EE">
            <w:pPr>
              <w:autoSpaceDE w:val="0"/>
              <w:autoSpaceDN w:val="0"/>
              <w:adjustRightInd w:val="0"/>
              <w:jc w:val="both"/>
              <w:rPr>
                <w:rFonts w:ascii="TimesNewRoman" w:hAnsi="TimesNewRoman" w:cs="TimesNewRoman"/>
                <w:sz w:val="20"/>
                <w:lang w:eastAsia="sk-SK"/>
              </w:rPr>
            </w:pPr>
          </w:p>
          <w:p w:rsidR="00C751EE" w:rsidRPr="003F508A"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3F508A" w:rsidP="00C751EE">
            <w:pPr>
              <w:jc w:val="both"/>
              <w:rPr>
                <w:rFonts w:ascii="EUAlbertina" w:hAnsi="EUAlbertina" w:cs="EUAlbertina"/>
                <w:sz w:val="20"/>
                <w:lang w:eastAsia="sk-SK"/>
              </w:rPr>
            </w:pPr>
            <w:r w:rsidRPr="003F508A">
              <w:rPr>
                <w:rFonts w:ascii="EUAlbertina" w:hAnsi="EUAlbertina" w:cs="EUAlbertina"/>
                <w:sz w:val="20"/>
                <w:lang w:eastAsia="sk-SK"/>
              </w:rPr>
              <w:t>N</w:t>
            </w: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p w:rsidR="00C751EE" w:rsidRPr="003F508A"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3F508A" w:rsidP="00C751EE">
            <w:pPr>
              <w:jc w:val="center"/>
              <w:rPr>
                <w:rFonts w:ascii="EUAlbertina" w:hAnsi="EUAlbertina" w:cs="EUAlbertina"/>
                <w:sz w:val="20"/>
                <w:lang w:eastAsia="sk-SK"/>
              </w:rPr>
            </w:pPr>
            <w:r w:rsidRPr="003F508A">
              <w:rPr>
                <w:rFonts w:ascii="EUAlbertina" w:hAnsi="EUAlbertina" w:cs="EUAlbertina"/>
                <w:sz w:val="20"/>
                <w:lang w:eastAsia="sk-SK"/>
              </w:rPr>
              <w:t>Z</w:t>
            </w:r>
            <w:r>
              <w:rPr>
                <w:rFonts w:ascii="EUAlbertina" w:hAnsi="EUAlbertina" w:cs="EUAlbertina"/>
                <w:sz w:val="20"/>
                <w:lang w:eastAsia="sk-SK"/>
              </w:rPr>
              <w:t xml:space="preserve"> </w:t>
            </w:r>
            <w:r w:rsidRPr="003F508A">
              <w:rPr>
                <w:rFonts w:ascii="EUAlbertina" w:hAnsi="EUAlbertina" w:cs="EUAlbertina"/>
                <w:sz w:val="20"/>
                <w:lang w:eastAsia="sk-SK"/>
              </w:rPr>
              <w:t>309/2009</w:t>
            </w: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E7202E" w:rsidP="00C751EE">
            <w:pPr>
              <w:jc w:val="center"/>
              <w:rPr>
                <w:rFonts w:ascii="EUAlbertina" w:hAnsi="EUAlbertina" w:cs="EUAlbertina"/>
                <w:sz w:val="20"/>
                <w:lang w:eastAsia="sk-SK"/>
              </w:rPr>
            </w:pPr>
          </w:p>
          <w:p w:rsidR="00E7202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r w:rsidRPr="003F508A">
              <w:rPr>
                <w:rFonts w:ascii="EUAlbertina" w:hAnsi="EUAlbertina" w:cs="EUAlbertina"/>
                <w:sz w:val="20"/>
                <w:lang w:eastAsia="sk-SK"/>
              </w:rPr>
              <w:t>V</w:t>
            </w:r>
            <w:r>
              <w:rPr>
                <w:rFonts w:ascii="EUAlbertina" w:hAnsi="EUAlbertina" w:cs="EUAlbertina"/>
                <w:sz w:val="20"/>
                <w:lang w:eastAsia="sk-SK"/>
              </w:rPr>
              <w:t xml:space="preserve"> </w:t>
            </w:r>
            <w:r w:rsidRPr="003F508A">
              <w:rPr>
                <w:rFonts w:ascii="EUAlbertina" w:hAnsi="EUAlbertina" w:cs="EUAlbertina"/>
                <w:sz w:val="20"/>
                <w:lang w:eastAsia="sk-SK"/>
              </w:rPr>
              <w:t>271/2011</w:t>
            </w: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3F508A" w:rsidP="00C751EE">
            <w:pPr>
              <w:pStyle w:val="BodyText21"/>
              <w:spacing w:before="0"/>
              <w:jc w:val="center"/>
              <w:rPr>
                <w:lang w:eastAsia="en-US"/>
              </w:rPr>
            </w:pPr>
            <w:r w:rsidRPr="003F508A">
              <w:rPr>
                <w:lang w:eastAsia="en-US"/>
              </w:rPr>
              <w:t>§19b</w:t>
            </w:r>
          </w:p>
          <w:p w:rsidR="00C751EE" w:rsidRPr="003F508A" w:rsidP="00C751EE">
            <w:pPr>
              <w:pStyle w:val="BodyText21"/>
              <w:spacing w:before="0"/>
              <w:jc w:val="center"/>
              <w:rPr>
                <w:lang w:eastAsia="en-US"/>
              </w:rPr>
            </w:pPr>
            <w:r w:rsidRPr="003F508A">
              <w:rPr>
                <w:lang w:eastAsia="en-US"/>
              </w:rPr>
              <w:t>O1</w:t>
            </w:r>
          </w:p>
          <w:p w:rsidR="00C751EE" w:rsidRPr="003F508A" w:rsidP="00C751EE">
            <w:pPr>
              <w:pStyle w:val="BodyText21"/>
              <w:spacing w:before="0"/>
              <w:jc w:val="center"/>
              <w:rPr>
                <w:lang w:eastAsia="en-US"/>
              </w:rPr>
            </w:pPr>
            <w:r w:rsidRPr="003F508A">
              <w:rPr>
                <w:lang w:eastAsia="en-US"/>
              </w:rPr>
              <w:t>Pa</w:t>
            </w:r>
          </w:p>
          <w:p w:rsidR="00C751EE" w:rsidRPr="003F508A" w:rsidP="00C751EE">
            <w:pPr>
              <w:pStyle w:val="BodyText21"/>
              <w:spacing w:before="0"/>
              <w:jc w:val="center"/>
              <w:rPr>
                <w:lang w:eastAsia="en-US"/>
              </w:rPr>
            </w:pPr>
          </w:p>
          <w:p w:rsidR="00C751EE" w:rsidP="00C751EE">
            <w:pPr>
              <w:pStyle w:val="BodyText21"/>
              <w:spacing w:before="0"/>
              <w:jc w:val="center"/>
              <w:rPr>
                <w:lang w:eastAsia="en-US"/>
              </w:rPr>
            </w:pPr>
          </w:p>
          <w:p w:rsidR="00E7202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r w:rsidRPr="003F508A">
              <w:rPr>
                <w:lang w:eastAsia="en-US"/>
              </w:rPr>
              <w:t>§19b</w:t>
            </w:r>
          </w:p>
          <w:p w:rsidR="00C751EE" w:rsidRPr="003F508A" w:rsidP="00C751EE">
            <w:pPr>
              <w:pStyle w:val="BodyText21"/>
              <w:spacing w:before="0"/>
              <w:jc w:val="center"/>
              <w:rPr>
                <w:lang w:eastAsia="en-US"/>
              </w:rPr>
            </w:pPr>
            <w:r w:rsidRPr="003F508A">
              <w:rPr>
                <w:lang w:eastAsia="en-US"/>
              </w:rPr>
              <w:t>O1</w:t>
            </w:r>
          </w:p>
          <w:p w:rsidR="00C751EE" w:rsidRPr="003F508A" w:rsidP="00C751EE">
            <w:pPr>
              <w:pStyle w:val="BodyText21"/>
              <w:spacing w:before="0"/>
              <w:jc w:val="center"/>
              <w:rPr>
                <w:lang w:eastAsia="en-US"/>
              </w:rPr>
            </w:pPr>
            <w:r w:rsidRPr="003F508A">
              <w:rPr>
                <w:lang w:eastAsia="en-US"/>
              </w:rPr>
              <w:t>Pf</w:t>
            </w: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r w:rsidRPr="003F508A">
              <w:rPr>
                <w:lang w:eastAsia="en-US"/>
              </w:rPr>
              <w:t>§3</w:t>
            </w:r>
          </w:p>
          <w:p w:rsidR="00C751EE" w:rsidRPr="003F508A" w:rsidP="00C751EE">
            <w:pPr>
              <w:pStyle w:val="BodyText21"/>
              <w:spacing w:before="0"/>
              <w:jc w:val="center"/>
              <w:rPr>
                <w:lang w:eastAsia="en-US"/>
              </w:rPr>
            </w:pPr>
            <w:r w:rsidRPr="003F508A">
              <w:rPr>
                <w:lang w:eastAsia="en-US"/>
              </w:rPr>
              <w:t>O5</w:t>
            </w: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spacing w:before="0"/>
              <w:jc w:val="center"/>
              <w:rPr>
                <w:lang w:eastAsia="en-US"/>
              </w:rPr>
            </w:pPr>
          </w:p>
          <w:p w:rsidR="00C751EE" w:rsidRPr="003F508A" w:rsidP="00C751EE">
            <w:pPr>
              <w:pStyle w:val="BodyText21"/>
              <w:rPr>
                <w:lang w:eastAsia="en-US"/>
              </w:rPr>
            </w:pPr>
          </w:p>
        </w:tc>
        <w:tc>
          <w:tcPr>
            <w:tcW w:w="4110" w:type="dxa"/>
            <w:tcBorders>
              <w:top w:val="single" w:sz="4" w:space="0" w:color="auto"/>
              <w:bottom w:val="single" w:sz="4" w:space="0" w:color="auto"/>
            </w:tcBorders>
          </w:tcPr>
          <w:p w:rsidR="00C751EE" w:rsidRPr="004B3966" w:rsidP="00C751EE">
            <w:pPr>
              <w:jc w:val="both"/>
              <w:rPr>
                <w:sz w:val="20"/>
                <w:lang w:eastAsia="en-US"/>
              </w:rPr>
            </w:pPr>
            <w:r w:rsidRPr="004B3966">
              <w:rPr>
                <w:sz w:val="20"/>
                <w:lang w:eastAsia="en-US"/>
              </w:rPr>
              <w:t>(1) Ministerstvo životného prostredia všeobecne záväzným právnym predpisom ustanoví</w:t>
            </w:r>
          </w:p>
          <w:p w:rsidR="00C751EE" w:rsidRPr="004B3966" w:rsidP="00C751EE">
            <w:pPr>
              <w:jc w:val="both"/>
              <w:rPr>
                <w:sz w:val="20"/>
                <w:lang w:eastAsia="en-US"/>
              </w:rPr>
            </w:pPr>
            <w:r w:rsidRPr="004B3966">
              <w:rPr>
                <w:sz w:val="20"/>
                <w:lang w:eastAsia="en-US"/>
              </w:rPr>
              <w:t>a)</w:t>
            </w:r>
            <w:r w:rsidRPr="004B3966" w:rsidR="00E7202E">
              <w:rPr>
                <w:sz w:val="20"/>
                <w:lang w:eastAsia="en-US"/>
              </w:rPr>
              <w:t xml:space="preserve"> kritériá trvalej udržateľnosti biopalív a biokvapalín a limitné hodnoty pre emisie skleníkových plynov z pestovania poľnohospodárskych surovín pri zachovaní kritérií trvalej udržateľnosti</w:t>
            </w:r>
            <w:r w:rsidRPr="004B3966">
              <w:rPr>
                <w:sz w:val="20"/>
                <w:lang w:eastAsia="en-US"/>
              </w:rPr>
              <w:t>,</w:t>
            </w:r>
          </w:p>
          <w:p w:rsidR="00C751EE" w:rsidRPr="004B3966" w:rsidP="00C751EE">
            <w:pPr>
              <w:jc w:val="both"/>
              <w:rPr>
                <w:sz w:val="20"/>
                <w:lang w:eastAsia="en-US"/>
              </w:rPr>
            </w:pPr>
          </w:p>
          <w:p w:rsidR="00C751EE" w:rsidRPr="004B3966" w:rsidP="00C751EE">
            <w:pPr>
              <w:jc w:val="both"/>
              <w:rPr>
                <w:sz w:val="20"/>
                <w:lang w:eastAsia="en-US"/>
              </w:rPr>
            </w:pPr>
            <w:r w:rsidRPr="004B3966">
              <w:rPr>
                <w:sz w:val="20"/>
                <w:lang w:eastAsia="en-US"/>
              </w:rPr>
              <w:t xml:space="preserve">f) </w:t>
            </w:r>
            <w:r w:rsidRPr="004B3966" w:rsidR="00E7202E">
              <w:rPr>
                <w:sz w:val="20"/>
                <w:lang w:eastAsia="en-US"/>
              </w:rPr>
              <w:t>metodiku výpočtu a zjednodušenú metodiku výpočtu emisií skleníkových plynov počas životného cyklu pohonných látok a biokvapalín a spôsob výpočtu úspory emisií skleníkových plynov, ktorá vyplýva z využívania biopalív a biokvapalív,</w:t>
            </w:r>
          </w:p>
          <w:p w:rsidR="00C751EE" w:rsidRPr="004B3966" w:rsidP="00C751EE">
            <w:pPr>
              <w:jc w:val="both"/>
              <w:rPr>
                <w:sz w:val="20"/>
                <w:lang w:eastAsia="en-US"/>
              </w:rPr>
            </w:pPr>
          </w:p>
          <w:p w:rsidR="00C751EE" w:rsidRPr="004B3966" w:rsidP="00C751EE">
            <w:pPr>
              <w:spacing w:before="60"/>
              <w:ind w:firstLine="360"/>
              <w:jc w:val="both"/>
              <w:rPr>
                <w:sz w:val="20"/>
                <w:lang w:eastAsia="en-US"/>
              </w:rPr>
            </w:pPr>
          </w:p>
          <w:p w:rsidR="00E7202E" w:rsidRPr="004B3966" w:rsidP="00C751EE">
            <w:pPr>
              <w:autoSpaceDE w:val="0"/>
              <w:autoSpaceDN w:val="0"/>
              <w:adjustRightInd w:val="0"/>
              <w:jc w:val="both"/>
              <w:rPr>
                <w:rFonts w:ascii="Arial" w:hAnsi="Arial" w:cs="Arial"/>
                <w:sz w:val="25"/>
                <w:szCs w:val="25"/>
              </w:rPr>
            </w:pPr>
            <w:r w:rsidRPr="004B3966" w:rsidR="00C751EE">
              <w:rPr>
                <w:sz w:val="20"/>
                <w:lang w:eastAsia="en-US"/>
              </w:rPr>
              <w:t xml:space="preserve">(5) </w:t>
            </w:r>
            <w:r w:rsidRPr="004B3966">
              <w:rPr>
                <w:sz w:val="20"/>
                <w:lang w:eastAsia="en-US"/>
              </w:rPr>
              <w:t>Biopalivá a biokvapaliny nesmú byť vyrobené zo surovín získaných z pôdy s vysokou hodnotou z hľadiska biodiverzity, ktorou sa rozumie pôda, ktorá bola v januári 2008 alebo po januári 2008, bez ohľadu na to, či ešte stále je</w:t>
            </w:r>
          </w:p>
          <w:p w:rsidR="00C751EE" w:rsidRPr="004B3966" w:rsidP="00C751EE">
            <w:pPr>
              <w:autoSpaceDE w:val="0"/>
              <w:autoSpaceDN w:val="0"/>
              <w:adjustRightInd w:val="0"/>
              <w:jc w:val="both"/>
              <w:rPr>
                <w:sz w:val="20"/>
                <w:lang w:eastAsia="en-US"/>
              </w:rPr>
            </w:pPr>
            <w:r w:rsidRPr="004B3966">
              <w:rPr>
                <w:sz w:val="20"/>
                <w:lang w:eastAsia="en-US"/>
              </w:rPr>
              <w:t xml:space="preserve">a) </w:t>
            </w:r>
            <w:r w:rsidRPr="004B3966" w:rsidR="00E7202E">
              <w:rPr>
                <w:sz w:val="20"/>
                <w:lang w:eastAsia="en-US"/>
              </w:rPr>
              <w:t>pralesom a inými zalesnenými plochami, ktorými sú les a iné zalesnené plochy s prirodzene sa vyskytujúcimi druhmi bez zjavných známok ľudskej činnosti a bez výrazného narušenia ekologi</w:t>
            </w:r>
            <w:r w:rsidRPr="004B3966" w:rsidR="00E7202E">
              <w:rPr>
                <w:sz w:val="20"/>
                <w:lang w:eastAsia="en-US"/>
              </w:rPr>
              <w:t>ckých procesov</w:t>
            </w:r>
            <w:r w:rsidRPr="004B3966">
              <w:rPr>
                <w:sz w:val="20"/>
                <w:lang w:eastAsia="en-US"/>
              </w:rPr>
              <w:t>,</w:t>
            </w:r>
          </w:p>
          <w:p w:rsidR="00C751EE" w:rsidRPr="004B3966" w:rsidP="00C751EE">
            <w:pPr>
              <w:autoSpaceDE w:val="0"/>
              <w:autoSpaceDN w:val="0"/>
              <w:adjustRightInd w:val="0"/>
              <w:jc w:val="both"/>
              <w:rPr>
                <w:sz w:val="20"/>
                <w:lang w:eastAsia="en-US"/>
              </w:rPr>
            </w:pPr>
            <w:r w:rsidRPr="004B3966">
              <w:rPr>
                <w:sz w:val="20"/>
                <w:lang w:eastAsia="en-US"/>
              </w:rPr>
              <w:t xml:space="preserve">b) </w:t>
            </w:r>
            <w:r w:rsidRPr="004B3966" w:rsidR="00E7202E">
              <w:rPr>
                <w:sz w:val="20"/>
                <w:lang w:eastAsia="en-US"/>
              </w:rPr>
              <w:t>oblasťou určenou zákonom na účely ochrany prírody, oblasťou určenou na ochranu vzácnych alebo ohrozených ekosystémov alebo druhov uznaných medzinárodnými dohodami alebo zaradených na zoznamy vypracované medzivládnymi organizáciami alebo Medzinárodnou úniou pre ochranu prírody, ak nie sú predložené dôkazy o tom, že výroba danej suroviny nie je v rozpore s týmito účelmi na ochranu prírody</w:t>
            </w:r>
            <w:r w:rsidRPr="004B3966">
              <w:rPr>
                <w:sz w:val="20"/>
                <w:lang w:eastAsia="en-US"/>
              </w:rPr>
              <w:t>,</w:t>
            </w:r>
          </w:p>
          <w:p w:rsidR="00C751EE" w:rsidRPr="004B3966" w:rsidP="00E7202E">
            <w:pPr>
              <w:autoSpaceDE w:val="0"/>
              <w:autoSpaceDN w:val="0"/>
              <w:adjustRightInd w:val="0"/>
              <w:jc w:val="both"/>
              <w:rPr>
                <w:sz w:val="20"/>
                <w:lang w:eastAsia="en-US"/>
              </w:rPr>
            </w:pPr>
            <w:r w:rsidRPr="004B3966" w:rsidR="00E7202E">
              <w:rPr>
                <w:sz w:val="20"/>
                <w:lang w:eastAsia="en-US"/>
              </w:rPr>
              <w:t>c) trávnym porastom s vysokou biologickou rozmanitosťou, ktorý by zostal trávnym porastom bez ľudského zásahu a ktorý zachováva prirodzené druhové zloženie a ekologické charakteristiky a procesy, alebo trávnym porastom, ktorý by nezostal trávnym porastom bez ľudského zásahu a ktorý je bohatý na druhy a nie je znehodnotený, pokiaľ neexistujú dôkazy, že zber</w:t>
            </w:r>
            <w:r w:rsidRPr="004B3966" w:rsidR="00E7202E">
              <w:rPr>
                <w:sz w:val="20"/>
                <w:lang w:eastAsia="en-US"/>
              </w:rPr>
              <w:t xml:space="preserve"> surovín je potrebný na zachovanie pôvodnej podoby trávneho porastu.</w:t>
            </w:r>
          </w:p>
        </w:tc>
        <w:tc>
          <w:tcPr>
            <w:tcW w:w="709" w:type="dxa"/>
            <w:tcBorders>
              <w:top w:val="single" w:sz="4" w:space="0" w:color="auto"/>
              <w:bottom w:val="single" w:sz="4" w:space="0" w:color="auto"/>
            </w:tcBorders>
          </w:tcPr>
          <w:p w:rsidR="00C751EE" w:rsidRPr="003F508A" w:rsidP="00C751EE">
            <w:pPr>
              <w:jc w:val="center"/>
              <w:rPr>
                <w:rFonts w:ascii="EUAlbertina" w:hAnsi="EUAlbertina" w:cs="EUAlbertina"/>
                <w:sz w:val="20"/>
                <w:lang w:eastAsia="sk-SK"/>
              </w:rPr>
            </w:pPr>
            <w:r w:rsidRPr="003F508A">
              <w:rPr>
                <w:rFonts w:ascii="EUAlbertina" w:hAnsi="EUAlbertina" w:cs="EUAlbertina"/>
                <w:sz w:val="20"/>
                <w:lang w:eastAsia="sk-SK"/>
              </w:rPr>
              <w:t>Ú</w:t>
            </w: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p w:rsidR="00C751EE" w:rsidRPr="003F508A"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3F508A"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1983"/>
        </w:trPr>
        <w:tc>
          <w:tcPr>
            <w:tcW w:w="637" w:type="dxa"/>
            <w:tcBorders>
              <w:top w:val="single" w:sz="4" w:space="0" w:color="auto"/>
              <w:bottom w:val="single" w:sz="4" w:space="0" w:color="auto"/>
            </w:tcBorders>
          </w:tcPr>
          <w:p w:rsidR="00C751EE" w:rsidRPr="00C54FAF" w:rsidP="00C751EE">
            <w:pPr>
              <w:jc w:val="both"/>
              <w:rPr>
                <w:rFonts w:ascii="EUAlbertina" w:hAnsi="EUAlbertina" w:cs="EUAlbertina"/>
                <w:sz w:val="20"/>
                <w:lang w:eastAsia="sk-SK"/>
              </w:rPr>
            </w:pPr>
            <w:r w:rsidRPr="00C54FAF">
              <w:rPr>
                <w:rFonts w:ascii="EUAlbertina" w:hAnsi="EUAlbertina" w:cs="EUAlbertina"/>
                <w:sz w:val="20"/>
                <w:lang w:eastAsia="sk-SK"/>
              </w:rPr>
              <w:t>Č7b</w:t>
            </w:r>
          </w:p>
          <w:p w:rsidR="00C751EE" w:rsidRPr="00C54FAF" w:rsidP="00C751EE">
            <w:pPr>
              <w:jc w:val="both"/>
              <w:rPr>
                <w:rFonts w:ascii="EUAlbertina" w:hAnsi="EUAlbertina" w:cs="EUAlbertina"/>
                <w:sz w:val="20"/>
                <w:lang w:eastAsia="sk-SK"/>
              </w:rPr>
            </w:pPr>
            <w:r w:rsidRPr="00C54FAF">
              <w:rPr>
                <w:rFonts w:ascii="EUAlbertina" w:hAnsi="EUAlbertina" w:cs="EUAlbertina"/>
                <w:sz w:val="20"/>
                <w:lang w:eastAsia="sk-SK"/>
              </w:rPr>
              <w:t>O4</w:t>
            </w:r>
          </w:p>
        </w:tc>
        <w:tc>
          <w:tcPr>
            <w:tcW w:w="5245" w:type="dxa"/>
            <w:tcBorders>
              <w:top w:val="single" w:sz="4" w:space="0" w:color="auto"/>
              <w:bottom w:val="single" w:sz="4" w:space="0" w:color="auto"/>
            </w:tcBorders>
          </w:tcPr>
          <w:p w:rsidR="00C751EE" w:rsidRPr="00C54FAF" w:rsidP="00C751EE">
            <w:pPr>
              <w:autoSpaceDE w:val="0"/>
              <w:autoSpaceDN w:val="0"/>
              <w:adjustRightInd w:val="0"/>
              <w:jc w:val="both"/>
              <w:rPr>
                <w:rFonts w:ascii="TimesNewRoman" w:hAnsi="TimesNewRoman" w:cs="TimesNewRoman"/>
                <w:sz w:val="20"/>
                <w:lang w:eastAsia="sk-SK"/>
              </w:rPr>
            </w:pPr>
            <w:r w:rsidRPr="00C54FAF">
              <w:rPr>
                <w:rFonts w:ascii="TimesNewRoman" w:hAnsi="TimesNewRoman" w:cs="TimesNewRoman"/>
                <w:sz w:val="20"/>
                <w:lang w:eastAsia="sk-SK"/>
              </w:rPr>
              <w:t>4. Biopalivá zoh</w:t>
            </w:r>
            <w:r w:rsidRPr="00C54FAF">
              <w:rPr>
                <w:rFonts w:ascii="TimesNewRoman+01" w:hAnsi="TimesNewRoman+01" w:cs="TimesNewRoman+01"/>
                <w:sz w:val="20"/>
                <w:lang w:eastAsia="sk-SK"/>
              </w:rPr>
              <w:t>ľ</w:t>
            </w:r>
            <w:r w:rsidRPr="00C54FAF">
              <w:rPr>
                <w:rFonts w:ascii="TimesNewRoman" w:hAnsi="TimesNewRoman" w:cs="TimesNewRoman"/>
                <w:sz w:val="20"/>
                <w:lang w:eastAsia="sk-SK"/>
              </w:rPr>
              <w:t>adnené na ú</w:t>
            </w:r>
            <w:r w:rsidRPr="00C54FAF">
              <w:rPr>
                <w:rFonts w:ascii="TimesNewRoman+01" w:hAnsi="TimesNewRoman+01" w:cs="TimesNewRoman+01"/>
                <w:sz w:val="20"/>
                <w:lang w:eastAsia="sk-SK"/>
              </w:rPr>
              <w:t>č</w:t>
            </w:r>
            <w:r w:rsidRPr="00C54FAF">
              <w:rPr>
                <w:rFonts w:ascii="TimesNewRoman" w:hAnsi="TimesNewRoman" w:cs="TimesNewRoman"/>
                <w:sz w:val="20"/>
                <w:lang w:eastAsia="sk-SK"/>
              </w:rPr>
              <w:t>ely uvedené v odseku 1 sa nesmú</w:t>
            </w:r>
          </w:p>
          <w:p w:rsidR="00C751EE" w:rsidRPr="00C54FAF" w:rsidP="00C751EE">
            <w:pPr>
              <w:autoSpaceDE w:val="0"/>
              <w:autoSpaceDN w:val="0"/>
              <w:adjustRightInd w:val="0"/>
              <w:jc w:val="both"/>
              <w:rPr>
                <w:rFonts w:ascii="TimesNewRoman" w:hAnsi="TimesNewRoman" w:cs="TimesNewRoman"/>
                <w:sz w:val="20"/>
                <w:lang w:eastAsia="sk-SK"/>
              </w:rPr>
            </w:pPr>
            <w:r w:rsidRPr="00C54FAF">
              <w:rPr>
                <w:rFonts w:ascii="TimesNewRoman" w:hAnsi="TimesNewRoman" w:cs="TimesNewRoman"/>
                <w:sz w:val="20"/>
                <w:lang w:eastAsia="sk-SK"/>
              </w:rPr>
              <w:t>vyrába</w:t>
            </w:r>
            <w:r w:rsidRPr="00C54FAF">
              <w:rPr>
                <w:rFonts w:ascii="TimesNewRoman+01" w:hAnsi="TimesNewRoman+01" w:cs="TimesNewRoman+01"/>
                <w:sz w:val="20"/>
                <w:lang w:eastAsia="sk-SK"/>
              </w:rPr>
              <w:t xml:space="preserve">ť </w:t>
            </w:r>
            <w:r w:rsidRPr="00C54FAF">
              <w:rPr>
                <w:rFonts w:ascii="TimesNewRoman" w:hAnsi="TimesNewRoman" w:cs="TimesNewRoman"/>
                <w:sz w:val="20"/>
                <w:lang w:eastAsia="sk-SK"/>
              </w:rPr>
              <w:t>zo surovín získaných z pôdy s vysokým obsahom uhlíka, t. j. z pôdy, ktorá v j</w:t>
            </w:r>
            <w:r w:rsidRPr="00C54FAF">
              <w:rPr>
                <w:rFonts w:ascii="TimesNewRoman" w:hAnsi="TimesNewRoman" w:cs="TimesNewRoman"/>
                <w:sz w:val="20"/>
                <w:lang w:eastAsia="sk-SK"/>
              </w:rPr>
              <w:t>anuári 2008 mala, ale u</w:t>
            </w:r>
            <w:r w:rsidRPr="00C54FAF">
              <w:rPr>
                <w:rFonts w:ascii="TimesNewRoman+01" w:hAnsi="TimesNewRoman+01" w:cs="TimesNewRoman+01"/>
                <w:sz w:val="20"/>
                <w:lang w:eastAsia="sk-SK"/>
              </w:rPr>
              <w:t xml:space="preserve">ž </w:t>
            </w:r>
            <w:r w:rsidRPr="00C54FAF">
              <w:rPr>
                <w:rFonts w:ascii="TimesNewRoman" w:hAnsi="TimesNewRoman" w:cs="TimesNewRoman"/>
                <w:sz w:val="20"/>
                <w:lang w:eastAsia="sk-SK"/>
              </w:rPr>
              <w:t>nemá jeden z týchto statusov:</w:t>
            </w:r>
          </w:p>
          <w:p w:rsidR="00C751EE" w:rsidRPr="00C54FAF" w:rsidP="00C751EE">
            <w:pPr>
              <w:autoSpaceDE w:val="0"/>
              <w:autoSpaceDN w:val="0"/>
              <w:adjustRightInd w:val="0"/>
              <w:jc w:val="both"/>
              <w:rPr>
                <w:rFonts w:ascii="TimesNewRoman" w:hAnsi="TimesNewRoman" w:cs="TimesNewRoman"/>
                <w:sz w:val="20"/>
                <w:lang w:eastAsia="sk-SK"/>
              </w:rPr>
            </w:pPr>
            <w:r w:rsidRPr="00C54FAF">
              <w:rPr>
                <w:rFonts w:ascii="TimesNewRoman" w:hAnsi="TimesNewRoman" w:cs="TimesNewRoman"/>
                <w:sz w:val="20"/>
                <w:lang w:eastAsia="sk-SK"/>
              </w:rPr>
              <w:t>a) mokra</w:t>
            </w:r>
            <w:r w:rsidRPr="00C54FAF">
              <w:rPr>
                <w:rFonts w:ascii="TimesNewRoman+01" w:hAnsi="TimesNewRoman+01" w:cs="TimesNewRoman+01"/>
                <w:sz w:val="20"/>
                <w:lang w:eastAsia="sk-SK"/>
              </w:rPr>
              <w:t>ď</w:t>
            </w:r>
            <w:r w:rsidRPr="00C54FAF">
              <w:rPr>
                <w:rFonts w:ascii="TimesNewRoman" w:hAnsi="TimesNewRoman" w:cs="TimesNewRoman"/>
                <w:sz w:val="20"/>
                <w:lang w:eastAsia="sk-SK"/>
              </w:rPr>
              <w:t>, t. j. pôda pokrytá alebo nasiaknutá vodou trvalo alebo po</w:t>
            </w:r>
            <w:r w:rsidRPr="00C54FAF">
              <w:rPr>
                <w:rFonts w:ascii="TimesNewRoman+01" w:hAnsi="TimesNewRoman+01" w:cs="TimesNewRoman+01"/>
                <w:sz w:val="20"/>
                <w:lang w:eastAsia="sk-SK"/>
              </w:rPr>
              <w:t>č</w:t>
            </w:r>
            <w:r w:rsidRPr="00C54FAF">
              <w:rPr>
                <w:rFonts w:ascii="TimesNewRoman" w:hAnsi="TimesNewRoman" w:cs="TimesNewRoman"/>
                <w:sz w:val="20"/>
                <w:lang w:eastAsia="sk-SK"/>
              </w:rPr>
              <w:t xml:space="preserve">as významnej </w:t>
            </w:r>
            <w:r w:rsidRPr="00C54FAF">
              <w:rPr>
                <w:rFonts w:ascii="TimesNewRoman+01" w:hAnsi="TimesNewRoman+01" w:cs="TimesNewRoman+01"/>
                <w:sz w:val="20"/>
                <w:lang w:eastAsia="sk-SK"/>
              </w:rPr>
              <w:t>č</w:t>
            </w:r>
            <w:r w:rsidRPr="00C54FAF">
              <w:rPr>
                <w:rFonts w:ascii="TimesNewRoman" w:hAnsi="TimesNewRoman" w:cs="TimesNewRoman"/>
                <w:sz w:val="20"/>
                <w:lang w:eastAsia="sk-SK"/>
              </w:rPr>
              <w:t>asti roka;</w:t>
            </w:r>
          </w:p>
          <w:p w:rsidR="00C751EE" w:rsidRPr="00C54FAF" w:rsidP="00C751EE">
            <w:pPr>
              <w:autoSpaceDE w:val="0"/>
              <w:autoSpaceDN w:val="0"/>
              <w:adjustRightInd w:val="0"/>
              <w:jc w:val="both"/>
              <w:rPr>
                <w:rFonts w:ascii="TimesNewRoman" w:hAnsi="TimesNewRoman" w:cs="TimesNewRoman"/>
                <w:sz w:val="20"/>
                <w:lang w:eastAsia="sk-SK"/>
              </w:rPr>
            </w:pPr>
            <w:r w:rsidRPr="00C54FAF">
              <w:rPr>
                <w:rFonts w:ascii="TimesNewRoman" w:hAnsi="TimesNewRoman" w:cs="TimesNewRoman"/>
                <w:sz w:val="20"/>
                <w:lang w:eastAsia="sk-SK"/>
              </w:rPr>
              <w:t>b) súvislo zalesnené oblasti, t. j. pôda s rozlohou viac ako jeden hektár so stromami vy</w:t>
            </w:r>
            <w:r w:rsidRPr="00C54FAF">
              <w:rPr>
                <w:rFonts w:ascii="TimesNewRoman+01" w:hAnsi="TimesNewRoman+01" w:cs="TimesNewRoman+01"/>
                <w:sz w:val="20"/>
                <w:lang w:eastAsia="sk-SK"/>
              </w:rPr>
              <w:t>šš</w:t>
            </w:r>
            <w:r w:rsidRPr="00C54FAF">
              <w:rPr>
                <w:rFonts w:ascii="TimesNewRoman" w:hAnsi="TimesNewRoman" w:cs="TimesNewRoman"/>
                <w:sz w:val="20"/>
                <w:lang w:eastAsia="sk-SK"/>
              </w:rPr>
              <w:t>ími ako pä</w:t>
            </w:r>
            <w:r w:rsidRPr="00C54FAF">
              <w:rPr>
                <w:rFonts w:ascii="TimesNewRoman+01" w:hAnsi="TimesNewRoman+01" w:cs="TimesNewRoman+01"/>
                <w:sz w:val="20"/>
                <w:lang w:eastAsia="sk-SK"/>
              </w:rPr>
              <w:t xml:space="preserve">ť </w:t>
            </w:r>
            <w:r w:rsidRPr="00C54FAF">
              <w:rPr>
                <w:rFonts w:ascii="TimesNewRoman" w:hAnsi="TimesNewRoman" w:cs="TimesNewRoman"/>
                <w:sz w:val="20"/>
                <w:lang w:eastAsia="sk-SK"/>
              </w:rPr>
              <w:t>metro</w:t>
            </w:r>
            <w:r w:rsidRPr="00C54FAF">
              <w:rPr>
                <w:rFonts w:ascii="TimesNewRoman" w:hAnsi="TimesNewRoman" w:cs="TimesNewRoman"/>
                <w:sz w:val="20"/>
                <w:lang w:eastAsia="sk-SK"/>
              </w:rPr>
              <w:t>v a s pokryvom koruny viac ako 30 %, alebo so stromami schopnými dosiahnu</w:t>
            </w:r>
            <w:r w:rsidRPr="00C54FAF">
              <w:rPr>
                <w:rFonts w:ascii="TimesNewRoman+01" w:hAnsi="TimesNewRoman+01" w:cs="TimesNewRoman+01"/>
                <w:sz w:val="20"/>
                <w:lang w:eastAsia="sk-SK"/>
              </w:rPr>
              <w:t xml:space="preserve">ť </w:t>
            </w:r>
            <w:r w:rsidRPr="00C54FAF">
              <w:rPr>
                <w:rFonts w:ascii="TimesNewRoman" w:hAnsi="TimesNewRoman" w:cs="TimesNewRoman"/>
                <w:sz w:val="20"/>
                <w:lang w:eastAsia="sk-SK"/>
              </w:rPr>
              <w:t xml:space="preserve">tieto prahové hodnoty </w:t>
            </w:r>
            <w:r w:rsidRPr="00C54FAF">
              <w:rPr>
                <w:rFonts w:ascii="TimesNewRomanItalic" w:hAnsi="TimesNewRomanItalic" w:cs="TimesNewRomanItalic"/>
                <w:i/>
                <w:iCs/>
                <w:sz w:val="20"/>
                <w:lang w:eastAsia="sk-SK"/>
              </w:rPr>
              <w:t>in situ</w:t>
            </w:r>
            <w:r w:rsidRPr="00C54FAF">
              <w:rPr>
                <w:rFonts w:ascii="TimesNewRoman" w:hAnsi="TimesNewRoman" w:cs="TimesNewRoman"/>
                <w:sz w:val="20"/>
                <w:lang w:eastAsia="sk-SK"/>
              </w:rPr>
              <w:t>;</w:t>
            </w:r>
          </w:p>
          <w:p w:rsidR="00C751EE" w:rsidRPr="00C54FAF" w:rsidP="00C751EE">
            <w:pPr>
              <w:autoSpaceDE w:val="0"/>
              <w:autoSpaceDN w:val="0"/>
              <w:adjustRightInd w:val="0"/>
              <w:jc w:val="both"/>
              <w:rPr>
                <w:rFonts w:ascii="TimesNewRoman+01" w:hAnsi="TimesNewRoman+01" w:cs="TimesNewRoman+01"/>
                <w:sz w:val="20"/>
                <w:lang w:eastAsia="sk-SK"/>
              </w:rPr>
            </w:pPr>
            <w:r w:rsidRPr="00C54FAF">
              <w:rPr>
                <w:rFonts w:ascii="TimesNewRoman" w:hAnsi="TimesNewRoman" w:cs="TimesNewRoman"/>
                <w:sz w:val="20"/>
                <w:lang w:eastAsia="sk-SK"/>
              </w:rPr>
              <w:t>c) pôda s rozlohou viac ako jeden hektár so stromami vy</w:t>
            </w:r>
            <w:r w:rsidRPr="00C54FAF">
              <w:rPr>
                <w:rFonts w:ascii="TimesNewRoman+01" w:hAnsi="TimesNewRoman+01" w:cs="TimesNewRoman+01"/>
                <w:sz w:val="20"/>
                <w:lang w:eastAsia="sk-SK"/>
              </w:rPr>
              <w:t>šš</w:t>
            </w:r>
            <w:r w:rsidRPr="00C54FAF">
              <w:rPr>
                <w:rFonts w:ascii="TimesNewRoman" w:hAnsi="TimesNewRoman" w:cs="TimesNewRoman"/>
                <w:sz w:val="20"/>
                <w:lang w:eastAsia="sk-SK"/>
              </w:rPr>
              <w:t>ími ako pä</w:t>
            </w:r>
            <w:r w:rsidRPr="00C54FAF">
              <w:rPr>
                <w:rFonts w:ascii="TimesNewRoman+01" w:hAnsi="TimesNewRoman+01" w:cs="TimesNewRoman+01"/>
                <w:sz w:val="20"/>
                <w:lang w:eastAsia="sk-SK"/>
              </w:rPr>
              <w:t xml:space="preserve">ť </w:t>
            </w:r>
            <w:r w:rsidRPr="00C54FAF">
              <w:rPr>
                <w:rFonts w:ascii="TimesNewRoman" w:hAnsi="TimesNewRoman" w:cs="TimesNewRoman"/>
                <w:sz w:val="20"/>
                <w:lang w:eastAsia="sk-SK"/>
              </w:rPr>
              <w:t>metrov a s pokryvom koruny medzi 10 % a 30 % alebo so stromami</w:t>
            </w:r>
            <w:r w:rsidRPr="00C54FAF">
              <w:rPr>
                <w:rFonts w:ascii="TimesNewRoman+01" w:hAnsi="TimesNewRoman+01" w:cs="TimesNewRoman+01"/>
                <w:sz w:val="20"/>
                <w:lang w:eastAsia="sk-SK"/>
              </w:rPr>
              <w:t xml:space="preserve"> </w:t>
            </w:r>
            <w:r w:rsidRPr="00C54FAF">
              <w:rPr>
                <w:rFonts w:ascii="TimesNewRoman" w:hAnsi="TimesNewRoman" w:cs="TimesNewRoman"/>
                <w:sz w:val="20"/>
                <w:lang w:eastAsia="sk-SK"/>
              </w:rPr>
              <w:t>schopnými dosiahnu</w:t>
            </w:r>
            <w:r w:rsidRPr="00C54FAF">
              <w:rPr>
                <w:rFonts w:ascii="TimesNewRoman+01" w:hAnsi="TimesNewRoman+01" w:cs="TimesNewRoman+01"/>
                <w:sz w:val="20"/>
                <w:lang w:eastAsia="sk-SK"/>
              </w:rPr>
              <w:t xml:space="preserve">ť </w:t>
            </w:r>
            <w:r w:rsidRPr="00C54FAF">
              <w:rPr>
                <w:rFonts w:ascii="TimesNewRoman" w:hAnsi="TimesNewRoman" w:cs="TimesNewRoman"/>
                <w:sz w:val="20"/>
                <w:lang w:eastAsia="sk-SK"/>
              </w:rPr>
              <w:t xml:space="preserve">tieto prahové hodnoty </w:t>
            </w:r>
            <w:r w:rsidRPr="00C54FAF">
              <w:rPr>
                <w:rFonts w:ascii="TimesNewRomanItalic" w:hAnsi="TimesNewRomanItalic" w:cs="TimesNewRomanItalic"/>
                <w:i/>
                <w:iCs/>
                <w:sz w:val="20"/>
                <w:lang w:eastAsia="sk-SK"/>
              </w:rPr>
              <w:t>in situ</w:t>
            </w:r>
            <w:r w:rsidRPr="00C54FAF">
              <w:rPr>
                <w:rFonts w:ascii="TimesNewRoman" w:hAnsi="TimesNewRoman" w:cs="TimesNewRoman"/>
                <w:sz w:val="20"/>
                <w:lang w:eastAsia="sk-SK"/>
              </w:rPr>
              <w:t>, pokia</w:t>
            </w:r>
            <w:r w:rsidRPr="00C54FAF">
              <w:rPr>
                <w:rFonts w:ascii="TimesNewRoman+01" w:hAnsi="TimesNewRoman+01" w:cs="TimesNewRoman+01"/>
                <w:sz w:val="20"/>
                <w:lang w:eastAsia="sk-SK"/>
              </w:rPr>
              <w:t xml:space="preserve">ľ </w:t>
            </w:r>
            <w:r w:rsidRPr="00C54FAF">
              <w:rPr>
                <w:rFonts w:ascii="TimesNewRoman" w:hAnsi="TimesNewRoman" w:cs="TimesNewRoman"/>
                <w:sz w:val="20"/>
                <w:lang w:eastAsia="sk-SK"/>
              </w:rPr>
              <w:t>sa neposkytne</w:t>
            </w:r>
            <w:r w:rsidRPr="00C54FAF">
              <w:rPr>
                <w:rFonts w:ascii="TimesNewRoman+01" w:hAnsi="TimesNewRoman+01" w:cs="TimesNewRoman+01"/>
                <w:sz w:val="20"/>
                <w:lang w:eastAsia="sk-SK"/>
              </w:rPr>
              <w:t xml:space="preserve"> </w:t>
            </w:r>
            <w:r w:rsidRPr="00C54FAF">
              <w:rPr>
                <w:rFonts w:ascii="TimesNewRoman" w:hAnsi="TimesNewRoman" w:cs="TimesNewRoman"/>
                <w:sz w:val="20"/>
                <w:lang w:eastAsia="sk-SK"/>
              </w:rPr>
              <w:t>spo</w:t>
            </w:r>
            <w:r w:rsidRPr="00C54FAF">
              <w:rPr>
                <w:rFonts w:ascii="TimesNewRoman+01" w:hAnsi="TimesNewRoman+01" w:cs="TimesNewRoman+01"/>
                <w:sz w:val="20"/>
                <w:lang w:eastAsia="sk-SK"/>
              </w:rPr>
              <w:t>ľ</w:t>
            </w:r>
            <w:r w:rsidRPr="00C54FAF">
              <w:rPr>
                <w:rFonts w:ascii="TimesNewRoman" w:hAnsi="TimesNewRoman" w:cs="TimesNewRoman"/>
                <w:sz w:val="20"/>
                <w:lang w:eastAsia="sk-SK"/>
              </w:rPr>
              <w:t xml:space="preserve">ahlivý dôkaz, </w:t>
            </w:r>
            <w:r w:rsidRPr="00C54FAF">
              <w:rPr>
                <w:rFonts w:ascii="TimesNewRoman+01" w:hAnsi="TimesNewRoman+01" w:cs="TimesNewRoman+01"/>
                <w:sz w:val="20"/>
                <w:lang w:eastAsia="sk-SK"/>
              </w:rPr>
              <w:t>ž</w:t>
            </w:r>
            <w:r w:rsidRPr="00C54FAF">
              <w:rPr>
                <w:rFonts w:ascii="TimesNewRoman" w:hAnsi="TimesNewRoman" w:cs="TimesNewRoman"/>
                <w:sz w:val="20"/>
                <w:lang w:eastAsia="sk-SK"/>
              </w:rPr>
              <w:t>e obsah uhlíka pred konverziou a po nej</w:t>
            </w:r>
            <w:r w:rsidRPr="00C54FAF">
              <w:rPr>
                <w:rFonts w:ascii="TimesNewRoman+01" w:hAnsi="TimesNewRoman+01" w:cs="TimesNewRoman+01"/>
                <w:sz w:val="20"/>
                <w:lang w:eastAsia="sk-SK"/>
              </w:rPr>
              <w:t xml:space="preserve"> </w:t>
            </w:r>
            <w:r w:rsidRPr="00C54FAF">
              <w:rPr>
                <w:rFonts w:ascii="TimesNewRoman" w:hAnsi="TimesNewRoman" w:cs="TimesNewRoman"/>
                <w:sz w:val="20"/>
                <w:lang w:eastAsia="sk-SK"/>
              </w:rPr>
              <w:t xml:space="preserve">je taký, </w:t>
            </w:r>
            <w:r w:rsidRPr="00C54FAF">
              <w:rPr>
                <w:rFonts w:ascii="TimesNewRoman+01" w:hAnsi="TimesNewRoman+01" w:cs="TimesNewRoman+01"/>
                <w:sz w:val="20"/>
                <w:lang w:eastAsia="sk-SK"/>
              </w:rPr>
              <w:t>ž</w:t>
            </w:r>
            <w:r w:rsidRPr="00C54FAF">
              <w:rPr>
                <w:rFonts w:ascii="TimesNewRoman" w:hAnsi="TimesNewRoman" w:cs="TimesNewRoman"/>
                <w:sz w:val="20"/>
                <w:lang w:eastAsia="sk-SK"/>
              </w:rPr>
              <w:t>e ak sa pou</w:t>
            </w:r>
            <w:r w:rsidRPr="00C54FAF">
              <w:rPr>
                <w:rFonts w:ascii="TimesNewRoman+01" w:hAnsi="TimesNewRoman+01" w:cs="TimesNewRoman+01"/>
                <w:sz w:val="20"/>
                <w:lang w:eastAsia="sk-SK"/>
              </w:rPr>
              <w:t>ž</w:t>
            </w:r>
            <w:r w:rsidRPr="00C54FAF">
              <w:rPr>
                <w:rFonts w:ascii="TimesNewRoman" w:hAnsi="TimesNewRoman" w:cs="TimesNewRoman"/>
                <w:sz w:val="20"/>
                <w:lang w:eastAsia="sk-SK"/>
              </w:rPr>
              <w:t xml:space="preserve">ije metóda uvedená v prílohe IV </w:t>
            </w:r>
            <w:r w:rsidRPr="00C54FAF">
              <w:rPr>
                <w:rFonts w:ascii="TimesNewRoman+01" w:hAnsi="TimesNewRoman+01" w:cs="TimesNewRoman+01"/>
                <w:sz w:val="20"/>
                <w:lang w:eastAsia="sk-SK"/>
              </w:rPr>
              <w:t>č</w:t>
            </w:r>
            <w:r w:rsidRPr="00C54FAF">
              <w:rPr>
                <w:rFonts w:ascii="TimesNewRoman" w:hAnsi="TimesNewRoman" w:cs="TimesNewRoman"/>
                <w:sz w:val="20"/>
                <w:lang w:eastAsia="sk-SK"/>
              </w:rPr>
              <w:t>asti C,</w:t>
            </w:r>
            <w:r w:rsidRPr="00C54FAF">
              <w:rPr>
                <w:rFonts w:ascii="TimesNewRoman+01" w:hAnsi="TimesNewRoman+01" w:cs="TimesNewRoman+01"/>
                <w:sz w:val="20"/>
                <w:lang w:eastAsia="sk-SK"/>
              </w:rPr>
              <w:t xml:space="preserve"> </w:t>
            </w:r>
            <w:r w:rsidRPr="00C54FAF">
              <w:rPr>
                <w:rFonts w:ascii="TimesNewRoman" w:hAnsi="TimesNewRoman" w:cs="TimesNewRoman"/>
                <w:sz w:val="20"/>
                <w:lang w:eastAsia="sk-SK"/>
              </w:rPr>
              <w:t xml:space="preserve">podmienky uvedené v odseku 2 tohto </w:t>
            </w:r>
            <w:r w:rsidRPr="00C54FAF">
              <w:rPr>
                <w:rFonts w:ascii="TimesNewRoman+01" w:hAnsi="TimesNewRoman+01" w:cs="TimesNewRoman+01"/>
                <w:sz w:val="20"/>
                <w:lang w:eastAsia="sk-SK"/>
              </w:rPr>
              <w:t>č</w:t>
            </w:r>
            <w:r w:rsidRPr="00C54FAF">
              <w:rPr>
                <w:rFonts w:ascii="TimesNewRoman" w:hAnsi="TimesNewRoman" w:cs="TimesNewRoman"/>
                <w:sz w:val="20"/>
                <w:lang w:eastAsia="sk-SK"/>
              </w:rPr>
              <w:t>lánku by boli splnené.</w:t>
            </w:r>
          </w:p>
          <w:p w:rsidR="00C751EE" w:rsidRPr="00C54FAF" w:rsidP="00C751EE">
            <w:pPr>
              <w:autoSpaceDE w:val="0"/>
              <w:autoSpaceDN w:val="0"/>
              <w:adjustRightInd w:val="0"/>
              <w:jc w:val="both"/>
              <w:rPr>
                <w:rFonts w:ascii="TimesNewRoman" w:hAnsi="TimesNewRoman" w:cs="TimesNewRoman"/>
                <w:sz w:val="20"/>
                <w:lang w:eastAsia="sk-SK"/>
              </w:rPr>
            </w:pPr>
            <w:r w:rsidRPr="00C54FAF">
              <w:rPr>
                <w:rFonts w:ascii="TimesNewRoman" w:hAnsi="TimesNewRoman" w:cs="TimesNewRoman"/>
                <w:sz w:val="20"/>
                <w:lang w:eastAsia="sk-SK"/>
              </w:rPr>
              <w:t>Ustanovenia tohto ods</w:t>
            </w:r>
            <w:r w:rsidRPr="00C54FAF">
              <w:rPr>
                <w:rFonts w:ascii="TimesNewRoman" w:hAnsi="TimesNewRoman" w:cs="TimesNewRoman"/>
                <w:sz w:val="20"/>
                <w:lang w:eastAsia="sk-SK"/>
              </w:rPr>
              <w:t>eku sa neuplat</w:t>
            </w:r>
            <w:r w:rsidRPr="00C54FAF">
              <w:rPr>
                <w:rFonts w:ascii="TimesNewRoman+01" w:hAnsi="TimesNewRoman+01" w:cs="TimesNewRoman+01"/>
                <w:sz w:val="20"/>
                <w:lang w:eastAsia="sk-SK"/>
              </w:rPr>
              <w:t>ň</w:t>
            </w:r>
            <w:r w:rsidRPr="00C54FAF">
              <w:rPr>
                <w:rFonts w:ascii="TimesNewRoman" w:hAnsi="TimesNewRoman" w:cs="TimesNewRoman"/>
                <w:sz w:val="20"/>
                <w:lang w:eastAsia="sk-SK"/>
              </w:rPr>
              <w:t xml:space="preserve">ujú, ak v </w:t>
            </w:r>
            <w:r w:rsidRPr="00C54FAF">
              <w:rPr>
                <w:rFonts w:ascii="TimesNewRoman+01" w:hAnsi="TimesNewRoman+01" w:cs="TimesNewRoman+01"/>
                <w:sz w:val="20"/>
                <w:lang w:eastAsia="sk-SK"/>
              </w:rPr>
              <w:t>č</w:t>
            </w:r>
            <w:r w:rsidRPr="00C54FAF">
              <w:rPr>
                <w:rFonts w:ascii="TimesNewRoman" w:hAnsi="TimesNewRoman" w:cs="TimesNewRoman"/>
                <w:sz w:val="20"/>
                <w:lang w:eastAsia="sk-SK"/>
              </w:rPr>
              <w:t>ase získania suroviny mala pôda rovnaký status ako v januári 2008.</w:t>
            </w:r>
          </w:p>
        </w:tc>
        <w:tc>
          <w:tcPr>
            <w:tcW w:w="567" w:type="dxa"/>
            <w:tcBorders>
              <w:top w:val="single" w:sz="4" w:space="0" w:color="auto"/>
              <w:bottom w:val="single" w:sz="4" w:space="0" w:color="auto"/>
            </w:tcBorders>
          </w:tcPr>
          <w:p w:rsidR="00C751EE" w:rsidRPr="00C54FAF" w:rsidP="00C751EE">
            <w:pPr>
              <w:jc w:val="both"/>
              <w:rPr>
                <w:rFonts w:ascii="EUAlbertina" w:hAnsi="EUAlbertina" w:cs="EUAlbertina"/>
                <w:sz w:val="20"/>
                <w:lang w:eastAsia="sk-SK"/>
              </w:rPr>
            </w:pPr>
            <w:r w:rsidRPr="00C54FAF">
              <w:rPr>
                <w:rFonts w:ascii="EUAlbertina" w:hAnsi="EUAlbertina" w:cs="EUAlbertina"/>
                <w:sz w:val="20"/>
                <w:lang w:eastAsia="sk-SK"/>
              </w:rPr>
              <w:t>N</w:t>
            </w: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p w:rsidR="00C751EE" w:rsidRPr="00C54FAF"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C54FAF" w:rsidP="00C751EE">
            <w:pPr>
              <w:jc w:val="center"/>
              <w:rPr>
                <w:rFonts w:ascii="EUAlbertina" w:hAnsi="EUAlbertina" w:cs="EUAlbertina"/>
                <w:sz w:val="20"/>
                <w:lang w:eastAsia="sk-SK"/>
              </w:rPr>
            </w:pPr>
            <w:r w:rsidRPr="00C54FAF">
              <w:rPr>
                <w:rFonts w:ascii="EUAlbertina" w:hAnsi="EUAlbertina" w:cs="EUAlbertina"/>
                <w:sz w:val="20"/>
                <w:lang w:eastAsia="sk-SK"/>
              </w:rPr>
              <w:t>Z</w:t>
            </w:r>
            <w:r>
              <w:rPr>
                <w:rFonts w:ascii="EUAlbertina" w:hAnsi="EUAlbertina" w:cs="EUAlbertina"/>
                <w:sz w:val="20"/>
                <w:lang w:eastAsia="sk-SK"/>
              </w:rPr>
              <w:t xml:space="preserve"> </w:t>
            </w:r>
            <w:r w:rsidRPr="00C54FAF">
              <w:rPr>
                <w:rFonts w:ascii="EUAlbertina" w:hAnsi="EUAlbertina" w:cs="EUAlbertina"/>
                <w:sz w:val="20"/>
                <w:lang w:eastAsia="sk-SK"/>
              </w:rPr>
              <w:t>309/2009</w:t>
            </w: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r w:rsidRPr="00C54FAF">
              <w:rPr>
                <w:rFonts w:ascii="EUAlbertina" w:hAnsi="EUAlbertina" w:cs="EUAlbertina"/>
                <w:sz w:val="20"/>
                <w:lang w:eastAsia="sk-SK"/>
              </w:rPr>
              <w:t>V</w:t>
            </w:r>
            <w:r>
              <w:rPr>
                <w:rFonts w:ascii="EUAlbertina" w:hAnsi="EUAlbertina" w:cs="EUAlbertina"/>
                <w:sz w:val="20"/>
                <w:lang w:eastAsia="sk-SK"/>
              </w:rPr>
              <w:t xml:space="preserve"> </w:t>
            </w:r>
            <w:r w:rsidRPr="00C54FAF">
              <w:rPr>
                <w:rFonts w:ascii="EUAlbertina" w:hAnsi="EUAlbertina" w:cs="EUAlbertina"/>
                <w:sz w:val="20"/>
                <w:lang w:eastAsia="sk-SK"/>
              </w:rPr>
              <w:t>271/2011</w:t>
            </w: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C54FAF" w:rsidP="00C751EE">
            <w:pPr>
              <w:pStyle w:val="BodyText21"/>
              <w:spacing w:before="0"/>
              <w:jc w:val="center"/>
              <w:rPr>
                <w:lang w:eastAsia="en-US"/>
              </w:rPr>
            </w:pPr>
            <w:r>
              <w:rPr>
                <w:lang w:eastAsia="en-US"/>
              </w:rPr>
              <w:t>§</w:t>
            </w:r>
            <w:r w:rsidRPr="00C54FAF">
              <w:rPr>
                <w:lang w:eastAsia="en-US"/>
              </w:rPr>
              <w:t>19b</w:t>
            </w:r>
          </w:p>
          <w:p w:rsidR="00C751EE" w:rsidRPr="00C54FAF" w:rsidP="00C751EE">
            <w:pPr>
              <w:pStyle w:val="BodyText21"/>
              <w:spacing w:before="0"/>
              <w:jc w:val="center"/>
              <w:rPr>
                <w:lang w:eastAsia="en-US"/>
              </w:rPr>
            </w:pPr>
            <w:r w:rsidRPr="00C54FAF">
              <w:rPr>
                <w:lang w:eastAsia="en-US"/>
              </w:rPr>
              <w:t>O1</w:t>
            </w:r>
          </w:p>
          <w:p w:rsidR="00C751EE" w:rsidRPr="00C54FAF" w:rsidP="00C751EE">
            <w:pPr>
              <w:pStyle w:val="BodyText21"/>
              <w:spacing w:before="0"/>
              <w:jc w:val="center"/>
              <w:rPr>
                <w:lang w:eastAsia="en-US"/>
              </w:rPr>
            </w:pPr>
            <w:r w:rsidRPr="00C54FAF">
              <w:rPr>
                <w:lang w:eastAsia="en-US"/>
              </w:rPr>
              <w:t>Pa</w:t>
            </w: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r>
              <w:rPr>
                <w:lang w:eastAsia="en-US"/>
              </w:rPr>
              <w:t>§</w:t>
            </w:r>
            <w:r w:rsidRPr="00C54FAF">
              <w:rPr>
                <w:lang w:eastAsia="en-US"/>
              </w:rPr>
              <w:t>3</w:t>
            </w:r>
          </w:p>
          <w:p w:rsidR="00C751EE" w:rsidRPr="00C54FAF" w:rsidP="00C751EE">
            <w:pPr>
              <w:pStyle w:val="BodyText21"/>
              <w:spacing w:before="0"/>
              <w:jc w:val="center"/>
              <w:rPr>
                <w:lang w:eastAsia="en-US"/>
              </w:rPr>
            </w:pPr>
            <w:r w:rsidRPr="00C54FAF">
              <w:rPr>
                <w:lang w:eastAsia="en-US"/>
              </w:rPr>
              <w:t>O6</w:t>
            </w: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C751EE" w:rsidRPr="00C54FAF" w:rsidP="00C751EE">
            <w:pPr>
              <w:pStyle w:val="BodyText21"/>
              <w:spacing w:before="0"/>
              <w:jc w:val="center"/>
              <w:rPr>
                <w:lang w:eastAsia="en-US"/>
              </w:rPr>
            </w:pPr>
          </w:p>
          <w:p w:rsidR="00110CE0" w:rsidRPr="00C54FAF" w:rsidP="00110CE0">
            <w:pPr>
              <w:pStyle w:val="BodyText21"/>
              <w:spacing w:before="0"/>
              <w:jc w:val="center"/>
              <w:rPr>
                <w:lang w:eastAsia="en-US"/>
              </w:rPr>
            </w:pPr>
            <w:r>
              <w:rPr>
                <w:lang w:eastAsia="en-US"/>
              </w:rPr>
              <w:t>§</w:t>
            </w:r>
            <w:r w:rsidRPr="00C54FAF">
              <w:rPr>
                <w:lang w:eastAsia="en-US"/>
              </w:rPr>
              <w:t>3</w:t>
            </w:r>
          </w:p>
          <w:p w:rsidR="00C751EE" w:rsidRPr="00C54FAF" w:rsidP="00C751EE">
            <w:pPr>
              <w:pStyle w:val="BodyText21"/>
              <w:spacing w:before="0"/>
              <w:jc w:val="center"/>
              <w:rPr>
                <w:lang w:eastAsia="en-US"/>
              </w:rPr>
            </w:pPr>
            <w:r w:rsidRPr="00C54FAF">
              <w:rPr>
                <w:lang w:eastAsia="en-US"/>
              </w:rPr>
              <w:t>O7</w:t>
            </w:r>
          </w:p>
          <w:p w:rsidR="00C751EE" w:rsidRPr="00C54FAF" w:rsidP="00C751EE">
            <w:pPr>
              <w:pStyle w:val="BodyText21"/>
              <w:spacing w:before="0"/>
              <w:jc w:val="center"/>
              <w:rPr>
                <w:lang w:eastAsia="en-US"/>
              </w:rPr>
            </w:pPr>
          </w:p>
          <w:p w:rsidR="00C751EE" w:rsidRPr="00C54FAF" w:rsidP="00C751EE">
            <w:pPr>
              <w:pStyle w:val="BodyText21"/>
              <w:jc w:val="center"/>
              <w:rPr>
                <w:lang w:eastAsia="en-US"/>
              </w:rPr>
            </w:pPr>
          </w:p>
        </w:tc>
        <w:tc>
          <w:tcPr>
            <w:tcW w:w="4110" w:type="dxa"/>
            <w:tcBorders>
              <w:top w:val="single" w:sz="4" w:space="0" w:color="auto"/>
              <w:bottom w:val="single" w:sz="4" w:space="0" w:color="auto"/>
            </w:tcBorders>
          </w:tcPr>
          <w:p w:rsidR="00110CE0" w:rsidRPr="004B3966" w:rsidP="00110CE0">
            <w:pPr>
              <w:jc w:val="both"/>
              <w:rPr>
                <w:sz w:val="20"/>
                <w:lang w:eastAsia="en-US"/>
              </w:rPr>
            </w:pPr>
            <w:r w:rsidRPr="004B3966" w:rsidR="00C751EE">
              <w:rPr>
                <w:sz w:val="20"/>
                <w:lang w:eastAsia="en-US"/>
              </w:rPr>
              <w:t xml:space="preserve">(1) </w:t>
            </w:r>
            <w:r w:rsidRPr="004B3966">
              <w:rPr>
                <w:sz w:val="20"/>
                <w:lang w:eastAsia="en-US"/>
              </w:rPr>
              <w:t>Ministerstvo životného prostredia všeobecne záväzným p</w:t>
            </w:r>
            <w:r w:rsidRPr="004B3966">
              <w:rPr>
                <w:sz w:val="20"/>
                <w:lang w:eastAsia="en-US"/>
              </w:rPr>
              <w:t>rávnym predpisom ustanoví</w:t>
            </w:r>
          </w:p>
          <w:p w:rsidR="00C751EE" w:rsidRPr="004B3966" w:rsidP="00110CE0">
            <w:pPr>
              <w:jc w:val="both"/>
              <w:rPr>
                <w:sz w:val="20"/>
                <w:lang w:eastAsia="en-US"/>
              </w:rPr>
            </w:pPr>
            <w:r w:rsidRPr="004B3966" w:rsidR="00110CE0">
              <w:rPr>
                <w:sz w:val="20"/>
                <w:lang w:eastAsia="en-US"/>
              </w:rPr>
              <w:t>a) kritériá trvalej udržateľnosti biopalív a biokvapalín a limitné hodnoty pre emisie skleníkových plynov z pestovania poľnohospodárskych surovín pri zachovaní kritérií trvalej udržateľnosti</w:t>
            </w:r>
            <w:r w:rsidRPr="004B3966">
              <w:rPr>
                <w:sz w:val="20"/>
                <w:lang w:eastAsia="en-US"/>
              </w:rPr>
              <w:t>,</w:t>
            </w:r>
          </w:p>
          <w:p w:rsidR="00C751EE" w:rsidRPr="004B3966" w:rsidP="00C751EE">
            <w:pPr>
              <w:jc w:val="both"/>
              <w:rPr>
                <w:sz w:val="20"/>
                <w:lang w:eastAsia="en-US"/>
              </w:rPr>
            </w:pPr>
          </w:p>
          <w:p w:rsidR="00C751EE" w:rsidRPr="004B3966" w:rsidP="00C751EE">
            <w:pPr>
              <w:autoSpaceDE w:val="0"/>
              <w:autoSpaceDN w:val="0"/>
              <w:adjustRightInd w:val="0"/>
              <w:jc w:val="both"/>
              <w:rPr>
                <w:sz w:val="20"/>
                <w:lang w:eastAsia="en-US"/>
              </w:rPr>
            </w:pPr>
            <w:r w:rsidRPr="004B3966">
              <w:rPr>
                <w:sz w:val="20"/>
                <w:lang w:eastAsia="en-US"/>
              </w:rPr>
              <w:t xml:space="preserve">(6) </w:t>
            </w:r>
            <w:r w:rsidRPr="004B3966" w:rsidR="00110CE0">
              <w:rPr>
                <w:sz w:val="20"/>
                <w:lang w:eastAsia="en-US"/>
              </w:rPr>
              <w:t>Biopalivá a biokvapaliny sa nesmú vyrábať zo surovín získaných z pôdy s vysokým obsahom uhlíka, ktorou sa rozumie pôda, ktorá v januári 2008 bola, ale už nie je</w:t>
            </w:r>
          </w:p>
          <w:p w:rsidR="00C751EE" w:rsidRPr="004B3966" w:rsidP="00C751EE">
            <w:pPr>
              <w:autoSpaceDE w:val="0"/>
              <w:autoSpaceDN w:val="0"/>
              <w:adjustRightInd w:val="0"/>
              <w:jc w:val="both"/>
              <w:rPr>
                <w:sz w:val="20"/>
                <w:lang w:eastAsia="en-US"/>
              </w:rPr>
            </w:pPr>
            <w:r w:rsidRPr="004B3966">
              <w:rPr>
                <w:sz w:val="20"/>
                <w:lang w:eastAsia="en-US"/>
              </w:rPr>
              <w:t>a)</w:t>
            </w:r>
            <w:r w:rsidRPr="004B3966" w:rsidR="00110CE0">
              <w:rPr>
                <w:sz w:val="20"/>
                <w:lang w:eastAsia="en-US"/>
              </w:rPr>
              <w:t xml:space="preserve"> </w:t>
            </w:r>
            <w:r w:rsidRPr="004B3966">
              <w:rPr>
                <w:sz w:val="20"/>
                <w:lang w:eastAsia="en-US"/>
              </w:rPr>
              <w:t>mokraďou,</w:t>
            </w:r>
          </w:p>
          <w:p w:rsidR="00C751EE" w:rsidRPr="004B3966" w:rsidP="00C751EE">
            <w:pPr>
              <w:autoSpaceDE w:val="0"/>
              <w:autoSpaceDN w:val="0"/>
              <w:adjustRightInd w:val="0"/>
              <w:jc w:val="both"/>
              <w:rPr>
                <w:sz w:val="20"/>
                <w:lang w:eastAsia="en-US"/>
              </w:rPr>
            </w:pPr>
            <w:r w:rsidRPr="004B3966">
              <w:rPr>
                <w:sz w:val="20"/>
                <w:lang w:eastAsia="en-US"/>
              </w:rPr>
              <w:t>b) súvislo zalesnenou oblasťou,</w:t>
            </w:r>
          </w:p>
          <w:p w:rsidR="00C751EE" w:rsidRPr="004B3966" w:rsidP="00C751EE">
            <w:pPr>
              <w:autoSpaceDE w:val="0"/>
              <w:autoSpaceDN w:val="0"/>
              <w:adjustRightInd w:val="0"/>
              <w:jc w:val="both"/>
              <w:rPr>
                <w:sz w:val="20"/>
                <w:lang w:eastAsia="en-US"/>
              </w:rPr>
            </w:pPr>
            <w:r w:rsidRPr="004B3966">
              <w:rPr>
                <w:sz w:val="20"/>
                <w:lang w:eastAsia="en-US"/>
              </w:rPr>
              <w:t xml:space="preserve">c) </w:t>
            </w:r>
            <w:r w:rsidRPr="004B3966" w:rsidR="00110CE0">
              <w:rPr>
                <w:sz w:val="20"/>
                <w:lang w:eastAsia="en-US"/>
              </w:rPr>
              <w:t>pôdou s rozlohou viac ako jeden hektár so stromami vyššími ako päť metrov a s pokryvom koruny medzi 10 až 30 % alebo so stromami schopnými dosiahnuť tieto prahové hodnoty v danej lokalite, pokiaľ sa neposkytne spoľahlivý dôkaz, že zásoby uhlíka v oblasti pred konverziou a po nej sú také, že ak sa použije metodika uvedená v prílohe č. 2 časti C, podmienky uvedené v odsekoch 2 až 4 a § 11 by boli splnené</w:t>
            </w:r>
            <w:r w:rsidRPr="004B3966">
              <w:rPr>
                <w:sz w:val="20"/>
                <w:lang w:eastAsia="en-US"/>
              </w:rPr>
              <w:t>.</w:t>
            </w:r>
          </w:p>
          <w:p w:rsidR="00C751EE" w:rsidRPr="004B3966" w:rsidP="00C751EE">
            <w:pPr>
              <w:autoSpaceDE w:val="0"/>
              <w:autoSpaceDN w:val="0"/>
              <w:adjustRightInd w:val="0"/>
              <w:jc w:val="both"/>
              <w:rPr>
                <w:sz w:val="20"/>
                <w:lang w:eastAsia="en-US"/>
              </w:rPr>
            </w:pPr>
          </w:p>
          <w:p w:rsidR="00C751EE" w:rsidRPr="004B3966" w:rsidP="00C751EE">
            <w:pPr>
              <w:jc w:val="both"/>
              <w:rPr>
                <w:sz w:val="20"/>
                <w:lang w:eastAsia="en-US"/>
              </w:rPr>
            </w:pPr>
            <w:r w:rsidRPr="004B3966">
              <w:rPr>
                <w:sz w:val="20"/>
                <w:lang w:eastAsia="en-US"/>
              </w:rPr>
              <w:t xml:space="preserve">(7) </w:t>
            </w:r>
            <w:r w:rsidRPr="004B3966" w:rsidR="00110CE0">
              <w:rPr>
                <w:sz w:val="20"/>
                <w:lang w:eastAsia="en-US"/>
              </w:rPr>
              <w:t>Ustanovenia odseku 6 sa neuplatňujú, ak v čase získania suroviny bola pôda v rovnakej podobe ako v januári 2008</w:t>
            </w:r>
            <w:r w:rsidRPr="004B3966">
              <w:rPr>
                <w:sz w:val="20"/>
                <w:lang w:eastAsia="en-US"/>
              </w:rPr>
              <w:t xml:space="preserve">. </w:t>
            </w:r>
          </w:p>
        </w:tc>
        <w:tc>
          <w:tcPr>
            <w:tcW w:w="709" w:type="dxa"/>
            <w:tcBorders>
              <w:top w:val="single" w:sz="4" w:space="0" w:color="auto"/>
              <w:bottom w:val="single" w:sz="4" w:space="0" w:color="auto"/>
            </w:tcBorders>
          </w:tcPr>
          <w:p w:rsidR="00C751EE" w:rsidRPr="00C54FAF" w:rsidP="00C751EE">
            <w:pPr>
              <w:jc w:val="center"/>
              <w:rPr>
                <w:rFonts w:ascii="EUAlbertina" w:hAnsi="EUAlbertina" w:cs="EUAlbertina"/>
                <w:sz w:val="20"/>
                <w:lang w:eastAsia="sk-SK"/>
              </w:rPr>
            </w:pPr>
            <w:r w:rsidRPr="00C54FAF">
              <w:rPr>
                <w:rFonts w:ascii="EUAlbertina" w:hAnsi="EUAlbertina" w:cs="EUAlbertina"/>
                <w:sz w:val="20"/>
                <w:lang w:eastAsia="sk-SK"/>
              </w:rPr>
              <w:t>Ú</w:t>
            </w: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p w:rsidR="00C751EE" w:rsidRPr="00C54FAF"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C54FAF"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RPr="00740FAE" w:rsidP="00C751EE">
            <w:pPr>
              <w:jc w:val="both"/>
              <w:rPr>
                <w:rFonts w:ascii="EUAlbertina" w:hAnsi="EUAlbertina" w:cs="EUAlbertina"/>
                <w:sz w:val="20"/>
                <w:lang w:eastAsia="sk-SK"/>
              </w:rPr>
            </w:pPr>
            <w:r w:rsidRPr="00740FAE">
              <w:rPr>
                <w:rFonts w:ascii="EUAlbertina" w:hAnsi="EUAlbertina" w:cs="EUAlbertina"/>
                <w:sz w:val="20"/>
                <w:lang w:eastAsia="sk-SK"/>
              </w:rPr>
              <w:t>Č7b</w:t>
            </w:r>
          </w:p>
          <w:p w:rsidR="00C751EE" w:rsidRPr="00740FAE" w:rsidP="00C751EE">
            <w:pPr>
              <w:jc w:val="both"/>
              <w:rPr>
                <w:rFonts w:ascii="EUAlbertina" w:hAnsi="EUAlbertina" w:cs="EUAlbertina"/>
                <w:sz w:val="20"/>
                <w:lang w:eastAsia="sk-SK"/>
              </w:rPr>
            </w:pPr>
            <w:r w:rsidRPr="00740FAE">
              <w:rPr>
                <w:rFonts w:ascii="EUAlbertina" w:hAnsi="EUAlbertina" w:cs="EUAlbertina"/>
                <w:sz w:val="20"/>
                <w:lang w:eastAsia="sk-SK"/>
              </w:rPr>
              <w:t>O5</w:t>
            </w:r>
          </w:p>
        </w:tc>
        <w:tc>
          <w:tcPr>
            <w:tcW w:w="5245" w:type="dxa"/>
            <w:tcBorders>
              <w:top w:val="single" w:sz="4" w:space="0" w:color="auto"/>
              <w:bottom w:val="single" w:sz="4" w:space="0" w:color="auto"/>
            </w:tcBorders>
          </w:tcPr>
          <w:p w:rsidR="00C751EE" w:rsidRPr="00740FAE" w:rsidP="00C751EE">
            <w:pPr>
              <w:autoSpaceDE w:val="0"/>
              <w:autoSpaceDN w:val="0"/>
              <w:adjustRightInd w:val="0"/>
              <w:jc w:val="both"/>
              <w:rPr>
                <w:rFonts w:ascii="TimesNewRoman" w:hAnsi="TimesNewRoman" w:cs="TimesNewRoman"/>
                <w:sz w:val="20"/>
                <w:lang w:eastAsia="sk-SK"/>
              </w:rPr>
            </w:pPr>
            <w:r w:rsidRPr="00740FAE">
              <w:rPr>
                <w:rFonts w:ascii="TimesNewRoman" w:hAnsi="TimesNewRoman" w:cs="TimesNewRoman"/>
                <w:sz w:val="20"/>
                <w:lang w:eastAsia="sk-SK"/>
              </w:rPr>
              <w:t>5. Biopalivá zoh</w:t>
            </w:r>
            <w:r w:rsidRPr="00740FAE">
              <w:rPr>
                <w:rFonts w:ascii="TimesNewRoman+01" w:hAnsi="TimesNewRoman+01" w:cs="TimesNewRoman+01"/>
                <w:sz w:val="20"/>
                <w:lang w:eastAsia="sk-SK"/>
              </w:rPr>
              <w:t>ľ</w:t>
            </w:r>
            <w:r w:rsidRPr="00740FAE">
              <w:rPr>
                <w:rFonts w:ascii="TimesNewRoman" w:hAnsi="TimesNewRoman" w:cs="TimesNewRoman"/>
                <w:sz w:val="20"/>
                <w:lang w:eastAsia="sk-SK"/>
              </w:rPr>
              <w:t>adnené na ú</w:t>
            </w:r>
            <w:r w:rsidRPr="00740FAE">
              <w:rPr>
                <w:rFonts w:ascii="TimesNewRoman+01" w:hAnsi="TimesNewRoman+01" w:cs="TimesNewRoman+01"/>
                <w:sz w:val="20"/>
                <w:lang w:eastAsia="sk-SK"/>
              </w:rPr>
              <w:t>č</w:t>
            </w:r>
            <w:r w:rsidRPr="00740FAE">
              <w:rPr>
                <w:rFonts w:ascii="TimesNewRoman" w:hAnsi="TimesNewRoman" w:cs="TimesNewRoman"/>
                <w:sz w:val="20"/>
                <w:lang w:eastAsia="sk-SK"/>
              </w:rPr>
              <w:t>ely uved</w:t>
            </w:r>
            <w:r w:rsidRPr="00740FAE">
              <w:rPr>
                <w:rFonts w:ascii="TimesNewRoman" w:hAnsi="TimesNewRoman" w:cs="TimesNewRoman"/>
                <w:sz w:val="20"/>
                <w:lang w:eastAsia="sk-SK"/>
              </w:rPr>
              <w:t>ené v odseku 1 sa nesmú</w:t>
            </w:r>
          </w:p>
          <w:p w:rsidR="00C751EE" w:rsidRPr="00740FAE" w:rsidP="00C751EE">
            <w:pPr>
              <w:autoSpaceDE w:val="0"/>
              <w:autoSpaceDN w:val="0"/>
              <w:adjustRightInd w:val="0"/>
              <w:jc w:val="both"/>
              <w:rPr>
                <w:rFonts w:ascii="TimesNewRoman" w:hAnsi="TimesNewRoman" w:cs="TimesNewRoman"/>
                <w:sz w:val="20"/>
                <w:lang w:eastAsia="sk-SK"/>
              </w:rPr>
            </w:pPr>
            <w:r w:rsidRPr="00740FAE">
              <w:rPr>
                <w:rFonts w:ascii="TimesNewRoman" w:hAnsi="TimesNewRoman" w:cs="TimesNewRoman"/>
                <w:sz w:val="20"/>
                <w:lang w:eastAsia="sk-SK"/>
              </w:rPr>
              <w:t>vyrába</w:t>
            </w:r>
            <w:r w:rsidRPr="00740FAE">
              <w:rPr>
                <w:rFonts w:ascii="TimesNewRoman+01" w:hAnsi="TimesNewRoman+01" w:cs="TimesNewRoman+01"/>
                <w:sz w:val="20"/>
                <w:lang w:eastAsia="sk-SK"/>
              </w:rPr>
              <w:t xml:space="preserve">ť </w:t>
            </w:r>
            <w:r w:rsidRPr="00740FAE">
              <w:rPr>
                <w:rFonts w:ascii="TimesNewRoman" w:hAnsi="TimesNewRoman" w:cs="TimesNewRoman"/>
                <w:sz w:val="20"/>
                <w:lang w:eastAsia="sk-SK"/>
              </w:rPr>
              <w:t>zo surovín získaných z pôdy, ktorá bola v januári 2008 ra</w:t>
            </w:r>
            <w:r w:rsidRPr="00740FAE">
              <w:rPr>
                <w:rFonts w:ascii="TimesNewRoman+01" w:hAnsi="TimesNewRoman+01" w:cs="TimesNewRoman+01"/>
                <w:sz w:val="20"/>
                <w:lang w:eastAsia="sk-SK"/>
              </w:rPr>
              <w:t>š</w:t>
            </w:r>
            <w:r w:rsidRPr="00740FAE">
              <w:rPr>
                <w:rFonts w:ascii="TimesNewRoman" w:hAnsi="TimesNewRoman" w:cs="TimesNewRoman"/>
                <w:sz w:val="20"/>
                <w:lang w:eastAsia="sk-SK"/>
              </w:rPr>
              <w:t>eliniskom, pokia</w:t>
            </w:r>
            <w:r w:rsidRPr="00740FAE">
              <w:rPr>
                <w:rFonts w:ascii="TimesNewRoman+01" w:hAnsi="TimesNewRoman+01" w:cs="TimesNewRoman+01"/>
                <w:sz w:val="20"/>
                <w:lang w:eastAsia="sk-SK"/>
              </w:rPr>
              <w:t xml:space="preserve">ľ </w:t>
            </w:r>
            <w:r w:rsidRPr="00740FAE">
              <w:rPr>
                <w:rFonts w:ascii="TimesNewRoman" w:hAnsi="TimesNewRoman" w:cs="TimesNewRoman"/>
                <w:sz w:val="20"/>
                <w:lang w:eastAsia="sk-SK"/>
              </w:rPr>
              <w:t>sa nedoká</w:t>
            </w:r>
            <w:r w:rsidRPr="00740FAE">
              <w:rPr>
                <w:rFonts w:ascii="TimesNewRoman+01" w:hAnsi="TimesNewRoman+01" w:cs="TimesNewRoman+01"/>
                <w:sz w:val="20"/>
                <w:lang w:eastAsia="sk-SK"/>
              </w:rPr>
              <w:t>ž</w:t>
            </w:r>
            <w:r w:rsidRPr="00740FAE">
              <w:rPr>
                <w:rFonts w:ascii="TimesNewRoman" w:hAnsi="TimesNewRoman" w:cs="TimesNewRoman"/>
                <w:sz w:val="20"/>
                <w:lang w:eastAsia="sk-SK"/>
              </w:rPr>
              <w:t xml:space="preserve">e, </w:t>
            </w:r>
            <w:r w:rsidRPr="00740FAE">
              <w:rPr>
                <w:rFonts w:ascii="TimesNewRoman+01" w:hAnsi="TimesNewRoman+01" w:cs="TimesNewRoman+01"/>
                <w:sz w:val="20"/>
                <w:lang w:eastAsia="sk-SK"/>
              </w:rPr>
              <w:t>ž</w:t>
            </w:r>
            <w:r w:rsidRPr="00740FAE">
              <w:rPr>
                <w:rFonts w:ascii="TimesNewRoman" w:hAnsi="TimesNewRoman" w:cs="TimesNewRoman"/>
                <w:sz w:val="20"/>
                <w:lang w:eastAsia="sk-SK"/>
              </w:rPr>
              <w:t>e pestovanie a zber tejto suroviny nevy</w:t>
            </w:r>
            <w:r w:rsidRPr="00740FAE">
              <w:rPr>
                <w:rFonts w:ascii="TimesNewRoman+01" w:hAnsi="TimesNewRoman+01" w:cs="TimesNewRoman+01"/>
                <w:sz w:val="20"/>
                <w:lang w:eastAsia="sk-SK"/>
              </w:rPr>
              <w:t>ž</w:t>
            </w:r>
            <w:r w:rsidRPr="00740FAE">
              <w:rPr>
                <w:rFonts w:ascii="TimesNewRoman" w:hAnsi="TimesNewRoman" w:cs="TimesNewRoman"/>
                <w:sz w:val="20"/>
                <w:lang w:eastAsia="sk-SK"/>
              </w:rPr>
              <w:t>aduje odvod</w:t>
            </w:r>
            <w:r w:rsidRPr="00740FAE">
              <w:rPr>
                <w:rFonts w:ascii="TimesNewRoman+01" w:hAnsi="TimesNewRoman+01" w:cs="TimesNewRoman+01"/>
                <w:sz w:val="20"/>
                <w:lang w:eastAsia="sk-SK"/>
              </w:rPr>
              <w:t>ň</w:t>
            </w:r>
            <w:r w:rsidRPr="00740FAE">
              <w:rPr>
                <w:rFonts w:ascii="TimesNewRoman" w:hAnsi="TimesNewRoman" w:cs="TimesNewRoman"/>
                <w:sz w:val="20"/>
                <w:lang w:eastAsia="sk-SK"/>
              </w:rPr>
              <w:t>ovanie predtým neodvodnenej pôdy.</w:t>
            </w:r>
          </w:p>
          <w:p w:rsidR="00C751EE" w:rsidRPr="00740FAE"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740FAE" w:rsidP="00C751EE">
            <w:pPr>
              <w:jc w:val="both"/>
              <w:rPr>
                <w:rFonts w:ascii="EUAlbertina" w:hAnsi="EUAlbertina" w:cs="EUAlbertina"/>
                <w:sz w:val="20"/>
                <w:lang w:eastAsia="sk-SK"/>
              </w:rPr>
            </w:pPr>
            <w:r w:rsidRPr="00740FAE">
              <w:rPr>
                <w:rFonts w:ascii="EUAlbertina" w:hAnsi="EUAlbertina" w:cs="EUAlbertina"/>
                <w:sz w:val="20"/>
                <w:lang w:eastAsia="sk-SK"/>
              </w:rPr>
              <w:t>N</w:t>
            </w:r>
          </w:p>
          <w:p w:rsidR="00C751EE" w:rsidRPr="00740FAE" w:rsidP="00C751EE">
            <w:pPr>
              <w:jc w:val="both"/>
              <w:rPr>
                <w:rFonts w:ascii="EUAlbertina" w:hAnsi="EUAlbertina" w:cs="EUAlbertina"/>
                <w:sz w:val="20"/>
                <w:lang w:eastAsia="sk-SK"/>
              </w:rPr>
            </w:pPr>
          </w:p>
          <w:p w:rsidR="00C751EE" w:rsidRPr="00740FAE" w:rsidP="00C751EE">
            <w:pPr>
              <w:jc w:val="both"/>
              <w:rPr>
                <w:rFonts w:ascii="EUAlbertina" w:hAnsi="EUAlbertina" w:cs="EUAlbertina"/>
                <w:sz w:val="20"/>
                <w:lang w:eastAsia="sk-SK"/>
              </w:rPr>
            </w:pPr>
          </w:p>
          <w:p w:rsidR="00C751EE" w:rsidRPr="00740FAE" w:rsidP="00C751EE">
            <w:pPr>
              <w:jc w:val="both"/>
              <w:rPr>
                <w:rFonts w:ascii="EUAlbertina" w:hAnsi="EUAlbertina" w:cs="EUAlbertina"/>
                <w:sz w:val="20"/>
                <w:lang w:eastAsia="sk-SK"/>
              </w:rPr>
            </w:pPr>
          </w:p>
          <w:p w:rsidR="00C751EE" w:rsidRPr="00740FAE"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740FAE" w:rsidP="00C751EE">
            <w:pPr>
              <w:jc w:val="center"/>
              <w:rPr>
                <w:rFonts w:ascii="EUAlbertina" w:hAnsi="EUAlbertina" w:cs="EUAlbertina"/>
                <w:sz w:val="20"/>
                <w:lang w:eastAsia="sk-SK"/>
              </w:rPr>
            </w:pPr>
            <w:r w:rsidRPr="00740FAE">
              <w:rPr>
                <w:rFonts w:ascii="EUAlbertina" w:hAnsi="EUAlbertina" w:cs="EUAlbertina"/>
                <w:sz w:val="20"/>
                <w:lang w:eastAsia="sk-SK"/>
              </w:rPr>
              <w:t>Z</w:t>
            </w:r>
            <w:r>
              <w:rPr>
                <w:rFonts w:ascii="EUAlbertina" w:hAnsi="EUAlbertina" w:cs="EUAlbertina"/>
                <w:sz w:val="20"/>
                <w:lang w:eastAsia="sk-SK"/>
              </w:rPr>
              <w:t xml:space="preserve"> </w:t>
            </w:r>
            <w:r w:rsidRPr="00740FAE">
              <w:rPr>
                <w:rFonts w:ascii="EUAlbertina" w:hAnsi="EUAlbertina" w:cs="EUAlbertina"/>
                <w:sz w:val="20"/>
                <w:lang w:eastAsia="sk-SK"/>
              </w:rPr>
              <w:t>309/2009</w:t>
            </w:r>
          </w:p>
          <w:p w:rsidR="00C751EE" w:rsidRPr="00740FAE" w:rsidP="00C751EE">
            <w:pPr>
              <w:jc w:val="center"/>
              <w:rPr>
                <w:rFonts w:ascii="EUAlbertina" w:hAnsi="EUAlbertina" w:cs="EUAlbertina"/>
                <w:sz w:val="20"/>
                <w:lang w:eastAsia="sk-SK"/>
              </w:rPr>
            </w:pPr>
          </w:p>
          <w:p w:rsidR="00C751EE" w:rsidRPr="00740FAE" w:rsidP="00C751EE">
            <w:pPr>
              <w:jc w:val="center"/>
              <w:rPr>
                <w:rFonts w:ascii="EUAlbertina" w:hAnsi="EUAlbertina" w:cs="EUAlbertina"/>
                <w:sz w:val="20"/>
                <w:lang w:eastAsia="sk-SK"/>
              </w:rPr>
            </w:pPr>
          </w:p>
          <w:p w:rsidR="00C751EE" w:rsidRPr="00740FAE" w:rsidP="00C751EE">
            <w:pPr>
              <w:pStyle w:val="BodyText21"/>
              <w:jc w:val="center"/>
              <w:rPr>
                <w:rFonts w:ascii="EUAlbertina" w:hAnsi="EUAlbertina" w:cs="EUAlbertina"/>
                <w:lang w:eastAsia="sk-SK"/>
              </w:rPr>
            </w:pPr>
          </w:p>
          <w:p w:rsidR="00C751EE" w:rsidP="00C751EE">
            <w:pPr>
              <w:pStyle w:val="BodyText21"/>
              <w:jc w:val="center"/>
              <w:rPr>
                <w:rFonts w:ascii="EUAlbertina" w:hAnsi="EUAlbertina" w:cs="EUAlbertina"/>
                <w:lang w:eastAsia="sk-SK"/>
              </w:rPr>
            </w:pPr>
          </w:p>
          <w:p w:rsidR="00C751EE" w:rsidRPr="00740FAE" w:rsidP="00C751EE">
            <w:pPr>
              <w:pStyle w:val="BodyText21"/>
              <w:jc w:val="center"/>
              <w:rPr>
                <w:rFonts w:ascii="EUAlbertina" w:hAnsi="EUAlbertina" w:cs="EUAlbertina"/>
                <w:lang w:eastAsia="sk-SK"/>
              </w:rPr>
            </w:pPr>
          </w:p>
          <w:p w:rsidR="00C751EE" w:rsidRPr="00740FAE" w:rsidP="00C751EE">
            <w:pPr>
              <w:pStyle w:val="BodyText21"/>
              <w:jc w:val="center"/>
              <w:rPr>
                <w:rFonts w:ascii="EUAlbertina" w:hAnsi="EUAlbertina" w:cs="EUAlbertina"/>
                <w:lang w:eastAsia="sk-SK"/>
              </w:rPr>
            </w:pPr>
            <w:r w:rsidRPr="00740FAE">
              <w:rPr>
                <w:rFonts w:ascii="EUAlbertina" w:hAnsi="EUAlbertina" w:cs="EUAlbertina"/>
                <w:lang w:eastAsia="sk-SK"/>
              </w:rPr>
              <w:t>V</w:t>
            </w:r>
            <w:r>
              <w:rPr>
                <w:rFonts w:ascii="EUAlbertina" w:hAnsi="EUAlbertina" w:cs="EUAlbertina"/>
                <w:lang w:eastAsia="sk-SK"/>
              </w:rPr>
              <w:t xml:space="preserve"> </w:t>
            </w:r>
            <w:r w:rsidRPr="00740FAE">
              <w:rPr>
                <w:rFonts w:ascii="EUAlbertina" w:hAnsi="EUAlbertina" w:cs="EUAlbertina"/>
                <w:lang w:eastAsia="sk-SK"/>
              </w:rPr>
              <w:t>271/2011</w:t>
            </w:r>
          </w:p>
        </w:tc>
        <w:tc>
          <w:tcPr>
            <w:tcW w:w="709" w:type="dxa"/>
            <w:tcBorders>
              <w:top w:val="single" w:sz="4" w:space="0" w:color="auto"/>
              <w:bottom w:val="single" w:sz="4" w:space="0" w:color="auto"/>
            </w:tcBorders>
          </w:tcPr>
          <w:p w:rsidR="00C751EE" w:rsidRPr="00740FAE" w:rsidP="00C751EE">
            <w:pPr>
              <w:pStyle w:val="BodyText21"/>
              <w:spacing w:before="0"/>
              <w:jc w:val="center"/>
              <w:rPr>
                <w:lang w:eastAsia="en-US"/>
              </w:rPr>
            </w:pPr>
            <w:r>
              <w:rPr>
                <w:lang w:eastAsia="en-US"/>
              </w:rPr>
              <w:t>§</w:t>
            </w:r>
            <w:r w:rsidRPr="00740FAE">
              <w:rPr>
                <w:lang w:eastAsia="en-US"/>
              </w:rPr>
              <w:t>19b</w:t>
            </w:r>
          </w:p>
          <w:p w:rsidR="00C751EE" w:rsidRPr="00740FAE" w:rsidP="00C751EE">
            <w:pPr>
              <w:pStyle w:val="BodyText21"/>
              <w:spacing w:before="0"/>
              <w:jc w:val="center"/>
              <w:rPr>
                <w:lang w:eastAsia="en-US"/>
              </w:rPr>
            </w:pPr>
            <w:r w:rsidRPr="00740FAE">
              <w:rPr>
                <w:lang w:eastAsia="en-US"/>
              </w:rPr>
              <w:t>O1</w:t>
            </w:r>
          </w:p>
          <w:p w:rsidR="00C751EE" w:rsidRPr="00740FAE" w:rsidP="00C751EE">
            <w:pPr>
              <w:pStyle w:val="BodyText21"/>
              <w:spacing w:before="0"/>
              <w:jc w:val="center"/>
              <w:rPr>
                <w:lang w:eastAsia="en-US"/>
              </w:rPr>
            </w:pPr>
            <w:r w:rsidR="00110CE0">
              <w:rPr>
                <w:lang w:eastAsia="en-US"/>
              </w:rPr>
              <w:t>P</w:t>
            </w:r>
            <w:r w:rsidRPr="00740FAE">
              <w:rPr>
                <w:lang w:eastAsia="en-US"/>
              </w:rPr>
              <w:t>a</w:t>
            </w:r>
          </w:p>
          <w:p w:rsidR="00C751EE" w:rsidRPr="00740FAE" w:rsidP="00C751EE">
            <w:pPr>
              <w:pStyle w:val="BodyText21"/>
              <w:spacing w:before="0"/>
              <w:jc w:val="center"/>
              <w:rPr>
                <w:lang w:eastAsia="en-US"/>
              </w:rPr>
            </w:pPr>
          </w:p>
          <w:p w:rsidR="00C751EE" w:rsidRPr="00740FAE" w:rsidP="00C751EE">
            <w:pPr>
              <w:pStyle w:val="BodyText21"/>
              <w:spacing w:before="0"/>
              <w:jc w:val="center"/>
              <w:rPr>
                <w:lang w:eastAsia="en-US"/>
              </w:rPr>
            </w:pPr>
          </w:p>
          <w:p w:rsidR="00C751EE" w:rsidRPr="00740FAE" w:rsidP="00C751EE">
            <w:pPr>
              <w:pStyle w:val="BodyText21"/>
              <w:jc w:val="center"/>
              <w:rPr>
                <w:lang w:eastAsia="en-US"/>
              </w:rPr>
            </w:pPr>
          </w:p>
          <w:p w:rsidR="00C751EE" w:rsidRPr="00740FAE" w:rsidP="00C751EE">
            <w:pPr>
              <w:pStyle w:val="BodyText21"/>
              <w:jc w:val="center"/>
              <w:rPr>
                <w:lang w:eastAsia="en-US"/>
              </w:rPr>
            </w:pPr>
          </w:p>
          <w:p w:rsidR="00110CE0" w:rsidRPr="00C54FAF" w:rsidP="00110CE0">
            <w:pPr>
              <w:pStyle w:val="BodyText21"/>
              <w:spacing w:before="0"/>
              <w:jc w:val="center"/>
              <w:rPr>
                <w:lang w:eastAsia="en-US"/>
              </w:rPr>
            </w:pPr>
            <w:r>
              <w:rPr>
                <w:lang w:eastAsia="en-US"/>
              </w:rPr>
              <w:t>§</w:t>
            </w:r>
            <w:r w:rsidRPr="00C54FAF">
              <w:rPr>
                <w:lang w:eastAsia="en-US"/>
              </w:rPr>
              <w:t>3</w:t>
            </w:r>
          </w:p>
          <w:p w:rsidR="00110CE0" w:rsidRPr="00C54FAF" w:rsidP="00110CE0">
            <w:pPr>
              <w:pStyle w:val="BodyText21"/>
              <w:spacing w:before="0"/>
              <w:jc w:val="center"/>
              <w:rPr>
                <w:lang w:eastAsia="en-US"/>
              </w:rPr>
            </w:pPr>
            <w:r>
              <w:rPr>
                <w:lang w:eastAsia="en-US"/>
              </w:rPr>
              <w:t>O8</w:t>
            </w:r>
          </w:p>
          <w:p w:rsidR="00C751EE" w:rsidRPr="00740FAE" w:rsidP="00110CE0">
            <w:pPr>
              <w:pStyle w:val="BodyText21"/>
              <w:spacing w:line="240" w:lineRule="auto"/>
              <w:jc w:val="center"/>
              <w:rPr>
                <w:lang w:eastAsia="en-US"/>
              </w:rPr>
            </w:pPr>
          </w:p>
        </w:tc>
        <w:tc>
          <w:tcPr>
            <w:tcW w:w="4110" w:type="dxa"/>
            <w:tcBorders>
              <w:top w:val="single" w:sz="4" w:space="0" w:color="auto"/>
              <w:bottom w:val="single" w:sz="4" w:space="0" w:color="auto"/>
            </w:tcBorders>
          </w:tcPr>
          <w:p w:rsidR="00110CE0" w:rsidRPr="004B3966" w:rsidP="00110CE0">
            <w:pPr>
              <w:jc w:val="both"/>
              <w:rPr>
                <w:sz w:val="20"/>
                <w:lang w:eastAsia="en-US"/>
              </w:rPr>
            </w:pPr>
            <w:r w:rsidRPr="004B3966" w:rsidR="00C751EE">
              <w:rPr>
                <w:sz w:val="20"/>
                <w:lang w:eastAsia="en-US"/>
              </w:rPr>
              <w:t xml:space="preserve">(1) </w:t>
            </w:r>
            <w:r w:rsidRPr="004B3966">
              <w:rPr>
                <w:sz w:val="20"/>
                <w:lang w:eastAsia="en-US"/>
              </w:rPr>
              <w:t>Ministerstvo životného prostredia všeobecne záväzným právnym predpisom ustanoví</w:t>
            </w:r>
          </w:p>
          <w:p w:rsidR="00110CE0" w:rsidRPr="004B3966" w:rsidP="00110CE0">
            <w:pPr>
              <w:jc w:val="both"/>
              <w:rPr>
                <w:sz w:val="20"/>
                <w:lang w:eastAsia="en-US"/>
              </w:rPr>
            </w:pPr>
            <w:r w:rsidRPr="004B3966">
              <w:rPr>
                <w:sz w:val="20"/>
                <w:lang w:eastAsia="en-US"/>
              </w:rPr>
              <w:t>a) kritériá trvalej udržateľnosti biopalív a biokvapalín a limitné hodnoty pre emisie skleníkových plynov z pestovania poľnohospodárskych surovín pri zachovaní kritérií trvalej udržateľnosti,</w:t>
            </w:r>
          </w:p>
          <w:p w:rsidR="00C751EE" w:rsidRPr="004B3966" w:rsidP="00C751EE">
            <w:pPr>
              <w:spacing w:before="60"/>
              <w:ind w:firstLine="360"/>
              <w:jc w:val="both"/>
              <w:rPr>
                <w:sz w:val="20"/>
                <w:lang w:eastAsia="en-US"/>
              </w:rPr>
            </w:pPr>
          </w:p>
          <w:p w:rsidR="00C751EE" w:rsidRPr="004B3966" w:rsidP="00C751EE">
            <w:pPr>
              <w:autoSpaceDE w:val="0"/>
              <w:autoSpaceDN w:val="0"/>
              <w:adjustRightInd w:val="0"/>
              <w:jc w:val="both"/>
              <w:rPr>
                <w:sz w:val="20"/>
                <w:lang w:eastAsia="en-US"/>
              </w:rPr>
            </w:pPr>
            <w:r w:rsidRPr="004B3966">
              <w:rPr>
                <w:sz w:val="20"/>
                <w:lang w:eastAsia="en-US"/>
              </w:rPr>
              <w:t xml:space="preserve">(8) </w:t>
            </w:r>
            <w:r w:rsidRPr="004B3966" w:rsidR="00110CE0">
              <w:rPr>
                <w:sz w:val="20"/>
                <w:lang w:eastAsia="en-US"/>
              </w:rPr>
              <w:t>Biopalivá a biokvapaliny sa nesmú vyrábať zo surovín získaných z pôdy, ktorá bola v januári 2008 rašeliniskom, pokiaľ sa nepreukáže, že pestovanie a zber tejto suroviny nevyžaduje odvodňovanie predtým neodvodnenej pôdy</w:t>
            </w:r>
            <w:r w:rsidRPr="004B3966">
              <w:rPr>
                <w:sz w:val="20"/>
                <w:lang w:eastAsia="en-US"/>
              </w:rPr>
              <w:t>.</w:t>
            </w:r>
          </w:p>
        </w:tc>
        <w:tc>
          <w:tcPr>
            <w:tcW w:w="709" w:type="dxa"/>
            <w:tcBorders>
              <w:top w:val="single" w:sz="4" w:space="0" w:color="auto"/>
              <w:bottom w:val="single" w:sz="4" w:space="0" w:color="auto"/>
            </w:tcBorders>
          </w:tcPr>
          <w:p w:rsidR="00C751EE" w:rsidRPr="00740FAE" w:rsidP="00C751EE">
            <w:pPr>
              <w:jc w:val="center"/>
              <w:rPr>
                <w:rFonts w:ascii="EUAlbertina" w:hAnsi="EUAlbertina" w:cs="EUAlbertina"/>
                <w:sz w:val="20"/>
                <w:lang w:eastAsia="sk-SK"/>
              </w:rPr>
            </w:pPr>
            <w:r w:rsidRPr="00740FAE">
              <w:rPr>
                <w:rFonts w:ascii="EUAlbertina" w:hAnsi="EUAlbertina" w:cs="EUAlbertina"/>
                <w:sz w:val="20"/>
                <w:lang w:eastAsia="sk-SK"/>
              </w:rPr>
              <w:t>Ú</w:t>
            </w:r>
          </w:p>
          <w:p w:rsidR="00C751EE" w:rsidRPr="00740FAE" w:rsidP="00C751EE">
            <w:pPr>
              <w:jc w:val="center"/>
              <w:rPr>
                <w:rFonts w:ascii="EUAlbertina" w:hAnsi="EUAlbertina" w:cs="EUAlbertina"/>
                <w:sz w:val="20"/>
                <w:lang w:eastAsia="sk-SK"/>
              </w:rPr>
            </w:pPr>
          </w:p>
          <w:p w:rsidR="00C751EE" w:rsidRPr="00740FAE" w:rsidP="00C751EE">
            <w:pPr>
              <w:jc w:val="center"/>
              <w:rPr>
                <w:rFonts w:ascii="EUAlbertina" w:hAnsi="EUAlbertina" w:cs="EUAlbertina"/>
                <w:sz w:val="20"/>
                <w:lang w:eastAsia="sk-SK"/>
              </w:rPr>
            </w:pPr>
          </w:p>
          <w:p w:rsidR="00C751EE" w:rsidRPr="00740FAE" w:rsidP="00C751EE">
            <w:pPr>
              <w:jc w:val="center"/>
              <w:rPr>
                <w:rFonts w:ascii="EUAlbertina" w:hAnsi="EUAlbertina" w:cs="EUAlbertina"/>
                <w:sz w:val="20"/>
                <w:lang w:eastAsia="sk-SK"/>
              </w:rPr>
            </w:pPr>
          </w:p>
          <w:p w:rsidR="00C751EE" w:rsidRPr="00740FAE" w:rsidP="00C751EE">
            <w:pPr>
              <w:jc w:val="center"/>
              <w:rPr>
                <w:rFonts w:ascii="EUAlbertina" w:hAnsi="EUAlbertina" w:cs="EUAlbertina"/>
                <w:sz w:val="20"/>
                <w:lang w:eastAsia="sk-SK"/>
              </w:rPr>
            </w:pPr>
          </w:p>
          <w:p w:rsidR="00C751EE" w:rsidRPr="00740FAE" w:rsidP="00C751EE">
            <w:pP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740FAE"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RPr="00E31864" w:rsidP="00C751EE">
            <w:pPr>
              <w:jc w:val="both"/>
              <w:rPr>
                <w:rFonts w:ascii="EUAlbertina" w:hAnsi="EUAlbertina" w:cs="EUAlbertina"/>
                <w:sz w:val="20"/>
                <w:lang w:eastAsia="sk-SK"/>
              </w:rPr>
            </w:pPr>
            <w:r w:rsidRPr="00E31864">
              <w:rPr>
                <w:rFonts w:ascii="EUAlbertina" w:hAnsi="EUAlbertina" w:cs="EUAlbertina"/>
                <w:sz w:val="20"/>
                <w:lang w:eastAsia="sk-SK"/>
              </w:rPr>
              <w:t>Č7b</w:t>
            </w:r>
          </w:p>
          <w:p w:rsidR="00C751EE" w:rsidRPr="00E31864" w:rsidP="00C751EE">
            <w:pPr>
              <w:jc w:val="both"/>
              <w:rPr>
                <w:rFonts w:ascii="EUAlbertina" w:hAnsi="EUAlbertina" w:cs="EUAlbertina"/>
                <w:sz w:val="20"/>
                <w:lang w:eastAsia="sk-SK"/>
              </w:rPr>
            </w:pPr>
            <w:r w:rsidRPr="00E31864">
              <w:rPr>
                <w:rFonts w:ascii="EUAlbertina" w:hAnsi="EUAlbertina" w:cs="EUAlbertina"/>
                <w:sz w:val="20"/>
                <w:lang w:eastAsia="sk-SK"/>
              </w:rPr>
              <w:t>O6</w:t>
            </w:r>
          </w:p>
        </w:tc>
        <w:tc>
          <w:tcPr>
            <w:tcW w:w="5245" w:type="dxa"/>
            <w:tcBorders>
              <w:top w:val="single" w:sz="4" w:space="0" w:color="auto"/>
              <w:bottom w:val="single" w:sz="4" w:space="0" w:color="auto"/>
            </w:tcBorders>
          </w:tcPr>
          <w:p w:rsidR="00C751EE" w:rsidRPr="00E31864" w:rsidP="00110CE0">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6. Po</w:t>
            </w:r>
            <w:r w:rsidRPr="00E31864">
              <w:rPr>
                <w:rFonts w:ascii="TimesNewRoman+01" w:hAnsi="TimesNewRoman+01" w:cs="TimesNewRoman+01"/>
                <w:sz w:val="20"/>
                <w:lang w:eastAsia="sk-SK"/>
              </w:rPr>
              <w:t>ľ</w:t>
            </w:r>
            <w:r w:rsidRPr="00E31864">
              <w:rPr>
                <w:rFonts w:ascii="TimesNewRoman" w:hAnsi="TimesNewRoman" w:cs="TimesNewRoman"/>
                <w:sz w:val="20"/>
                <w:lang w:eastAsia="sk-SK"/>
              </w:rPr>
              <w:t>nohospodárske suroviny vypestované v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enstve</w:t>
            </w:r>
          </w:p>
          <w:p w:rsidR="00C751EE" w:rsidRPr="00E31864" w:rsidP="00110CE0">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a vyu</w:t>
            </w:r>
            <w:r w:rsidRPr="00E31864">
              <w:rPr>
                <w:rFonts w:ascii="TimesNewRoman+01" w:hAnsi="TimesNewRoman+01" w:cs="TimesNewRoman+01"/>
                <w:sz w:val="20"/>
                <w:lang w:eastAsia="sk-SK"/>
              </w:rPr>
              <w:t>ž</w:t>
            </w:r>
            <w:r w:rsidRPr="00E31864">
              <w:rPr>
                <w:rFonts w:ascii="TimesNewRoman" w:hAnsi="TimesNewRoman" w:cs="TimesNewRoman"/>
                <w:sz w:val="20"/>
                <w:lang w:eastAsia="sk-SK"/>
              </w:rPr>
              <w:t>ívané na výrobu biopalív zoh</w:t>
            </w:r>
            <w:r w:rsidRPr="00E31864">
              <w:rPr>
                <w:rFonts w:ascii="TimesNewRoman+01" w:hAnsi="TimesNewRoman+01" w:cs="TimesNewRoman+01"/>
                <w:sz w:val="20"/>
                <w:lang w:eastAsia="sk-SK"/>
              </w:rPr>
              <w:t>ľ</w:t>
            </w:r>
            <w:r w:rsidRPr="00E31864">
              <w:rPr>
                <w:rFonts w:ascii="TimesNewRoman" w:hAnsi="TimesNewRoman" w:cs="TimesNewRoman"/>
                <w:sz w:val="20"/>
                <w:lang w:eastAsia="sk-SK"/>
              </w:rPr>
              <w:t>ad</w:t>
            </w:r>
            <w:r w:rsidRPr="00E31864">
              <w:rPr>
                <w:rFonts w:ascii="TimesNewRoman+01" w:hAnsi="TimesNewRoman+01" w:cs="TimesNewRoman+01"/>
                <w:sz w:val="20"/>
                <w:lang w:eastAsia="sk-SK"/>
              </w:rPr>
              <w:t>ň</w:t>
            </w:r>
            <w:r w:rsidRPr="00E31864">
              <w:rPr>
                <w:rFonts w:ascii="TimesNewRoman" w:hAnsi="TimesNewRoman" w:cs="TimesNewRoman"/>
                <w:sz w:val="20"/>
                <w:lang w:eastAsia="sk-SK"/>
              </w:rPr>
              <w:t>ovaných na ú</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ely uvedené v </w:t>
            </w:r>
            <w:r w:rsidRPr="00E31864">
              <w:rPr>
                <w:rFonts w:ascii="TimesNewRoman+01" w:hAnsi="TimesNewRoman+01" w:cs="TimesNewRoman+01"/>
                <w:sz w:val="20"/>
                <w:lang w:eastAsia="sk-SK"/>
              </w:rPr>
              <w:t>č</w:t>
            </w:r>
            <w:r w:rsidRPr="00E31864">
              <w:rPr>
                <w:rFonts w:ascii="TimesNewRoman" w:hAnsi="TimesNewRoman" w:cs="TimesNewRoman"/>
                <w:sz w:val="20"/>
                <w:lang w:eastAsia="sk-SK"/>
              </w:rPr>
              <w:t>lánku 7a sa získavajú v súlade s po</w:t>
            </w:r>
            <w:r w:rsidRPr="00E31864">
              <w:rPr>
                <w:rFonts w:ascii="TimesNewRoman+01" w:hAnsi="TimesNewRoman+01" w:cs="TimesNewRoman+01"/>
                <w:sz w:val="20"/>
                <w:lang w:eastAsia="sk-SK"/>
              </w:rPr>
              <w:t>ž</w:t>
            </w:r>
            <w:r w:rsidRPr="00E31864">
              <w:rPr>
                <w:rFonts w:ascii="TimesNewRoman" w:hAnsi="TimesNewRoman" w:cs="TimesNewRoman"/>
                <w:sz w:val="20"/>
                <w:lang w:eastAsia="sk-SK"/>
              </w:rPr>
              <w:t>iadavkami a normami, na ktoré sa vz</w:t>
            </w:r>
            <w:r w:rsidRPr="00E31864">
              <w:rPr>
                <w:rFonts w:ascii="TimesNewRoman+01" w:hAnsi="TimesNewRoman+01" w:cs="TimesNewRoman+01"/>
                <w:sz w:val="20"/>
                <w:lang w:eastAsia="sk-SK"/>
              </w:rPr>
              <w:t>ť</w:t>
            </w:r>
            <w:r w:rsidRPr="00E31864">
              <w:rPr>
                <w:rFonts w:ascii="TimesNewRoman" w:hAnsi="TimesNewRoman" w:cs="TimesNewRoman"/>
                <w:sz w:val="20"/>
                <w:lang w:eastAsia="sk-SK"/>
              </w:rPr>
              <w:t xml:space="preserve">ahujú ustanovenia uvedené pod nadpisom </w:t>
            </w:r>
            <w:r w:rsidRPr="00E31864">
              <w:rPr>
                <w:rFonts w:ascii="TimesNewRoman+20" w:hAnsi="TimesNewRoman+20" w:cs="TimesNewRoman+20"/>
                <w:sz w:val="20"/>
                <w:lang w:eastAsia="sk-SK"/>
              </w:rPr>
              <w:t>„</w:t>
            </w:r>
            <w:r w:rsidRPr="00E31864">
              <w:rPr>
                <w:rFonts w:ascii="TimesNewRoman+01" w:hAnsi="TimesNewRoman+01" w:cs="TimesNewRoman+01"/>
                <w:sz w:val="20"/>
                <w:lang w:eastAsia="sk-SK"/>
              </w:rPr>
              <w:t>Ž</w:t>
            </w:r>
            <w:r w:rsidRPr="00E31864">
              <w:rPr>
                <w:rFonts w:ascii="TimesNewRoman" w:hAnsi="TimesNewRoman" w:cs="TimesNewRoman"/>
                <w:sz w:val="20"/>
                <w:lang w:eastAsia="sk-SK"/>
              </w:rPr>
              <w:t>ivotné p</w:t>
            </w:r>
            <w:r w:rsidRPr="00E31864">
              <w:rPr>
                <w:rFonts w:ascii="TimesNewRoman" w:hAnsi="TimesNewRoman" w:cs="TimesNewRoman"/>
                <w:sz w:val="20"/>
                <w:lang w:eastAsia="sk-SK"/>
              </w:rPr>
              <w:t>rostredie</w:t>
            </w:r>
            <w:r w:rsidRPr="00E31864">
              <w:rPr>
                <w:rFonts w:ascii="TimesNewRoman+20" w:hAnsi="TimesNewRoman+20" w:cs="TimesNewRoman+20"/>
                <w:sz w:val="20"/>
                <w:lang w:eastAsia="sk-SK"/>
              </w:rPr>
              <w:t>“</w:t>
            </w:r>
            <w:r w:rsidRPr="00E31864">
              <w:rPr>
                <w:rFonts w:ascii="TimesNewRoman" w:hAnsi="TimesNewRoman" w:cs="TimesNewRoman"/>
                <w:sz w:val="20"/>
                <w:lang w:eastAsia="sk-SK"/>
              </w:rPr>
              <w:t xml:space="preserve"> v </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asti A a v bode 9 prílohy II k nariadeniu Rady (ES) </w:t>
            </w:r>
            <w:r w:rsidRPr="00E31864">
              <w:rPr>
                <w:rFonts w:ascii="TimesNewRoman+01" w:hAnsi="TimesNewRoman+01" w:cs="TimesNewRoman+01"/>
                <w:sz w:val="20"/>
                <w:lang w:eastAsia="sk-SK"/>
              </w:rPr>
              <w:t>č</w:t>
            </w:r>
            <w:r w:rsidRPr="00E31864">
              <w:rPr>
                <w:rFonts w:ascii="TimesNewRoman" w:hAnsi="TimesNewRoman" w:cs="TimesNewRoman"/>
                <w:sz w:val="20"/>
                <w:lang w:eastAsia="sk-SK"/>
              </w:rPr>
              <w:t>. 73/2009 z 19. januára 2009, ktorým sa ustanovujú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né pravidlá re</w:t>
            </w:r>
            <w:r w:rsidRPr="00E31864">
              <w:rPr>
                <w:rFonts w:ascii="TimesNewRoman+01" w:hAnsi="TimesNewRoman+01" w:cs="TimesNewRoman+01"/>
                <w:sz w:val="20"/>
                <w:lang w:eastAsia="sk-SK"/>
              </w:rPr>
              <w:t>ž</w:t>
            </w:r>
            <w:r w:rsidRPr="00E31864">
              <w:rPr>
                <w:rFonts w:ascii="TimesNewRoman" w:hAnsi="TimesNewRoman" w:cs="TimesNewRoman"/>
                <w:sz w:val="20"/>
                <w:lang w:eastAsia="sk-SK"/>
              </w:rPr>
              <w:t>imov priamej podpory pre po</w:t>
            </w:r>
            <w:r w:rsidRPr="00E31864">
              <w:rPr>
                <w:rFonts w:ascii="TimesNewRoman+01" w:hAnsi="TimesNewRoman+01" w:cs="TimesNewRoman+01"/>
                <w:sz w:val="20"/>
                <w:lang w:eastAsia="sk-SK"/>
              </w:rPr>
              <w:t>ľ</w:t>
            </w:r>
            <w:r w:rsidRPr="00E31864">
              <w:rPr>
                <w:rFonts w:ascii="TimesNewRoman" w:hAnsi="TimesNewRoman" w:cs="TimesNewRoman"/>
                <w:sz w:val="20"/>
                <w:lang w:eastAsia="sk-SK"/>
              </w:rPr>
              <w:t>nohospodárov v rámci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nej po</w:t>
            </w:r>
            <w:r w:rsidRPr="00E31864">
              <w:rPr>
                <w:rFonts w:ascii="TimesNewRoman+01" w:hAnsi="TimesNewRoman+01" w:cs="TimesNewRoman+01"/>
                <w:sz w:val="20"/>
                <w:lang w:eastAsia="sk-SK"/>
              </w:rPr>
              <w:t>ľ</w:t>
            </w:r>
            <w:r w:rsidRPr="00E31864">
              <w:rPr>
                <w:rFonts w:ascii="TimesNewRoman" w:hAnsi="TimesNewRoman" w:cs="TimesNewRoman"/>
                <w:sz w:val="20"/>
                <w:lang w:eastAsia="sk-SK"/>
              </w:rPr>
              <w:t>nohospodárskej politiky a ktorým sa ustanovujú niektoré</w:t>
            </w:r>
            <w:r w:rsidRPr="00E31864">
              <w:rPr>
                <w:rFonts w:ascii="TimesNewRoman" w:hAnsi="TimesNewRoman" w:cs="TimesNewRoman"/>
                <w:sz w:val="20"/>
                <w:lang w:eastAsia="sk-SK"/>
              </w:rPr>
              <w:t xml:space="preserve"> re</w:t>
            </w:r>
            <w:r w:rsidRPr="00E31864">
              <w:rPr>
                <w:rFonts w:ascii="TimesNewRoman+01" w:hAnsi="TimesNewRoman+01" w:cs="TimesNewRoman+01"/>
                <w:sz w:val="20"/>
                <w:lang w:eastAsia="sk-SK"/>
              </w:rPr>
              <w:t>ž</w:t>
            </w:r>
            <w:r w:rsidRPr="00E31864">
              <w:rPr>
                <w:rFonts w:ascii="TimesNewRoman" w:hAnsi="TimesNewRoman" w:cs="TimesNewRoman"/>
                <w:sz w:val="20"/>
                <w:lang w:eastAsia="sk-SK"/>
              </w:rPr>
              <w:t>imy podpory pre po</w:t>
            </w:r>
            <w:r w:rsidRPr="00E31864">
              <w:rPr>
                <w:rFonts w:ascii="TimesNewRoman+01" w:hAnsi="TimesNewRoman+01" w:cs="TimesNewRoman+01"/>
                <w:sz w:val="20"/>
                <w:lang w:eastAsia="sk-SK"/>
              </w:rPr>
              <w:t>ľ</w:t>
            </w:r>
            <w:r w:rsidRPr="00E31864">
              <w:rPr>
                <w:rFonts w:ascii="TimesNewRoman" w:hAnsi="TimesNewRoman" w:cs="TimesNewRoman"/>
                <w:sz w:val="20"/>
                <w:lang w:eastAsia="sk-SK"/>
              </w:rPr>
              <w:t>nohospodárov (</w:t>
            </w:r>
            <w:r w:rsidRPr="009C28F7">
              <w:rPr>
                <w:rFonts w:ascii="TimesNewRoman" w:hAnsi="TimesNewRoman" w:cs="TimesNewRoman"/>
                <w:sz w:val="20"/>
                <w:vertAlign w:val="superscript"/>
                <w:lang w:eastAsia="sk-SK"/>
              </w:rPr>
              <w:t>1</w:t>
            </w:r>
            <w:r w:rsidRPr="00E31864">
              <w:rPr>
                <w:rFonts w:ascii="TimesNewRoman" w:hAnsi="TimesNewRoman" w:cs="TimesNewRoman"/>
                <w:sz w:val="20"/>
                <w:lang w:eastAsia="sk-SK"/>
              </w:rPr>
              <w:t>), a v súlade s minimálnymi po</w:t>
            </w:r>
            <w:r w:rsidRPr="00E31864">
              <w:rPr>
                <w:rFonts w:ascii="TimesNewRoman+01" w:hAnsi="TimesNewRoman+01" w:cs="TimesNewRoman+01"/>
                <w:sz w:val="20"/>
                <w:lang w:eastAsia="sk-SK"/>
              </w:rPr>
              <w:t>ž</w:t>
            </w:r>
            <w:r w:rsidRPr="00E31864">
              <w:rPr>
                <w:rFonts w:ascii="TimesNewRoman" w:hAnsi="TimesNewRoman" w:cs="TimesNewRoman"/>
                <w:sz w:val="20"/>
                <w:lang w:eastAsia="sk-SK"/>
              </w:rPr>
              <w:t>iadavkami na udr</w:t>
            </w:r>
            <w:r w:rsidRPr="00E31864">
              <w:rPr>
                <w:rFonts w:ascii="TimesNewRoman+01" w:hAnsi="TimesNewRoman+01" w:cs="TimesNewRoman+01"/>
                <w:sz w:val="20"/>
                <w:lang w:eastAsia="sk-SK"/>
              </w:rPr>
              <w:t>ž</w:t>
            </w:r>
            <w:r w:rsidRPr="00E31864">
              <w:rPr>
                <w:rFonts w:ascii="TimesNewRoman" w:hAnsi="TimesNewRoman" w:cs="TimesNewRoman"/>
                <w:sz w:val="20"/>
                <w:lang w:eastAsia="sk-SK"/>
              </w:rPr>
              <w:t>anie dobrého po</w:t>
            </w:r>
            <w:r w:rsidRPr="00E31864">
              <w:rPr>
                <w:rFonts w:ascii="TimesNewRoman+01" w:hAnsi="TimesNewRoman+01" w:cs="TimesNewRoman+01"/>
                <w:sz w:val="20"/>
                <w:lang w:eastAsia="sk-SK"/>
              </w:rPr>
              <w:t>ľ</w:t>
            </w:r>
            <w:r w:rsidRPr="00E31864">
              <w:rPr>
                <w:rFonts w:ascii="TimesNewRoman" w:hAnsi="TimesNewRoman" w:cs="TimesNewRoman"/>
                <w:sz w:val="20"/>
                <w:lang w:eastAsia="sk-SK"/>
              </w:rPr>
              <w:t xml:space="preserve">nohospodárskeho a ekologického stavu vymedzenými v súlade s </w:t>
            </w:r>
            <w:r w:rsidRPr="00E31864">
              <w:rPr>
                <w:rFonts w:ascii="TimesNewRoman+01" w:hAnsi="TimesNewRoman+01" w:cs="TimesNewRoman+01"/>
                <w:sz w:val="20"/>
                <w:lang w:eastAsia="sk-SK"/>
              </w:rPr>
              <w:t>č</w:t>
            </w:r>
            <w:r w:rsidRPr="00E31864">
              <w:rPr>
                <w:rFonts w:ascii="TimesNewRoman" w:hAnsi="TimesNewRoman" w:cs="TimesNewRoman"/>
                <w:sz w:val="20"/>
                <w:lang w:eastAsia="sk-SK"/>
              </w:rPr>
              <w:t>lánkom 6 ods. 1 uvedeného nariadenia.</w:t>
            </w:r>
          </w:p>
        </w:tc>
        <w:tc>
          <w:tcPr>
            <w:tcW w:w="567" w:type="dxa"/>
            <w:tcBorders>
              <w:top w:val="single" w:sz="4" w:space="0" w:color="auto"/>
              <w:bottom w:val="single" w:sz="4" w:space="0" w:color="auto"/>
            </w:tcBorders>
          </w:tcPr>
          <w:p w:rsidR="00C751EE" w:rsidRPr="00E31864" w:rsidP="00C751EE">
            <w:pPr>
              <w:jc w:val="both"/>
              <w:rPr>
                <w:rFonts w:ascii="EUAlbertina" w:hAnsi="EUAlbertina" w:cs="EUAlbertina"/>
                <w:sz w:val="20"/>
                <w:lang w:eastAsia="sk-SK"/>
              </w:rPr>
            </w:pPr>
            <w:r w:rsidRPr="00E31864">
              <w:rPr>
                <w:rFonts w:ascii="EUAlbertina" w:hAnsi="EUAlbertina" w:cs="EUAlbertina"/>
                <w:sz w:val="20"/>
                <w:lang w:eastAsia="sk-SK"/>
              </w:rPr>
              <w:t>N</w:t>
            </w:r>
          </w:p>
          <w:p w:rsidR="00C751EE" w:rsidRPr="00E31864"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E31864" w:rsidP="00C751EE">
            <w:pPr>
              <w:jc w:val="center"/>
              <w:rPr>
                <w:rFonts w:ascii="EUAlbertina" w:hAnsi="EUAlbertina" w:cs="EUAlbertina"/>
                <w:sz w:val="20"/>
                <w:lang w:eastAsia="sk-SK"/>
              </w:rPr>
            </w:pPr>
            <w:r w:rsidRPr="00E31864">
              <w:rPr>
                <w:rFonts w:ascii="EUAlbertina" w:hAnsi="EUAlbertina" w:cs="EUAlbertina"/>
                <w:sz w:val="20"/>
                <w:lang w:eastAsia="sk-SK"/>
              </w:rPr>
              <w:t>Z</w:t>
            </w:r>
            <w:r>
              <w:rPr>
                <w:rFonts w:ascii="EUAlbertina" w:hAnsi="EUAlbertina" w:cs="EUAlbertina"/>
                <w:sz w:val="20"/>
                <w:lang w:eastAsia="sk-SK"/>
              </w:rPr>
              <w:t xml:space="preserve"> </w:t>
            </w:r>
            <w:r w:rsidRPr="00E31864">
              <w:rPr>
                <w:rFonts w:ascii="EUAlbertina" w:hAnsi="EUAlbertina" w:cs="EUAlbertina"/>
                <w:sz w:val="20"/>
                <w:lang w:eastAsia="sk-SK"/>
              </w:rPr>
              <w:t>309/2009</w:t>
            </w:r>
          </w:p>
          <w:p w:rsidR="00C751EE" w:rsidRPr="00E31864" w:rsidP="00C751EE">
            <w:pPr>
              <w:jc w:val="center"/>
              <w:rPr>
                <w:rFonts w:ascii="EUAlbertina" w:hAnsi="EUAlbertina" w:cs="EUAlbertina"/>
                <w:sz w:val="20"/>
                <w:lang w:eastAsia="sk-SK"/>
              </w:rPr>
            </w:pPr>
          </w:p>
          <w:p w:rsidR="00C751EE" w:rsidRPr="00E31864" w:rsidP="00C751EE">
            <w:pPr>
              <w:jc w:val="center"/>
              <w:rPr>
                <w:rFonts w:ascii="EUAlbertina" w:hAnsi="EUAlbertina" w:cs="EUAlbertina"/>
                <w:sz w:val="20"/>
                <w:lang w:eastAsia="sk-SK"/>
              </w:rPr>
            </w:pPr>
          </w:p>
          <w:p w:rsidR="00C751EE" w:rsidRPr="00E31864" w:rsidP="00C751EE">
            <w:pPr>
              <w:jc w:val="center"/>
              <w:rPr>
                <w:rFonts w:ascii="EUAlbertina" w:hAnsi="EUAlbertina" w:cs="EUAlbertina"/>
                <w:sz w:val="20"/>
                <w:lang w:eastAsia="sk-SK"/>
              </w:rPr>
            </w:pPr>
          </w:p>
          <w:p w:rsidR="00C751EE" w:rsidRPr="00E31864"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110CE0" w:rsidRPr="00E31864" w:rsidP="00C751EE">
            <w:pPr>
              <w:jc w:val="center"/>
              <w:rPr>
                <w:rFonts w:ascii="EUAlbertina" w:hAnsi="EUAlbertina" w:cs="EUAlbertina"/>
                <w:sz w:val="20"/>
                <w:lang w:eastAsia="sk-SK"/>
              </w:rPr>
            </w:pPr>
          </w:p>
          <w:p w:rsidR="00C751EE" w:rsidRPr="00E31864" w:rsidP="00C751EE">
            <w:pPr>
              <w:jc w:val="center"/>
              <w:rPr>
                <w:rFonts w:ascii="EUAlbertina" w:hAnsi="EUAlbertina" w:cs="EUAlbertina"/>
                <w:sz w:val="20"/>
                <w:lang w:eastAsia="sk-SK"/>
              </w:rPr>
            </w:pPr>
          </w:p>
          <w:p w:rsidR="00C751EE" w:rsidRPr="00E31864" w:rsidP="00C751EE">
            <w:pPr>
              <w:jc w:val="center"/>
              <w:rPr>
                <w:rFonts w:ascii="EUAlbertina" w:hAnsi="EUAlbertina" w:cs="EUAlbertina"/>
                <w:sz w:val="20"/>
                <w:lang w:eastAsia="sk-SK"/>
              </w:rPr>
            </w:pPr>
            <w:r w:rsidRPr="00E31864">
              <w:rPr>
                <w:rFonts w:ascii="EUAlbertina" w:hAnsi="EUAlbertina" w:cs="EUAlbertina"/>
                <w:sz w:val="20"/>
                <w:lang w:eastAsia="sk-SK"/>
              </w:rPr>
              <w:t>V</w:t>
            </w:r>
            <w:r>
              <w:rPr>
                <w:rFonts w:ascii="EUAlbertina" w:hAnsi="EUAlbertina" w:cs="EUAlbertina"/>
                <w:sz w:val="20"/>
                <w:lang w:eastAsia="sk-SK"/>
              </w:rPr>
              <w:t xml:space="preserve"> </w:t>
            </w:r>
            <w:r w:rsidRPr="00E31864">
              <w:rPr>
                <w:rFonts w:ascii="EUAlbertina" w:hAnsi="EUAlbertina" w:cs="EUAlbertina"/>
                <w:sz w:val="20"/>
                <w:lang w:eastAsia="sk-SK"/>
              </w:rPr>
              <w:t>271/2011</w:t>
            </w:r>
          </w:p>
        </w:tc>
        <w:tc>
          <w:tcPr>
            <w:tcW w:w="709" w:type="dxa"/>
            <w:tcBorders>
              <w:top w:val="single" w:sz="4" w:space="0" w:color="auto"/>
              <w:bottom w:val="single" w:sz="4" w:space="0" w:color="auto"/>
            </w:tcBorders>
          </w:tcPr>
          <w:p w:rsidR="00C751EE" w:rsidRPr="00E31864" w:rsidP="00C751EE">
            <w:pPr>
              <w:pStyle w:val="BodyText21"/>
              <w:spacing w:before="0"/>
              <w:jc w:val="center"/>
              <w:rPr>
                <w:lang w:eastAsia="en-US"/>
              </w:rPr>
            </w:pPr>
            <w:r w:rsidR="009D0C71">
              <w:rPr>
                <w:lang w:eastAsia="en-US"/>
              </w:rPr>
              <w:t>§19b</w:t>
            </w:r>
          </w:p>
          <w:p w:rsidR="00C751EE" w:rsidRPr="00E31864" w:rsidP="00C751EE">
            <w:pPr>
              <w:pStyle w:val="BodyText21"/>
              <w:spacing w:before="0"/>
              <w:jc w:val="center"/>
              <w:rPr>
                <w:lang w:eastAsia="en-US"/>
              </w:rPr>
            </w:pPr>
            <w:r w:rsidRPr="00E31864">
              <w:rPr>
                <w:lang w:eastAsia="en-US"/>
              </w:rPr>
              <w:t>O1</w:t>
            </w:r>
          </w:p>
          <w:p w:rsidR="00C751EE" w:rsidRPr="00E31864" w:rsidP="00C751EE">
            <w:pPr>
              <w:pStyle w:val="BodyText21"/>
              <w:spacing w:before="0"/>
              <w:jc w:val="center"/>
              <w:rPr>
                <w:lang w:eastAsia="en-US"/>
              </w:rPr>
            </w:pPr>
            <w:r>
              <w:rPr>
                <w:lang w:eastAsia="en-US"/>
              </w:rPr>
              <w:t>P</w:t>
            </w:r>
            <w:r w:rsidRPr="00E31864">
              <w:rPr>
                <w:lang w:eastAsia="en-US"/>
              </w:rPr>
              <w:t>a</w:t>
            </w:r>
          </w:p>
          <w:p w:rsidR="00C751EE" w:rsidRPr="00E31864" w:rsidP="00C751EE">
            <w:pPr>
              <w:pStyle w:val="BodyText21"/>
              <w:jc w:val="center"/>
              <w:rPr>
                <w:lang w:eastAsia="en-US"/>
              </w:rPr>
            </w:pPr>
          </w:p>
          <w:p w:rsidR="00C751EE" w:rsidP="00C751EE">
            <w:pPr>
              <w:pStyle w:val="BodyText21"/>
              <w:jc w:val="center"/>
              <w:rPr>
                <w:lang w:eastAsia="en-US"/>
              </w:rPr>
            </w:pPr>
          </w:p>
          <w:p w:rsidR="00C751EE" w:rsidP="00C751EE">
            <w:pPr>
              <w:pStyle w:val="BodyText21"/>
              <w:jc w:val="center"/>
              <w:rPr>
                <w:lang w:eastAsia="en-US"/>
              </w:rPr>
            </w:pPr>
          </w:p>
          <w:p w:rsidR="00110CE0" w:rsidRPr="00C54FAF" w:rsidP="00110CE0">
            <w:pPr>
              <w:pStyle w:val="BodyText21"/>
              <w:spacing w:before="0"/>
              <w:jc w:val="center"/>
              <w:rPr>
                <w:lang w:eastAsia="en-US"/>
              </w:rPr>
            </w:pPr>
            <w:r>
              <w:rPr>
                <w:lang w:eastAsia="en-US"/>
              </w:rPr>
              <w:t>§</w:t>
            </w:r>
            <w:r w:rsidRPr="00C54FAF">
              <w:rPr>
                <w:lang w:eastAsia="en-US"/>
              </w:rPr>
              <w:t>3</w:t>
            </w:r>
          </w:p>
          <w:p w:rsidR="00110CE0" w:rsidRPr="00C54FAF" w:rsidP="00110CE0">
            <w:pPr>
              <w:pStyle w:val="BodyText21"/>
              <w:spacing w:before="0"/>
              <w:jc w:val="center"/>
              <w:rPr>
                <w:lang w:eastAsia="en-US"/>
              </w:rPr>
            </w:pPr>
            <w:r>
              <w:rPr>
                <w:lang w:eastAsia="en-US"/>
              </w:rPr>
              <w:t>O9</w:t>
            </w:r>
          </w:p>
          <w:p w:rsidR="00C751EE" w:rsidRPr="00E31864" w:rsidP="00C751EE">
            <w:pPr>
              <w:pStyle w:val="BodyText21"/>
              <w:jc w:val="center"/>
              <w:rPr>
                <w:lang w:eastAsia="en-US"/>
              </w:rPr>
            </w:pPr>
          </w:p>
        </w:tc>
        <w:tc>
          <w:tcPr>
            <w:tcW w:w="4110" w:type="dxa"/>
            <w:tcBorders>
              <w:top w:val="single" w:sz="4" w:space="0" w:color="auto"/>
              <w:bottom w:val="single" w:sz="4" w:space="0" w:color="auto"/>
            </w:tcBorders>
          </w:tcPr>
          <w:p w:rsidR="00110CE0" w:rsidRPr="004B3966" w:rsidP="00110CE0">
            <w:pPr>
              <w:jc w:val="both"/>
              <w:rPr>
                <w:sz w:val="20"/>
                <w:lang w:eastAsia="en-US"/>
              </w:rPr>
            </w:pPr>
            <w:r w:rsidRPr="004B3966" w:rsidR="00C751EE">
              <w:rPr>
                <w:sz w:val="20"/>
                <w:lang w:eastAsia="en-US"/>
              </w:rPr>
              <w:t>(1</w:t>
            </w:r>
            <w:r w:rsidRPr="004B3966" w:rsidR="00C751EE">
              <w:rPr>
                <w:sz w:val="20"/>
                <w:lang w:eastAsia="en-US"/>
              </w:rPr>
              <w:t xml:space="preserve">) </w:t>
            </w:r>
            <w:r w:rsidRPr="004B3966">
              <w:rPr>
                <w:sz w:val="20"/>
                <w:lang w:eastAsia="en-US"/>
              </w:rPr>
              <w:t>Ministerstvo životného prostredia všeobecne záväzným právnym predpisom ustanoví</w:t>
            </w:r>
          </w:p>
          <w:p w:rsidR="00110CE0" w:rsidRPr="004B3966" w:rsidP="00110CE0">
            <w:pPr>
              <w:jc w:val="both"/>
              <w:rPr>
                <w:sz w:val="20"/>
                <w:lang w:eastAsia="en-US"/>
              </w:rPr>
            </w:pPr>
            <w:r w:rsidRPr="004B3966">
              <w:rPr>
                <w:sz w:val="20"/>
                <w:lang w:eastAsia="en-US"/>
              </w:rPr>
              <w:t>a) kritériá trvalej udržateľnosti biopalív a biokvapalín a limitné hodnoty pre emisie skleníkových plynov z pestovania poľnohospodárskych surovín pri zachovaní kritérií trvalej udržateľnosti,</w:t>
            </w:r>
          </w:p>
          <w:p w:rsidR="00C751EE" w:rsidRPr="004B3966" w:rsidP="00C751EE">
            <w:pPr>
              <w:jc w:val="both"/>
              <w:rPr>
                <w:sz w:val="20"/>
                <w:lang w:eastAsia="en-US"/>
              </w:rPr>
            </w:pPr>
          </w:p>
          <w:p w:rsidR="00C751EE" w:rsidRPr="004B3966" w:rsidP="00C751EE">
            <w:pPr>
              <w:autoSpaceDE w:val="0"/>
              <w:autoSpaceDN w:val="0"/>
              <w:adjustRightInd w:val="0"/>
              <w:jc w:val="both"/>
              <w:rPr>
                <w:sz w:val="20"/>
                <w:lang w:eastAsia="en-US"/>
              </w:rPr>
            </w:pPr>
            <w:r w:rsidRPr="004B3966">
              <w:rPr>
                <w:sz w:val="20"/>
                <w:lang w:eastAsia="en-US"/>
              </w:rPr>
              <w:t xml:space="preserve">(9) </w:t>
            </w:r>
            <w:r w:rsidRPr="004B3966" w:rsidR="00110CE0">
              <w:rPr>
                <w:sz w:val="20"/>
                <w:lang w:eastAsia="en-US"/>
              </w:rPr>
              <w:t>Poľnohospodárske suroviny na výrobu biopalív a biokvapalín vypestované v Slovenskej republike alebo inom členskom štáte Európskej únie (ďalej len „členský štát“) sa získavajú v súlade s požiadavkami a normami pre dobré poľnohospodárske a environmentálne podmienky podľa osobitného predpisu</w:t>
            </w:r>
            <w:r w:rsidRPr="004B3966">
              <w:rPr>
                <w:sz w:val="20"/>
                <w:lang w:eastAsia="en-US"/>
              </w:rPr>
              <w:t>.2)</w:t>
            </w:r>
          </w:p>
        </w:tc>
        <w:tc>
          <w:tcPr>
            <w:tcW w:w="709" w:type="dxa"/>
            <w:tcBorders>
              <w:top w:val="single" w:sz="4" w:space="0" w:color="auto"/>
              <w:bottom w:val="single" w:sz="4" w:space="0" w:color="auto"/>
            </w:tcBorders>
          </w:tcPr>
          <w:p w:rsidR="00C751EE" w:rsidRPr="00E31864" w:rsidP="00C751EE">
            <w:pPr>
              <w:jc w:val="center"/>
              <w:rPr>
                <w:rFonts w:ascii="EUAlbertina" w:hAnsi="EUAlbertina" w:cs="EUAlbertina"/>
                <w:sz w:val="20"/>
                <w:lang w:eastAsia="sk-SK"/>
              </w:rPr>
            </w:pPr>
            <w:r w:rsidRPr="00E31864">
              <w:rPr>
                <w:rFonts w:ascii="EUAlbertina" w:hAnsi="EUAlbertina" w:cs="EUAlbertina"/>
                <w:sz w:val="20"/>
                <w:lang w:eastAsia="sk-SK"/>
              </w:rPr>
              <w:t>Ú</w:t>
            </w:r>
          </w:p>
        </w:tc>
        <w:tc>
          <w:tcPr>
            <w:tcW w:w="1701" w:type="dxa"/>
            <w:tcBorders>
              <w:top w:val="single" w:sz="4" w:space="0" w:color="auto"/>
              <w:bottom w:val="single" w:sz="4" w:space="0" w:color="auto"/>
            </w:tcBorders>
          </w:tcPr>
          <w:p w:rsidR="00C751EE" w:rsidRPr="00E31864"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P="00C751EE">
            <w:pPr>
              <w:jc w:val="both"/>
              <w:rPr>
                <w:rFonts w:ascii="EUAlbertina" w:hAnsi="EUAlbertina" w:cs="EUAlbertina"/>
                <w:sz w:val="20"/>
                <w:lang w:eastAsia="sk-SK"/>
              </w:rPr>
            </w:pPr>
            <w:r w:rsidRPr="002A270F">
              <w:rPr>
                <w:rFonts w:ascii="EUAlbertina" w:hAnsi="EUAlbertina" w:cs="EUAlbertina"/>
                <w:sz w:val="20"/>
                <w:lang w:eastAsia="sk-SK"/>
              </w:rPr>
              <w:t>Č7b</w:t>
            </w:r>
          </w:p>
          <w:p w:rsidR="00C751EE" w:rsidRPr="00FD26C3" w:rsidP="00C751EE">
            <w:pPr>
              <w:jc w:val="both"/>
              <w:rPr>
                <w:rFonts w:ascii="EUAlbertina" w:hAnsi="EUAlbertina" w:cs="EUAlbertina"/>
                <w:color w:val="00B0F0"/>
                <w:sz w:val="20"/>
                <w:lang w:eastAsia="sk-SK"/>
              </w:rPr>
            </w:pPr>
            <w:r>
              <w:rPr>
                <w:rFonts w:ascii="EUAlbertina" w:hAnsi="EUAlbertina" w:cs="EUAlbertina"/>
                <w:sz w:val="20"/>
                <w:lang w:eastAsia="sk-SK"/>
              </w:rPr>
              <w:t>O7</w:t>
            </w:r>
          </w:p>
        </w:tc>
        <w:tc>
          <w:tcPr>
            <w:tcW w:w="5245" w:type="dxa"/>
            <w:tcBorders>
              <w:top w:val="single" w:sz="4" w:space="0" w:color="auto"/>
              <w:bottom w:val="single" w:sz="4" w:space="0" w:color="auto"/>
            </w:tcBorders>
          </w:tcPr>
          <w:p w:rsidR="00C751EE" w:rsidRPr="00E31864" w:rsidP="00C751EE">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7. Komisia ka</w:t>
            </w:r>
            <w:r w:rsidRPr="00E31864">
              <w:rPr>
                <w:rFonts w:ascii="TimesNewRoman+01" w:hAnsi="TimesNewRoman+01" w:cs="TimesNewRoman+01"/>
                <w:sz w:val="20"/>
                <w:lang w:eastAsia="sk-SK"/>
              </w:rPr>
              <w:t>ž</w:t>
            </w:r>
            <w:r w:rsidRPr="00E31864">
              <w:rPr>
                <w:rFonts w:ascii="TimesNewRoman" w:hAnsi="TimesNewRoman" w:cs="TimesNewRoman"/>
                <w:sz w:val="20"/>
                <w:lang w:eastAsia="sk-SK"/>
              </w:rPr>
              <w:t>dé dva roky predlo</w:t>
            </w:r>
            <w:r w:rsidRPr="00E31864">
              <w:rPr>
                <w:rFonts w:ascii="TimesNewRoman+01" w:hAnsi="TimesNewRoman+01" w:cs="TimesNewRoman+01"/>
                <w:sz w:val="20"/>
                <w:lang w:eastAsia="sk-SK"/>
              </w:rPr>
              <w:t>ž</w:t>
            </w:r>
            <w:r w:rsidRPr="00E31864">
              <w:rPr>
                <w:rFonts w:ascii="TimesNewRoman" w:hAnsi="TimesNewRoman" w:cs="TimesNewRoman"/>
                <w:sz w:val="20"/>
                <w:lang w:eastAsia="sk-SK"/>
              </w:rPr>
              <w:t xml:space="preserve">í Európskemu parlamentu a Rade za tretie krajiny i </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lenské </w:t>
            </w:r>
            <w:r w:rsidRPr="00E31864">
              <w:rPr>
                <w:rFonts w:ascii="TimesNewRoman+01" w:hAnsi="TimesNewRoman+01" w:cs="TimesNewRoman+01"/>
                <w:sz w:val="20"/>
                <w:lang w:eastAsia="sk-SK"/>
              </w:rPr>
              <w:t>š</w:t>
            </w:r>
            <w:r w:rsidRPr="00E31864">
              <w:rPr>
                <w:rFonts w:ascii="TimesNewRoman" w:hAnsi="TimesNewRoman" w:cs="TimesNewRoman"/>
                <w:sz w:val="20"/>
                <w:lang w:eastAsia="sk-SK"/>
              </w:rPr>
              <w:t>táty, ktoré sú významným zdrojom biopalív alebo surovín na biopalivá spotrebovávané v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enstve, správu o vnútro</w:t>
            </w:r>
            <w:r w:rsidRPr="00E31864">
              <w:rPr>
                <w:rFonts w:ascii="TimesNewRoman+01" w:hAnsi="TimesNewRoman+01" w:cs="TimesNewRoman+01"/>
                <w:sz w:val="20"/>
                <w:lang w:eastAsia="sk-SK"/>
              </w:rPr>
              <w:t>š</w:t>
            </w:r>
            <w:r w:rsidRPr="00E31864">
              <w:rPr>
                <w:rFonts w:ascii="TimesNewRoman" w:hAnsi="TimesNewRoman" w:cs="TimesNewRoman"/>
                <w:sz w:val="20"/>
                <w:lang w:eastAsia="sk-SK"/>
              </w:rPr>
              <w:t>tátnych opatreniach prijatých na ú</w:t>
            </w:r>
            <w:r w:rsidRPr="00E31864">
              <w:rPr>
                <w:rFonts w:ascii="TimesNewRoman+01" w:hAnsi="TimesNewRoman+01" w:cs="TimesNewRoman+01"/>
                <w:sz w:val="20"/>
                <w:lang w:eastAsia="sk-SK"/>
              </w:rPr>
              <w:t>č</w:t>
            </w:r>
            <w:r w:rsidRPr="00E31864">
              <w:rPr>
                <w:rFonts w:ascii="TimesNewRoman" w:hAnsi="TimesNewRoman" w:cs="TimesNewRoman"/>
                <w:sz w:val="20"/>
                <w:lang w:eastAsia="sk-SK"/>
              </w:rPr>
              <w:t>ely plnenia kritérií trvalej udr</w:t>
            </w:r>
            <w:r w:rsidRPr="00E31864">
              <w:rPr>
                <w:rFonts w:ascii="TimesNewRoman+01" w:hAnsi="TimesNewRoman+01" w:cs="TimesNewRoman+01"/>
                <w:sz w:val="20"/>
                <w:lang w:eastAsia="sk-SK"/>
              </w:rPr>
              <w:t>ž</w:t>
            </w:r>
            <w:r w:rsidRPr="00E31864">
              <w:rPr>
                <w:rFonts w:ascii="TimesNewRoman" w:hAnsi="TimesNewRoman" w:cs="TimesNewRoman"/>
                <w:sz w:val="20"/>
                <w:lang w:eastAsia="sk-SK"/>
              </w:rPr>
              <w:t>ate</w:t>
            </w:r>
            <w:r w:rsidRPr="00E31864">
              <w:rPr>
                <w:rFonts w:ascii="TimesNewRoman+01" w:hAnsi="TimesNewRoman+01" w:cs="TimesNewRoman+01"/>
                <w:sz w:val="20"/>
                <w:lang w:eastAsia="sk-SK"/>
              </w:rPr>
              <w:t>ľ</w:t>
            </w:r>
            <w:r w:rsidRPr="00E31864">
              <w:rPr>
                <w:rFonts w:ascii="TimesNewRoman" w:hAnsi="TimesNewRoman" w:cs="TimesNewRoman"/>
                <w:sz w:val="20"/>
                <w:lang w:eastAsia="sk-SK"/>
              </w:rPr>
              <w:t>nosti uvedených v odsekoch 2 a</w:t>
            </w:r>
            <w:r w:rsidRPr="00E31864">
              <w:rPr>
                <w:rFonts w:ascii="TimesNewRoman+01" w:hAnsi="TimesNewRoman+01" w:cs="TimesNewRoman+01"/>
                <w:sz w:val="20"/>
                <w:lang w:eastAsia="sk-SK"/>
              </w:rPr>
              <w:t xml:space="preserve">ž </w:t>
            </w:r>
            <w:smartTag w:uri="urn:schemas-microsoft-com:office:smarttags" w:element="metricconverter">
              <w:smartTagPr>
                <w:attr w:name="ProductID" w:val="5 a"/>
              </w:smartTagPr>
              <w:r w:rsidRPr="00E31864">
                <w:rPr>
                  <w:rFonts w:ascii="TimesNewRoman" w:hAnsi="TimesNewRoman" w:cs="TimesNewRoman"/>
                  <w:sz w:val="20"/>
                  <w:lang w:eastAsia="sk-SK"/>
                </w:rPr>
                <w:t>5 a</w:t>
              </w:r>
            </w:smartTag>
            <w:r w:rsidRPr="00E31864">
              <w:rPr>
                <w:rFonts w:ascii="TimesNewRoman" w:hAnsi="TimesNewRoman" w:cs="TimesNewRoman"/>
                <w:sz w:val="20"/>
                <w:lang w:eastAsia="sk-SK"/>
              </w:rPr>
              <w:t xml:space="preserve"> na ú</w:t>
            </w:r>
            <w:r w:rsidRPr="00E31864">
              <w:rPr>
                <w:rFonts w:ascii="TimesNewRoman+01" w:hAnsi="TimesNewRoman+01" w:cs="TimesNewRoman+01"/>
                <w:sz w:val="20"/>
                <w:lang w:eastAsia="sk-SK"/>
              </w:rPr>
              <w:t>č</w:t>
            </w:r>
            <w:r w:rsidRPr="00E31864">
              <w:rPr>
                <w:rFonts w:ascii="TimesNewRoman" w:hAnsi="TimesNewRoman" w:cs="TimesNewRoman"/>
                <w:sz w:val="20"/>
                <w:lang w:eastAsia="sk-SK"/>
              </w:rPr>
              <w:t>ely ochrany pôdy, vody a ovzdu</w:t>
            </w:r>
            <w:r w:rsidRPr="00E31864">
              <w:rPr>
                <w:rFonts w:ascii="TimesNewRoman+01" w:hAnsi="TimesNewRoman+01" w:cs="TimesNewRoman+01"/>
                <w:sz w:val="20"/>
                <w:lang w:eastAsia="sk-SK"/>
              </w:rPr>
              <w:t>š</w:t>
            </w:r>
            <w:r w:rsidRPr="00E31864">
              <w:rPr>
                <w:rFonts w:ascii="TimesNewRoman" w:hAnsi="TimesNewRoman" w:cs="TimesNewRoman"/>
                <w:sz w:val="20"/>
                <w:lang w:eastAsia="sk-SK"/>
              </w:rPr>
              <w:t>ia. Prvá správa sa predlo</w:t>
            </w:r>
            <w:r w:rsidRPr="00E31864">
              <w:rPr>
                <w:rFonts w:ascii="TimesNewRoman+01" w:hAnsi="TimesNewRoman+01" w:cs="TimesNewRoman+01"/>
                <w:sz w:val="20"/>
                <w:lang w:eastAsia="sk-SK"/>
              </w:rPr>
              <w:t>ž</w:t>
            </w:r>
            <w:r w:rsidRPr="00E31864">
              <w:rPr>
                <w:rFonts w:ascii="TimesNewRoman" w:hAnsi="TimesNewRoman" w:cs="TimesNewRoman"/>
                <w:sz w:val="20"/>
                <w:lang w:eastAsia="sk-SK"/>
              </w:rPr>
              <w:t>í v roku 2012.</w:t>
            </w:r>
          </w:p>
          <w:p w:rsidR="00C751EE" w:rsidRPr="00E31864" w:rsidP="00C751EE">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Komisia ka</w:t>
            </w:r>
            <w:r w:rsidRPr="00E31864">
              <w:rPr>
                <w:rFonts w:ascii="TimesNewRoman+01" w:hAnsi="TimesNewRoman+01" w:cs="TimesNewRoman+01"/>
                <w:sz w:val="20"/>
                <w:lang w:eastAsia="sk-SK"/>
              </w:rPr>
              <w:t>ž</w:t>
            </w:r>
            <w:r w:rsidRPr="00E31864">
              <w:rPr>
                <w:rFonts w:ascii="TimesNewRoman" w:hAnsi="TimesNewRoman" w:cs="TimesNewRoman"/>
                <w:sz w:val="20"/>
                <w:lang w:eastAsia="sk-SK"/>
              </w:rPr>
              <w:t>dé dva roky predlo</w:t>
            </w:r>
            <w:r w:rsidRPr="00E31864">
              <w:rPr>
                <w:rFonts w:ascii="TimesNewRoman+01" w:hAnsi="TimesNewRoman+01" w:cs="TimesNewRoman+01"/>
                <w:sz w:val="20"/>
                <w:lang w:eastAsia="sk-SK"/>
              </w:rPr>
              <w:t>ž</w:t>
            </w:r>
            <w:r w:rsidRPr="00E31864">
              <w:rPr>
                <w:rFonts w:ascii="TimesNewRoman" w:hAnsi="TimesNewRoman" w:cs="TimesNewRoman"/>
                <w:sz w:val="20"/>
                <w:lang w:eastAsia="sk-SK"/>
              </w:rPr>
              <w:t>í Európskemu parl</w:t>
            </w:r>
            <w:r w:rsidRPr="00E31864">
              <w:rPr>
                <w:rFonts w:ascii="TimesNewRoman" w:hAnsi="TimesNewRoman" w:cs="TimesNewRoman"/>
                <w:sz w:val="20"/>
                <w:lang w:eastAsia="sk-SK"/>
              </w:rPr>
              <w:t>amentu a</w:t>
            </w:r>
            <w:r>
              <w:rPr>
                <w:rFonts w:ascii="TimesNewRoman" w:hAnsi="TimesNewRoman" w:cs="TimesNewRoman"/>
                <w:sz w:val="20"/>
                <w:lang w:eastAsia="sk-SK"/>
              </w:rPr>
              <w:t> </w:t>
            </w:r>
            <w:r w:rsidRPr="00E31864">
              <w:rPr>
                <w:rFonts w:ascii="TimesNewRoman" w:hAnsi="TimesNewRoman" w:cs="TimesNewRoman"/>
                <w:sz w:val="20"/>
                <w:lang w:eastAsia="sk-SK"/>
              </w:rPr>
              <w:t>Rade</w:t>
            </w:r>
            <w:r>
              <w:rPr>
                <w:rFonts w:ascii="TimesNewRoman" w:hAnsi="TimesNewRoman" w:cs="TimesNewRoman"/>
                <w:sz w:val="20"/>
                <w:lang w:eastAsia="sk-SK"/>
              </w:rPr>
              <w:t xml:space="preserve"> </w:t>
            </w:r>
            <w:r w:rsidRPr="00E31864">
              <w:rPr>
                <w:rFonts w:ascii="TimesNewRoman" w:hAnsi="TimesNewRoman" w:cs="TimesNewRoman"/>
                <w:sz w:val="20"/>
                <w:lang w:eastAsia="sk-SK"/>
              </w:rPr>
              <w:t>správu o vplyve zvý</w:t>
            </w:r>
            <w:r w:rsidRPr="00E31864">
              <w:rPr>
                <w:rFonts w:ascii="TimesNewRoman+01" w:hAnsi="TimesNewRoman+01" w:cs="TimesNewRoman+01"/>
                <w:sz w:val="20"/>
                <w:lang w:eastAsia="sk-SK"/>
              </w:rPr>
              <w:t>š</w:t>
            </w:r>
            <w:r w:rsidRPr="00E31864">
              <w:rPr>
                <w:rFonts w:ascii="TimesNewRoman" w:hAnsi="TimesNewRoman" w:cs="TimesNewRoman"/>
                <w:sz w:val="20"/>
                <w:lang w:eastAsia="sk-SK"/>
              </w:rPr>
              <w:t>eného dopytu po biopalivách na trvalú sociálnu udr</w:t>
            </w:r>
            <w:r w:rsidRPr="00E31864">
              <w:rPr>
                <w:rFonts w:ascii="TimesNewRoman+01" w:hAnsi="TimesNewRoman+01" w:cs="TimesNewRoman+01"/>
                <w:sz w:val="20"/>
                <w:lang w:eastAsia="sk-SK"/>
              </w:rPr>
              <w:t>ž</w:t>
            </w:r>
            <w:r w:rsidRPr="00E31864">
              <w:rPr>
                <w:rFonts w:ascii="TimesNewRoman" w:hAnsi="TimesNewRoman" w:cs="TimesNewRoman"/>
                <w:sz w:val="20"/>
                <w:lang w:eastAsia="sk-SK"/>
              </w:rPr>
              <w:t>ate</w:t>
            </w:r>
            <w:r w:rsidRPr="00E31864">
              <w:rPr>
                <w:rFonts w:ascii="TimesNewRoman+01" w:hAnsi="TimesNewRoman+01" w:cs="TimesNewRoman+01"/>
                <w:sz w:val="20"/>
                <w:lang w:eastAsia="sk-SK"/>
              </w:rPr>
              <w:t>ľ</w:t>
            </w:r>
            <w:r w:rsidRPr="00E31864">
              <w:rPr>
                <w:rFonts w:ascii="TimesNewRoman" w:hAnsi="TimesNewRoman" w:cs="TimesNewRoman"/>
                <w:sz w:val="20"/>
                <w:lang w:eastAsia="sk-SK"/>
              </w:rPr>
              <w:t>nos</w:t>
            </w:r>
            <w:r w:rsidRPr="00E31864">
              <w:rPr>
                <w:rFonts w:ascii="TimesNewRoman+01" w:hAnsi="TimesNewRoman+01" w:cs="TimesNewRoman+01"/>
                <w:sz w:val="20"/>
                <w:lang w:eastAsia="sk-SK"/>
              </w:rPr>
              <w:t xml:space="preserve">ť </w:t>
            </w:r>
            <w:r w:rsidRPr="00E31864">
              <w:rPr>
                <w:rFonts w:ascii="TimesNewRoman" w:hAnsi="TimesNewRoman" w:cs="TimesNewRoman"/>
                <w:sz w:val="20"/>
                <w:lang w:eastAsia="sk-SK"/>
              </w:rPr>
              <w:t>v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enstve a tretích krajinách, o vplyve politiky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enstva v oblasti biopalív na dostupnos</w:t>
            </w:r>
            <w:r w:rsidRPr="00E31864">
              <w:rPr>
                <w:rFonts w:ascii="TimesNewRoman+01" w:hAnsi="TimesNewRoman+01" w:cs="TimesNewRoman+01"/>
                <w:sz w:val="20"/>
                <w:lang w:eastAsia="sk-SK"/>
              </w:rPr>
              <w:t xml:space="preserve">ť </w:t>
            </w:r>
            <w:r w:rsidRPr="00E31864">
              <w:rPr>
                <w:rFonts w:ascii="TimesNewRoman" w:hAnsi="TimesNewRoman" w:cs="TimesNewRoman"/>
                <w:sz w:val="20"/>
                <w:lang w:eastAsia="sk-SK"/>
              </w:rPr>
              <w:t>potravín za prijate</w:t>
            </w:r>
            <w:r w:rsidRPr="00E31864">
              <w:rPr>
                <w:rFonts w:ascii="TimesNewRoman+01" w:hAnsi="TimesNewRoman+01" w:cs="TimesNewRoman+01"/>
                <w:sz w:val="20"/>
                <w:lang w:eastAsia="sk-SK"/>
              </w:rPr>
              <w:t>ľ</w:t>
            </w:r>
            <w:r w:rsidRPr="00E31864">
              <w:rPr>
                <w:rFonts w:ascii="TimesNewRoman" w:hAnsi="TimesNewRoman" w:cs="TimesNewRoman"/>
                <w:sz w:val="20"/>
                <w:lang w:eastAsia="sk-SK"/>
              </w:rPr>
              <w:t xml:space="preserve">né ceny, najmä pre </w:t>
            </w:r>
            <w:r w:rsidRPr="00E31864">
              <w:rPr>
                <w:rFonts w:ascii="TimesNewRoman+01" w:hAnsi="TimesNewRoman+01" w:cs="TimesNewRoman+01"/>
                <w:sz w:val="20"/>
                <w:lang w:eastAsia="sk-SK"/>
              </w:rPr>
              <w:t>ľ</w:t>
            </w:r>
            <w:r w:rsidRPr="00E31864">
              <w:rPr>
                <w:rFonts w:ascii="TimesNewRoman" w:hAnsi="TimesNewRoman" w:cs="TimesNewRoman"/>
                <w:sz w:val="20"/>
                <w:lang w:eastAsia="sk-SK"/>
              </w:rPr>
              <w:t xml:space="preserve">udí </w:t>
            </w:r>
            <w:r w:rsidRPr="00E31864">
              <w:rPr>
                <w:rFonts w:ascii="TimesNewRoman+01" w:hAnsi="TimesNewRoman+01" w:cs="TimesNewRoman+01"/>
                <w:sz w:val="20"/>
                <w:lang w:eastAsia="sk-SK"/>
              </w:rPr>
              <w:t>ž</w:t>
            </w:r>
            <w:r w:rsidRPr="00E31864">
              <w:rPr>
                <w:rFonts w:ascii="TimesNewRoman" w:hAnsi="TimesNewRoman" w:cs="TimesNewRoman"/>
                <w:sz w:val="20"/>
                <w:lang w:eastAsia="sk-SK"/>
              </w:rPr>
              <w:t>ijúcich v rozvojo</w:t>
            </w:r>
            <w:r w:rsidRPr="00E31864">
              <w:rPr>
                <w:rFonts w:ascii="TimesNewRoman" w:hAnsi="TimesNewRoman" w:cs="TimesNewRoman"/>
                <w:sz w:val="20"/>
                <w:lang w:eastAsia="sk-SK"/>
              </w:rPr>
              <w:t>vých krajinách, a o </w:t>
            </w:r>
            <w:r w:rsidRPr="00E31864">
              <w:rPr>
                <w:rFonts w:ascii="TimesNewRoman+01" w:hAnsi="TimesNewRoman+01" w:cs="TimesNewRoman+01"/>
                <w:sz w:val="20"/>
                <w:lang w:eastAsia="sk-SK"/>
              </w:rPr>
              <w:t>ď</w:t>
            </w:r>
            <w:r w:rsidRPr="00E31864">
              <w:rPr>
                <w:rFonts w:ascii="TimesNewRoman" w:hAnsi="TimesNewRoman" w:cs="TimesNewRoman"/>
                <w:sz w:val="20"/>
                <w:lang w:eastAsia="sk-SK"/>
              </w:rPr>
              <w:t>al</w:t>
            </w:r>
            <w:r w:rsidRPr="00E31864">
              <w:rPr>
                <w:rFonts w:ascii="TimesNewRoman+01" w:hAnsi="TimesNewRoman+01" w:cs="TimesNewRoman+01"/>
                <w:sz w:val="20"/>
                <w:lang w:eastAsia="sk-SK"/>
              </w:rPr>
              <w:t>š</w:t>
            </w:r>
            <w:r w:rsidRPr="00E31864">
              <w:rPr>
                <w:rFonts w:ascii="TimesNewRoman" w:hAnsi="TimesNewRoman" w:cs="TimesNewRoman"/>
                <w:sz w:val="20"/>
                <w:lang w:eastAsia="sk-SK"/>
              </w:rPr>
              <w:t>ích v</w:t>
            </w:r>
            <w:r w:rsidRPr="00E31864">
              <w:rPr>
                <w:rFonts w:ascii="TimesNewRoman+01" w:hAnsi="TimesNewRoman+01" w:cs="TimesNewRoman+01"/>
                <w:sz w:val="20"/>
                <w:lang w:eastAsia="sk-SK"/>
              </w:rPr>
              <w:t>š</w:t>
            </w:r>
            <w:r w:rsidRPr="00E31864">
              <w:rPr>
                <w:rFonts w:ascii="TimesNewRoman" w:hAnsi="TimesNewRoman" w:cs="TimesNewRoman"/>
                <w:sz w:val="20"/>
                <w:lang w:eastAsia="sk-SK"/>
              </w:rPr>
              <w:t>eobecných otázkach týkajúcich sa rozvoja. Správy sa zamerajú na dodr</w:t>
            </w:r>
            <w:r w:rsidRPr="00E31864">
              <w:rPr>
                <w:rFonts w:ascii="TimesNewRoman+01" w:hAnsi="TimesNewRoman+01" w:cs="TimesNewRoman+01"/>
                <w:sz w:val="20"/>
                <w:lang w:eastAsia="sk-SK"/>
              </w:rPr>
              <w:t>ž</w:t>
            </w:r>
            <w:r w:rsidRPr="00E31864">
              <w:rPr>
                <w:rFonts w:ascii="TimesNewRoman" w:hAnsi="TimesNewRoman" w:cs="TimesNewRoman"/>
                <w:sz w:val="20"/>
                <w:lang w:eastAsia="sk-SK"/>
              </w:rPr>
              <w:t>iavanie práv týkajúcich sa vyu</w:t>
            </w:r>
            <w:r w:rsidRPr="00E31864">
              <w:rPr>
                <w:rFonts w:ascii="TimesNewRoman+01" w:hAnsi="TimesNewRoman+01" w:cs="TimesNewRoman+01"/>
                <w:sz w:val="20"/>
                <w:lang w:eastAsia="sk-SK"/>
              </w:rPr>
              <w:t>ž</w:t>
            </w:r>
            <w:r w:rsidRPr="00E31864">
              <w:rPr>
                <w:rFonts w:ascii="TimesNewRoman" w:hAnsi="TimesNewRoman" w:cs="TimesNewRoman"/>
                <w:sz w:val="20"/>
                <w:lang w:eastAsia="sk-SK"/>
              </w:rPr>
              <w:t xml:space="preserve">ívania pôdy. Za tretie krajiny i </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lenské </w:t>
            </w:r>
            <w:r w:rsidRPr="00E31864">
              <w:rPr>
                <w:rFonts w:ascii="TimesNewRoman+01" w:hAnsi="TimesNewRoman+01" w:cs="TimesNewRoman+01"/>
                <w:sz w:val="20"/>
                <w:lang w:eastAsia="sk-SK"/>
              </w:rPr>
              <w:t>š</w:t>
            </w:r>
            <w:r w:rsidRPr="00E31864">
              <w:rPr>
                <w:rFonts w:ascii="TimesNewRoman" w:hAnsi="TimesNewRoman" w:cs="TimesNewRoman"/>
                <w:sz w:val="20"/>
                <w:lang w:eastAsia="sk-SK"/>
              </w:rPr>
              <w:t>táty, ktoré sú významným zdrojom surovín pre biopalivá spotrebovávané v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enstve</w:t>
            </w:r>
            <w:r w:rsidRPr="00E31864">
              <w:rPr>
                <w:rFonts w:ascii="TimesNewRoman" w:hAnsi="TimesNewRoman" w:cs="TimesNewRoman"/>
                <w:sz w:val="20"/>
                <w:lang w:eastAsia="sk-SK"/>
              </w:rPr>
              <w:t xml:space="preserve">, sa v nich uvedie, </w:t>
            </w:r>
            <w:r w:rsidRPr="00E31864">
              <w:rPr>
                <w:rFonts w:ascii="TimesNewRoman+01" w:hAnsi="TimesNewRoman+01" w:cs="TimesNewRoman+01"/>
                <w:sz w:val="20"/>
                <w:lang w:eastAsia="sk-SK"/>
              </w:rPr>
              <w:t>č</w:t>
            </w:r>
            <w:r w:rsidRPr="00E31864">
              <w:rPr>
                <w:rFonts w:ascii="TimesNewRoman" w:hAnsi="TimesNewRoman" w:cs="TimesNewRoman"/>
                <w:sz w:val="20"/>
                <w:lang w:eastAsia="sk-SK"/>
              </w:rPr>
              <w:t>i daná krajina ratifikovala a vykonala ka</w:t>
            </w:r>
            <w:r w:rsidRPr="00E31864">
              <w:rPr>
                <w:rFonts w:ascii="TimesNewRoman+01" w:hAnsi="TimesNewRoman+01" w:cs="TimesNewRoman+01"/>
                <w:sz w:val="20"/>
                <w:lang w:eastAsia="sk-SK"/>
              </w:rPr>
              <w:t>ž</w:t>
            </w:r>
            <w:r w:rsidRPr="00E31864">
              <w:rPr>
                <w:rFonts w:ascii="TimesNewRoman" w:hAnsi="TimesNewRoman" w:cs="TimesNewRoman"/>
                <w:sz w:val="20"/>
                <w:lang w:eastAsia="sk-SK"/>
              </w:rPr>
              <w:t>dý z týchto dohovorov Medzinárodnej organizácie práce:</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nútenej alebo povinnej práci (</w:t>
            </w:r>
            <w:r w:rsidRPr="00E31864">
              <w:rPr>
                <w:rFonts w:ascii="TimesNewRoman+01" w:hAnsi="TimesNewRoman+01" w:cs="TimesNewRoman+01"/>
                <w:sz w:val="20"/>
                <w:lang w:eastAsia="sk-SK"/>
              </w:rPr>
              <w:t>č</w:t>
            </w:r>
            <w:r w:rsidRPr="00E31864">
              <w:rPr>
                <w:rFonts w:ascii="TimesNewRoman" w:hAnsi="TimesNewRoman" w:cs="TimesNewRoman"/>
                <w:sz w:val="20"/>
                <w:lang w:eastAsia="sk-SK"/>
              </w:rPr>
              <w:t>. 29),</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slobode zdru</w:t>
            </w:r>
            <w:r w:rsidRPr="00E31864">
              <w:rPr>
                <w:rFonts w:ascii="TimesNewRoman+01" w:hAnsi="TimesNewRoman+01" w:cs="TimesNewRoman+01"/>
                <w:sz w:val="20"/>
                <w:lang w:eastAsia="sk-SK"/>
              </w:rPr>
              <w:t>ž</w:t>
            </w:r>
            <w:r w:rsidRPr="00E31864">
              <w:rPr>
                <w:rFonts w:ascii="TimesNewRoman" w:hAnsi="TimesNewRoman" w:cs="TimesNewRoman"/>
                <w:sz w:val="20"/>
                <w:lang w:eastAsia="sk-SK"/>
              </w:rPr>
              <w:t>ovania a ochrane práva organizova</w:t>
            </w:r>
            <w:r w:rsidRPr="00E31864">
              <w:rPr>
                <w:rFonts w:ascii="TimesNewRoman+01" w:hAnsi="TimesNewRoman+01" w:cs="TimesNewRoman+01"/>
                <w:sz w:val="20"/>
                <w:lang w:eastAsia="sk-SK"/>
              </w:rPr>
              <w:t xml:space="preserve">ť </w:t>
            </w:r>
            <w:r w:rsidRPr="00E31864">
              <w:rPr>
                <w:rFonts w:ascii="TimesNewRoman" w:hAnsi="TimesNewRoman" w:cs="TimesNewRoman"/>
                <w:sz w:val="20"/>
                <w:lang w:eastAsia="sk-SK"/>
              </w:rPr>
              <w:t>sa</w:t>
            </w:r>
            <w:r>
              <w:rPr>
                <w:rFonts w:ascii="TimesNewRoman" w:hAnsi="TimesNewRoman" w:cs="TimesNewRoman"/>
                <w:sz w:val="20"/>
                <w:lang w:eastAsia="sk-SK"/>
              </w:rPr>
              <w:t xml:space="preserve"> </w:t>
            </w:r>
            <w:r w:rsidRPr="00E31864">
              <w:rPr>
                <w:rFonts w:ascii="TimesNewRoman" w:hAnsi="TimesNewRoman" w:cs="TimesNewRoman"/>
                <w:sz w:val="20"/>
                <w:lang w:eastAsia="sk-SK"/>
              </w:rPr>
              <w:t>(</w:t>
            </w:r>
            <w:r w:rsidRPr="00E31864">
              <w:rPr>
                <w:rFonts w:ascii="TimesNewRoman+01" w:hAnsi="TimesNewRoman+01" w:cs="TimesNewRoman+01"/>
                <w:sz w:val="20"/>
                <w:lang w:eastAsia="sk-SK"/>
              </w:rPr>
              <w:t>č</w:t>
            </w:r>
            <w:r w:rsidRPr="00E31864">
              <w:rPr>
                <w:rFonts w:ascii="TimesNewRoman" w:hAnsi="TimesNewRoman" w:cs="TimesNewRoman"/>
                <w:sz w:val="20"/>
                <w:lang w:eastAsia="sk-SK"/>
              </w:rPr>
              <w:t>. 87),</w:t>
            </w:r>
          </w:p>
          <w:p w:rsidR="00C751EE" w:rsidRPr="00E31864" w:rsidP="00C751EE">
            <w:pPr>
              <w:autoSpaceDE w:val="0"/>
              <w:autoSpaceDN w:val="0"/>
              <w:adjustRightInd w:val="0"/>
              <w:jc w:val="both"/>
              <w:rPr>
                <w:rFonts w:ascii="TimesNewRoman+01" w:hAnsi="TimesNewRoman+01" w:cs="TimesNewRoman+01"/>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pou</w:t>
            </w:r>
            <w:r w:rsidRPr="00E31864">
              <w:rPr>
                <w:rFonts w:ascii="TimesNewRoman+01" w:hAnsi="TimesNewRoman+01" w:cs="TimesNewRoman+01"/>
                <w:sz w:val="20"/>
                <w:lang w:eastAsia="sk-SK"/>
              </w:rPr>
              <w:t>ž</w:t>
            </w:r>
            <w:r w:rsidRPr="00E31864">
              <w:rPr>
                <w:rFonts w:ascii="TimesNewRoman" w:hAnsi="TimesNewRoman" w:cs="TimesNewRoman"/>
                <w:sz w:val="20"/>
                <w:lang w:eastAsia="sk-SK"/>
              </w:rPr>
              <w:t>ití zásad práva organizova</w:t>
            </w:r>
            <w:r w:rsidRPr="00E31864">
              <w:rPr>
                <w:rFonts w:ascii="TimesNewRoman+01" w:hAnsi="TimesNewRoman+01" w:cs="TimesNewRoman+01"/>
                <w:sz w:val="20"/>
                <w:lang w:eastAsia="sk-SK"/>
              </w:rPr>
              <w:t xml:space="preserve">ť </w:t>
            </w:r>
            <w:r w:rsidRPr="00E31864">
              <w:rPr>
                <w:rFonts w:ascii="TimesNewRoman" w:hAnsi="TimesNewRoman" w:cs="TimesNewRoman"/>
                <w:sz w:val="20"/>
                <w:lang w:eastAsia="sk-SK"/>
              </w:rPr>
              <w:t>sa a kolektívne vyjednáva</w:t>
            </w:r>
            <w:r w:rsidRPr="00E31864">
              <w:rPr>
                <w:rFonts w:ascii="TimesNewRoman+01" w:hAnsi="TimesNewRoman+01" w:cs="TimesNewRoman+01"/>
                <w:sz w:val="20"/>
                <w:lang w:eastAsia="sk-SK"/>
              </w:rPr>
              <w:t xml:space="preserve">ť </w:t>
            </w:r>
            <w:r w:rsidRPr="00E31864">
              <w:rPr>
                <w:rFonts w:ascii="TimesNewRoman" w:hAnsi="TimesNewRoman" w:cs="TimesNewRoman"/>
                <w:sz w:val="20"/>
                <w:lang w:eastAsia="sk-SK"/>
              </w:rPr>
              <w:t>(</w:t>
            </w:r>
            <w:r w:rsidRPr="00E31864">
              <w:rPr>
                <w:rFonts w:ascii="TimesNewRoman+01" w:hAnsi="TimesNewRoman+01" w:cs="TimesNewRoman+01"/>
                <w:sz w:val="20"/>
                <w:lang w:eastAsia="sk-SK"/>
              </w:rPr>
              <w:t>č</w:t>
            </w:r>
            <w:r w:rsidRPr="00E31864">
              <w:rPr>
                <w:rFonts w:ascii="TimesNewRoman" w:hAnsi="TimesNewRoman" w:cs="TimesNewRoman"/>
                <w:sz w:val="20"/>
                <w:lang w:eastAsia="sk-SK"/>
              </w:rPr>
              <w:t>. 98),</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rovnakom odme</w:t>
            </w:r>
            <w:r w:rsidRPr="00E31864">
              <w:rPr>
                <w:rFonts w:ascii="TimesNewRoman+01" w:hAnsi="TimesNewRoman+01" w:cs="TimesNewRoman+01"/>
                <w:sz w:val="20"/>
                <w:lang w:eastAsia="sk-SK"/>
              </w:rPr>
              <w:t>ň</w:t>
            </w:r>
            <w:r w:rsidRPr="00E31864">
              <w:rPr>
                <w:rFonts w:ascii="TimesNewRoman" w:hAnsi="TimesNewRoman" w:cs="TimesNewRoman"/>
                <w:sz w:val="20"/>
                <w:lang w:eastAsia="sk-SK"/>
              </w:rPr>
              <w:t>ovaní mu</w:t>
            </w:r>
            <w:r w:rsidRPr="00E31864">
              <w:rPr>
                <w:rFonts w:ascii="TimesNewRoman+01" w:hAnsi="TimesNewRoman+01" w:cs="TimesNewRoman+01"/>
                <w:sz w:val="20"/>
                <w:lang w:eastAsia="sk-SK"/>
              </w:rPr>
              <w:t>ž</w:t>
            </w:r>
            <w:r w:rsidRPr="00E31864">
              <w:rPr>
                <w:rFonts w:ascii="TimesNewRoman" w:hAnsi="TimesNewRoman" w:cs="TimesNewRoman"/>
                <w:sz w:val="20"/>
                <w:lang w:eastAsia="sk-SK"/>
              </w:rPr>
              <w:t xml:space="preserve">ov a </w:t>
            </w:r>
            <w:r w:rsidRPr="00E31864">
              <w:rPr>
                <w:rFonts w:ascii="TimesNewRoman+01" w:hAnsi="TimesNewRoman+01" w:cs="TimesNewRoman+01"/>
                <w:sz w:val="20"/>
                <w:lang w:eastAsia="sk-SK"/>
              </w:rPr>
              <w:t>ž</w:t>
            </w:r>
            <w:r w:rsidRPr="00E31864">
              <w:rPr>
                <w:rFonts w:ascii="TimesNewRoman" w:hAnsi="TimesNewRoman" w:cs="TimesNewRoman"/>
                <w:sz w:val="20"/>
                <w:lang w:eastAsia="sk-SK"/>
              </w:rPr>
              <w:t>ien za prácu rovnakej hodnoty (</w:t>
            </w:r>
            <w:r w:rsidRPr="00E31864">
              <w:rPr>
                <w:rFonts w:ascii="TimesNewRoman+01" w:hAnsi="TimesNewRoman+01" w:cs="TimesNewRoman+01"/>
                <w:sz w:val="20"/>
                <w:lang w:eastAsia="sk-SK"/>
              </w:rPr>
              <w:t>č</w:t>
            </w:r>
            <w:r w:rsidRPr="00E31864">
              <w:rPr>
                <w:rFonts w:ascii="TimesNewRoman" w:hAnsi="TimesNewRoman" w:cs="TimesNewRoman"/>
                <w:sz w:val="20"/>
                <w:lang w:eastAsia="sk-SK"/>
              </w:rPr>
              <w:t>. 100),</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zru</w:t>
            </w:r>
            <w:r w:rsidRPr="00E31864">
              <w:rPr>
                <w:rFonts w:ascii="TimesNewRoman+01" w:hAnsi="TimesNewRoman+01" w:cs="TimesNewRoman+01"/>
                <w:sz w:val="20"/>
                <w:lang w:eastAsia="sk-SK"/>
              </w:rPr>
              <w:t>š</w:t>
            </w:r>
            <w:r w:rsidRPr="00E31864">
              <w:rPr>
                <w:rFonts w:ascii="TimesNewRoman" w:hAnsi="TimesNewRoman" w:cs="TimesNewRoman"/>
                <w:sz w:val="20"/>
                <w:lang w:eastAsia="sk-SK"/>
              </w:rPr>
              <w:t>ení nútenej práce (</w:t>
            </w:r>
            <w:r w:rsidRPr="00E31864">
              <w:rPr>
                <w:rFonts w:ascii="TimesNewRoman+01" w:hAnsi="TimesNewRoman+01" w:cs="TimesNewRoman+01"/>
                <w:sz w:val="20"/>
                <w:lang w:eastAsia="sk-SK"/>
              </w:rPr>
              <w:t>č</w:t>
            </w:r>
            <w:r w:rsidRPr="00E31864">
              <w:rPr>
                <w:rFonts w:ascii="TimesNewRoman" w:hAnsi="TimesNewRoman" w:cs="TimesNewRoman"/>
                <w:sz w:val="20"/>
                <w:lang w:eastAsia="sk-SK"/>
              </w:rPr>
              <w:t>. 105),</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 xml:space="preserve">- </w:t>
            </w:r>
            <w:r w:rsidRPr="00E31864">
              <w:rPr>
                <w:rFonts w:ascii="TimesNewRoman" w:hAnsi="TimesNewRoman" w:cs="TimesNewRoman"/>
                <w:sz w:val="20"/>
                <w:lang w:eastAsia="sk-SK"/>
              </w:rPr>
              <w:t>Dohovor o diskriminácii, pokia</w:t>
            </w:r>
            <w:r w:rsidRPr="00E31864">
              <w:rPr>
                <w:rFonts w:ascii="TimesNewRoman+01" w:hAnsi="TimesNewRoman+01" w:cs="TimesNewRoman+01"/>
                <w:sz w:val="20"/>
                <w:lang w:eastAsia="sk-SK"/>
              </w:rPr>
              <w:t xml:space="preserve">ľ </w:t>
            </w:r>
            <w:r w:rsidRPr="00E31864">
              <w:rPr>
                <w:rFonts w:ascii="TimesNewRoman" w:hAnsi="TimesNewRoman" w:cs="TimesNewRoman"/>
                <w:sz w:val="20"/>
                <w:lang w:eastAsia="sk-SK"/>
              </w:rPr>
              <w:t>ide o zamestnanie a</w:t>
            </w:r>
            <w:r>
              <w:rPr>
                <w:rFonts w:ascii="TimesNewRoman" w:hAnsi="TimesNewRoman" w:cs="TimesNewRoman"/>
                <w:sz w:val="20"/>
                <w:lang w:eastAsia="sk-SK"/>
              </w:rPr>
              <w:t> </w:t>
            </w:r>
            <w:r w:rsidRPr="00E31864">
              <w:rPr>
                <w:rFonts w:ascii="TimesNewRoman" w:hAnsi="TimesNewRoman" w:cs="TimesNewRoman"/>
                <w:sz w:val="20"/>
                <w:lang w:eastAsia="sk-SK"/>
              </w:rPr>
              <w:t>povolanie</w:t>
            </w:r>
            <w:r>
              <w:rPr>
                <w:rFonts w:ascii="TimesNewRoman" w:hAnsi="TimesNewRoman" w:cs="TimesNewRoman"/>
                <w:sz w:val="20"/>
                <w:lang w:eastAsia="sk-SK"/>
              </w:rPr>
              <w:t xml:space="preserve"> </w:t>
            </w:r>
            <w:r w:rsidRPr="00E31864">
              <w:rPr>
                <w:rFonts w:ascii="TimesNewRoman" w:hAnsi="TimesNewRoman" w:cs="TimesNewRoman"/>
                <w:sz w:val="20"/>
                <w:lang w:eastAsia="sk-SK"/>
              </w:rPr>
              <w:t>(</w:t>
            </w:r>
            <w:r w:rsidRPr="00E31864">
              <w:rPr>
                <w:rFonts w:ascii="TimesNewRoman+01" w:hAnsi="TimesNewRoman+01" w:cs="TimesNewRoman+01"/>
                <w:sz w:val="20"/>
                <w:lang w:eastAsia="sk-SK"/>
              </w:rPr>
              <w:t>č</w:t>
            </w:r>
            <w:r w:rsidRPr="00E31864">
              <w:rPr>
                <w:rFonts w:ascii="TimesNewRoman" w:hAnsi="TimesNewRoman" w:cs="TimesNewRoman"/>
                <w:sz w:val="20"/>
                <w:lang w:eastAsia="sk-SK"/>
              </w:rPr>
              <w:t>.</w:t>
            </w:r>
            <w:r w:rsidRPr="00E31864">
              <w:rPr>
                <w:rFonts w:ascii="TimesNewRoman" w:hAnsi="TimesNewRoman" w:cs="TimesNewRoman"/>
                <w:sz w:val="20"/>
                <w:lang w:eastAsia="sk-SK"/>
              </w:rPr>
              <w:t xml:space="preserve"> 111),</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minimálnom veku na prijatie do zamestnania (</w:t>
            </w:r>
            <w:r w:rsidRPr="00E31864">
              <w:rPr>
                <w:rFonts w:ascii="TimesNewRoman+01" w:hAnsi="TimesNewRoman+01" w:cs="TimesNewRoman+01"/>
                <w:sz w:val="20"/>
                <w:lang w:eastAsia="sk-SK"/>
              </w:rPr>
              <w:t>č</w:t>
            </w:r>
            <w:r w:rsidRPr="00E31864">
              <w:rPr>
                <w:rFonts w:ascii="TimesNewRoman" w:hAnsi="TimesNewRoman" w:cs="TimesNewRoman"/>
                <w:sz w:val="20"/>
                <w:lang w:eastAsia="sk-SK"/>
              </w:rPr>
              <w:t>. 138),</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zákaze a o okam</w:t>
            </w:r>
            <w:r w:rsidRPr="00E31864">
              <w:rPr>
                <w:rFonts w:ascii="TimesNewRoman+01" w:hAnsi="TimesNewRoman+01" w:cs="TimesNewRoman+01"/>
                <w:sz w:val="20"/>
                <w:lang w:eastAsia="sk-SK"/>
              </w:rPr>
              <w:t>ž</w:t>
            </w:r>
            <w:r w:rsidRPr="00E31864">
              <w:rPr>
                <w:rFonts w:ascii="TimesNewRoman" w:hAnsi="TimesNewRoman" w:cs="TimesNewRoman"/>
                <w:sz w:val="20"/>
                <w:lang w:eastAsia="sk-SK"/>
              </w:rPr>
              <w:t>itých opatreniach na odstránenie</w:t>
            </w:r>
          </w:p>
          <w:p w:rsidR="00C751EE" w:rsidRPr="00E31864" w:rsidP="00C751EE">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najhor</w:t>
            </w:r>
            <w:r w:rsidRPr="00E31864">
              <w:rPr>
                <w:rFonts w:ascii="TimesNewRoman+01" w:hAnsi="TimesNewRoman+01" w:cs="TimesNewRoman+01"/>
                <w:sz w:val="20"/>
                <w:lang w:eastAsia="sk-SK"/>
              </w:rPr>
              <w:t>š</w:t>
            </w:r>
            <w:r w:rsidRPr="00E31864">
              <w:rPr>
                <w:rFonts w:ascii="TimesNewRoman" w:hAnsi="TimesNewRoman" w:cs="TimesNewRoman"/>
                <w:sz w:val="20"/>
                <w:lang w:eastAsia="sk-SK"/>
              </w:rPr>
              <w:t>ích foriem detskej práce (</w:t>
            </w:r>
            <w:r w:rsidRPr="00E31864">
              <w:rPr>
                <w:rFonts w:ascii="TimesNewRoman+01" w:hAnsi="TimesNewRoman+01" w:cs="TimesNewRoman+01"/>
                <w:sz w:val="20"/>
                <w:lang w:eastAsia="sk-SK"/>
              </w:rPr>
              <w:t>č</w:t>
            </w:r>
            <w:r w:rsidRPr="00E31864">
              <w:rPr>
                <w:rFonts w:ascii="TimesNewRoman" w:hAnsi="TimesNewRoman" w:cs="TimesNewRoman"/>
                <w:sz w:val="20"/>
                <w:lang w:eastAsia="sk-SK"/>
              </w:rPr>
              <w:t>. 182).</w:t>
            </w:r>
          </w:p>
          <w:p w:rsidR="00C751EE" w:rsidRPr="00E31864" w:rsidP="00C751EE">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 xml:space="preserve">Za tretie krajiny i </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lenské </w:t>
            </w:r>
            <w:r w:rsidRPr="00E31864">
              <w:rPr>
                <w:rFonts w:ascii="TimesNewRoman+01" w:hAnsi="TimesNewRoman+01" w:cs="TimesNewRoman+01"/>
                <w:sz w:val="20"/>
                <w:lang w:eastAsia="sk-SK"/>
              </w:rPr>
              <w:t>š</w:t>
            </w:r>
            <w:r w:rsidRPr="00E31864">
              <w:rPr>
                <w:rFonts w:ascii="TimesNewRoman" w:hAnsi="TimesNewRoman" w:cs="TimesNewRoman"/>
                <w:sz w:val="20"/>
                <w:lang w:eastAsia="sk-SK"/>
              </w:rPr>
              <w:t>táty, ktoré sú významným zdrojom surovín pre biopali</w:t>
            </w:r>
            <w:r w:rsidRPr="00E31864">
              <w:rPr>
                <w:rFonts w:ascii="TimesNewRoman" w:hAnsi="TimesNewRoman" w:cs="TimesNewRoman"/>
                <w:sz w:val="20"/>
                <w:lang w:eastAsia="sk-SK"/>
              </w:rPr>
              <w:t>vá spotrebované v Spolo</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enstve, sa v týchto správach uvedie, </w:t>
            </w:r>
            <w:r w:rsidRPr="00E31864">
              <w:rPr>
                <w:rFonts w:ascii="TimesNewRoman+01" w:hAnsi="TimesNewRoman+01" w:cs="TimesNewRoman+01"/>
                <w:sz w:val="20"/>
                <w:lang w:eastAsia="sk-SK"/>
              </w:rPr>
              <w:t>č</w:t>
            </w:r>
            <w:r w:rsidRPr="00E31864">
              <w:rPr>
                <w:rFonts w:ascii="TimesNewRoman" w:hAnsi="TimesNewRoman" w:cs="TimesNewRoman"/>
                <w:sz w:val="20"/>
                <w:lang w:eastAsia="sk-SK"/>
              </w:rPr>
              <w:t>i daná krajina ratifikovala a vykonala:</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Kartagenský protokol o biologickej bezpe</w:t>
            </w:r>
            <w:r w:rsidRPr="00E31864">
              <w:rPr>
                <w:rFonts w:ascii="TimesNewRoman+01" w:hAnsi="TimesNewRoman+01" w:cs="TimesNewRoman+01"/>
                <w:sz w:val="20"/>
                <w:lang w:eastAsia="sk-SK"/>
              </w:rPr>
              <w:t>č</w:t>
            </w:r>
            <w:r w:rsidRPr="00E31864">
              <w:rPr>
                <w:rFonts w:ascii="TimesNewRoman" w:hAnsi="TimesNewRoman" w:cs="TimesNewRoman"/>
                <w:sz w:val="20"/>
                <w:lang w:eastAsia="sk-SK"/>
              </w:rPr>
              <w:t>nosti,</w:t>
            </w:r>
          </w:p>
          <w:p w:rsidR="00C751EE" w:rsidRPr="00E31864" w:rsidP="00C751EE">
            <w:pPr>
              <w:autoSpaceDE w:val="0"/>
              <w:autoSpaceDN w:val="0"/>
              <w:adjustRightInd w:val="0"/>
              <w:jc w:val="both"/>
              <w:rPr>
                <w:rFonts w:ascii="TimesNewRoman" w:hAnsi="TimesNewRoman" w:cs="TimesNewRoman"/>
                <w:sz w:val="20"/>
                <w:lang w:eastAsia="sk-SK"/>
              </w:rPr>
            </w:pPr>
            <w:r>
              <w:rPr>
                <w:rFonts w:ascii="TimesNewRoman+20" w:hAnsi="TimesNewRoman+20" w:cs="TimesNewRoman+20"/>
                <w:sz w:val="20"/>
                <w:lang w:eastAsia="sk-SK"/>
              </w:rPr>
              <w:t>-</w:t>
            </w:r>
            <w:r w:rsidRPr="00E31864">
              <w:rPr>
                <w:rFonts w:ascii="TimesNewRoman+20" w:hAnsi="TimesNewRoman+20" w:cs="TimesNewRoman+20"/>
                <w:sz w:val="20"/>
                <w:lang w:eastAsia="sk-SK"/>
              </w:rPr>
              <w:t xml:space="preserve"> </w:t>
            </w:r>
            <w:r w:rsidRPr="00E31864">
              <w:rPr>
                <w:rFonts w:ascii="TimesNewRoman" w:hAnsi="TimesNewRoman" w:cs="TimesNewRoman"/>
                <w:sz w:val="20"/>
                <w:lang w:eastAsia="sk-SK"/>
              </w:rPr>
              <w:t>Dohovor o medzinárodnom obchode s ohrozenými druhmi vo</w:t>
            </w:r>
            <w:r w:rsidRPr="00E31864">
              <w:rPr>
                <w:rFonts w:ascii="TimesNewRoman+01" w:hAnsi="TimesNewRoman+01" w:cs="TimesNewRoman+01"/>
                <w:sz w:val="20"/>
                <w:lang w:eastAsia="sk-SK"/>
              </w:rPr>
              <w:t>ľ</w:t>
            </w:r>
            <w:r w:rsidRPr="00E31864">
              <w:rPr>
                <w:rFonts w:ascii="TimesNewRoman" w:hAnsi="TimesNewRoman" w:cs="TimesNewRoman"/>
                <w:sz w:val="20"/>
                <w:lang w:eastAsia="sk-SK"/>
              </w:rPr>
              <w:t xml:space="preserve">ne </w:t>
            </w:r>
            <w:r w:rsidRPr="00E31864">
              <w:rPr>
                <w:rFonts w:ascii="TimesNewRoman+01" w:hAnsi="TimesNewRoman+01" w:cs="TimesNewRoman+01"/>
                <w:sz w:val="20"/>
                <w:lang w:eastAsia="sk-SK"/>
              </w:rPr>
              <w:t>ž</w:t>
            </w:r>
            <w:r w:rsidRPr="00E31864">
              <w:rPr>
                <w:rFonts w:ascii="TimesNewRoman" w:hAnsi="TimesNewRoman" w:cs="TimesNewRoman"/>
                <w:sz w:val="20"/>
                <w:lang w:eastAsia="sk-SK"/>
              </w:rPr>
              <w:t xml:space="preserve">ijúcich </w:t>
            </w:r>
            <w:r w:rsidRPr="00E31864">
              <w:rPr>
                <w:rFonts w:ascii="TimesNewRoman+01" w:hAnsi="TimesNewRoman+01" w:cs="TimesNewRoman+01"/>
                <w:sz w:val="20"/>
                <w:lang w:eastAsia="sk-SK"/>
              </w:rPr>
              <w:t>ž</w:t>
            </w:r>
            <w:r w:rsidRPr="00E31864">
              <w:rPr>
                <w:rFonts w:ascii="TimesNewRoman" w:hAnsi="TimesNewRoman" w:cs="TimesNewRoman"/>
                <w:sz w:val="20"/>
                <w:lang w:eastAsia="sk-SK"/>
              </w:rPr>
              <w:t>ivo</w:t>
            </w:r>
            <w:r w:rsidRPr="00E31864">
              <w:rPr>
                <w:rFonts w:ascii="TimesNewRoman+01" w:hAnsi="TimesNewRoman+01" w:cs="TimesNewRoman+01"/>
                <w:sz w:val="20"/>
                <w:lang w:eastAsia="sk-SK"/>
              </w:rPr>
              <w:t>č</w:t>
            </w:r>
            <w:r w:rsidRPr="00E31864">
              <w:rPr>
                <w:rFonts w:ascii="TimesNewRoman" w:hAnsi="TimesNewRoman" w:cs="TimesNewRoman"/>
                <w:sz w:val="20"/>
                <w:lang w:eastAsia="sk-SK"/>
              </w:rPr>
              <w:t>íchov a rastlín.</w:t>
            </w:r>
          </w:p>
          <w:p w:rsidR="00C751EE" w:rsidRPr="00E31864" w:rsidP="00C751EE">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Prvá správa s</w:t>
            </w:r>
            <w:r w:rsidRPr="00E31864">
              <w:rPr>
                <w:rFonts w:ascii="TimesNewRoman" w:hAnsi="TimesNewRoman" w:cs="TimesNewRoman"/>
                <w:sz w:val="20"/>
                <w:lang w:eastAsia="sk-SK"/>
              </w:rPr>
              <w:t>a predlo</w:t>
            </w:r>
            <w:r w:rsidRPr="00E31864">
              <w:rPr>
                <w:rFonts w:ascii="TimesNewRoman+01" w:hAnsi="TimesNewRoman+01" w:cs="TimesNewRoman+01"/>
                <w:sz w:val="20"/>
                <w:lang w:eastAsia="sk-SK"/>
              </w:rPr>
              <w:t>ž</w:t>
            </w:r>
            <w:r w:rsidRPr="00E31864">
              <w:rPr>
                <w:rFonts w:ascii="TimesNewRoman" w:hAnsi="TimesNewRoman" w:cs="TimesNewRoman"/>
                <w:sz w:val="20"/>
                <w:lang w:eastAsia="sk-SK"/>
              </w:rPr>
              <w:t>í v roku 2012. Ak je to potrebné, Komisia</w:t>
            </w:r>
            <w:r>
              <w:rPr>
                <w:rFonts w:ascii="TimesNewRoman" w:hAnsi="TimesNewRoman" w:cs="TimesNewRoman"/>
                <w:sz w:val="20"/>
                <w:lang w:eastAsia="sk-SK"/>
              </w:rPr>
              <w:t xml:space="preserve"> </w:t>
            </w:r>
            <w:r w:rsidRPr="00E31864">
              <w:rPr>
                <w:rFonts w:ascii="TimesNewRoman" w:hAnsi="TimesNewRoman" w:cs="TimesNewRoman"/>
                <w:sz w:val="20"/>
                <w:lang w:eastAsia="sk-SK"/>
              </w:rPr>
              <w:t xml:space="preserve">navrhne nápravné opatrenia, najmä ak existujú dôkazy o tom, </w:t>
            </w:r>
            <w:r w:rsidRPr="00E31864">
              <w:rPr>
                <w:rFonts w:ascii="TimesNewRoman+01" w:hAnsi="TimesNewRoman+01" w:cs="TimesNewRoman+01"/>
                <w:sz w:val="20"/>
                <w:lang w:eastAsia="sk-SK"/>
              </w:rPr>
              <w:t>ž</w:t>
            </w:r>
            <w:r w:rsidRPr="00E31864">
              <w:rPr>
                <w:rFonts w:ascii="TimesNewRoman" w:hAnsi="TimesNewRoman" w:cs="TimesNewRoman"/>
                <w:sz w:val="20"/>
                <w:lang w:eastAsia="sk-SK"/>
              </w:rPr>
              <w:t>e výroba biopalív má zna</w:t>
            </w:r>
            <w:r w:rsidRPr="00E31864">
              <w:rPr>
                <w:rFonts w:ascii="TimesNewRoman+01" w:hAnsi="TimesNewRoman+01" w:cs="TimesNewRoman+01"/>
                <w:sz w:val="20"/>
                <w:lang w:eastAsia="sk-SK"/>
              </w:rPr>
              <w:t>č</w:t>
            </w:r>
            <w:r w:rsidRPr="00E31864">
              <w:rPr>
                <w:rFonts w:ascii="TimesNewRoman" w:hAnsi="TimesNewRoman" w:cs="TimesNewRoman"/>
                <w:sz w:val="20"/>
                <w:lang w:eastAsia="sk-SK"/>
              </w:rPr>
              <w:t>ný vplyv na ceny potravín.</w:t>
            </w:r>
          </w:p>
          <w:p w:rsidR="00C751EE" w:rsidRPr="00E31864" w:rsidP="00E96CD8">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E31864" w:rsidP="00C751EE">
            <w:pPr>
              <w:jc w:val="both"/>
              <w:rPr>
                <w:rFonts w:ascii="EUAlbertina" w:hAnsi="EUAlbertina" w:cs="EUAlbertina"/>
                <w:sz w:val="20"/>
                <w:lang w:eastAsia="sk-SK"/>
              </w:rPr>
            </w:pPr>
            <w:r w:rsidRPr="00E31864">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FD26C3" w:rsidP="00C751EE">
            <w:pPr>
              <w:pStyle w:val="BodyText21"/>
              <w:rPr>
                <w:color w:val="00B0F0"/>
                <w:lang w:eastAsia="en-US"/>
              </w:rPr>
            </w:pPr>
          </w:p>
        </w:tc>
        <w:tc>
          <w:tcPr>
            <w:tcW w:w="4110" w:type="dxa"/>
            <w:tcBorders>
              <w:top w:val="single" w:sz="4" w:space="0" w:color="auto"/>
              <w:bottom w:val="single" w:sz="4" w:space="0" w:color="auto"/>
            </w:tcBorders>
          </w:tcPr>
          <w:p w:rsidR="00C751EE" w:rsidRPr="00A755D5" w:rsidP="00C751EE">
            <w:pPr>
              <w:jc w:val="both"/>
              <w:rPr>
                <w:color w:val="00B0F0"/>
                <w:sz w:val="20"/>
                <w:highlight w:val="yellow"/>
                <w:lang w:eastAsia="en-US"/>
              </w:rPr>
            </w:pPr>
          </w:p>
        </w:tc>
        <w:tc>
          <w:tcPr>
            <w:tcW w:w="709"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E96CD8" w:rsidP="00E96CD8">
            <w:pPr>
              <w:jc w:val="both"/>
              <w:rPr>
                <w:rFonts w:ascii="EUAlbertina" w:hAnsi="EUAlbertina" w:cs="EUAlbertina"/>
                <w:sz w:val="20"/>
                <w:lang w:eastAsia="sk-SK"/>
              </w:rPr>
            </w:pPr>
            <w:r w:rsidRPr="002A270F">
              <w:rPr>
                <w:rFonts w:ascii="EUAlbertina" w:hAnsi="EUAlbertina" w:cs="EUAlbertina"/>
                <w:sz w:val="20"/>
                <w:lang w:eastAsia="sk-SK"/>
              </w:rPr>
              <w:t>Č7b</w:t>
            </w:r>
          </w:p>
          <w:p w:rsidR="00E96CD8" w:rsidRPr="002A270F" w:rsidP="00E96CD8">
            <w:pPr>
              <w:jc w:val="both"/>
              <w:rPr>
                <w:rFonts w:ascii="EUAlbertina" w:hAnsi="EUAlbertina" w:cs="EUAlbertina"/>
                <w:sz w:val="20"/>
                <w:lang w:eastAsia="sk-SK"/>
              </w:rPr>
            </w:pPr>
            <w:r>
              <w:rPr>
                <w:rFonts w:ascii="EUAlbertina" w:hAnsi="EUAlbertina" w:cs="EUAlbertina"/>
                <w:sz w:val="20"/>
                <w:lang w:eastAsia="sk-SK"/>
              </w:rPr>
              <w:t>O8</w:t>
            </w:r>
          </w:p>
        </w:tc>
        <w:tc>
          <w:tcPr>
            <w:tcW w:w="5245" w:type="dxa"/>
            <w:tcBorders>
              <w:top w:val="single" w:sz="4" w:space="0" w:color="auto"/>
              <w:bottom w:val="single" w:sz="4" w:space="0" w:color="auto"/>
            </w:tcBorders>
          </w:tcPr>
          <w:p w:rsidR="00E96CD8" w:rsidRPr="00E31864" w:rsidP="00E96CD8">
            <w:pPr>
              <w:autoSpaceDE w:val="0"/>
              <w:autoSpaceDN w:val="0"/>
              <w:adjustRightInd w:val="0"/>
              <w:jc w:val="both"/>
              <w:rPr>
                <w:rFonts w:ascii="TimesNewRoman" w:hAnsi="TimesNewRoman" w:cs="TimesNewRoman"/>
                <w:sz w:val="20"/>
                <w:lang w:eastAsia="sk-SK"/>
              </w:rPr>
            </w:pPr>
            <w:r w:rsidRPr="00E31864">
              <w:rPr>
                <w:rFonts w:ascii="TimesNewRoman" w:hAnsi="TimesNewRoman" w:cs="TimesNewRoman"/>
                <w:sz w:val="20"/>
                <w:lang w:eastAsia="sk-SK"/>
              </w:rPr>
              <w:t>8. Na ú</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ely uvedené v odseku 1 </w:t>
            </w:r>
            <w:r w:rsidRPr="00E31864">
              <w:rPr>
                <w:rFonts w:ascii="TimesNewRoman+01" w:hAnsi="TimesNewRoman+01" w:cs="TimesNewRoman+01"/>
                <w:sz w:val="20"/>
                <w:lang w:eastAsia="sk-SK"/>
              </w:rPr>
              <w:t>č</w:t>
            </w:r>
            <w:r w:rsidRPr="00E31864">
              <w:rPr>
                <w:rFonts w:ascii="TimesNewRoman" w:hAnsi="TimesNewRoman" w:cs="TimesNewRoman"/>
                <w:sz w:val="20"/>
                <w:lang w:eastAsia="sk-SK"/>
              </w:rPr>
              <w:t xml:space="preserve">lenské </w:t>
            </w:r>
            <w:r w:rsidRPr="00E31864">
              <w:rPr>
                <w:rFonts w:ascii="TimesNewRoman+01" w:hAnsi="TimesNewRoman+01" w:cs="TimesNewRoman+01"/>
                <w:sz w:val="20"/>
                <w:lang w:eastAsia="sk-SK"/>
              </w:rPr>
              <w:t>š</w:t>
            </w:r>
            <w:r w:rsidRPr="00E31864">
              <w:rPr>
                <w:rFonts w:ascii="TimesNewRoman" w:hAnsi="TimesNewRoman" w:cs="TimesNewRoman"/>
                <w:sz w:val="20"/>
                <w:lang w:eastAsia="sk-SK"/>
              </w:rPr>
              <w:t xml:space="preserve">táty neodmietnu na základe </w:t>
            </w:r>
            <w:r w:rsidRPr="00E31864">
              <w:rPr>
                <w:sz w:val="20"/>
                <w:lang w:eastAsia="sk-SK"/>
              </w:rPr>
              <w:t xml:space="preserve">iných </w:t>
            </w:r>
            <w:r w:rsidRPr="00E31864">
              <w:rPr>
                <w:sz w:val="20"/>
                <w:lang w:eastAsia="sk-SK"/>
              </w:rPr>
              <w:t>dôvodov trvalej udr</w:t>
            </w:r>
            <w:r w:rsidRPr="00E31864">
              <w:rPr>
                <w:rFonts w:ascii="TimesNewRoman+01" w:hAnsi="TimesNewRoman+01" w:cs="TimesNewRoman+01"/>
                <w:sz w:val="20"/>
                <w:lang w:eastAsia="sk-SK"/>
              </w:rPr>
              <w:t>ž</w:t>
            </w:r>
            <w:r w:rsidRPr="00E31864">
              <w:rPr>
                <w:sz w:val="20"/>
                <w:lang w:eastAsia="sk-SK"/>
              </w:rPr>
              <w:t>ate</w:t>
            </w:r>
            <w:r w:rsidRPr="00E31864">
              <w:rPr>
                <w:rFonts w:ascii="TimesNewRoman+01" w:hAnsi="TimesNewRoman+01" w:cs="TimesNewRoman+01"/>
                <w:sz w:val="20"/>
                <w:lang w:eastAsia="sk-SK"/>
              </w:rPr>
              <w:t>ľ</w:t>
            </w:r>
            <w:r w:rsidRPr="00E31864">
              <w:rPr>
                <w:sz w:val="20"/>
                <w:lang w:eastAsia="sk-SK"/>
              </w:rPr>
              <w:t>nosti zoh</w:t>
            </w:r>
            <w:r w:rsidRPr="00E31864">
              <w:rPr>
                <w:rFonts w:ascii="TimesNewRoman+01" w:hAnsi="TimesNewRoman+01" w:cs="TimesNewRoman+01"/>
                <w:sz w:val="20"/>
                <w:lang w:eastAsia="sk-SK"/>
              </w:rPr>
              <w:t>ľ</w:t>
            </w:r>
            <w:r w:rsidRPr="00E31864">
              <w:rPr>
                <w:sz w:val="20"/>
                <w:lang w:eastAsia="sk-SK"/>
              </w:rPr>
              <w:t>adni</w:t>
            </w:r>
            <w:r w:rsidRPr="00E31864">
              <w:rPr>
                <w:rFonts w:ascii="TimesNewRoman+01" w:hAnsi="TimesNewRoman+01" w:cs="TimesNewRoman+01"/>
                <w:sz w:val="20"/>
                <w:lang w:eastAsia="sk-SK"/>
              </w:rPr>
              <w:t xml:space="preserve">ť </w:t>
            </w:r>
            <w:r w:rsidRPr="00E31864">
              <w:rPr>
                <w:sz w:val="20"/>
                <w:lang w:eastAsia="sk-SK"/>
              </w:rPr>
              <w:t xml:space="preserve">biopalivá získané v súlade s týmto </w:t>
            </w:r>
            <w:r w:rsidRPr="00E31864">
              <w:rPr>
                <w:rFonts w:ascii="TimesNewRoman+01" w:hAnsi="TimesNewRoman+01" w:cs="TimesNewRoman+01"/>
                <w:sz w:val="20"/>
                <w:lang w:eastAsia="sk-SK"/>
              </w:rPr>
              <w:t>č</w:t>
            </w:r>
            <w:r w:rsidRPr="00E31864">
              <w:rPr>
                <w:sz w:val="20"/>
                <w:lang w:eastAsia="sk-SK"/>
              </w:rPr>
              <w:t>lánkom.</w:t>
            </w:r>
          </w:p>
          <w:p w:rsidR="00E96CD8" w:rsidRPr="00E31864"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E96CD8" w:rsidRPr="00E31864" w:rsidP="00C751EE">
            <w:pPr>
              <w:jc w:val="both"/>
              <w:rPr>
                <w:rFonts w:ascii="EUAlbertina" w:hAnsi="EUAlbertina" w:cs="EUAlbertina"/>
                <w:sz w:val="20"/>
                <w:lang w:eastAsia="sk-SK"/>
              </w:rPr>
            </w:pPr>
            <w:r w:rsidR="001713CA">
              <w:rPr>
                <w:rFonts w:ascii="EUAlbertina" w:hAnsi="EUAlbertina" w:cs="EUAlbertina"/>
                <w:sz w:val="20"/>
                <w:lang w:eastAsia="sk-SK"/>
              </w:rPr>
              <w:t>n.a.</w:t>
            </w:r>
          </w:p>
        </w:tc>
        <w:tc>
          <w:tcPr>
            <w:tcW w:w="1276" w:type="dxa"/>
            <w:tcBorders>
              <w:top w:val="single" w:sz="4" w:space="0" w:color="auto"/>
              <w:bottom w:val="single" w:sz="4" w:space="0" w:color="auto"/>
            </w:tcBorders>
          </w:tcPr>
          <w:p w:rsidR="00E96CD8" w:rsidRPr="00FD26C3"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E96CD8" w:rsidRPr="00FD26C3" w:rsidP="00C751EE">
            <w:pPr>
              <w:pStyle w:val="BodyText21"/>
              <w:rPr>
                <w:color w:val="00B0F0"/>
                <w:lang w:eastAsia="en-US"/>
              </w:rPr>
            </w:pPr>
          </w:p>
        </w:tc>
        <w:tc>
          <w:tcPr>
            <w:tcW w:w="4110" w:type="dxa"/>
            <w:tcBorders>
              <w:top w:val="single" w:sz="4" w:space="0" w:color="auto"/>
              <w:bottom w:val="single" w:sz="4" w:space="0" w:color="auto"/>
            </w:tcBorders>
          </w:tcPr>
          <w:p w:rsidR="00E96CD8" w:rsidRPr="00A755D5" w:rsidP="00C751EE">
            <w:pPr>
              <w:jc w:val="both"/>
              <w:rPr>
                <w:color w:val="00B0F0"/>
                <w:sz w:val="20"/>
                <w:highlight w:val="yellow"/>
                <w:lang w:eastAsia="en-US"/>
              </w:rPr>
            </w:pPr>
          </w:p>
        </w:tc>
        <w:tc>
          <w:tcPr>
            <w:tcW w:w="709" w:type="dxa"/>
            <w:tcBorders>
              <w:top w:val="single" w:sz="4" w:space="0" w:color="auto"/>
              <w:bottom w:val="single" w:sz="4" w:space="0" w:color="auto"/>
            </w:tcBorders>
          </w:tcPr>
          <w:p w:rsidR="00E96CD8"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E96CD8"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C751EE" w:rsidRPr="003A651C" w:rsidP="00C751EE">
            <w:pPr>
              <w:jc w:val="both"/>
              <w:rPr>
                <w:rFonts w:ascii="EUAlbertina" w:hAnsi="EUAlbertina" w:cs="EUAlbertina"/>
                <w:sz w:val="20"/>
                <w:lang w:eastAsia="sk-SK"/>
              </w:rPr>
            </w:pPr>
            <w:r w:rsidRPr="003A651C">
              <w:rPr>
                <w:rFonts w:ascii="EUAlbertina" w:hAnsi="EUAlbertina" w:cs="EUAlbertina"/>
                <w:sz w:val="20"/>
                <w:lang w:eastAsia="sk-SK"/>
              </w:rPr>
              <w:t>Č7c</w:t>
            </w:r>
          </w:p>
          <w:p w:rsidR="00C751EE" w:rsidRPr="003A651C" w:rsidP="00C751EE">
            <w:pPr>
              <w:jc w:val="both"/>
              <w:rPr>
                <w:rFonts w:ascii="EUAlbertina" w:hAnsi="EUAlbertina" w:cs="EUAlbertina"/>
                <w:sz w:val="20"/>
                <w:lang w:eastAsia="sk-SK"/>
              </w:rPr>
            </w:pPr>
            <w:r w:rsidRPr="003A651C">
              <w:rPr>
                <w:rFonts w:ascii="EUAlbertina" w:hAnsi="EUAlbertina" w:cs="EUAlbertina"/>
                <w:sz w:val="20"/>
                <w:lang w:eastAsia="sk-SK"/>
              </w:rPr>
              <w:t>O1</w:t>
            </w:r>
          </w:p>
        </w:tc>
        <w:tc>
          <w:tcPr>
            <w:tcW w:w="5245" w:type="dxa"/>
            <w:tcBorders>
              <w:top w:val="single" w:sz="4" w:space="0" w:color="auto"/>
              <w:bottom w:val="single" w:sz="4" w:space="0" w:color="auto"/>
            </w:tcBorders>
          </w:tcPr>
          <w:p w:rsidR="00C751EE" w:rsidRPr="003A651C" w:rsidP="00C751EE">
            <w:pPr>
              <w:autoSpaceDE w:val="0"/>
              <w:autoSpaceDN w:val="0"/>
              <w:adjustRightInd w:val="0"/>
              <w:rPr>
                <w:sz w:val="20"/>
                <w:lang w:eastAsia="sk-SK"/>
              </w:rPr>
            </w:pPr>
            <w:r w:rsidRPr="003A651C">
              <w:rPr>
                <w:sz w:val="20"/>
                <w:lang w:eastAsia="sk-SK"/>
              </w:rPr>
              <w:t>Článok 7c</w:t>
            </w:r>
          </w:p>
          <w:p w:rsidR="00C751EE" w:rsidRPr="003A651C" w:rsidP="00C751EE">
            <w:pPr>
              <w:autoSpaceDE w:val="0"/>
              <w:autoSpaceDN w:val="0"/>
              <w:adjustRightInd w:val="0"/>
              <w:rPr>
                <w:sz w:val="20"/>
                <w:lang w:eastAsia="sk-SK"/>
              </w:rPr>
            </w:pPr>
            <w:r w:rsidRPr="003A651C">
              <w:rPr>
                <w:sz w:val="20"/>
                <w:lang w:eastAsia="sk-SK"/>
              </w:rPr>
              <w:t>Overovanie splnenia kritérií trvalej udržateľnosti biopalív</w:t>
            </w:r>
          </w:p>
          <w:p w:rsidR="00C751EE" w:rsidRPr="003A651C" w:rsidP="00C751EE">
            <w:pPr>
              <w:autoSpaceDE w:val="0"/>
              <w:autoSpaceDN w:val="0"/>
              <w:adjustRightInd w:val="0"/>
              <w:rPr>
                <w:sz w:val="20"/>
                <w:lang w:eastAsia="sk-SK"/>
              </w:rPr>
            </w:pPr>
            <w:r w:rsidRPr="003A651C">
              <w:rPr>
                <w:sz w:val="20"/>
                <w:lang w:eastAsia="sk-SK"/>
              </w:rPr>
              <w:t>1. Ak sa biopalivá zohľadňujú na účely uvedené v článku 7a, členské štáty vyžadujú od hospodárskych subjektov, aby preukázali, že splnili kritériá trvalej udržateľnosti stanovené v článku 7b ods. 2 až 5. Na tento účel členské štáty požadujú od hospodárskych subjektov použitie systému hmotnostnej bilancie, ktorým sa:</w:t>
            </w:r>
          </w:p>
          <w:p w:rsidR="00C751EE" w:rsidRPr="003A651C" w:rsidP="00C751EE">
            <w:pPr>
              <w:autoSpaceDE w:val="0"/>
              <w:autoSpaceDN w:val="0"/>
              <w:adjustRightInd w:val="0"/>
              <w:rPr>
                <w:sz w:val="20"/>
                <w:lang w:eastAsia="sk-SK"/>
              </w:rPr>
            </w:pPr>
            <w:r w:rsidRPr="003A651C">
              <w:rPr>
                <w:sz w:val="20"/>
                <w:lang w:eastAsia="sk-SK"/>
              </w:rPr>
              <w:t>a) umožní, aby sa zmiešali dodávky surovín alebo biopalív s rôznymi vlastnosťami trvalej udržateľnosti;</w:t>
            </w:r>
          </w:p>
          <w:p w:rsidR="00C751EE" w:rsidRPr="003A651C" w:rsidP="00C751EE">
            <w:pPr>
              <w:autoSpaceDE w:val="0"/>
              <w:autoSpaceDN w:val="0"/>
              <w:adjustRightInd w:val="0"/>
              <w:rPr>
                <w:sz w:val="20"/>
                <w:lang w:eastAsia="sk-SK"/>
              </w:rPr>
            </w:pPr>
            <w:r w:rsidRPr="003A651C">
              <w:rPr>
                <w:sz w:val="20"/>
                <w:lang w:eastAsia="sk-SK"/>
              </w:rPr>
              <w:t>b) vyžaduje, aby sa informácie o vlastnostiach trvalej udržateľnosti</w:t>
            </w:r>
            <w:r w:rsidR="000879BE">
              <w:rPr>
                <w:sz w:val="20"/>
                <w:lang w:eastAsia="sk-SK"/>
              </w:rPr>
              <w:t xml:space="preserve"> </w:t>
            </w:r>
            <w:r w:rsidRPr="003A651C">
              <w:rPr>
                <w:sz w:val="20"/>
                <w:lang w:eastAsia="sk-SK"/>
              </w:rPr>
              <w:t>a veľkostiach dodávok uvedených v písmene a) naďalej vzťahovali</w:t>
            </w:r>
            <w:r w:rsidR="000879BE">
              <w:rPr>
                <w:sz w:val="20"/>
                <w:lang w:eastAsia="sk-SK"/>
              </w:rPr>
              <w:t xml:space="preserve"> </w:t>
            </w:r>
            <w:r w:rsidRPr="003A651C">
              <w:rPr>
                <w:sz w:val="20"/>
                <w:lang w:eastAsia="sk-SK"/>
              </w:rPr>
              <w:t>aj na danú zmes, a</w:t>
            </w:r>
          </w:p>
          <w:p w:rsidR="00C751EE" w:rsidRPr="003A651C" w:rsidP="00C751EE">
            <w:pPr>
              <w:autoSpaceDE w:val="0"/>
              <w:autoSpaceDN w:val="0"/>
              <w:adjustRightInd w:val="0"/>
              <w:rPr>
                <w:sz w:val="20"/>
                <w:lang w:eastAsia="sk-SK"/>
              </w:rPr>
            </w:pPr>
            <w:r w:rsidRPr="003A651C">
              <w:rPr>
                <w:sz w:val="20"/>
                <w:lang w:eastAsia="sk-SK"/>
              </w:rPr>
              <w:t>c) stanovuje, že pre súhrn všetkých dodávok odobratých zo zmesi sa opisujú rovnaké vlastnosti trvalej udržateľnosti v rovnakých množstvách ako súhrn všetkých dodávok pridaných do zmesi.</w:t>
            </w:r>
          </w:p>
          <w:p w:rsidR="00C751EE" w:rsidRPr="003A651C" w:rsidP="00C751EE">
            <w:pPr>
              <w:autoSpaceDE w:val="0"/>
              <w:autoSpaceDN w:val="0"/>
              <w:adjustRightInd w:val="0"/>
              <w:rPr>
                <w:sz w:val="20"/>
                <w:lang w:eastAsia="sk-SK"/>
              </w:rPr>
            </w:pPr>
          </w:p>
          <w:p w:rsidR="00C751EE" w:rsidRPr="003A651C" w:rsidP="00C751EE">
            <w:pPr>
              <w:autoSpaceDE w:val="0"/>
              <w:autoSpaceDN w:val="0"/>
              <w:adjustRightInd w:val="0"/>
              <w:rPr>
                <w:sz w:val="20"/>
                <w:lang w:eastAsia="sk-SK"/>
              </w:rPr>
            </w:pPr>
          </w:p>
          <w:p w:rsidR="00C751EE" w:rsidRPr="003A651C" w:rsidP="00C751EE">
            <w:pPr>
              <w:autoSpaceDE w:val="0"/>
              <w:autoSpaceDN w:val="0"/>
              <w:adjustRightInd w:val="0"/>
              <w:rPr>
                <w:sz w:val="20"/>
                <w:lang w:eastAsia="sk-SK"/>
              </w:rPr>
            </w:pPr>
          </w:p>
          <w:p w:rsidR="00C751EE" w:rsidRPr="003A651C" w:rsidP="00C751EE">
            <w:pPr>
              <w:autoSpaceDE w:val="0"/>
              <w:autoSpaceDN w:val="0"/>
              <w:adjustRightInd w:val="0"/>
              <w:rPr>
                <w:sz w:val="20"/>
                <w:lang w:eastAsia="sk-SK"/>
              </w:rPr>
            </w:pPr>
          </w:p>
          <w:p w:rsidR="00C751EE" w:rsidRPr="003A651C" w:rsidP="00C751EE">
            <w:pPr>
              <w:autoSpaceDE w:val="0"/>
              <w:autoSpaceDN w:val="0"/>
              <w:adjustRightInd w:val="0"/>
              <w:rPr>
                <w:rFonts w:ascii="EUAlbertina" w:hAnsi="EUAlbertina" w:cs="EUAlbertina"/>
                <w:sz w:val="20"/>
                <w:lang w:eastAsia="sk-SK"/>
              </w:rPr>
            </w:pPr>
          </w:p>
        </w:tc>
        <w:tc>
          <w:tcPr>
            <w:tcW w:w="567" w:type="dxa"/>
            <w:tcBorders>
              <w:top w:val="single" w:sz="4" w:space="0" w:color="auto"/>
              <w:bottom w:val="single" w:sz="4" w:space="0" w:color="auto"/>
            </w:tcBorders>
          </w:tcPr>
          <w:p w:rsidR="00C751EE" w:rsidRPr="003A651C" w:rsidP="00C751EE">
            <w:pPr>
              <w:jc w:val="center"/>
              <w:rPr>
                <w:rFonts w:ascii="EUAlbertina" w:hAnsi="EUAlbertina" w:cs="EUAlbertina"/>
                <w:sz w:val="20"/>
                <w:lang w:eastAsia="sk-SK"/>
              </w:rPr>
            </w:pPr>
            <w:r w:rsidRPr="003A651C">
              <w:rPr>
                <w:rFonts w:ascii="EUAlbertina" w:hAnsi="EUAlbertina" w:cs="EUAlbertina"/>
                <w:sz w:val="20"/>
                <w:lang w:eastAsia="sk-SK"/>
              </w:rPr>
              <w:t>N</w:t>
            </w: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p w:rsidR="00C751EE" w:rsidRPr="003A651C"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3A651C" w:rsidP="00C751EE">
            <w:pPr>
              <w:jc w:val="center"/>
              <w:rPr>
                <w:rFonts w:ascii="EUAlbertina" w:hAnsi="EUAlbertina" w:cs="EUAlbertina"/>
                <w:sz w:val="20"/>
                <w:lang w:eastAsia="sk-SK"/>
              </w:rPr>
            </w:pPr>
            <w:r w:rsidRPr="003A651C">
              <w:rPr>
                <w:rFonts w:ascii="EUAlbertina" w:hAnsi="EUAlbertina" w:cs="EUAlbertina"/>
                <w:sz w:val="20"/>
                <w:lang w:eastAsia="sk-SK"/>
              </w:rPr>
              <w:t>Z</w:t>
            </w:r>
            <w:r>
              <w:rPr>
                <w:rFonts w:ascii="EUAlbertina" w:hAnsi="EUAlbertina" w:cs="EUAlbertina"/>
                <w:sz w:val="20"/>
                <w:lang w:eastAsia="sk-SK"/>
              </w:rPr>
              <w:t xml:space="preserve"> </w:t>
            </w:r>
            <w:r w:rsidRPr="003A651C">
              <w:rPr>
                <w:rFonts w:ascii="EUAlbertina" w:hAnsi="EUAlbertina" w:cs="EUAlbertina"/>
                <w:sz w:val="20"/>
                <w:lang w:eastAsia="sk-SK"/>
              </w:rPr>
              <w:t>309/2009</w:t>
            </w: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BE6394"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r w:rsidRPr="003A651C">
              <w:rPr>
                <w:rFonts w:ascii="EUAlbertina" w:hAnsi="EUAlbertina" w:cs="EUAlbertina"/>
                <w:sz w:val="20"/>
                <w:lang w:eastAsia="sk-SK"/>
              </w:rPr>
              <w:t>V</w:t>
            </w:r>
            <w:r>
              <w:rPr>
                <w:rFonts w:ascii="EUAlbertina" w:hAnsi="EUAlbertina" w:cs="EUAlbertina"/>
                <w:sz w:val="20"/>
                <w:lang w:eastAsia="sk-SK"/>
              </w:rPr>
              <w:t xml:space="preserve"> </w:t>
            </w:r>
            <w:r w:rsidRPr="003A651C">
              <w:rPr>
                <w:rFonts w:ascii="EUAlbertina" w:hAnsi="EUAlbertina" w:cs="EUAlbertina"/>
                <w:sz w:val="20"/>
                <w:lang w:eastAsia="sk-SK"/>
              </w:rPr>
              <w:t>271/2011</w:t>
            </w:r>
          </w:p>
        </w:tc>
        <w:tc>
          <w:tcPr>
            <w:tcW w:w="709" w:type="dxa"/>
            <w:tcBorders>
              <w:top w:val="single" w:sz="4" w:space="0" w:color="auto"/>
              <w:bottom w:val="single" w:sz="4" w:space="0" w:color="auto"/>
            </w:tcBorders>
          </w:tcPr>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§14b</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O1</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O2</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O3</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P="00C751EE">
            <w:pPr>
              <w:pStyle w:val="BodyText21"/>
              <w:spacing w:before="0"/>
              <w:jc w:val="center"/>
              <w:rPr>
                <w:rFonts w:ascii="EUAlbertina" w:hAnsi="EUAlbertina" w:cs="EUAlbertina"/>
                <w:lang w:eastAsia="sk-SK"/>
              </w:rPr>
            </w:pPr>
          </w:p>
          <w:p w:rsidR="00BE6394"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§14c</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O1</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Pd</w:t>
            </w:r>
          </w:p>
          <w:p w:rsidR="00C751EE" w:rsidRPr="003A651C" w:rsidP="00C751EE">
            <w:pPr>
              <w:pStyle w:val="BodyText21"/>
              <w:spacing w:before="0"/>
              <w:jc w:val="center"/>
              <w:rPr>
                <w:rFonts w:ascii="EUAlbertina" w:hAnsi="EUAlbertina" w:cs="EUAlbertina"/>
                <w:lang w:eastAsia="sk-SK"/>
              </w:rPr>
            </w:pPr>
          </w:p>
          <w:p w:rsidR="00C751EE" w:rsidP="00C751EE">
            <w:pPr>
              <w:pStyle w:val="BodyText21"/>
              <w:spacing w:before="0"/>
              <w:jc w:val="center"/>
              <w:rPr>
                <w:rFonts w:ascii="EUAlbertina" w:hAnsi="EUAlbertina" w:cs="EUAlbertina"/>
                <w:lang w:eastAsia="sk-SK"/>
              </w:rPr>
            </w:pPr>
          </w:p>
          <w:p w:rsidR="004B3966"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 6</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O1</w:t>
            </w:r>
          </w:p>
          <w:p w:rsidR="00C751EE" w:rsidP="00C751EE">
            <w:pPr>
              <w:pStyle w:val="BodyText21"/>
              <w:spacing w:before="0"/>
              <w:jc w:val="center"/>
              <w:rPr>
                <w:rFonts w:ascii="EUAlbertina" w:hAnsi="EUAlbertina" w:cs="EUAlbertina"/>
                <w:lang w:eastAsia="sk-SK"/>
              </w:rPr>
            </w:pPr>
          </w:p>
          <w:p w:rsidR="00C751EE" w:rsidP="00C751EE">
            <w:pPr>
              <w:pStyle w:val="BodyText21"/>
              <w:spacing w:before="0"/>
              <w:jc w:val="center"/>
              <w:rPr>
                <w:rFonts w:ascii="EUAlbertina" w:hAnsi="EUAlbertina" w:cs="EUAlbertina"/>
                <w:lang w:eastAsia="sk-SK"/>
              </w:rPr>
            </w:pPr>
          </w:p>
          <w:p w:rsidR="00B35ED1" w:rsidRPr="003A651C" w:rsidP="00C751EE">
            <w:pPr>
              <w:pStyle w:val="BodyText21"/>
              <w:spacing w:before="0"/>
              <w:jc w:val="center"/>
              <w:rPr>
                <w:rFonts w:ascii="EUAlbertina" w:hAnsi="EUAlbertina" w:cs="EUAlbertina"/>
                <w:lang w:eastAsia="sk-SK"/>
              </w:rPr>
            </w:pPr>
            <w:r>
              <w:rPr>
                <w:rFonts w:ascii="EUAlbertina" w:hAnsi="EUAlbertina" w:cs="EUAlbertina"/>
                <w:lang w:eastAsia="sk-SK"/>
              </w:rPr>
              <w:t>§6</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O2</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00B35ED1">
              <w:rPr>
                <w:rFonts w:ascii="EUAlbertina" w:hAnsi="EUAlbertina" w:cs="EUAlbertina"/>
                <w:lang w:eastAsia="sk-SK"/>
              </w:rPr>
              <w:t>§6</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O3</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P="00C751EE">
            <w:pPr>
              <w:pStyle w:val="BodyText21"/>
              <w:spacing w:before="0"/>
              <w:jc w:val="center"/>
              <w:rPr>
                <w:rFonts w:ascii="EUAlbertina" w:hAnsi="EUAlbertina" w:cs="EUAlbertina"/>
                <w:lang w:eastAsia="sk-SK"/>
              </w:rPr>
            </w:pPr>
          </w:p>
          <w:p w:rsidR="00BE6394" w:rsidRPr="003A651C" w:rsidP="00C751EE">
            <w:pPr>
              <w:pStyle w:val="BodyText21"/>
              <w:spacing w:before="0"/>
              <w:jc w:val="center"/>
              <w:rPr>
                <w:rFonts w:ascii="EUAlbertina" w:hAnsi="EUAlbertina" w:cs="EUAlbertina"/>
                <w:lang w:eastAsia="sk-SK"/>
              </w:rPr>
            </w:pPr>
            <w:r w:rsidR="00B35ED1">
              <w:rPr>
                <w:rFonts w:ascii="EUAlbertina" w:hAnsi="EUAlbertina" w:cs="EUAlbertina"/>
                <w:lang w:eastAsia="sk-SK"/>
              </w:rPr>
              <w:t>§6</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O4</w:t>
            </w: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p>
          <w:p w:rsidR="00C751EE" w:rsidRPr="003A651C" w:rsidP="00C751EE">
            <w:pPr>
              <w:pStyle w:val="BodyText21"/>
              <w:spacing w:before="0"/>
              <w:jc w:val="center"/>
              <w:rPr>
                <w:rFonts w:ascii="EUAlbertina" w:hAnsi="EUAlbertina" w:cs="EUAlbertina"/>
                <w:lang w:eastAsia="sk-SK"/>
              </w:rPr>
            </w:pPr>
            <w:r w:rsidR="00B35ED1">
              <w:rPr>
                <w:rFonts w:ascii="EUAlbertina" w:hAnsi="EUAlbertina" w:cs="EUAlbertina"/>
                <w:lang w:eastAsia="sk-SK"/>
              </w:rPr>
              <w:t>§6</w:t>
            </w:r>
          </w:p>
          <w:p w:rsidR="00C751EE" w:rsidRPr="003A651C" w:rsidP="00C751EE">
            <w:pPr>
              <w:pStyle w:val="BodyText21"/>
              <w:spacing w:before="0"/>
              <w:jc w:val="center"/>
              <w:rPr>
                <w:rFonts w:ascii="EUAlbertina" w:hAnsi="EUAlbertina" w:cs="EUAlbertina"/>
                <w:lang w:eastAsia="sk-SK"/>
              </w:rPr>
            </w:pPr>
            <w:r w:rsidRPr="003A651C">
              <w:rPr>
                <w:rFonts w:ascii="EUAlbertina" w:hAnsi="EUAlbertina" w:cs="EUAlbertina"/>
                <w:lang w:eastAsia="sk-SK"/>
              </w:rPr>
              <w:t>O5</w:t>
            </w:r>
          </w:p>
          <w:p w:rsidR="00C751EE" w:rsidRPr="003A651C" w:rsidP="00C751EE">
            <w:pPr>
              <w:pStyle w:val="BodyText21"/>
              <w:spacing w:before="0"/>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4B3966" w:rsidP="00C751EE">
            <w:pPr>
              <w:spacing w:after="240"/>
              <w:jc w:val="both"/>
              <w:rPr>
                <w:sz w:val="20"/>
              </w:rPr>
            </w:pPr>
            <w:r w:rsidRPr="004B3966">
              <w:rPr>
                <w:sz w:val="20"/>
              </w:rPr>
              <w:t xml:space="preserve">(1) Potvrdenie o pôvode biopaliva alebo biokvapaliny je doklad, že príslušný podiel alebo množstvo biopaliva alebo biokvapaliny bolo vyrobené v súlade s kritériami trvalej udržateľnosti podľa osobitného predpisu. </w:t>
            </w:r>
          </w:p>
          <w:p w:rsidR="00C751EE" w:rsidRPr="004B3966" w:rsidP="00C751EE">
            <w:pPr>
              <w:spacing w:after="240"/>
              <w:jc w:val="both"/>
              <w:rPr>
                <w:sz w:val="20"/>
              </w:rPr>
            </w:pPr>
            <w:r w:rsidRPr="004B3966">
              <w:rPr>
                <w:sz w:val="20"/>
              </w:rPr>
              <w:t xml:space="preserve">(2) </w:t>
            </w:r>
            <w:r w:rsidRPr="004B3966" w:rsidR="003D20FB">
              <w:rPr>
                <w:sz w:val="20"/>
              </w:rPr>
              <w:t>Potvrdenie o pôvode biopaliva alebo biokvapaliny vydáva právnická osoba alebo fyzická osoba podľa § 14a ods. 2 uvádzajúca na trh pohonné látky s obsahom biopalív vrátane pohonných látok, ktoré sú 100 % biopalivom a právnická o</w:t>
            </w:r>
            <w:r w:rsidRPr="004B3966" w:rsidR="003D20FB">
              <w:rPr>
                <w:sz w:val="20"/>
              </w:rPr>
              <w:t>soba alebo fyzická osoba uvádzajúca na trh biokvapalin</w:t>
            </w:r>
            <w:r w:rsidRPr="004B3966">
              <w:rPr>
                <w:sz w:val="20"/>
              </w:rPr>
              <w:t>.</w:t>
            </w:r>
          </w:p>
          <w:p w:rsidR="00C751EE" w:rsidRPr="004B3966" w:rsidP="00C751EE">
            <w:pPr>
              <w:spacing w:after="240"/>
              <w:jc w:val="both"/>
              <w:rPr>
                <w:sz w:val="20"/>
              </w:rPr>
            </w:pPr>
            <w:r w:rsidRPr="004B3966">
              <w:rPr>
                <w:sz w:val="20"/>
              </w:rPr>
              <w:t xml:space="preserve"> (3) </w:t>
            </w:r>
            <w:r w:rsidRPr="004B3966" w:rsidR="003D20FB">
              <w:rPr>
                <w:sz w:val="20"/>
              </w:rPr>
              <w:t>Prílohou potvrdenia o pôvode biopaliva alebo biokvapaliny na účely jeho overenia podľa odseku 4 je vyhlásenie pestovateľa alebo dodávateľa biomasy o splnení podmienok určených na výrobu základnej</w:t>
            </w:r>
            <w:r w:rsidRPr="004B3966" w:rsidR="003D20FB">
              <w:rPr>
                <w:sz w:val="20"/>
              </w:rPr>
              <w:t xml:space="preserve"> suroviny pre výrobu biopaliva alebo biokvapaliny</w:t>
            </w:r>
            <w:r w:rsidRPr="004B3966">
              <w:rPr>
                <w:sz w:val="20"/>
              </w:rPr>
              <w:t>.</w:t>
            </w:r>
          </w:p>
          <w:p w:rsidR="00C751EE" w:rsidRPr="004B3966" w:rsidP="00C751EE">
            <w:pPr>
              <w:jc w:val="both"/>
              <w:rPr>
                <w:sz w:val="20"/>
              </w:rPr>
            </w:pPr>
          </w:p>
          <w:p w:rsidR="00C751EE" w:rsidRPr="004B3966" w:rsidP="00C751EE">
            <w:pPr>
              <w:jc w:val="both"/>
              <w:rPr>
                <w:sz w:val="20"/>
              </w:rPr>
            </w:pPr>
            <w:r w:rsidRPr="004B3966">
              <w:rPr>
                <w:sz w:val="20"/>
              </w:rPr>
              <w:t>d) používať systém hmotnostnej bilancie pre biopalivá a biokvapaliny  pri preukazovaní plnenia kritérií trvalej udržateľnosti.</w:t>
            </w:r>
          </w:p>
          <w:p w:rsidR="00C751EE" w:rsidRPr="004B3966" w:rsidP="00C751EE">
            <w:pPr>
              <w:spacing w:after="120"/>
              <w:jc w:val="both"/>
              <w:rPr>
                <w:sz w:val="20"/>
              </w:rPr>
            </w:pPr>
          </w:p>
          <w:p w:rsidR="00C751EE" w:rsidRPr="004B3966" w:rsidP="00C751EE">
            <w:pPr>
              <w:spacing w:after="120"/>
              <w:jc w:val="both"/>
              <w:rPr>
                <w:sz w:val="20"/>
              </w:rPr>
            </w:pPr>
          </w:p>
          <w:p w:rsidR="00C751EE" w:rsidRPr="004B3966" w:rsidP="00C751EE">
            <w:pPr>
              <w:autoSpaceDE w:val="0"/>
              <w:autoSpaceDN w:val="0"/>
              <w:adjustRightInd w:val="0"/>
              <w:jc w:val="both"/>
              <w:rPr>
                <w:sz w:val="20"/>
              </w:rPr>
            </w:pPr>
            <w:r w:rsidRPr="004B3966">
              <w:rPr>
                <w:sz w:val="20"/>
              </w:rPr>
              <w:t>(1) Systém hmotnostnej bilancie umožňuje, aby sa</w:t>
            </w:r>
          </w:p>
          <w:p w:rsidR="00C751EE" w:rsidRPr="004B3966" w:rsidP="00C751EE">
            <w:pPr>
              <w:autoSpaceDE w:val="0"/>
              <w:autoSpaceDN w:val="0"/>
              <w:adjustRightInd w:val="0"/>
              <w:jc w:val="both"/>
              <w:rPr>
                <w:sz w:val="20"/>
              </w:rPr>
            </w:pPr>
            <w:r w:rsidRPr="004B3966">
              <w:rPr>
                <w:sz w:val="20"/>
              </w:rPr>
              <w:t>zmiešali dodávky surovín, biopalív alebo biokvapalín s rôznymi vlastnosťami trvalej udržateľnosti.</w:t>
            </w:r>
          </w:p>
          <w:p w:rsidR="00C751EE"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(2) Vlastnosti trvalej udržateľnosti jednotlivých surovín, biopalív alebo biokvapalín sa premietajú do výslednej zmesi v pomere hmotnostných alebo objemových dielov.</w:t>
            </w:r>
          </w:p>
          <w:p w:rsidR="00C751EE"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(3) Pri odobera</w:t>
            </w:r>
            <w:r w:rsidRPr="004B3966">
              <w:rPr>
                <w:sz w:val="20"/>
              </w:rPr>
              <w:t>ní hmotnostného alebo objemového</w:t>
            </w:r>
          </w:p>
          <w:p w:rsidR="00C751EE" w:rsidRPr="004B3966" w:rsidP="00C751EE">
            <w:pPr>
              <w:autoSpaceDE w:val="0"/>
              <w:autoSpaceDN w:val="0"/>
              <w:adjustRightInd w:val="0"/>
              <w:jc w:val="both"/>
              <w:rPr>
                <w:sz w:val="20"/>
              </w:rPr>
            </w:pPr>
            <w:r w:rsidRPr="004B3966">
              <w:rPr>
                <w:sz w:val="20"/>
              </w:rPr>
              <w:t>dielu zmesi sa vlastnosti trvalej udržateľnosti určujú</w:t>
            </w:r>
          </w:p>
          <w:p w:rsidR="00C751EE" w:rsidRPr="004B3966" w:rsidP="00C751EE">
            <w:pPr>
              <w:autoSpaceDE w:val="0"/>
              <w:autoSpaceDN w:val="0"/>
              <w:adjustRightInd w:val="0"/>
              <w:jc w:val="both"/>
              <w:rPr>
                <w:sz w:val="20"/>
              </w:rPr>
            </w:pPr>
            <w:r w:rsidRPr="004B3966">
              <w:rPr>
                <w:sz w:val="20"/>
              </w:rPr>
              <w:t>v rovnakých množstvách ako súhrn všetkých dodávok pridaných do zmesi.</w:t>
            </w:r>
          </w:p>
          <w:p w:rsidR="00C751EE"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(4) Evidencia hmotnostnej bilancie a pohybu biomasy obsahuje údaje, podľa ktorých možno spoľahlivo overiť plnenie odsekov 1 až 3.</w:t>
            </w:r>
          </w:p>
          <w:p w:rsidR="00C751EE" w:rsidRPr="004B3966" w:rsidP="00C751EE">
            <w:pPr>
              <w:autoSpaceDE w:val="0"/>
              <w:autoSpaceDN w:val="0"/>
              <w:adjustRightInd w:val="0"/>
              <w:jc w:val="both"/>
              <w:rPr>
                <w:sz w:val="20"/>
              </w:rPr>
            </w:pPr>
          </w:p>
          <w:p w:rsidR="00C751EE" w:rsidRPr="004B3966" w:rsidP="00C751EE">
            <w:pPr>
              <w:autoSpaceDE w:val="0"/>
              <w:autoSpaceDN w:val="0"/>
              <w:adjustRightInd w:val="0"/>
              <w:jc w:val="both"/>
              <w:rPr>
                <w:sz w:val="20"/>
              </w:rPr>
            </w:pPr>
            <w:r w:rsidRPr="004B3966">
              <w:rPr>
                <w:sz w:val="20"/>
              </w:rPr>
              <w:t>(5) Príklady povolených a nepovolených kombinácií</w:t>
            </w:r>
          </w:p>
          <w:p w:rsidR="00C751EE" w:rsidRPr="004B3966" w:rsidP="00C751EE">
            <w:pPr>
              <w:autoSpaceDE w:val="0"/>
              <w:autoSpaceDN w:val="0"/>
              <w:adjustRightInd w:val="0"/>
              <w:jc w:val="both"/>
              <w:rPr>
                <w:sz w:val="20"/>
              </w:rPr>
            </w:pPr>
            <w:r w:rsidRPr="004B3966">
              <w:rPr>
                <w:sz w:val="20"/>
              </w:rPr>
              <w:t>vstupov a výstupov z hmotnostnej bilancie zverejňuje ministerstvo na svojom webovom sídle.</w:t>
            </w:r>
          </w:p>
        </w:tc>
        <w:tc>
          <w:tcPr>
            <w:tcW w:w="709" w:type="dxa"/>
            <w:tcBorders>
              <w:top w:val="single" w:sz="4" w:space="0" w:color="auto"/>
              <w:bottom w:val="single" w:sz="4" w:space="0" w:color="auto"/>
            </w:tcBorders>
          </w:tcPr>
          <w:p w:rsidR="00C751EE" w:rsidRPr="003A651C" w:rsidP="00C751EE">
            <w:pPr>
              <w:jc w:val="center"/>
              <w:rPr>
                <w:rFonts w:ascii="EUAlbertina" w:hAnsi="EUAlbertina" w:cs="EUAlbertina"/>
                <w:sz w:val="20"/>
                <w:lang w:eastAsia="sk-SK"/>
              </w:rPr>
            </w:pPr>
            <w:r w:rsidRPr="003A651C">
              <w:rPr>
                <w:rFonts w:ascii="EUAlbertina" w:hAnsi="EUAlbertina" w:cs="EUAlbertina"/>
                <w:sz w:val="20"/>
                <w:lang w:eastAsia="sk-SK"/>
              </w:rPr>
              <w:t>Ú</w:t>
            </w: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p w:rsidR="00C751EE" w:rsidRPr="003A651C"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3A651C"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1338"/>
        </w:trPr>
        <w:tc>
          <w:tcPr>
            <w:tcW w:w="637" w:type="dxa"/>
            <w:tcBorders>
              <w:top w:val="single" w:sz="4" w:space="0" w:color="auto"/>
              <w:bottom w:val="single" w:sz="4" w:space="0" w:color="auto"/>
            </w:tcBorders>
          </w:tcPr>
          <w:p w:rsidR="00C751EE" w:rsidRPr="00315943" w:rsidP="00C751EE">
            <w:pPr>
              <w:jc w:val="both"/>
              <w:rPr>
                <w:rFonts w:ascii="EUAlbertina" w:hAnsi="EUAlbertina" w:cs="EUAlbertina"/>
                <w:sz w:val="20"/>
                <w:lang w:eastAsia="sk-SK"/>
              </w:rPr>
            </w:pPr>
            <w:r w:rsidRPr="00315943">
              <w:rPr>
                <w:rFonts w:ascii="EUAlbertina" w:hAnsi="EUAlbertina" w:cs="EUAlbertina"/>
                <w:sz w:val="20"/>
                <w:lang w:eastAsia="sk-SK"/>
              </w:rPr>
              <w:t>Č7c</w:t>
            </w:r>
          </w:p>
          <w:p w:rsidR="00C751EE" w:rsidRPr="00315943" w:rsidP="00C751EE">
            <w:pPr>
              <w:jc w:val="both"/>
              <w:rPr>
                <w:rFonts w:ascii="EUAlbertina" w:hAnsi="EUAlbertina" w:cs="EUAlbertina"/>
                <w:sz w:val="20"/>
                <w:lang w:eastAsia="sk-SK"/>
              </w:rPr>
            </w:pPr>
            <w:r w:rsidRPr="00315943">
              <w:rPr>
                <w:rFonts w:ascii="EUAlbertina" w:hAnsi="EUAlbertina" w:cs="EUAlbertina"/>
                <w:sz w:val="20"/>
                <w:lang w:eastAsia="sk-SK"/>
              </w:rPr>
              <w:t>O2</w:t>
            </w:r>
          </w:p>
        </w:tc>
        <w:tc>
          <w:tcPr>
            <w:tcW w:w="5245" w:type="dxa"/>
            <w:tcBorders>
              <w:top w:val="single" w:sz="4" w:space="0" w:color="auto"/>
              <w:bottom w:val="single" w:sz="4" w:space="0" w:color="auto"/>
            </w:tcBorders>
          </w:tcPr>
          <w:p w:rsidR="00C751EE" w:rsidRPr="00315943" w:rsidP="00C751EE">
            <w:pPr>
              <w:autoSpaceDE w:val="0"/>
              <w:autoSpaceDN w:val="0"/>
              <w:adjustRightInd w:val="0"/>
              <w:jc w:val="both"/>
              <w:rPr>
                <w:sz w:val="20"/>
                <w:lang w:eastAsia="sk-SK"/>
              </w:rPr>
            </w:pPr>
            <w:r w:rsidRPr="00315943">
              <w:rPr>
                <w:sz w:val="20"/>
                <w:lang w:eastAsia="sk-SK"/>
              </w:rPr>
              <w:t xml:space="preserve">2. Komisia predloží Európskemu parlamentu a Rade v rokoch 2010 a 2012 správu o fungovaní metódy overovania pomocou hmotnostnej bilancie uvedenej v odseku </w:t>
            </w:r>
            <w:smartTag w:uri="urn:schemas-microsoft-com:office:smarttags" w:element="metricconverter">
              <w:smartTagPr>
                <w:attr w:name="ProductID" w:val="1 a"/>
              </w:smartTagPr>
              <w:r w:rsidRPr="00315943">
                <w:rPr>
                  <w:sz w:val="20"/>
                  <w:lang w:eastAsia="sk-SK"/>
                </w:rPr>
                <w:t>1 a</w:t>
              </w:r>
            </w:smartTag>
            <w:r w:rsidRPr="00315943">
              <w:rPr>
                <w:sz w:val="20"/>
                <w:lang w:eastAsia="sk-SK"/>
              </w:rPr>
              <w:t xml:space="preserve"> o možnostiach použitia iných overovacích metód pre niektoré alebo všetky druhy surovín alebo biopalív. Vo svojom hodnotení Komisia zohľadní tie overovacie metódy, pri ktorých nemusia informácie o vlastnostiach trvalej udržateľnosti zostať fyzicky pripísané konkrétnym dodávkam alebo zmesiam. V hodnotení sa zohľadní potreba udržania celistvosti a účinnosti overovacieho systému bez vytvárania neprimeranej záťaže pre priemysel. V prípade potreby Komisia k správe priloží návrhy pre Európsky parlament a Radu týkajúce sa použitia iných overovacích metód.</w:t>
            </w:r>
          </w:p>
        </w:tc>
        <w:tc>
          <w:tcPr>
            <w:tcW w:w="567" w:type="dxa"/>
            <w:tcBorders>
              <w:top w:val="single" w:sz="4" w:space="0" w:color="auto"/>
              <w:bottom w:val="single" w:sz="4" w:space="0" w:color="auto"/>
            </w:tcBorders>
          </w:tcPr>
          <w:p w:rsidR="00C751EE" w:rsidRPr="00315943" w:rsidP="00C751EE">
            <w:pPr>
              <w:jc w:val="center"/>
              <w:rPr>
                <w:rFonts w:ascii="EUAlbertina" w:hAnsi="EUAlbertina" w:cs="EUAlbertina"/>
                <w:sz w:val="20"/>
                <w:lang w:eastAsia="sk-SK"/>
              </w:rPr>
            </w:pPr>
            <w:r w:rsidRPr="00315943">
              <w:rPr>
                <w:rFonts w:ascii="EUAlbertina" w:hAnsi="EUAlbertina" w:cs="EUAlbertina"/>
                <w:sz w:val="20"/>
                <w:lang w:eastAsia="sk-SK"/>
              </w:rPr>
              <w:t>n.a.</w:t>
            </w:r>
          </w:p>
          <w:p w:rsidR="00C751EE" w:rsidRPr="00315943" w:rsidP="00C751EE">
            <w:pPr>
              <w:jc w:val="both"/>
              <w:rPr>
                <w:rFonts w:ascii="EUAlbertina" w:hAnsi="EUAlbertina" w:cs="EUAlbertina"/>
                <w:sz w:val="20"/>
                <w:lang w:eastAsia="sk-SK"/>
              </w:rPr>
            </w:pPr>
          </w:p>
          <w:p w:rsidR="00C751EE" w:rsidRPr="00315943" w:rsidP="00C751EE">
            <w:pPr>
              <w:jc w:val="both"/>
              <w:rPr>
                <w:rFonts w:ascii="EUAlbertina" w:hAnsi="EUAlbertina" w:cs="EUAlbertina"/>
                <w:sz w:val="20"/>
                <w:lang w:eastAsia="sk-SK"/>
              </w:rPr>
            </w:pPr>
          </w:p>
          <w:p w:rsidR="00C751EE" w:rsidRPr="00315943"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315943" w:rsidP="00C751EE">
            <w:pPr>
              <w:jc w:val="center"/>
              <w:rPr>
                <w:rFonts w:ascii="EUAlbertina" w:hAnsi="EUAlbertina" w:cs="EUAlbertina"/>
                <w:sz w:val="20"/>
                <w:lang w:eastAsia="sk-SK"/>
              </w:rPr>
            </w:pPr>
          </w:p>
          <w:p w:rsidR="00C751EE" w:rsidRPr="00315943"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FD26C3" w:rsidP="00C751EE">
            <w:pPr>
              <w:pStyle w:val="BodyText21"/>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spacing w:after="120"/>
              <w:jc w:val="both"/>
              <w:rPr>
                <w:color w:val="00B0F0"/>
                <w:sz w:val="20"/>
                <w:highlight w:val="yellow"/>
              </w:rPr>
            </w:pPr>
          </w:p>
        </w:tc>
        <w:tc>
          <w:tcPr>
            <w:tcW w:w="709"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p w:rsidR="00C751EE"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1119"/>
        </w:trPr>
        <w:tc>
          <w:tcPr>
            <w:tcW w:w="637" w:type="dxa"/>
            <w:tcBorders>
              <w:top w:val="single" w:sz="4" w:space="0" w:color="auto"/>
              <w:bottom w:val="single" w:sz="4" w:space="0" w:color="auto"/>
            </w:tcBorders>
          </w:tcPr>
          <w:p w:rsidR="00C751EE" w:rsidRPr="00EC55B4" w:rsidP="00C751EE">
            <w:pPr>
              <w:jc w:val="both"/>
              <w:rPr>
                <w:rFonts w:ascii="EUAlbertina" w:hAnsi="EUAlbertina" w:cs="EUAlbertina"/>
                <w:sz w:val="20"/>
                <w:lang w:eastAsia="sk-SK"/>
              </w:rPr>
            </w:pPr>
            <w:r w:rsidRPr="00EC55B4">
              <w:rPr>
                <w:rFonts w:ascii="EUAlbertina" w:hAnsi="EUAlbertina" w:cs="EUAlbertina"/>
                <w:sz w:val="20"/>
                <w:lang w:eastAsia="sk-SK"/>
              </w:rPr>
              <w:t>Č7c</w:t>
            </w:r>
          </w:p>
          <w:p w:rsidR="00C751EE" w:rsidRPr="00EC55B4" w:rsidP="00C751EE">
            <w:pPr>
              <w:jc w:val="both"/>
              <w:rPr>
                <w:rFonts w:ascii="EUAlbertina" w:hAnsi="EUAlbertina" w:cs="EUAlbertina"/>
                <w:sz w:val="20"/>
                <w:lang w:eastAsia="sk-SK"/>
              </w:rPr>
            </w:pPr>
            <w:r w:rsidRPr="00EC55B4">
              <w:rPr>
                <w:rFonts w:ascii="EUAlbertina" w:hAnsi="EUAlbertina" w:cs="EUAlbertina"/>
                <w:sz w:val="20"/>
                <w:lang w:eastAsia="sk-SK"/>
              </w:rPr>
              <w:t>O3</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3. Členské štáty prijmú opatrenia, ktoré zabezpečia, aby hospodárske subjekty predkladali spoľahlivé informácie a na požiadanie členského štátu sprístupnili údaje, ktoré použili na vypracovanie týchto informácií. Členské štáty od hospodárskych subjektov vyžadujú, aby zabezpečili primeraný štandard nezávislého auditu predložených informácií a aby poskytli dôkaz o tom, že táto požiadavka bola splnená. Auditom sa overuje, či sú systémy využívané hospodárskymi subjektmi presné, spoľahlivé a chránené voči podvodom. Prostredníctvom auditu sa hodnotí frekvencia a metodika odberu vzoriek a spoľahlivosť údajov.</w:t>
            </w:r>
          </w:p>
          <w:p w:rsidR="00C751EE" w:rsidRPr="004D1DCA" w:rsidP="00C751EE">
            <w:pPr>
              <w:autoSpaceDE w:val="0"/>
              <w:autoSpaceDN w:val="0"/>
              <w:adjustRightInd w:val="0"/>
              <w:jc w:val="both"/>
              <w:rPr>
                <w:sz w:val="20"/>
                <w:lang w:eastAsia="sk-SK"/>
              </w:rPr>
            </w:pPr>
            <w:r w:rsidRPr="004D1DCA">
              <w:rPr>
                <w:sz w:val="20"/>
                <w:lang w:eastAsia="sk-SK"/>
              </w:rPr>
              <w:t>Informácie uvedené v prvom pododseku sa týkajú najmä splnenia kritérií trvalej udržateľnosti uvedených v článku 7b ods. 2 až 5, vhodných a príslušných informácií o opatreniach prijatých na ochranu pôdy, vody a ovzdušia, obnovu znehodnotenej pôdy, zabránenie nadmernej spotrebe vody v oblastiach s nedostatkom vody, ako aj vhodných a príslušných informácií o opatreniach prijatých s cieľom zohľadniť prvky uvedené v článku 7b ods. 7 druhom pododseku.</w:t>
            </w: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181B77" w:rsidRPr="004D1DCA" w:rsidP="00C751EE">
            <w:pPr>
              <w:autoSpaceDE w:val="0"/>
              <w:autoSpaceDN w:val="0"/>
              <w:adjustRightInd w:val="0"/>
              <w:jc w:val="both"/>
              <w:rPr>
                <w:sz w:val="20"/>
              </w:rPr>
            </w:pPr>
          </w:p>
          <w:p w:rsidR="000879BE" w:rsidRPr="004D1DCA" w:rsidP="00C751EE">
            <w:pPr>
              <w:autoSpaceDE w:val="0"/>
              <w:autoSpaceDN w:val="0"/>
              <w:adjustRightInd w:val="0"/>
              <w:jc w:val="both"/>
              <w:rPr>
                <w:sz w:val="20"/>
              </w:rPr>
            </w:pPr>
            <w:r w:rsidRPr="004D1DCA">
              <w:rPr>
                <w:sz w:val="20"/>
              </w:rPr>
              <w:t>Komisia prijíma vykonávacie akty v súlade s postupom preskúmania uvedeným v článku 11 ods. 3 s cieľom zostaviť zoznam primeraných a relevantných informá</w:t>
            </w:r>
            <w:r w:rsidRPr="004D1DCA">
              <w:rPr>
                <w:sz w:val="20"/>
              </w:rPr>
              <w:t>cií uvedených v prvých dvoch podod</w:t>
            </w:r>
            <w:r w:rsidRPr="004D1DCA" w:rsidR="00C9241F">
              <w:rPr>
                <w:sz w:val="20"/>
              </w:rPr>
              <w:t xml:space="preserve"> </w:t>
            </w:r>
            <w:r w:rsidRPr="004D1DCA">
              <w:rPr>
                <w:sz w:val="20"/>
              </w:rPr>
              <w:t>sekoch tohto odseku. Komisia predovšetkým zabezpečuje, aby poskytovanie uvedených informácií nepredstavovalo nadmerné administratívne zaťaženie pre subjekty vo všeobecnosti, a najmä nie pre drobných poľnohospodárov, organizácie výrobcov a družstvá.</w:t>
            </w:r>
          </w:p>
          <w:p w:rsidR="00C751EE" w:rsidRPr="004D1DCA" w:rsidP="00C751EE">
            <w:pPr>
              <w:autoSpaceDE w:val="0"/>
              <w:autoSpaceDN w:val="0"/>
              <w:adjustRightInd w:val="0"/>
              <w:jc w:val="both"/>
              <w:rPr>
                <w:sz w:val="20"/>
                <w:lang w:eastAsia="sk-SK"/>
              </w:rPr>
            </w:pPr>
            <w:r w:rsidRPr="004D1DCA">
              <w:rPr>
                <w:sz w:val="20"/>
                <w:lang w:eastAsia="sk-SK"/>
              </w:rPr>
              <w:t>Povinnosti ustanovené v tomto odseku sa uplatňujú bez ohľadu na to, či sú biopalivá vyrobené v Spoločenstve alebo dovezené.</w:t>
            </w:r>
          </w:p>
          <w:p w:rsidR="00C751EE" w:rsidRPr="004D1DCA" w:rsidP="00C751EE">
            <w:pPr>
              <w:autoSpaceDE w:val="0"/>
              <w:autoSpaceDN w:val="0"/>
              <w:adjustRightInd w:val="0"/>
              <w:jc w:val="both"/>
              <w:rPr>
                <w:sz w:val="20"/>
                <w:lang w:eastAsia="sk-SK"/>
              </w:rPr>
            </w:pPr>
            <w:r w:rsidRPr="004D1DCA">
              <w:rPr>
                <w:sz w:val="20"/>
                <w:lang w:eastAsia="sk-SK"/>
              </w:rPr>
              <w:t>Členské štáty predložia Komisii v súhrnnej forme informácie uvedené v prvom pododseku. Komisia tieto informácie zverejní na platforme transparentnosti uvedenej v článku 24 smernice 2009/28/ES v skrátenej forme, pričom zachová dôvernosť komerčne citlivých informácií.</w:t>
            </w:r>
          </w:p>
        </w:tc>
        <w:tc>
          <w:tcPr>
            <w:tcW w:w="567" w:type="dxa"/>
            <w:tcBorders>
              <w:top w:val="single" w:sz="4" w:space="0" w:color="auto"/>
              <w:bottom w:val="single" w:sz="4" w:space="0" w:color="auto"/>
            </w:tcBorders>
          </w:tcPr>
          <w:p w:rsidR="00C751EE" w:rsidRPr="00EC55B4" w:rsidP="00C751EE">
            <w:pPr>
              <w:jc w:val="center"/>
              <w:rPr>
                <w:rFonts w:ascii="EUAlbertina" w:hAnsi="EUAlbertina" w:cs="EUAlbertina"/>
                <w:sz w:val="20"/>
                <w:lang w:eastAsia="sk-SK"/>
              </w:rPr>
            </w:pPr>
            <w:r w:rsidRPr="00EC55B4">
              <w:rPr>
                <w:rFonts w:ascii="EUAlbertina" w:hAnsi="EUAlbertina" w:cs="EUAlbertina"/>
                <w:sz w:val="20"/>
                <w:lang w:eastAsia="sk-SK"/>
              </w:rPr>
              <w:t>N</w:t>
            </w: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P="00C751EE">
            <w:pPr>
              <w:jc w:val="center"/>
              <w:rPr>
                <w:rFonts w:ascii="EUAlbertina" w:hAnsi="EUAlbertina" w:cs="EUAlbertina"/>
                <w:sz w:val="20"/>
                <w:lang w:eastAsia="sk-SK"/>
              </w:rPr>
            </w:pPr>
          </w:p>
          <w:p w:rsidR="00181B77"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r w:rsidRPr="00EC55B4">
              <w:rPr>
                <w:rFonts w:ascii="EUAlbertina" w:hAnsi="EUAlbertina" w:cs="EUAlbertina"/>
                <w:sz w:val="20"/>
                <w:lang w:eastAsia="sk-SK"/>
              </w:rPr>
              <w:t>n.a.</w:t>
            </w: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p w:rsidR="00C751EE" w:rsidRPr="00EC55B4" w:rsidP="00C751EE">
            <w:pPr>
              <w:jc w:val="center"/>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EC55B4" w:rsidP="00C751EE">
            <w:pPr>
              <w:jc w:val="center"/>
              <w:rPr>
                <w:rFonts w:ascii="EUAlbertina" w:hAnsi="EUAlbertina" w:cs="EUAlbertina"/>
                <w:sz w:val="20"/>
                <w:lang w:eastAsia="sk-SK"/>
              </w:rPr>
            </w:pPr>
            <w:r w:rsidRPr="00EC55B4">
              <w:rPr>
                <w:rFonts w:ascii="EUAlbertina" w:hAnsi="EUAlbertina" w:cs="EUAlbertina"/>
                <w:sz w:val="20"/>
                <w:lang w:eastAsia="sk-SK"/>
              </w:rPr>
              <w:t>Z</w:t>
            </w:r>
            <w:r>
              <w:rPr>
                <w:rFonts w:ascii="EUAlbertina" w:hAnsi="EUAlbertina" w:cs="EUAlbertina"/>
                <w:sz w:val="20"/>
                <w:lang w:eastAsia="sk-SK"/>
              </w:rPr>
              <w:t xml:space="preserve"> </w:t>
            </w:r>
            <w:r w:rsidRPr="00EC55B4">
              <w:rPr>
                <w:rFonts w:ascii="EUAlbertina" w:hAnsi="EUAlbertina" w:cs="EUAlbertina"/>
                <w:sz w:val="20"/>
                <w:lang w:eastAsia="sk-SK"/>
              </w:rPr>
              <w:t>309/2009</w:t>
            </w:r>
          </w:p>
        </w:tc>
        <w:tc>
          <w:tcPr>
            <w:tcW w:w="709" w:type="dxa"/>
            <w:tcBorders>
              <w:top w:val="single" w:sz="4" w:space="0" w:color="auto"/>
              <w:bottom w:val="single" w:sz="4" w:space="0" w:color="auto"/>
            </w:tcBorders>
          </w:tcPr>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§14b O1</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§14b O2</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§14b O3</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§14b O4</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P="00C751EE">
            <w:pPr>
              <w:pStyle w:val="EnvelopeReturn"/>
              <w:jc w:val="center"/>
              <w:rPr>
                <w:rFonts w:ascii="Times New Roman" w:hAnsi="Times New Roman" w:cs="Times New Roman"/>
                <w:sz w:val="20"/>
                <w:szCs w:val="20"/>
                <w:lang w:eastAsia="sk-SK"/>
              </w:rPr>
            </w:pPr>
          </w:p>
          <w:p w:rsidR="00B35ED1" w:rsidP="00C751EE">
            <w:pPr>
              <w:pStyle w:val="EnvelopeReturn"/>
              <w:jc w:val="center"/>
              <w:rPr>
                <w:rFonts w:ascii="Times New Roman" w:hAnsi="Times New Roman" w:cs="Times New Roman"/>
                <w:sz w:val="20"/>
                <w:szCs w:val="20"/>
                <w:lang w:eastAsia="sk-SK"/>
              </w:rPr>
            </w:pPr>
          </w:p>
          <w:p w:rsidR="00B35ED1"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 14b O5</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§14c O1</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Pa</w:t>
            </w:r>
          </w:p>
          <w:p w:rsidR="009C2406" w:rsidP="00C751EE">
            <w:pPr>
              <w:pStyle w:val="EnvelopeReturn"/>
              <w:jc w:val="center"/>
              <w:rPr>
                <w:rFonts w:ascii="Times New Roman" w:hAnsi="Times New Roman" w:cs="Times New Roman"/>
                <w:sz w:val="20"/>
                <w:szCs w:val="20"/>
                <w:lang w:eastAsia="sk-SK"/>
              </w:rPr>
            </w:pPr>
            <w:r w:rsidRPr="00EC55B4" w:rsidR="00C751EE">
              <w:rPr>
                <w:rFonts w:ascii="Times New Roman" w:hAnsi="Times New Roman" w:cs="Times New Roman"/>
                <w:sz w:val="20"/>
                <w:szCs w:val="20"/>
                <w:lang w:eastAsia="sk-SK"/>
              </w:rPr>
              <w:t>Pb</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Pc</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Pd</w:t>
            </w:r>
          </w:p>
          <w:p w:rsidR="00C751EE" w:rsidRPr="00EC55B4" w:rsidP="00C751EE">
            <w:pPr>
              <w:pStyle w:val="EnvelopeReturn"/>
              <w:jc w:val="center"/>
              <w:rPr>
                <w:rFonts w:ascii="Times New Roman" w:hAnsi="Times New Roman" w:cs="Times New Roman"/>
                <w:sz w:val="20"/>
                <w:szCs w:val="20"/>
                <w:lang w:eastAsia="sk-SK"/>
              </w:rPr>
            </w:pPr>
          </w:p>
          <w:p w:rsidR="00C751EE"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P="00C751EE">
            <w:pPr>
              <w:pStyle w:val="EnvelopeReturn"/>
              <w:jc w:val="center"/>
              <w:rPr>
                <w:rFonts w:ascii="Times New Roman" w:hAnsi="Times New Roman" w:cs="Times New Roman"/>
                <w:sz w:val="20"/>
                <w:szCs w:val="20"/>
                <w:lang w:eastAsia="sk-SK"/>
              </w:rPr>
            </w:pPr>
          </w:p>
          <w:p w:rsidR="009C2406"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009C2406">
              <w:rPr>
                <w:rFonts w:ascii="Times New Roman" w:hAnsi="Times New Roman" w:cs="Times New Roman"/>
                <w:sz w:val="20"/>
                <w:szCs w:val="20"/>
                <w:lang w:eastAsia="sk-SK"/>
              </w:rPr>
              <w:t>§14c O12</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Pa</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§14d O11</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 19a</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§14c</w:t>
            </w:r>
          </w:p>
          <w:p w:rsidR="00C751EE" w:rsidRPr="00EC55B4" w:rsidP="00C751EE">
            <w:pPr>
              <w:pStyle w:val="EnvelopeReturn"/>
              <w:jc w:val="center"/>
              <w:rPr>
                <w:rFonts w:ascii="Times New Roman" w:hAnsi="Times New Roman" w:cs="Times New Roman"/>
                <w:sz w:val="20"/>
                <w:szCs w:val="20"/>
                <w:lang w:eastAsia="sk-SK"/>
              </w:rPr>
            </w:pPr>
            <w:r w:rsidR="00404D23">
              <w:rPr>
                <w:rFonts w:ascii="Times New Roman" w:hAnsi="Times New Roman" w:cs="Times New Roman"/>
                <w:sz w:val="20"/>
                <w:szCs w:val="20"/>
                <w:lang w:eastAsia="sk-SK"/>
              </w:rPr>
              <w:t>O11</w:t>
            </w:r>
          </w:p>
          <w:p w:rsidR="00404D23" w:rsidP="00C751EE">
            <w:pPr>
              <w:pStyle w:val="EnvelopeReturn"/>
              <w:jc w:val="center"/>
              <w:rPr>
                <w:rFonts w:ascii="Times New Roman" w:hAnsi="Times New Roman" w:cs="Times New Roman"/>
                <w:sz w:val="20"/>
                <w:szCs w:val="20"/>
                <w:lang w:eastAsia="sk-SK"/>
              </w:rPr>
            </w:pPr>
            <w:r w:rsidRPr="00EC55B4" w:rsidR="00C751EE">
              <w:rPr>
                <w:rFonts w:ascii="Times New Roman" w:hAnsi="Times New Roman" w:cs="Times New Roman"/>
                <w:sz w:val="20"/>
                <w:szCs w:val="20"/>
                <w:lang w:eastAsia="sk-SK"/>
              </w:rPr>
              <w:t>Pa</w:t>
            </w:r>
          </w:p>
          <w:p w:rsidR="00C751EE"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Pb</w:t>
            </w:r>
          </w:p>
          <w:p w:rsidR="00404D23" w:rsidP="00C751EE">
            <w:pPr>
              <w:pStyle w:val="EnvelopeReturn"/>
              <w:jc w:val="center"/>
              <w:rPr>
                <w:rFonts w:ascii="Times New Roman" w:hAnsi="Times New Roman" w:cs="Times New Roman"/>
                <w:sz w:val="20"/>
                <w:szCs w:val="20"/>
                <w:lang w:eastAsia="sk-SK"/>
              </w:rPr>
            </w:pPr>
            <w:r>
              <w:rPr>
                <w:rFonts w:ascii="Times New Roman" w:hAnsi="Times New Roman" w:cs="Times New Roman"/>
                <w:sz w:val="20"/>
                <w:szCs w:val="20"/>
                <w:lang w:eastAsia="sk-SK"/>
              </w:rPr>
              <w:t>Pc</w:t>
            </w:r>
          </w:p>
          <w:p w:rsidR="00404D23"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P="00C751EE">
            <w:pPr>
              <w:pStyle w:val="EnvelopeReturn"/>
              <w:jc w:val="center"/>
              <w:rPr>
                <w:rFonts w:ascii="Times New Roman" w:hAnsi="Times New Roman" w:cs="Times New Roman"/>
                <w:sz w:val="20"/>
                <w:szCs w:val="20"/>
                <w:lang w:eastAsia="sk-SK"/>
              </w:rPr>
            </w:pPr>
          </w:p>
          <w:p w:rsidR="00404D23" w:rsidP="00C751EE">
            <w:pPr>
              <w:pStyle w:val="EnvelopeReturn"/>
              <w:jc w:val="center"/>
              <w:rPr>
                <w:rFonts w:ascii="Times New Roman" w:hAnsi="Times New Roman" w:cs="Times New Roman"/>
                <w:sz w:val="20"/>
                <w:szCs w:val="20"/>
                <w:lang w:eastAsia="sk-SK"/>
              </w:rPr>
            </w:pPr>
          </w:p>
          <w:p w:rsidR="00404D23"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§14d O12</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Pa</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Pb</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Pc</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Pd</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Pe</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Pf</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Pg</w:t>
            </w:r>
          </w:p>
          <w:p w:rsidR="00166F35" w:rsidP="00C751EE">
            <w:pPr>
              <w:pStyle w:val="EnvelopeReturn"/>
              <w:jc w:val="center"/>
              <w:rPr>
                <w:rFonts w:ascii="Times New Roman" w:hAnsi="Times New Roman" w:cs="Times New Roman"/>
                <w:sz w:val="20"/>
                <w:szCs w:val="20"/>
                <w:lang w:eastAsia="sk-SK"/>
              </w:rPr>
            </w:pPr>
            <w:r w:rsidRPr="00EC55B4" w:rsidR="00C751EE">
              <w:rPr>
                <w:rFonts w:ascii="Times New Roman" w:hAnsi="Times New Roman" w:cs="Times New Roman"/>
                <w:sz w:val="20"/>
                <w:szCs w:val="20"/>
                <w:lang w:eastAsia="sk-SK"/>
              </w:rPr>
              <w:t>Ph</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Pi</w:t>
            </w:r>
          </w:p>
          <w:p w:rsidR="00C751EE" w:rsidRPr="00EC55B4" w:rsidP="00C751EE">
            <w:pPr>
              <w:pStyle w:val="EnvelopeReturn"/>
              <w:jc w:val="center"/>
              <w:rPr>
                <w:rFonts w:ascii="Times New Roman" w:hAnsi="Times New Roman" w:cs="Times New Roman"/>
                <w:sz w:val="20"/>
                <w:szCs w:val="20"/>
                <w:lang w:eastAsia="sk-SK"/>
              </w:rPr>
            </w:pPr>
            <w:r w:rsidRPr="00EC55B4">
              <w:rPr>
                <w:rFonts w:ascii="Times New Roman" w:hAnsi="Times New Roman" w:cs="Times New Roman"/>
                <w:sz w:val="20"/>
                <w:szCs w:val="20"/>
                <w:lang w:eastAsia="sk-SK"/>
              </w:rPr>
              <w:t>Pj</w:t>
            </w: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EnvelopeReturn"/>
              <w:jc w:val="center"/>
              <w:rPr>
                <w:rFonts w:ascii="Times New Roman" w:hAnsi="Times New Roman" w:cs="Times New Roman"/>
                <w:sz w:val="20"/>
                <w:szCs w:val="20"/>
                <w:lang w:eastAsia="sk-SK"/>
              </w:rPr>
            </w:pPr>
          </w:p>
          <w:p w:rsidR="00C751EE" w:rsidRPr="00EC55B4" w:rsidP="00C751EE">
            <w:pPr>
              <w:pStyle w:val="BodyText21"/>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4B3966" w:rsidP="00C751EE">
            <w:pPr>
              <w:spacing w:after="240"/>
              <w:jc w:val="both"/>
              <w:rPr>
                <w:sz w:val="20"/>
              </w:rPr>
            </w:pPr>
            <w:r w:rsidRPr="004B3966">
              <w:rPr>
                <w:sz w:val="20"/>
              </w:rPr>
              <w:t xml:space="preserve">(1) </w:t>
            </w:r>
            <w:r w:rsidRPr="004B3966" w:rsidR="00B35ED1">
              <w:rPr>
                <w:sz w:val="20"/>
              </w:rPr>
              <w:t>Potvrdenie o pôvode biopaliva alebo biokvapaliny je doklad, že príslušný podiel alebo množstvo biopaliva alebo biokvapaliny bolo vyrobené v súlade s kritériami trvalej udržateľnosti podľa osobitného predpisu</w:t>
            </w:r>
            <w:r w:rsidRPr="004B3966">
              <w:rPr>
                <w:sz w:val="20"/>
              </w:rPr>
              <w:t xml:space="preserve">. </w:t>
            </w:r>
          </w:p>
          <w:p w:rsidR="00C751EE" w:rsidRPr="004B3966" w:rsidP="00C751EE">
            <w:pPr>
              <w:spacing w:after="240"/>
              <w:jc w:val="both"/>
              <w:rPr>
                <w:sz w:val="20"/>
              </w:rPr>
            </w:pPr>
            <w:r w:rsidRPr="004B3966">
              <w:rPr>
                <w:sz w:val="20"/>
              </w:rPr>
              <w:t>(2) Potvrdenie o pôvode biopaliva alebo biokvapaliny vydáva právnická osoba alebo fyzická osoba podľa § 14a ods. 2 uvádzajúca na trh pohonné látky s obsahom biopalív vrátane pohonných látok, ktoré sú 100 % biopalivom a právnická osoba alebo fyzická osoba uvádzajúca na trh biokvapalinu.</w:t>
            </w:r>
          </w:p>
          <w:p w:rsidR="00C751EE" w:rsidRPr="004B3966" w:rsidP="00C751EE">
            <w:pPr>
              <w:jc w:val="both"/>
              <w:rPr>
                <w:sz w:val="20"/>
              </w:rPr>
            </w:pPr>
            <w:r w:rsidRPr="004B3966">
              <w:rPr>
                <w:sz w:val="20"/>
              </w:rPr>
              <w:t xml:space="preserve"> (3) Prílohou potvrdenia o pôvode biopaliva alebo biokvapaliny na účely jeho overenia podľa odseku 4 je vyhlásenie pestovateľa alebo dodávateľa biomasy o splnení podmienok určených na výrobu základnej suroviny pre výrobu biopaliva alebo biokvapaliny.</w:t>
            </w:r>
          </w:p>
          <w:p w:rsidR="00C751EE" w:rsidRPr="004B3966" w:rsidP="00C751EE">
            <w:pPr>
              <w:jc w:val="both"/>
              <w:rPr>
                <w:sz w:val="20"/>
              </w:rPr>
            </w:pPr>
          </w:p>
          <w:p w:rsidR="00C751EE" w:rsidRPr="004B3966" w:rsidP="00C751EE">
            <w:pPr>
              <w:spacing w:after="240"/>
              <w:jc w:val="both"/>
            </w:pPr>
            <w:r w:rsidRPr="004B3966">
              <w:rPr>
                <w:sz w:val="20"/>
              </w:rPr>
              <w:t xml:space="preserve">(4) </w:t>
            </w:r>
            <w:r w:rsidRPr="004B3966" w:rsidR="00B35ED1">
              <w:rPr>
                <w:sz w:val="20"/>
              </w:rPr>
              <w:t>Potvrdenie o pôvode biopaliva alebo biokvapaliny overuje odborne spôsobilá osoba na účely overovania výpočtu emisií skleníkových plynov počas životného cyklu biopalív a biokvapalín (ďalej len „odborne spôsobilá osoba na účely overovania výpočtu“) vedená v registri odborne spôsobilých osôb na účely overovania výpočtu. Po overení sa potvrdenie o pôvode biopaliva alebo biokvapaliny používa bez prílohy podľa odseku 3. Prílohu podľa odseku 3 archivuje právnická osoba alebo fyzická osoba, ktorá je výrobcom biopaliva alebo biokvapaliny. Na účely tohto zákona sa uznávajú potvrdenia o pôvode biopaliva alebo biokvapaliny overené právnickými osobami alebo fyzickými osobami uznanými na tieto účely v členských štátoch alebo dobrovoľné certifikačné systémy uznané niektorým členským štát</w:t>
            </w:r>
            <w:r w:rsidRPr="004B3966" w:rsidR="00B35ED1">
              <w:rPr>
                <w:sz w:val="20"/>
              </w:rPr>
              <w:t>om.</w:t>
            </w:r>
          </w:p>
          <w:p w:rsidR="00C751EE" w:rsidRPr="004B3966" w:rsidP="00C751EE">
            <w:pPr>
              <w:spacing w:after="240"/>
              <w:jc w:val="both"/>
              <w:rPr>
                <w:sz w:val="20"/>
              </w:rPr>
            </w:pPr>
            <w:r w:rsidRPr="004B3966">
              <w:rPr>
                <w:sz w:val="20"/>
              </w:rPr>
              <w:t>(5)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C751EE" w:rsidRPr="004B3966" w:rsidP="00C751EE">
            <w:pPr>
              <w:jc w:val="both"/>
              <w:rPr>
                <w:sz w:val="20"/>
              </w:rPr>
            </w:pPr>
            <w:r w:rsidRPr="004B3966">
              <w:rPr>
                <w:sz w:val="20"/>
              </w:rPr>
              <w:t xml:space="preserve">(1) </w:t>
            </w:r>
            <w:r w:rsidRPr="004B3966" w:rsidR="00B35ED1">
              <w:rPr>
                <w:sz w:val="20"/>
              </w:rPr>
              <w:t>Právnická osoba alebo fyzická osoba, ktorá uvádza pohonné látky s obsahom biopalív alebo biokvapalinu na trh v Slovenskej republike, je povinná</w:t>
            </w:r>
          </w:p>
          <w:p w:rsidR="00C751EE" w:rsidRPr="004B3966" w:rsidP="001B596A">
            <w:pPr>
              <w:numPr>
                <w:ilvl w:val="0"/>
                <w:numId w:val="10"/>
              </w:numPr>
              <w:jc w:val="both"/>
              <w:rPr>
                <w:sz w:val="20"/>
              </w:rPr>
            </w:pPr>
            <w:r w:rsidRPr="004B3966">
              <w:rPr>
                <w:sz w:val="20"/>
              </w:rPr>
              <w:t>vydať potvrdenie o pôvode biopaliva alebo biokvapaliny podľa § 14b,</w:t>
            </w:r>
          </w:p>
          <w:p w:rsidR="00C751EE" w:rsidRPr="004B3966" w:rsidP="001B596A">
            <w:pPr>
              <w:numPr>
                <w:ilvl w:val="0"/>
                <w:numId w:val="10"/>
              </w:numPr>
              <w:jc w:val="both"/>
              <w:rPr>
                <w:sz w:val="20"/>
              </w:rPr>
            </w:pPr>
            <w:r w:rsidRPr="004B3966">
              <w:rPr>
                <w:sz w:val="20"/>
              </w:rPr>
              <w:t xml:space="preserve">zabezpečiť overenie potvrdenia o pôvode biopaliva alebo biokvapaliny odborne spôsobilou osobou na účely overovania výpočtu, </w:t>
            </w:r>
          </w:p>
          <w:p w:rsidR="00C751EE" w:rsidRPr="004B3966" w:rsidP="001B596A">
            <w:pPr>
              <w:numPr>
                <w:ilvl w:val="0"/>
                <w:numId w:val="10"/>
              </w:numPr>
              <w:jc w:val="both"/>
              <w:rPr>
                <w:sz w:val="20"/>
              </w:rPr>
            </w:pPr>
            <w:r w:rsidRPr="004B3966" w:rsidR="009C2406">
              <w:rPr>
                <w:sz w:val="20"/>
              </w:rPr>
              <w:t>zaslať kópiu potvrdenia o pôvode biopaliva alebo biokvapaliny Slovenskému hydrometeorologickému ústavu do 25. dňa nasledujúceho štvrťroka</w:t>
            </w:r>
            <w:r w:rsidRPr="004B3966">
              <w:rPr>
                <w:sz w:val="20"/>
              </w:rPr>
              <w:t xml:space="preserve">, </w:t>
            </w:r>
          </w:p>
          <w:p w:rsidR="00C751EE" w:rsidRPr="004B3966" w:rsidP="001B596A">
            <w:pPr>
              <w:numPr>
                <w:ilvl w:val="0"/>
                <w:numId w:val="10"/>
              </w:numPr>
              <w:jc w:val="both"/>
              <w:rPr>
                <w:sz w:val="20"/>
              </w:rPr>
            </w:pPr>
            <w:r w:rsidRPr="004B3966">
              <w:rPr>
                <w:sz w:val="20"/>
              </w:rPr>
              <w:t>používať systém hmotnostnej bilancie pre biopalivá a biokvapaliny  pri preukazovaní plnenia kritérií trvalej udržateľnosti.</w:t>
            </w:r>
          </w:p>
          <w:p w:rsidR="00C751EE" w:rsidRPr="004B3966" w:rsidP="00C751EE">
            <w:pPr>
              <w:ind w:firstLine="284"/>
              <w:jc w:val="both"/>
              <w:rPr>
                <w:sz w:val="20"/>
              </w:rPr>
            </w:pPr>
          </w:p>
          <w:p w:rsidR="00C751EE" w:rsidRPr="004B3966" w:rsidP="00C751EE">
            <w:pPr>
              <w:jc w:val="both"/>
              <w:rPr>
                <w:sz w:val="20"/>
              </w:rPr>
            </w:pPr>
            <w:r w:rsidRPr="004B3966" w:rsidR="009C2406">
              <w:rPr>
                <w:sz w:val="20"/>
              </w:rPr>
              <w:t>Slovenský hydrometeorologický ústav</w:t>
            </w:r>
          </w:p>
          <w:p w:rsidR="00C751EE" w:rsidRPr="004B3966" w:rsidP="001B596A">
            <w:pPr>
              <w:numPr>
                <w:ilvl w:val="0"/>
                <w:numId w:val="9"/>
              </w:numPr>
              <w:jc w:val="both"/>
              <w:rPr>
                <w:sz w:val="20"/>
              </w:rPr>
            </w:pPr>
            <w:r w:rsidRPr="004B3966" w:rsidR="009C2406">
              <w:rPr>
                <w:sz w:val="20"/>
              </w:rPr>
              <w:t>dohliada nad činnosťou odborne spôsobilých osôb na účely overovania výpočtu,</w:t>
            </w:r>
          </w:p>
          <w:p w:rsidR="00C751EE" w:rsidRPr="004B3966" w:rsidP="00C751EE">
            <w:pPr>
              <w:jc w:val="both"/>
              <w:rPr>
                <w:sz w:val="20"/>
              </w:rPr>
            </w:pPr>
          </w:p>
          <w:p w:rsidR="00C751EE" w:rsidRPr="004B3966" w:rsidP="00C751EE">
            <w:pPr>
              <w:jc w:val="both"/>
              <w:rPr>
                <w:sz w:val="20"/>
              </w:rPr>
            </w:pPr>
          </w:p>
          <w:p w:rsidR="00C751EE" w:rsidRPr="004B3966" w:rsidP="00C751EE">
            <w:pPr>
              <w:jc w:val="both"/>
              <w:rPr>
                <w:sz w:val="20"/>
              </w:rPr>
            </w:pPr>
            <w:r w:rsidRPr="004B3966">
              <w:rPr>
                <w:sz w:val="20"/>
              </w:rPr>
              <w:t xml:space="preserve">(11) </w:t>
            </w:r>
            <w:r w:rsidRPr="004B3966" w:rsidR="009C2406">
              <w:rPr>
                <w:sz w:val="20"/>
              </w:rPr>
              <w:t>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C751EE" w:rsidRPr="004B3966" w:rsidP="00C751EE">
            <w:pPr>
              <w:jc w:val="both"/>
              <w:rPr>
                <w:sz w:val="20"/>
              </w:rPr>
            </w:pPr>
            <w:r w:rsidRPr="004B3966">
              <w:rPr>
                <w:sz w:val="20"/>
              </w:rPr>
              <w:t>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w:t>
            </w:r>
          </w:p>
          <w:p w:rsidR="003E61AF" w:rsidRPr="004B3966" w:rsidP="00C751EE">
            <w:pPr>
              <w:jc w:val="both"/>
              <w:rPr>
                <w:sz w:val="20"/>
              </w:rPr>
            </w:pPr>
          </w:p>
          <w:p w:rsidR="00C751EE" w:rsidRPr="004B3966" w:rsidP="00C751EE">
            <w:pPr>
              <w:jc w:val="both"/>
              <w:rPr>
                <w:sz w:val="20"/>
              </w:rPr>
            </w:pPr>
            <w:r w:rsidRPr="004B3966" w:rsidR="00404D23">
              <w:rPr>
                <w:sz w:val="20"/>
              </w:rPr>
              <w:t>(11) Právnická osoba alebo fyzická osoba, ktorá je zapojená do životného cyklu výroby pohonnej látky, biopaliva alebo biokvapaliny od pestovania alebo vzniku suroviny po jej uvedenie na trh v Slovenskej republike, je povinná svojmu odberateľovi, Slovenskému hydrometeorologickému ústavu, ministerstvu životného prostredia a odborne spôsobilej osobe na účely overovania výpočtu</w:t>
            </w:r>
          </w:p>
          <w:p w:rsidR="00C751EE" w:rsidRPr="004B3966" w:rsidP="001B596A">
            <w:pPr>
              <w:numPr>
                <w:ilvl w:val="0"/>
                <w:numId w:val="11"/>
              </w:numPr>
              <w:tabs>
                <w:tab w:val="num" w:pos="340"/>
                <w:tab w:val="clear" w:pos="520"/>
              </w:tabs>
              <w:ind w:left="340"/>
              <w:jc w:val="both"/>
              <w:rPr>
                <w:sz w:val="20"/>
              </w:rPr>
            </w:pPr>
            <w:r w:rsidRPr="004B3966" w:rsidR="00404D23">
              <w:rPr>
                <w:sz w:val="20"/>
              </w:rPr>
              <w:t>poskytovať presné, úplné a pravdivé informácie o pôvode biomasy alebo suroviny, viesť evidenciu o hmotnostnej bilancii a pohybe biomasy alebo suroviny a tieto informácie a evidenciu uchovávať najmenej päť rokov</w:t>
            </w:r>
            <w:r w:rsidRPr="004B3966">
              <w:rPr>
                <w:sz w:val="20"/>
              </w:rPr>
              <w:t>,</w:t>
            </w:r>
          </w:p>
          <w:p w:rsidR="00C751EE" w:rsidRPr="004B3966" w:rsidP="001B596A">
            <w:pPr>
              <w:numPr>
                <w:ilvl w:val="0"/>
                <w:numId w:val="11"/>
              </w:numPr>
              <w:tabs>
                <w:tab w:val="num" w:pos="340"/>
                <w:tab w:val="clear" w:pos="520"/>
              </w:tabs>
              <w:ind w:left="340"/>
              <w:jc w:val="both"/>
              <w:rPr>
                <w:sz w:val="20"/>
              </w:rPr>
            </w:pPr>
            <w:r w:rsidRPr="004B3966" w:rsidR="00404D23">
              <w:rPr>
                <w:sz w:val="20"/>
              </w:rPr>
              <w:t>na vyžiadanie poskytnúť informácie nevyhnutné na preukázanie plnenia kritérií trvalej udržateľnosti, princípov hmotnostnej bilancie biomasy alebo suroviny a informácie nevyhnutné na výpočet úspor emisií skleníkových plynov viažuci sa na životný cyklus biopaliva alebo biokvapaliny od začiatku životného cyklu do etapy životného cyklu, v ktorom sa právnická osoba alebo fyzická osoba nachádza,</w:t>
            </w:r>
            <w:r w:rsidRPr="004B3966">
              <w:rPr>
                <w:sz w:val="20"/>
              </w:rPr>
              <w:t xml:space="preserve"> </w:t>
            </w:r>
          </w:p>
          <w:p w:rsidR="00404D23" w:rsidRPr="004B3966" w:rsidP="001B596A">
            <w:pPr>
              <w:numPr>
                <w:ilvl w:val="0"/>
                <w:numId w:val="11"/>
              </w:numPr>
              <w:tabs>
                <w:tab w:val="num" w:pos="340"/>
                <w:tab w:val="clear" w:pos="520"/>
              </w:tabs>
              <w:ind w:left="340"/>
              <w:jc w:val="both"/>
              <w:rPr>
                <w:sz w:val="20"/>
              </w:rPr>
            </w:pPr>
            <w:r w:rsidRPr="004B3966">
              <w:rPr>
                <w:sz w:val="20"/>
              </w:rPr>
              <w:t>poskytovať presné, úplné a pravdivé informácie o pôvode surovín na výrobu pohonnej látky a o pôvode pohonnej látky.</w:t>
            </w:r>
          </w:p>
          <w:p w:rsidR="00C751EE" w:rsidRPr="004B3966" w:rsidP="00C751EE">
            <w:pPr>
              <w:jc w:val="both"/>
              <w:rPr>
                <w:sz w:val="20"/>
              </w:rPr>
            </w:pPr>
          </w:p>
          <w:p w:rsidR="00C751EE" w:rsidRPr="004B3966" w:rsidP="00C751EE">
            <w:pPr>
              <w:jc w:val="both"/>
              <w:rPr>
                <w:sz w:val="20"/>
              </w:rPr>
            </w:pPr>
            <w:r w:rsidRPr="004B3966">
              <w:rPr>
                <w:sz w:val="20"/>
              </w:rPr>
              <w:t>(12) Odborne spôsobilá osoba na účely overovania výpočtu je povinná</w:t>
            </w:r>
          </w:p>
          <w:p w:rsidR="00C751EE" w:rsidRPr="004B3966" w:rsidP="001B596A">
            <w:pPr>
              <w:numPr>
                <w:ilvl w:val="0"/>
                <w:numId w:val="12"/>
              </w:numPr>
              <w:tabs>
                <w:tab w:val="num" w:pos="0"/>
                <w:tab w:val="clear" w:pos="720"/>
              </w:tabs>
              <w:ind w:left="360"/>
              <w:jc w:val="both"/>
              <w:rPr>
                <w:sz w:val="20"/>
              </w:rPr>
            </w:pPr>
            <w:r w:rsidRPr="004B3966">
              <w:rPr>
                <w:sz w:val="20"/>
              </w:rPr>
              <w:t>vykonávať činnosť v súlade s osvedčením o odbornej spôsobilosti na účely overovania výpočtu emisií transparentne a nestranne,</w:t>
            </w:r>
          </w:p>
          <w:p w:rsidR="00C751EE" w:rsidRPr="004B3966" w:rsidP="001B596A">
            <w:pPr>
              <w:numPr>
                <w:ilvl w:val="0"/>
                <w:numId w:val="12"/>
              </w:numPr>
              <w:tabs>
                <w:tab w:val="num" w:pos="360"/>
                <w:tab w:val="clear" w:pos="720"/>
              </w:tabs>
              <w:ind w:left="360"/>
              <w:jc w:val="both"/>
              <w:rPr>
                <w:sz w:val="20"/>
              </w:rPr>
            </w:pPr>
            <w:r w:rsidRPr="004B3966" w:rsidR="00166F35">
              <w:rPr>
                <w:sz w:val="20"/>
              </w:rPr>
              <w:t>umožniť kontrolu výkonu svojej činnosti zo strany Slovenského hydrometeorologického ústavu alebo ministerstva životného prostredia,</w:t>
            </w:r>
          </w:p>
          <w:p w:rsidR="00C751EE" w:rsidRPr="004B3966" w:rsidP="001B596A">
            <w:pPr>
              <w:numPr>
                <w:ilvl w:val="0"/>
                <w:numId w:val="12"/>
              </w:numPr>
              <w:tabs>
                <w:tab w:val="num" w:pos="360"/>
                <w:tab w:val="clear" w:pos="720"/>
              </w:tabs>
              <w:ind w:left="360"/>
              <w:jc w:val="both"/>
              <w:rPr>
                <w:sz w:val="20"/>
              </w:rPr>
            </w:pPr>
            <w:r w:rsidRPr="004B3966" w:rsidR="00166F35">
              <w:rPr>
                <w:sz w:val="20"/>
              </w:rPr>
              <w:t>bezodkladne oznámiť zmenu údajov uvedených v žiadosti o vydanie osvedčenia o odbornej spôsobilosti na účely overovania výpočtu emisií</w:t>
            </w:r>
            <w:r w:rsidRPr="004B3966">
              <w:rPr>
                <w:sz w:val="20"/>
              </w:rPr>
              <w:t>,</w:t>
            </w:r>
          </w:p>
          <w:p w:rsidR="00C751EE" w:rsidRPr="004B3966" w:rsidP="001B596A">
            <w:pPr>
              <w:numPr>
                <w:ilvl w:val="0"/>
                <w:numId w:val="12"/>
              </w:numPr>
              <w:tabs>
                <w:tab w:val="num" w:pos="360"/>
                <w:tab w:val="clear" w:pos="720"/>
              </w:tabs>
              <w:ind w:left="360"/>
              <w:jc w:val="both"/>
              <w:rPr>
                <w:sz w:val="20"/>
              </w:rPr>
            </w:pPr>
            <w:r w:rsidRPr="004B3966" w:rsidR="00166F35">
              <w:rPr>
                <w:sz w:val="20"/>
              </w:rPr>
              <w:t>najmenej raz ročne skontrolovať plnenie kritérií trvalej udržateľnosti a hmotnostnej bilancie u právnických osôb a fyzických osôb podľa§ 14c ods. 11, ktorým overuje potvrdenie o pôvode biopaliva alebo biokvapaliny</w:t>
            </w:r>
            <w:r w:rsidRPr="004B3966">
              <w:rPr>
                <w:sz w:val="20"/>
              </w:rPr>
              <w:t>,</w:t>
            </w:r>
          </w:p>
          <w:p w:rsidR="00C751EE" w:rsidRPr="004B3966" w:rsidP="001B596A">
            <w:pPr>
              <w:numPr>
                <w:ilvl w:val="0"/>
                <w:numId w:val="12"/>
              </w:numPr>
              <w:tabs>
                <w:tab w:val="num" w:pos="360"/>
                <w:tab w:val="clear" w:pos="720"/>
              </w:tabs>
              <w:ind w:left="360"/>
              <w:jc w:val="both"/>
              <w:rPr>
                <w:sz w:val="20"/>
              </w:rPr>
            </w:pPr>
            <w:r w:rsidRPr="004B3966" w:rsidR="00166F35">
              <w:rPr>
                <w:sz w:val="20"/>
              </w:rPr>
              <w:t>pri kontrole dodávateľa biomasy a dodávateľa suroviny na výrobu biopaliva a biokvapaliny podľa § 2 ods. 4 písm. m) (ďalej len „surovina nebiologického pôvodu“) skontrolovať plnenie kritérií trvalej udržateľnosti a hmotnostnej bilancie najmenej u 3 % pestovateľov a dodávateľov biomasy alebo suroviny nebiologického pôvodu, od ktorých biomasu alebo surovinu nebiologického pôvodu odobral,</w:t>
            </w:r>
          </w:p>
          <w:p w:rsidR="00C751EE" w:rsidRPr="004B3966" w:rsidP="001B596A">
            <w:pPr>
              <w:numPr>
                <w:ilvl w:val="0"/>
                <w:numId w:val="12"/>
              </w:numPr>
              <w:tabs>
                <w:tab w:val="num" w:pos="360"/>
                <w:tab w:val="clear" w:pos="720"/>
              </w:tabs>
              <w:ind w:left="360"/>
              <w:jc w:val="both"/>
              <w:rPr>
                <w:sz w:val="20"/>
              </w:rPr>
            </w:pPr>
            <w:r w:rsidRPr="004B3966" w:rsidR="00166F35">
              <w:rPr>
                <w:sz w:val="20"/>
              </w:rPr>
              <w:t>pri kontrole výrobcu alebo dovozcu kvapalných alebo plynných produktov určených na výrobu biopalív alebo biokvapalín a výrobcu alebo dovozcu biopalív alebo biokvapalín, ktorý odoberal biomasu alebo surovinu nebiologického pôvodu priamo od pestovateľov alebo dodávateľov, skontrolovať plnenie kritérií trvalej udržateľnosti a hmotnostnej bilancie najmenej u 3 %pestovateľov alebo dodávateľov biomasy alebo suroviny nebiologického pôvodu, od ktorých biomasu alebo surovinu nebiologického pôvodu priamo odobral</w:t>
            </w:r>
            <w:r w:rsidRPr="004B3966">
              <w:rPr>
                <w:sz w:val="20"/>
              </w:rPr>
              <w:t>,</w:t>
            </w:r>
          </w:p>
          <w:p w:rsidR="00C751EE" w:rsidRPr="004B3966" w:rsidP="001B596A">
            <w:pPr>
              <w:numPr>
                <w:ilvl w:val="0"/>
                <w:numId w:val="12"/>
              </w:numPr>
              <w:tabs>
                <w:tab w:val="clear" w:pos="720"/>
              </w:tabs>
              <w:ind w:left="360"/>
              <w:jc w:val="both"/>
              <w:rPr>
                <w:sz w:val="20"/>
              </w:rPr>
            </w:pPr>
            <w:r w:rsidRPr="004B3966" w:rsidR="00166F35">
              <w:rPr>
                <w:sz w:val="20"/>
              </w:rPr>
              <w:t>vypracovať správy o výsledkoch kontroly podľa písmen d) až f) a tieto uchovávať najmenej päť rokov,</w:t>
            </w:r>
            <w:r w:rsidRPr="004B3966">
              <w:rPr>
                <w:sz w:val="20"/>
              </w:rPr>
              <w:t xml:space="preserve"> </w:t>
            </w:r>
          </w:p>
          <w:p w:rsidR="00C751EE" w:rsidRPr="004B3966" w:rsidP="001B596A">
            <w:pPr>
              <w:numPr>
                <w:ilvl w:val="0"/>
                <w:numId w:val="12"/>
              </w:numPr>
              <w:tabs>
                <w:tab w:val="num" w:pos="360"/>
                <w:tab w:val="clear" w:pos="720"/>
              </w:tabs>
              <w:ind w:left="360"/>
              <w:jc w:val="both"/>
              <w:rPr>
                <w:sz w:val="20"/>
              </w:rPr>
            </w:pPr>
            <w:r w:rsidRPr="004B3966" w:rsidR="00166F35">
              <w:rPr>
                <w:sz w:val="20"/>
              </w:rPr>
              <w:t>bezodkladne oznámiť Slovenskému hydrometeorologickému ústavu zistené závažné nedostatky pri kontrole právnických osôb a fyzických osôb podľa § 14c ods. 11,</w:t>
            </w:r>
          </w:p>
          <w:p w:rsidR="00C751EE" w:rsidRPr="004B3966" w:rsidP="001B596A">
            <w:pPr>
              <w:numPr>
                <w:ilvl w:val="0"/>
                <w:numId w:val="12"/>
              </w:numPr>
              <w:tabs>
                <w:tab w:val="num" w:pos="360"/>
                <w:tab w:val="clear" w:pos="720"/>
              </w:tabs>
              <w:ind w:left="360"/>
              <w:jc w:val="both"/>
              <w:rPr>
                <w:sz w:val="20"/>
              </w:rPr>
            </w:pPr>
            <w:r w:rsidRPr="004B3966" w:rsidR="00166F35">
              <w:rPr>
                <w:sz w:val="20"/>
              </w:rPr>
              <w:t>zasielať Slovenskému hydrometeorologickému ústavu súhrnnú správu o vykonaných kontrolách alebo oznámenie o nevykonaní žiadnej kontroly v kalendárnom roku do 15. marca nasledujúceho kalendárneho roka</w:t>
            </w:r>
            <w:r w:rsidRPr="004B3966">
              <w:rPr>
                <w:sz w:val="20"/>
              </w:rPr>
              <w:t>,</w:t>
            </w:r>
          </w:p>
          <w:p w:rsidR="00C751EE" w:rsidRPr="004B3966" w:rsidP="001B596A">
            <w:pPr>
              <w:numPr>
                <w:ilvl w:val="0"/>
                <w:numId w:val="12"/>
              </w:numPr>
              <w:tabs>
                <w:tab w:val="num" w:pos="0"/>
                <w:tab w:val="clear" w:pos="720"/>
              </w:tabs>
              <w:ind w:left="360"/>
              <w:jc w:val="both"/>
              <w:rPr>
                <w:sz w:val="20"/>
              </w:rPr>
            </w:pPr>
            <w:r w:rsidRPr="004B3966" w:rsidR="00166F35">
              <w:rPr>
                <w:sz w:val="20"/>
              </w:rPr>
              <w:t>preukazovať odbornú spôsobilosť preskúšaním odbornej spôsobilosti na účely overovania výpočtu emisií na základe výzvy ministerstva životného prostredia</w:t>
            </w:r>
            <w:r w:rsidRPr="004B3966">
              <w:rPr>
                <w:sz w:val="20"/>
              </w:rPr>
              <w:t>.</w:t>
            </w:r>
          </w:p>
          <w:p w:rsidR="00C751EE" w:rsidRPr="004B3966" w:rsidP="00C751EE">
            <w:pPr>
              <w:spacing w:after="120"/>
              <w:jc w:val="both"/>
              <w:rPr>
                <w:sz w:val="20"/>
              </w:rPr>
            </w:pPr>
          </w:p>
        </w:tc>
        <w:tc>
          <w:tcPr>
            <w:tcW w:w="709" w:type="dxa"/>
            <w:tcBorders>
              <w:top w:val="single" w:sz="4" w:space="0" w:color="auto"/>
              <w:bottom w:val="single" w:sz="4" w:space="0" w:color="auto"/>
            </w:tcBorders>
          </w:tcPr>
          <w:p w:rsidR="00C751EE" w:rsidRPr="00EC55B4" w:rsidP="00C751EE">
            <w:pPr>
              <w:jc w:val="center"/>
              <w:rPr>
                <w:rFonts w:ascii="EUAlbertina" w:hAnsi="EUAlbertina" w:cs="EUAlbertina"/>
                <w:sz w:val="20"/>
                <w:lang w:eastAsia="sk-SK"/>
              </w:rPr>
            </w:pPr>
            <w:r w:rsidRPr="00EC55B4">
              <w:rPr>
                <w:rFonts w:ascii="EUAlbertina" w:hAnsi="EUAlbertina" w:cs="EUAlbertina"/>
                <w:sz w:val="20"/>
                <w:lang w:eastAsia="sk-SK"/>
              </w:rPr>
              <w:t>Ú</w:t>
            </w: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1338"/>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O4</w:t>
            </w:r>
          </w:p>
        </w:tc>
        <w:tc>
          <w:tcPr>
            <w:tcW w:w="5245" w:type="dxa"/>
            <w:tcBorders>
              <w:top w:val="single" w:sz="4" w:space="0" w:color="auto"/>
              <w:bottom w:val="single" w:sz="4" w:space="0" w:color="auto"/>
            </w:tcBorders>
          </w:tcPr>
          <w:p w:rsidR="00C751EE" w:rsidRPr="002376A1" w:rsidP="00C751EE">
            <w:pPr>
              <w:autoSpaceDE w:val="0"/>
              <w:autoSpaceDN w:val="0"/>
              <w:adjustRightInd w:val="0"/>
              <w:jc w:val="both"/>
              <w:rPr>
                <w:sz w:val="20"/>
                <w:lang w:eastAsia="sk-SK"/>
              </w:rPr>
            </w:pPr>
            <w:r w:rsidRPr="002376A1">
              <w:rPr>
                <w:sz w:val="20"/>
                <w:lang w:eastAsia="sk-SK"/>
              </w:rPr>
              <w:t>4. Spoločenstvo sa usiluje uzatvárať s tretími krajinami dvojstranné alebo mnohostranné dohody, ktoré obsahujú ustanovenia o kritériách trvalej udržateľnosti zodpovedajúcich kritériám stanoveným v tejto smernici. Ak Spoločenstvo uzavrelo dohody obsahujúce ustanovenia o otázkach, na ktoré sa vzťahujú kritériá trvalej udržateľnosti stanovené v článku 7b ods. 2 až 5, Komisia môže rozhodnúť, že v týchto dohodách sa musí preukázať, že biopalivá vyrobené zo surovín vypestovaných v týchto krajinách spĺňajú príslušné kritériá trvalej udržateľnosti. Pri uzatváraní týchto dohôd sa venuje osobitná pozornosť opatreniam prijatým na ochranu oblastí, ktoré zabezpečujú základné služby ekosystému v kritických situáciách (ako je ochrana povodia a regulácia erózie), a na ochranu pôdy, vody a ovzdušia, ako aj nepriamym zmenám vo využívaní pôdy, obnove znehodnotenej pôdy, zabraňovaniu nadmernej spotrebe vody v oblastiach s nedostatkom vody a prvkom uvedeným v článku 7b ods. 7 druhom pododseku.</w:t>
            </w:r>
          </w:p>
          <w:p w:rsidR="00C751EE" w:rsidRPr="002376A1" w:rsidP="00C751EE">
            <w:pPr>
              <w:autoSpaceDE w:val="0"/>
              <w:autoSpaceDN w:val="0"/>
              <w:adjustRightInd w:val="0"/>
              <w:jc w:val="both"/>
              <w:rPr>
                <w:sz w:val="20"/>
                <w:lang w:eastAsia="sk-SK"/>
              </w:rPr>
            </w:pPr>
            <w:r w:rsidRPr="002376A1">
              <w:rPr>
                <w:sz w:val="20"/>
                <w:lang w:eastAsia="sk-SK"/>
              </w:rPr>
              <w:t>Komisia môže rozhodnúť, že dobrovoľné vnútroštátne alebo medzinárodné systémy ustanovujúce normy pre výrobu produktov z biomasy musia obsahovať presné údaje na účely článku 7b ods. 2 alebo že sa v nich musí preukázať, že dodávky biopalív spĺňajú kritériá trvalej udržateľnosti uvedené v článku 7b ods. 3 až 5. Komisia môže rozhodnúť, že tieto systémy musia obsahovať presné údaje na účely informácií o opatreniach prijatých na ochranu oblastí, ktoré zabezpečujú základné služby ekosystému v kritických situáciách (ako je ochrana povodia a regulácia erózie), a na ochranu pôdy, vody a ovzdušia, ako aj obnovu znehodnotenej pôdy, zabraňovaniu nadmernej spotrebe vody v oblastiach s nedostatkom vody a prvkom uvedeným v článku 7b ods. 7 druhom pododseku. Komisia môže na účely článku 7b ods. 3 písm. b) bodu ii) uznať aj oblasti určené na ochranu vzácnych alebo ohrozených ekosystémov alebo druhov uznaných medzinárodnými dohodami alebo zaradené do zoznamov vypracovaných medzivládnymi organizáciami alebo Medzinárodným zväzom ochrany prírody.</w:t>
            </w:r>
          </w:p>
          <w:p w:rsidR="00C751EE" w:rsidRPr="002376A1" w:rsidP="00C751EE">
            <w:pPr>
              <w:autoSpaceDE w:val="0"/>
              <w:autoSpaceDN w:val="0"/>
              <w:adjustRightInd w:val="0"/>
              <w:jc w:val="both"/>
              <w:rPr>
                <w:sz w:val="20"/>
                <w:lang w:eastAsia="sk-SK"/>
              </w:rPr>
            </w:pPr>
            <w:r w:rsidRPr="002376A1">
              <w:rPr>
                <w:sz w:val="20"/>
                <w:lang w:eastAsia="sk-SK"/>
              </w:rPr>
              <w:t>Komisia môže rozhodnúť, že voliteľné vnútroštátne alebo medzinárodné systémy merania úspor skleníkových plynov musia obsahovať presné údaje na účely článku 7b ods. 2.</w:t>
            </w:r>
          </w:p>
          <w:p w:rsidR="00C751EE" w:rsidRPr="002376A1" w:rsidP="00C751EE">
            <w:pPr>
              <w:autoSpaceDE w:val="0"/>
              <w:autoSpaceDN w:val="0"/>
              <w:adjustRightInd w:val="0"/>
              <w:jc w:val="both"/>
              <w:rPr>
                <w:sz w:val="20"/>
                <w:lang w:eastAsia="sk-SK"/>
              </w:rPr>
            </w:pPr>
            <w:r w:rsidRPr="002376A1">
              <w:rPr>
                <w:sz w:val="20"/>
                <w:lang w:eastAsia="sk-SK"/>
              </w:rPr>
              <w:t>Komisia môže rozhodnúť, že pôda, ktorá spadá do vnútroštátneho alebo regionálneho programu na obnovu veľmi znehodnotenej alebo silne kontaminovanej pôdy, spĺňa kritériá ustanovené v prílohe IV časti C bode 9.</w:t>
            </w:r>
          </w:p>
        </w:tc>
        <w:tc>
          <w:tcPr>
            <w:tcW w:w="56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N</w:t>
            </w:r>
          </w:p>
          <w:p w:rsidR="00C751EE" w:rsidRPr="002376A1" w:rsidP="00C751EE">
            <w:pPr>
              <w:jc w:val="center"/>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Z</w:t>
            </w:r>
            <w:r>
              <w:rPr>
                <w:rFonts w:ascii="EUAlbertina" w:hAnsi="EUAlbertina" w:cs="EUAlbertina"/>
                <w:sz w:val="20"/>
                <w:lang w:eastAsia="sk-SK"/>
              </w:rPr>
              <w:t xml:space="preserve"> </w:t>
            </w:r>
            <w:r w:rsidRPr="002376A1">
              <w:rPr>
                <w:rFonts w:ascii="EUAlbertina" w:hAnsi="EUAlbertina" w:cs="EUAlbertina"/>
                <w:sz w:val="20"/>
                <w:lang w:eastAsia="sk-SK"/>
              </w:rPr>
              <w:t>309/2009</w:t>
            </w:r>
          </w:p>
          <w:p w:rsidR="00C751EE" w:rsidRPr="002376A1"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9D6BAC" w:rsidRPr="002376A1" w:rsidP="00C751EE">
            <w:pPr>
              <w:jc w:val="center"/>
              <w:rPr>
                <w:rFonts w:ascii="EUAlbertina" w:hAnsi="EUAlbertina" w:cs="EUAlbertina"/>
                <w:sz w:val="20"/>
                <w:lang w:eastAsia="sk-SK"/>
              </w:rPr>
            </w:pPr>
          </w:p>
          <w:p w:rsidR="00C751EE" w:rsidRPr="002376A1" w:rsidP="00C751EE">
            <w:pPr>
              <w:jc w:val="center"/>
              <w:rPr>
                <w:rFonts w:ascii="EUAlbertina" w:hAnsi="EUAlbertina" w:cs="EUAlbertina"/>
                <w:sz w:val="20"/>
                <w:lang w:eastAsia="sk-SK"/>
              </w:rPr>
            </w:pPr>
          </w:p>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V</w:t>
            </w:r>
            <w:r>
              <w:rPr>
                <w:rFonts w:ascii="EUAlbertina" w:hAnsi="EUAlbertina" w:cs="EUAlbertina"/>
                <w:sz w:val="20"/>
                <w:lang w:eastAsia="sk-SK"/>
              </w:rPr>
              <w:t xml:space="preserve"> </w:t>
            </w:r>
            <w:r w:rsidRPr="002376A1">
              <w:rPr>
                <w:rFonts w:ascii="EUAlbertina" w:hAnsi="EUAlbertina" w:cs="EUAlbertina"/>
                <w:sz w:val="20"/>
                <w:lang w:eastAsia="sk-SK"/>
              </w:rPr>
              <w:t>271/2011</w:t>
            </w:r>
          </w:p>
        </w:tc>
        <w:tc>
          <w:tcPr>
            <w:tcW w:w="709" w:type="dxa"/>
            <w:tcBorders>
              <w:top w:val="single" w:sz="4" w:space="0" w:color="auto"/>
              <w:bottom w:val="single" w:sz="4" w:space="0" w:color="auto"/>
            </w:tcBorders>
          </w:tcPr>
          <w:p w:rsidR="00C751EE" w:rsidRPr="002376A1" w:rsidP="00C751EE">
            <w:pPr>
              <w:pStyle w:val="EnvelopeReturn"/>
              <w:jc w:val="center"/>
              <w:rPr>
                <w:rFonts w:ascii="Times New Roman" w:hAnsi="Times New Roman" w:cs="Times New Roman"/>
                <w:sz w:val="20"/>
                <w:szCs w:val="20"/>
                <w:lang w:eastAsia="sk-SK"/>
              </w:rPr>
            </w:pPr>
            <w:r w:rsidRPr="002376A1">
              <w:rPr>
                <w:rFonts w:ascii="Times New Roman" w:hAnsi="Times New Roman" w:cs="Times New Roman"/>
                <w:sz w:val="20"/>
                <w:szCs w:val="20"/>
                <w:lang w:eastAsia="sk-SK"/>
              </w:rPr>
              <w:t>§ 14c</w:t>
            </w:r>
          </w:p>
          <w:p w:rsidR="00C751EE" w:rsidRPr="002376A1" w:rsidP="00C751EE">
            <w:pPr>
              <w:pStyle w:val="EnvelopeReturn"/>
              <w:jc w:val="center"/>
              <w:rPr>
                <w:rFonts w:ascii="Times New Roman" w:hAnsi="Times New Roman" w:cs="Times New Roman"/>
                <w:sz w:val="20"/>
                <w:szCs w:val="20"/>
                <w:lang w:eastAsia="sk-SK"/>
              </w:rPr>
            </w:pPr>
            <w:r w:rsidR="00CA1A99">
              <w:rPr>
                <w:rFonts w:ascii="Times New Roman" w:hAnsi="Times New Roman" w:cs="Times New Roman"/>
                <w:sz w:val="20"/>
                <w:szCs w:val="20"/>
                <w:lang w:eastAsia="sk-SK"/>
              </w:rPr>
              <w:t>O13</w:t>
            </w:r>
          </w:p>
          <w:p w:rsidR="00C751EE" w:rsidRPr="002376A1" w:rsidP="00C751EE">
            <w:pPr>
              <w:pStyle w:val="EnvelopeReturn"/>
              <w:jc w:val="center"/>
              <w:rPr>
                <w:rFonts w:ascii="Times New Roman" w:hAnsi="Times New Roman" w:cs="Times New Roman"/>
                <w:sz w:val="20"/>
                <w:szCs w:val="20"/>
                <w:lang w:eastAsia="sk-SK"/>
              </w:rPr>
            </w:pPr>
          </w:p>
          <w:p w:rsidR="00C751EE" w:rsidRPr="002376A1" w:rsidP="00C751EE">
            <w:pPr>
              <w:pStyle w:val="EnvelopeReturn"/>
              <w:jc w:val="center"/>
              <w:rPr>
                <w:rFonts w:ascii="Times New Roman" w:hAnsi="Times New Roman" w:cs="Times New Roman"/>
                <w:sz w:val="20"/>
                <w:szCs w:val="20"/>
                <w:lang w:eastAsia="sk-SK"/>
              </w:rPr>
            </w:pPr>
          </w:p>
          <w:p w:rsidR="00C751EE" w:rsidRPr="002376A1" w:rsidP="00C751EE">
            <w:pPr>
              <w:pStyle w:val="EnvelopeReturn"/>
              <w:jc w:val="center"/>
              <w:rPr>
                <w:rFonts w:ascii="Times New Roman" w:hAnsi="Times New Roman" w:cs="Times New Roman"/>
                <w:sz w:val="20"/>
                <w:szCs w:val="20"/>
                <w:lang w:eastAsia="sk-SK"/>
              </w:rPr>
            </w:pPr>
          </w:p>
          <w:p w:rsidR="00C751EE" w:rsidRPr="002376A1" w:rsidP="00C751EE">
            <w:pPr>
              <w:pStyle w:val="EnvelopeReturn"/>
              <w:jc w:val="center"/>
              <w:rPr>
                <w:rFonts w:ascii="Times New Roman" w:hAnsi="Times New Roman" w:cs="Times New Roman"/>
                <w:sz w:val="20"/>
                <w:szCs w:val="20"/>
                <w:lang w:eastAsia="sk-SK"/>
              </w:rPr>
            </w:pPr>
            <w:r w:rsidRPr="002376A1">
              <w:rPr>
                <w:rFonts w:ascii="Times New Roman" w:hAnsi="Times New Roman" w:cs="Times New Roman"/>
                <w:sz w:val="20"/>
                <w:szCs w:val="20"/>
                <w:lang w:eastAsia="sk-SK"/>
              </w:rPr>
              <w:t>§4 O10</w:t>
            </w:r>
          </w:p>
          <w:p w:rsidR="00C751EE" w:rsidRPr="002376A1" w:rsidP="00C751EE">
            <w:pPr>
              <w:pStyle w:val="EnvelopeReturn"/>
              <w:jc w:val="center"/>
              <w:rPr>
                <w:rFonts w:ascii="Times New Roman" w:hAnsi="Times New Roman" w:cs="Times New Roman"/>
                <w:sz w:val="20"/>
                <w:szCs w:val="20"/>
                <w:lang w:eastAsia="sk-SK"/>
              </w:rPr>
            </w:pPr>
          </w:p>
          <w:p w:rsidR="00C751EE" w:rsidP="00C751EE">
            <w:pPr>
              <w:pStyle w:val="EnvelopeReturn"/>
              <w:jc w:val="center"/>
              <w:rPr>
                <w:rFonts w:ascii="Times New Roman" w:hAnsi="Times New Roman" w:cs="Times New Roman"/>
                <w:sz w:val="20"/>
                <w:szCs w:val="20"/>
                <w:lang w:eastAsia="sk-SK"/>
              </w:rPr>
            </w:pPr>
          </w:p>
          <w:p w:rsidR="00CA1A99" w:rsidP="00C751EE">
            <w:pPr>
              <w:pStyle w:val="EnvelopeReturn"/>
              <w:jc w:val="center"/>
              <w:rPr>
                <w:rFonts w:ascii="Times New Roman" w:hAnsi="Times New Roman" w:cs="Times New Roman"/>
                <w:sz w:val="20"/>
                <w:szCs w:val="20"/>
                <w:lang w:eastAsia="sk-SK"/>
              </w:rPr>
            </w:pPr>
          </w:p>
          <w:p w:rsidR="00CA1A99" w:rsidP="00C751EE">
            <w:pPr>
              <w:pStyle w:val="EnvelopeReturn"/>
              <w:jc w:val="center"/>
              <w:rPr>
                <w:rFonts w:ascii="Times New Roman" w:hAnsi="Times New Roman" w:cs="Times New Roman"/>
                <w:sz w:val="20"/>
                <w:szCs w:val="20"/>
                <w:lang w:eastAsia="sk-SK"/>
              </w:rPr>
            </w:pPr>
          </w:p>
          <w:p w:rsidR="00CA1A99" w:rsidP="00C751EE">
            <w:pPr>
              <w:pStyle w:val="EnvelopeReturn"/>
              <w:jc w:val="center"/>
              <w:rPr>
                <w:rFonts w:ascii="Times New Roman" w:hAnsi="Times New Roman" w:cs="Times New Roman"/>
                <w:sz w:val="20"/>
                <w:szCs w:val="20"/>
                <w:lang w:eastAsia="sk-SK"/>
              </w:rPr>
            </w:pPr>
          </w:p>
          <w:p w:rsidR="00CA1A99" w:rsidP="00C751EE">
            <w:pPr>
              <w:pStyle w:val="EnvelopeReturn"/>
              <w:jc w:val="center"/>
              <w:rPr>
                <w:rFonts w:ascii="Times New Roman" w:hAnsi="Times New Roman" w:cs="Times New Roman"/>
                <w:sz w:val="20"/>
                <w:szCs w:val="20"/>
                <w:lang w:eastAsia="sk-SK"/>
              </w:rPr>
            </w:pPr>
          </w:p>
          <w:p w:rsidR="00CA1A99" w:rsidRPr="002376A1" w:rsidP="00C751EE">
            <w:pPr>
              <w:pStyle w:val="EnvelopeReturn"/>
              <w:jc w:val="center"/>
              <w:rPr>
                <w:rFonts w:ascii="Times New Roman" w:hAnsi="Times New Roman" w:cs="Times New Roman"/>
                <w:sz w:val="20"/>
                <w:szCs w:val="20"/>
                <w:lang w:eastAsia="sk-SK"/>
              </w:rPr>
            </w:pPr>
          </w:p>
          <w:p w:rsidR="00C751EE" w:rsidRPr="002376A1" w:rsidP="00C751EE">
            <w:pPr>
              <w:pStyle w:val="EnvelopeReturn"/>
              <w:jc w:val="center"/>
              <w:rPr>
                <w:rFonts w:ascii="Times New Roman" w:hAnsi="Times New Roman" w:cs="Times New Roman"/>
                <w:sz w:val="20"/>
                <w:szCs w:val="20"/>
                <w:lang w:eastAsia="sk-SK"/>
              </w:rPr>
            </w:pPr>
            <w:r w:rsidRPr="002376A1">
              <w:rPr>
                <w:rFonts w:ascii="Times New Roman" w:hAnsi="Times New Roman" w:cs="Times New Roman"/>
                <w:sz w:val="20"/>
                <w:szCs w:val="20"/>
                <w:lang w:eastAsia="sk-SK"/>
              </w:rPr>
              <w:t>O11</w:t>
            </w:r>
          </w:p>
          <w:p w:rsidR="00C751EE" w:rsidRPr="002376A1" w:rsidP="00C751EE">
            <w:pPr>
              <w:pStyle w:val="EnvelopeReturn"/>
              <w:jc w:val="center"/>
              <w:rPr>
                <w:rFonts w:ascii="Times New Roman" w:hAnsi="Times New Roman" w:cs="Times New Roman"/>
                <w:sz w:val="20"/>
                <w:szCs w:val="20"/>
                <w:lang w:eastAsia="sk-SK"/>
              </w:rPr>
            </w:pPr>
          </w:p>
          <w:p w:rsidR="00C751EE" w:rsidRPr="002376A1" w:rsidP="00C751EE">
            <w:pPr>
              <w:pStyle w:val="BodyText21"/>
              <w:spacing w:before="0"/>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4B3966" w:rsidP="00C751EE">
            <w:pPr>
              <w:jc w:val="both"/>
              <w:rPr>
                <w:sz w:val="20"/>
              </w:rPr>
            </w:pPr>
            <w:r w:rsidRPr="004B3966" w:rsidR="00CA1A99">
              <w:rPr>
                <w:sz w:val="20"/>
              </w:rPr>
              <w:t>(13</w:t>
            </w:r>
            <w:r w:rsidRPr="004B3966">
              <w:rPr>
                <w:sz w:val="20"/>
              </w:rPr>
              <w:t xml:space="preserve">) </w:t>
            </w:r>
            <w:r w:rsidRPr="004B3966" w:rsidR="00CA1A99">
              <w:rPr>
                <w:sz w:val="20"/>
              </w:rPr>
              <w:t>Splnenie kritérií trvalej udržateľnosti môže byť preukázané dobrovoľným certifikačným systémom, ktorý na tento účel uznala Európska komisia.</w:t>
            </w:r>
          </w:p>
          <w:p w:rsidR="00C751EE" w:rsidRPr="004B3966" w:rsidP="00C751EE">
            <w:pPr>
              <w:spacing w:after="120"/>
              <w:jc w:val="both"/>
              <w:rPr>
                <w:sz w:val="20"/>
              </w:rPr>
            </w:pPr>
          </w:p>
          <w:p w:rsidR="00CA1A99" w:rsidRPr="004B3966" w:rsidP="00C751EE">
            <w:pPr>
              <w:autoSpaceDE w:val="0"/>
              <w:autoSpaceDN w:val="0"/>
              <w:adjustRightInd w:val="0"/>
              <w:jc w:val="both"/>
              <w:rPr>
                <w:sz w:val="20"/>
              </w:rPr>
            </w:pPr>
            <w:r w:rsidRPr="004B3966">
              <w:rPr>
                <w:sz w:val="20"/>
              </w:rPr>
              <w:t>(10) Ak bola niektorá časť životného cyklu biopalív alebo biokvapalín akreditovaná, verifikovaná alebo certifikovaná v niektorom z členských štátov, nepodlieha opätovnej kontrole a preukazovaniu na území Slovenskej republiky odborne spôsobilou osobou okrem kontroly výpočtu alebo započítania emisií skleníkových plynov, ktoré vznikli v ďalších etapách životného cyklu biopaliva alebo biokvapaliny a hmotnostnej bilancie.</w:t>
            </w:r>
          </w:p>
          <w:p w:rsidR="00CA1A99" w:rsidRPr="004B3966" w:rsidP="00C751EE">
            <w:pPr>
              <w:autoSpaceDE w:val="0"/>
              <w:autoSpaceDN w:val="0"/>
              <w:adjustRightInd w:val="0"/>
              <w:jc w:val="both"/>
              <w:rPr>
                <w:sz w:val="20"/>
              </w:rPr>
            </w:pPr>
            <w:r w:rsidRPr="004B3966" w:rsidR="00C751EE">
              <w:rPr>
                <w:sz w:val="20"/>
              </w:rPr>
              <w:t xml:space="preserve">(11) </w:t>
            </w:r>
            <w:r w:rsidRPr="004B3966">
              <w:rPr>
                <w:sz w:val="20"/>
              </w:rPr>
              <w:t>Ministerstvo životného prostredia Slovenskej republiky (ďalej len „ministerstvo“) zverejňuje alternatívne spôsoby preukazovania kritérií trvalej udržateľnosti na svojom webovom sídle. Medzi také spôsoby patria napríklad ministerstvom uznané národné systémy členských štátov, dobrovoľné certifikačné systémy uznané Európskou komisiou a certifikačné postupy na základe dohôd uzatvorených Európskou komisiou v mene členských štátov podľa§ 14c ods. 7 zákona, pričom prihliada na vývoj európskych noriem schvaľovaných v tejto oblasti. Ministerstvo zverejní uznané systémy na svojom webovom sídle.</w:t>
            </w:r>
          </w:p>
          <w:p w:rsidR="00C751EE" w:rsidRPr="004B3966" w:rsidP="00C751EE">
            <w:pPr>
              <w:jc w:val="both"/>
              <w:rPr>
                <w:sz w:val="20"/>
              </w:rPr>
            </w:pPr>
          </w:p>
        </w:tc>
        <w:tc>
          <w:tcPr>
            <w:tcW w:w="709"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Ú</w:t>
            </w: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416"/>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O5</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5. Komisia prijme rozhodnutia podľa odseku 4, len ak predmetná dohoda alebo systém spĺňa primerané kritériá spoľahlivosti, transparentnosti a nezávislej kontroly. Systémy na meranie úspor skleníkových plynov musia byť aj v súlade s metodickými požiadavkami podľa prílohy IV. Zoznamy oblastí s vysokou hodnotou z hľadiska biodiverzity podľa článku 7b ods. 3 písm. b) bodu ii) musia spĺňať primerané kritériá objektívnosti a súladu s medzinárodne uznanými normami a umožňovať vhodné odvolacie postupy.</w:t>
            </w:r>
          </w:p>
          <w:p w:rsidR="006827A2" w:rsidRPr="004D1DCA" w:rsidP="00C751EE">
            <w:pPr>
              <w:autoSpaceDE w:val="0"/>
              <w:autoSpaceDN w:val="0"/>
              <w:adjustRightInd w:val="0"/>
              <w:jc w:val="both"/>
              <w:rPr>
                <w:sz w:val="20"/>
                <w:lang w:eastAsia="sk-SK"/>
              </w:rPr>
            </w:pPr>
          </w:p>
          <w:p w:rsidR="006827A2" w:rsidRPr="004D1DCA" w:rsidP="00C751EE">
            <w:pPr>
              <w:autoSpaceDE w:val="0"/>
              <w:autoSpaceDN w:val="0"/>
              <w:adjustRightInd w:val="0"/>
              <w:jc w:val="both"/>
              <w:rPr>
                <w:sz w:val="20"/>
                <w:lang w:eastAsia="sk-SK"/>
              </w:rPr>
            </w:pPr>
            <w:r w:rsidRPr="004D1DCA">
              <w:rPr>
                <w:sz w:val="20"/>
                <w:lang w:eastAsia="sk-SK"/>
              </w:rPr>
              <w:t>V rámci dobrovoľných schém uvedených v odseku 4 (ďalej len „dobrovoľné schémy“) sa pravidelne, a to aspoň raz za rok, uverejňuje zoznam ich certifikačných orgánov použitých na nezávislý audit, pričom sa pri každom certifikačnom orgáne uvedie, ktorý subjekt alebo vnútroštátny orgán verejnej moci ho uznal a ktorý subjekt alebo vnútroštátny orgán verejnej moci ho monitoruje.</w:t>
            </w:r>
          </w:p>
          <w:p w:rsidR="00C751EE" w:rsidRPr="004D1DCA" w:rsidP="00C751EE">
            <w:pPr>
              <w:autoSpaceDE w:val="0"/>
              <w:autoSpaceDN w:val="0"/>
              <w:adjustRightInd w:val="0"/>
              <w:jc w:val="both"/>
              <w:rPr>
                <w:sz w:val="20"/>
                <w:lang w:eastAsia="sk-SK"/>
              </w:rPr>
            </w:pPr>
          </w:p>
          <w:p w:rsidR="00C751EE" w:rsidRPr="004D1DCA" w:rsidP="00C751EE">
            <w:pPr>
              <w:autoSpaceDE w:val="0"/>
              <w:autoSpaceDN w:val="0"/>
              <w:adjustRightInd w:val="0"/>
              <w:jc w:val="both"/>
              <w:rPr>
                <w:sz w:val="20"/>
                <w:lang w:eastAsia="sk-SK"/>
              </w:rPr>
            </w:pPr>
            <w:r w:rsidRPr="004D1DCA" w:rsidR="006827A2">
              <w:rPr>
                <w:sz w:val="20"/>
                <w:lang w:eastAsia="sk-SK"/>
              </w:rPr>
              <w:t>Najmä v záujme zabránenia podvodom môže Komisia na základe analýzy rizík alebo správ uvedených v druhom pododseku odseku 6 tohto článku spresniť štandardy nezávislého auditu a požadovať, aby všetky dobrovoľné schémy tieto štandardy uplatňovali. Uskutoční sa to prostredníctvom vykonávacích aktov prijatých v súlade s postupom preskúmania uvedeným v článku 11 ods. 3. Takýmito aktmi sa stanoví lehota, v rámci ktorej sa v dobrovoľných schémach musia štandardy uplatniť. Komisia môže zrušiť rozhodnutia, ktorými sa uznávajú dobrovoľné schémy, ak tieto schémy neuplatnia v stanovenej lehote takéto štandardy.</w:t>
            </w:r>
          </w:p>
        </w:tc>
        <w:tc>
          <w:tcPr>
            <w:tcW w:w="56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n.a.</w:t>
            </w:r>
          </w:p>
          <w:p w:rsidR="00C751EE" w:rsidRPr="002376A1" w:rsidP="00C751EE">
            <w:pPr>
              <w:jc w:val="center"/>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FD26C3"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jc w:val="both"/>
              <w:rPr>
                <w:color w:val="00B0F0"/>
                <w:sz w:val="20"/>
                <w:highlight w:val="yellow"/>
              </w:rPr>
            </w:pPr>
          </w:p>
        </w:tc>
        <w:tc>
          <w:tcPr>
            <w:tcW w:w="709"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565"/>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O6</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6. </w:t>
            </w:r>
            <w:r w:rsidRPr="004D1DCA" w:rsidR="00BE2D34">
              <w:rPr>
                <w:sz w:val="20"/>
                <w:lang w:eastAsia="sk-SK"/>
              </w:rPr>
              <w:t>Rozhodnutia podľa odseku 4 tohto článku sa prijímajú v súlade s postupom preskúmania uvedeným v článku 11 ods. 3. Takéto rozhodnutia sú platné najviac päť rokov.</w:t>
            </w:r>
          </w:p>
          <w:p w:rsidR="00C751EE" w:rsidRPr="004D1DCA" w:rsidP="00C751EE">
            <w:pPr>
              <w:autoSpaceDE w:val="0"/>
              <w:autoSpaceDN w:val="0"/>
              <w:adjustRightInd w:val="0"/>
              <w:jc w:val="both"/>
              <w:rPr>
                <w:sz w:val="20"/>
                <w:lang w:eastAsia="sk-SK"/>
              </w:rPr>
            </w:pPr>
          </w:p>
          <w:p w:rsidR="00BE2D34" w:rsidRPr="004D1DCA" w:rsidP="00C751EE">
            <w:pPr>
              <w:autoSpaceDE w:val="0"/>
              <w:autoSpaceDN w:val="0"/>
              <w:adjustRightInd w:val="0"/>
              <w:jc w:val="both"/>
              <w:rPr>
                <w:sz w:val="20"/>
                <w:lang w:eastAsia="sk-SK"/>
              </w:rPr>
            </w:pPr>
            <w:r w:rsidRPr="004D1DCA">
              <w:rPr>
                <w:sz w:val="20"/>
                <w:lang w:eastAsia="sk-SK"/>
              </w:rPr>
              <w:t>Komisia požaduje, aby sa jej pre každú dobrovoľnú schému, v súvislosti s ktorou sa prijme rozhodnutie podľa odseku 4, predložila do 6. októbra 2016 a potom každý rok do 30. apríla správa vzťahujúca sa na každý z bodov uvedených v treťom pododseku tohto odseku. Vo všeobecnosti sa správa vzťahuje na predchádzajúci kalendárny rok. Prvá správa pokrýva aspoň šesť mesiacov od 9. septembra 2015. Požiadavka predložiť správu sa vzťahuje len na dobrovoľné schémy, ktoré fungovali aspoň 12 mesiacov.</w:t>
            </w:r>
          </w:p>
          <w:p w:rsidR="00C751EE" w:rsidRPr="004D1DCA" w:rsidP="00C751EE">
            <w:pPr>
              <w:autoSpaceDE w:val="0"/>
              <w:autoSpaceDN w:val="0"/>
              <w:adjustRightInd w:val="0"/>
              <w:jc w:val="both"/>
              <w:rPr>
                <w:sz w:val="20"/>
                <w:lang w:eastAsia="sk-SK"/>
              </w:rPr>
            </w:pPr>
          </w:p>
          <w:p w:rsidR="00BE2D34" w:rsidRPr="004D1DCA" w:rsidP="00C751EE">
            <w:pPr>
              <w:autoSpaceDE w:val="0"/>
              <w:autoSpaceDN w:val="0"/>
              <w:adjustRightInd w:val="0"/>
              <w:jc w:val="both"/>
              <w:rPr>
                <w:sz w:val="20"/>
                <w:lang w:eastAsia="sk-SK"/>
              </w:rPr>
            </w:pPr>
            <w:r w:rsidRPr="004D1DCA">
              <w:rPr>
                <w:sz w:val="20"/>
                <w:lang w:eastAsia="sk-SK"/>
              </w:rPr>
              <w:t>Do 6. apríla 2017 Komisia predloží Európskemu parlamentu a Rade správu analyzujúcu správy uvedené v druhom pododseku tohto odseku, v ktorej sa preskúma fungovanie dohôd uvedených v odseku 4 alebo dobrovoľných schém, v súvislosti s ktorými sa prijalo rozhodnutie v súlade s týmto článkom, a v ktorej určí najlepšie postupy. Správa vychádza z najlepších dostupných informácií vrátane informácií získaných z konzultácií so zainteresovanými stranami a z praktických skúseností pri uplatňovaní dotknutých dohôd alebo schém. V správe sa analyzuje:</w:t>
            </w:r>
          </w:p>
          <w:p w:rsidR="00BE2D34" w:rsidRPr="004D1DCA" w:rsidP="00C751EE">
            <w:pPr>
              <w:autoSpaceDE w:val="0"/>
              <w:autoSpaceDN w:val="0"/>
              <w:adjustRightInd w:val="0"/>
              <w:jc w:val="both"/>
              <w:rPr>
                <w:sz w:val="20"/>
                <w:lang w:eastAsia="sk-SK"/>
              </w:rPr>
            </w:pPr>
            <w:r w:rsidRPr="004D1DCA">
              <w:rPr>
                <w:sz w:val="20"/>
                <w:lang w:eastAsia="sk-SK"/>
              </w:rPr>
              <w:t>vo všeobecnosti:</w:t>
            </w:r>
          </w:p>
          <w:p w:rsidR="00BE2D34" w:rsidRPr="004D1DCA" w:rsidP="00C751EE">
            <w:pPr>
              <w:autoSpaceDE w:val="0"/>
              <w:autoSpaceDN w:val="0"/>
              <w:adjustRightInd w:val="0"/>
              <w:jc w:val="both"/>
              <w:rPr>
                <w:sz w:val="20"/>
                <w:lang w:eastAsia="sk-SK"/>
              </w:rPr>
            </w:pPr>
            <w:r w:rsidRPr="004D1DCA">
              <w:rPr>
                <w:sz w:val="20"/>
                <w:lang w:eastAsia="sk-SK"/>
              </w:rPr>
              <w:t>a) nezávislosť, spôsob a frekvencia auditov, a to vo vzťahu k podmienkam stanoveným v dokumentácii dotknutej schémy v čase jeho schválenia Komisiou, ako aj vo vzťahu k najlepším postupom v odvetví;</w:t>
            </w:r>
          </w:p>
          <w:p w:rsidR="00BE2D34" w:rsidRPr="004D1DCA" w:rsidP="00C751EE">
            <w:pPr>
              <w:autoSpaceDE w:val="0"/>
              <w:autoSpaceDN w:val="0"/>
              <w:adjustRightInd w:val="0"/>
              <w:jc w:val="both"/>
              <w:rPr>
                <w:sz w:val="20"/>
                <w:lang w:eastAsia="sk-SK"/>
              </w:rPr>
            </w:pPr>
            <w:r w:rsidRPr="004D1DCA">
              <w:rPr>
                <w:sz w:val="20"/>
                <w:lang w:eastAsia="sk-SK"/>
              </w:rPr>
              <w:t>b) dostupnosť metód odhaľovania a riešenia nedodržiavania pravidiel s osobitným dôrazom na riešenie situácií alebo podozrení v súvislosti s vážnym pochybením na strane členov schémy a skúsenosti a transparentnosť v rámci uplatňovania týchto metód;</w:t>
            </w:r>
          </w:p>
          <w:p w:rsidR="00BE2D34" w:rsidRPr="004D1DCA" w:rsidP="00C751EE">
            <w:pPr>
              <w:autoSpaceDE w:val="0"/>
              <w:autoSpaceDN w:val="0"/>
              <w:adjustRightInd w:val="0"/>
              <w:jc w:val="both"/>
              <w:rPr>
                <w:sz w:val="20"/>
                <w:lang w:eastAsia="sk-SK"/>
              </w:rPr>
            </w:pPr>
            <w:r w:rsidRPr="004D1DCA">
              <w:rPr>
                <w:sz w:val="20"/>
                <w:lang w:eastAsia="sk-SK"/>
              </w:rPr>
              <w:t>c) transparentnosť najmä v súvislosti s dostupnosťou schémy, dostupnosťou prekladov do príslušných jazykov krajín a regiónov, z ktorých pochádzajú východiskové suroviny, dostupnosťou zoznamu certifikovaných subjektov a príslušných osvedčení a dostupnosťou audítorských správ;</w:t>
            </w:r>
          </w:p>
          <w:p w:rsidR="00BE2D34" w:rsidRPr="004D1DCA" w:rsidP="00C751EE">
            <w:pPr>
              <w:autoSpaceDE w:val="0"/>
              <w:autoSpaceDN w:val="0"/>
              <w:adjustRightInd w:val="0"/>
              <w:jc w:val="both"/>
              <w:rPr>
                <w:sz w:val="20"/>
                <w:lang w:eastAsia="sk-SK"/>
              </w:rPr>
            </w:pPr>
            <w:r w:rsidRPr="004D1DCA">
              <w:rPr>
                <w:sz w:val="20"/>
                <w:lang w:eastAsia="sk-SK"/>
              </w:rPr>
              <w:t>d) zapojenie zainteresovaných strán, najmä pokiaľ ide o konzultácie s pôvodnými a miestnymi komunitami pred prijatím rozhodnutia počas prípravy a revízie schémy, ako aj počas auditov a reakcie na ich príspevky;</w:t>
            </w:r>
          </w:p>
          <w:p w:rsidR="00BE2D34" w:rsidRPr="004D1DCA" w:rsidP="00C751EE">
            <w:pPr>
              <w:autoSpaceDE w:val="0"/>
              <w:autoSpaceDN w:val="0"/>
              <w:adjustRightInd w:val="0"/>
              <w:jc w:val="both"/>
              <w:rPr>
                <w:sz w:val="20"/>
                <w:lang w:eastAsia="sk-SK"/>
              </w:rPr>
            </w:pPr>
            <w:r w:rsidRPr="004D1DCA">
              <w:rPr>
                <w:sz w:val="20"/>
                <w:lang w:eastAsia="sk-SK"/>
              </w:rPr>
              <w:t>e) celková spoľahlivosť schémy najmä z hľadiska pravidiel v oblasti akreditácie, kvalifikácie a nezávislosti audítorov a relevantných orgánov schémy;</w:t>
            </w:r>
          </w:p>
          <w:p w:rsidR="00BE2D34" w:rsidRPr="004D1DCA" w:rsidP="00C751EE">
            <w:pPr>
              <w:autoSpaceDE w:val="0"/>
              <w:autoSpaceDN w:val="0"/>
              <w:adjustRightInd w:val="0"/>
              <w:jc w:val="both"/>
              <w:rPr>
                <w:sz w:val="20"/>
                <w:lang w:eastAsia="sk-SK"/>
              </w:rPr>
            </w:pPr>
            <w:r w:rsidRPr="004D1DCA">
              <w:rPr>
                <w:sz w:val="20"/>
                <w:lang w:eastAsia="sk-SK"/>
              </w:rPr>
              <w:t>f) trhová aktualizácia schémy, množstvo certifikovaných surovín a biopalív podľa krajiny pôvodu a druhu, počet účastníkov;</w:t>
            </w:r>
          </w:p>
          <w:p w:rsidR="00BE2D34" w:rsidRPr="004D1DCA" w:rsidP="00C751EE">
            <w:pPr>
              <w:autoSpaceDE w:val="0"/>
              <w:autoSpaceDN w:val="0"/>
              <w:adjustRightInd w:val="0"/>
              <w:jc w:val="both"/>
              <w:rPr>
                <w:sz w:val="20"/>
                <w:lang w:eastAsia="sk-SK"/>
              </w:rPr>
            </w:pPr>
            <w:r w:rsidRPr="004D1DCA">
              <w:rPr>
                <w:sz w:val="20"/>
                <w:lang w:eastAsia="sk-SK"/>
              </w:rPr>
              <w:t>g) jednoduchosť a efektívnosť uplatňovania programu na sledovanie dôkazov o dodržiavaní kritérií trvalej udržateľnosti, ktoré schéma stanovuje svojim členom, pričom tento program má slúžiť na predchádzanie podvodom so zreteľom najmä na odhaľovanie a riešenie podozrení z podvodu a iných nezrovnalostí a nadväzujúce činnosti, ako aj prípadne počet odhalených prípadov podvodu alebo iných nezrovnalostí;</w:t>
            </w:r>
          </w:p>
          <w:p w:rsidR="00BE2D34" w:rsidRPr="004D1DCA" w:rsidP="00C751EE">
            <w:pPr>
              <w:autoSpaceDE w:val="0"/>
              <w:autoSpaceDN w:val="0"/>
              <w:adjustRightInd w:val="0"/>
              <w:jc w:val="both"/>
              <w:rPr>
                <w:sz w:val="20"/>
                <w:lang w:eastAsia="sk-SK"/>
              </w:rPr>
            </w:pPr>
            <w:r w:rsidRPr="004D1DCA">
              <w:rPr>
                <w:sz w:val="20"/>
                <w:lang w:eastAsia="sk-SK"/>
              </w:rPr>
              <w:t>a predovšetkým:</w:t>
            </w:r>
          </w:p>
          <w:p w:rsidR="00BE2D34" w:rsidRPr="004D1DCA" w:rsidP="00C751EE">
            <w:pPr>
              <w:autoSpaceDE w:val="0"/>
              <w:autoSpaceDN w:val="0"/>
              <w:adjustRightInd w:val="0"/>
              <w:jc w:val="both"/>
              <w:rPr>
                <w:sz w:val="20"/>
                <w:lang w:eastAsia="sk-SK"/>
              </w:rPr>
            </w:pPr>
            <w:r w:rsidRPr="004D1DCA">
              <w:rPr>
                <w:sz w:val="20"/>
                <w:lang w:eastAsia="sk-SK"/>
              </w:rPr>
              <w:t>h) možnosti pre subjekty, ktorým sa má povoliť uznávať a monitorovať certifikačné orgány;</w:t>
            </w:r>
          </w:p>
          <w:p w:rsidR="00BE2D34" w:rsidRPr="004D1DCA" w:rsidP="00C751EE">
            <w:pPr>
              <w:autoSpaceDE w:val="0"/>
              <w:autoSpaceDN w:val="0"/>
              <w:adjustRightInd w:val="0"/>
              <w:jc w:val="both"/>
              <w:rPr>
                <w:sz w:val="20"/>
                <w:lang w:eastAsia="sk-SK"/>
              </w:rPr>
            </w:pPr>
            <w:r w:rsidRPr="004D1DCA">
              <w:rPr>
                <w:sz w:val="20"/>
                <w:lang w:eastAsia="sk-SK"/>
              </w:rPr>
              <w:t>i) kritériá uznávania alebo akreditácie certifikačných orgánov;</w:t>
            </w:r>
          </w:p>
          <w:p w:rsidR="00BE2D34" w:rsidRPr="004D1DCA" w:rsidP="00C751EE">
            <w:pPr>
              <w:autoSpaceDE w:val="0"/>
              <w:autoSpaceDN w:val="0"/>
              <w:adjustRightInd w:val="0"/>
              <w:jc w:val="both"/>
              <w:rPr>
                <w:sz w:val="20"/>
                <w:lang w:eastAsia="sk-SK"/>
              </w:rPr>
            </w:pPr>
            <w:r w:rsidRPr="004D1DCA">
              <w:rPr>
                <w:sz w:val="20"/>
                <w:lang w:eastAsia="sk-SK"/>
              </w:rPr>
              <w:t>j) pravidlá vykonávania monitorovania certifikačných orgánov;</w:t>
            </w:r>
          </w:p>
          <w:p w:rsidR="00BE2D34" w:rsidRPr="004D1DCA" w:rsidP="00C751EE">
            <w:pPr>
              <w:autoSpaceDE w:val="0"/>
              <w:autoSpaceDN w:val="0"/>
              <w:adjustRightInd w:val="0"/>
              <w:jc w:val="both"/>
              <w:rPr>
                <w:sz w:val="20"/>
                <w:lang w:eastAsia="sk-SK"/>
              </w:rPr>
            </w:pPr>
            <w:r w:rsidRPr="004D1DCA">
              <w:rPr>
                <w:sz w:val="20"/>
                <w:lang w:eastAsia="sk-SK"/>
              </w:rPr>
              <w:t>k) spôsoby uľahčenia alebo zlepšenia podpory najlepších postupov.</w:t>
            </w:r>
          </w:p>
          <w:p w:rsidR="00BE2D34" w:rsidRPr="004D1DCA" w:rsidP="00C751EE">
            <w:pPr>
              <w:autoSpaceDE w:val="0"/>
              <w:autoSpaceDN w:val="0"/>
              <w:adjustRightInd w:val="0"/>
              <w:jc w:val="both"/>
              <w:rPr>
                <w:sz w:val="20"/>
                <w:lang w:eastAsia="sk-SK"/>
              </w:rPr>
            </w:pPr>
          </w:p>
          <w:p w:rsidR="00BE2D34" w:rsidRPr="004D1DCA" w:rsidP="00C751EE">
            <w:pPr>
              <w:autoSpaceDE w:val="0"/>
              <w:autoSpaceDN w:val="0"/>
              <w:adjustRightInd w:val="0"/>
              <w:jc w:val="both"/>
              <w:rPr>
                <w:sz w:val="20"/>
                <w:lang w:eastAsia="sk-SK"/>
              </w:rPr>
            </w:pPr>
            <w:r w:rsidRPr="004D1DCA">
              <w:rPr>
                <w:sz w:val="20"/>
                <w:lang w:eastAsia="sk-SK"/>
              </w:rPr>
              <w:t>Členský štát môže oznámiť svoju vnútroštátnu schému Komisii. Komisia takúto schému posúdi prednostne. V záujme uľahčenia vzájomného dvojstranného a viacstranného uznávania schém na overovanie dodržiavania kritérií trvalej udržateľnosti pri biopalivách sa v súlade s postupom preskúmania uvedeným v článku 11 ods. 3 prijme rozhodnutie o súlade takejto oznámenej vnútroštátnej schémy s podmienkami stanovenými v tejto smernici. Ak je toto rozhodnutie kladné, schémy zriadené v súlade s týmto článkom neodmietajú vzájomné uznanie so schémou daného členského štátu, pokiaľ ide o overovanie dodržiavania kritérií trvalej udržateľnosti stanovených v článku 7b ods. 2 až 5.</w:t>
            </w:r>
          </w:p>
        </w:tc>
        <w:tc>
          <w:tcPr>
            <w:tcW w:w="567" w:type="dxa"/>
            <w:tcBorders>
              <w:top w:val="single" w:sz="4" w:space="0" w:color="auto"/>
              <w:bottom w:val="single" w:sz="4" w:space="0" w:color="auto"/>
            </w:tcBorders>
          </w:tcPr>
          <w:p w:rsidR="00C751EE" w:rsidP="00C751EE">
            <w:pPr>
              <w:jc w:val="both"/>
              <w:rPr>
                <w:rFonts w:ascii="EUAlbertina" w:hAnsi="EUAlbertina" w:cs="EUAlbertina"/>
                <w:sz w:val="20"/>
                <w:lang w:eastAsia="sk-SK"/>
              </w:rPr>
            </w:pPr>
            <w:r w:rsidRPr="002376A1">
              <w:rPr>
                <w:rFonts w:ascii="EUAlbertina" w:hAnsi="EUAlbertina" w:cs="EUAlbertina"/>
                <w:sz w:val="20"/>
                <w:lang w:eastAsia="sk-SK"/>
              </w:rPr>
              <w:t>n.a.</w:t>
            </w: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P="00C751EE">
            <w:pPr>
              <w:jc w:val="both"/>
              <w:rPr>
                <w:rFonts w:ascii="EUAlbertina" w:hAnsi="EUAlbertina" w:cs="EUAlbertina"/>
                <w:sz w:val="20"/>
                <w:lang w:eastAsia="sk-SK"/>
              </w:rPr>
            </w:pPr>
          </w:p>
          <w:p w:rsidR="00A873DD" w:rsidRPr="002376A1" w:rsidP="00C751EE">
            <w:pPr>
              <w:jc w:val="both"/>
              <w:rPr>
                <w:rFonts w:ascii="EUAlbertina" w:hAnsi="EUAlbertina" w:cs="EUAlbertina"/>
                <w:sz w:val="20"/>
                <w:lang w:eastAsia="sk-SK"/>
              </w:rPr>
            </w:pPr>
            <w:r>
              <w:rPr>
                <w:rFonts w:ascii="EUAlbertina" w:hAnsi="EUAlbertina" w:cs="EUAlbertina"/>
                <w:sz w:val="20"/>
                <w:lang w:eastAsia="sk-SK"/>
              </w:rPr>
              <w:t>D</w:t>
            </w:r>
          </w:p>
          <w:p w:rsidR="00C751EE" w:rsidRPr="002376A1" w:rsidP="00C751EE">
            <w:pPr>
              <w:jc w:val="center"/>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FD26C3"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jc w:val="both"/>
              <w:rPr>
                <w:color w:val="00B0F0"/>
                <w:sz w:val="20"/>
                <w:highlight w:val="yellow"/>
              </w:rPr>
            </w:pPr>
          </w:p>
        </w:tc>
        <w:tc>
          <w:tcPr>
            <w:tcW w:w="709" w:type="dxa"/>
            <w:tcBorders>
              <w:top w:val="single" w:sz="4" w:space="0" w:color="auto"/>
              <w:bottom w:val="single" w:sz="4" w:space="0" w:color="auto"/>
            </w:tcBorders>
          </w:tcPr>
          <w:p w:rsidR="00C751EE"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P="00C751EE">
            <w:pPr>
              <w:jc w:val="center"/>
              <w:rPr>
                <w:rFonts w:ascii="EUAlbertina" w:hAnsi="EUAlbertina" w:cs="EUAlbertina"/>
                <w:color w:val="00B0F0"/>
                <w:sz w:val="20"/>
                <w:lang w:eastAsia="sk-SK"/>
              </w:rPr>
            </w:pPr>
          </w:p>
          <w:p w:rsidR="00225FBA" w:rsidRPr="00FD26C3" w:rsidP="00C751EE">
            <w:pPr>
              <w:jc w:val="center"/>
              <w:rPr>
                <w:rFonts w:ascii="EUAlbertina" w:hAnsi="EUAlbertina" w:cs="EUAlbertina"/>
                <w:color w:val="00B0F0"/>
                <w:sz w:val="20"/>
                <w:lang w:eastAsia="sk-SK"/>
              </w:rPr>
            </w:pPr>
            <w:r>
              <w:rPr>
                <w:sz w:val="20"/>
              </w:rPr>
              <w:t>Ž</w:t>
            </w: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424"/>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O7</w:t>
            </w:r>
          </w:p>
        </w:tc>
        <w:tc>
          <w:tcPr>
            <w:tcW w:w="5245" w:type="dxa"/>
            <w:tcBorders>
              <w:top w:val="single" w:sz="4" w:space="0" w:color="auto"/>
              <w:bottom w:val="single" w:sz="4" w:space="0" w:color="auto"/>
            </w:tcBorders>
          </w:tcPr>
          <w:p w:rsidR="00C751EE" w:rsidRPr="002376A1" w:rsidP="00C751EE">
            <w:pPr>
              <w:autoSpaceDE w:val="0"/>
              <w:autoSpaceDN w:val="0"/>
              <w:adjustRightInd w:val="0"/>
              <w:jc w:val="both"/>
              <w:rPr>
                <w:sz w:val="20"/>
                <w:lang w:eastAsia="sk-SK"/>
              </w:rPr>
            </w:pPr>
            <w:r w:rsidRPr="002376A1">
              <w:rPr>
                <w:sz w:val="20"/>
                <w:lang w:eastAsia="sk-SK"/>
              </w:rPr>
              <w:t>7. Ak hospodársky subjekt poskytne dôkaz alebo údaje získané</w:t>
            </w:r>
          </w:p>
          <w:p w:rsidR="00C751EE" w:rsidRPr="002376A1" w:rsidP="00C751EE">
            <w:pPr>
              <w:autoSpaceDE w:val="0"/>
              <w:autoSpaceDN w:val="0"/>
              <w:adjustRightInd w:val="0"/>
              <w:jc w:val="both"/>
              <w:rPr>
                <w:sz w:val="20"/>
                <w:lang w:eastAsia="sk-SK"/>
              </w:rPr>
            </w:pPr>
            <w:r w:rsidRPr="002376A1">
              <w:rPr>
                <w:sz w:val="20"/>
                <w:lang w:eastAsia="sk-SK"/>
              </w:rPr>
              <w:t>v súlade s dohodou alebo systémom, ktorý bol predmetom rozhodnutia podľa odseku 4, členský štát od dodávateľa nepožaduje poskytnutie ďalších dôkazov o splnení kritérií trvalej udržateľnosti stanovených v článku 7b ods. 2 až 5, ani informácií o opatreniach uvedených v druhom pododseku odseku 3 tohto článku.</w:t>
            </w: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p w:rsidR="00C751EE" w:rsidRPr="002376A1" w:rsidP="00C751EE">
            <w:pPr>
              <w:autoSpaceDE w:val="0"/>
              <w:autoSpaceDN w:val="0"/>
              <w:adjustRightInd w:val="0"/>
              <w:jc w:val="both"/>
              <w:rPr>
                <w:sz w:val="20"/>
                <w:lang w:eastAsia="sk-SK"/>
              </w:rPr>
            </w:pPr>
          </w:p>
        </w:tc>
        <w:tc>
          <w:tcPr>
            <w:tcW w:w="567"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N</w:t>
            </w:r>
          </w:p>
          <w:p w:rsidR="00C751EE" w:rsidRPr="002376A1" w:rsidP="00C751EE">
            <w:pPr>
              <w:jc w:val="center"/>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Z</w:t>
            </w:r>
            <w:r>
              <w:rPr>
                <w:rFonts w:ascii="EUAlbertina" w:hAnsi="EUAlbertina" w:cs="EUAlbertina"/>
                <w:sz w:val="20"/>
                <w:lang w:eastAsia="sk-SK"/>
              </w:rPr>
              <w:t xml:space="preserve"> </w:t>
            </w:r>
            <w:r w:rsidRPr="002376A1">
              <w:rPr>
                <w:rFonts w:ascii="EUAlbertina" w:hAnsi="EUAlbertina" w:cs="EUAlbertina"/>
                <w:sz w:val="20"/>
                <w:lang w:eastAsia="sk-SK"/>
              </w:rPr>
              <w:t>309/2009</w:t>
            </w:r>
          </w:p>
          <w:p w:rsidR="00C751EE" w:rsidRPr="002376A1"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24309C" w:rsidRPr="002376A1" w:rsidP="00C751EE">
            <w:pPr>
              <w:jc w:val="center"/>
              <w:rPr>
                <w:rFonts w:ascii="EUAlbertina" w:hAnsi="EUAlbertina" w:cs="EUAlbertina"/>
                <w:sz w:val="20"/>
                <w:lang w:eastAsia="sk-SK"/>
              </w:rPr>
            </w:pPr>
          </w:p>
          <w:p w:rsidR="00C751EE" w:rsidRPr="002376A1" w:rsidP="00C751EE">
            <w:pPr>
              <w:jc w:val="center"/>
              <w:rPr>
                <w:rFonts w:ascii="EUAlbertina" w:hAnsi="EUAlbertina" w:cs="EUAlbertina"/>
                <w:sz w:val="20"/>
                <w:lang w:eastAsia="sk-SK"/>
              </w:rPr>
            </w:pPr>
          </w:p>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V</w:t>
            </w:r>
            <w:r>
              <w:rPr>
                <w:rFonts w:ascii="EUAlbertina" w:hAnsi="EUAlbertina" w:cs="EUAlbertina"/>
                <w:sz w:val="20"/>
                <w:lang w:eastAsia="sk-SK"/>
              </w:rPr>
              <w:t xml:space="preserve"> </w:t>
            </w:r>
            <w:r w:rsidRPr="002376A1">
              <w:rPr>
                <w:rFonts w:ascii="EUAlbertina" w:hAnsi="EUAlbertina" w:cs="EUAlbertina"/>
                <w:sz w:val="20"/>
                <w:lang w:eastAsia="sk-SK"/>
              </w:rPr>
              <w:t>271/2011</w:t>
            </w:r>
          </w:p>
          <w:p w:rsidR="00C751EE" w:rsidRPr="002376A1"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F74907" w:rsidRPr="002376A1" w:rsidP="00F74907">
            <w:pPr>
              <w:pStyle w:val="EnvelopeReturn"/>
              <w:jc w:val="center"/>
              <w:rPr>
                <w:rFonts w:ascii="Times New Roman" w:hAnsi="Times New Roman" w:cs="Times New Roman"/>
                <w:sz w:val="20"/>
                <w:szCs w:val="20"/>
                <w:lang w:eastAsia="sk-SK"/>
              </w:rPr>
            </w:pPr>
            <w:r w:rsidRPr="002376A1">
              <w:rPr>
                <w:rFonts w:ascii="Times New Roman" w:hAnsi="Times New Roman" w:cs="Times New Roman"/>
                <w:sz w:val="20"/>
                <w:szCs w:val="20"/>
                <w:lang w:eastAsia="sk-SK"/>
              </w:rPr>
              <w:t>§ 14c</w:t>
            </w:r>
          </w:p>
          <w:p w:rsidR="00F74907" w:rsidRPr="002376A1" w:rsidP="00F74907">
            <w:pPr>
              <w:pStyle w:val="EnvelopeReturn"/>
              <w:jc w:val="center"/>
              <w:rPr>
                <w:rFonts w:ascii="Times New Roman" w:hAnsi="Times New Roman" w:cs="Times New Roman"/>
                <w:sz w:val="20"/>
                <w:szCs w:val="20"/>
                <w:lang w:eastAsia="sk-SK"/>
              </w:rPr>
            </w:pPr>
            <w:r>
              <w:rPr>
                <w:rFonts w:ascii="Times New Roman" w:hAnsi="Times New Roman" w:cs="Times New Roman"/>
                <w:sz w:val="20"/>
                <w:szCs w:val="20"/>
                <w:lang w:eastAsia="sk-SK"/>
              </w:rPr>
              <w:t>O13</w:t>
            </w:r>
          </w:p>
          <w:p w:rsidR="00F74907" w:rsidP="00C751EE">
            <w:pPr>
              <w:pStyle w:val="BodyText21"/>
              <w:jc w:val="center"/>
              <w:rPr>
                <w:rFonts w:ascii="EUAlbertina" w:hAnsi="EUAlbertina" w:cs="EUAlbertina"/>
                <w:lang w:eastAsia="sk-SK"/>
              </w:rPr>
            </w:pPr>
          </w:p>
          <w:p w:rsidR="00F74907" w:rsidRPr="002376A1" w:rsidP="00C751EE">
            <w:pPr>
              <w:pStyle w:val="BodyText21"/>
              <w:jc w:val="center"/>
              <w:rPr>
                <w:rFonts w:ascii="EUAlbertina" w:hAnsi="EUAlbertina" w:cs="EUAlbertina"/>
                <w:lang w:eastAsia="sk-SK"/>
              </w:rPr>
            </w:pPr>
          </w:p>
          <w:p w:rsidR="00C751EE" w:rsidRPr="002376A1" w:rsidP="00C751EE">
            <w:pPr>
              <w:pStyle w:val="BodyText21"/>
              <w:spacing w:before="0"/>
              <w:jc w:val="center"/>
              <w:rPr>
                <w:rFonts w:ascii="EUAlbertina" w:hAnsi="EUAlbertina" w:cs="EUAlbertina"/>
                <w:lang w:eastAsia="sk-SK"/>
              </w:rPr>
            </w:pPr>
            <w:r w:rsidRPr="002376A1">
              <w:rPr>
                <w:rFonts w:ascii="EUAlbertina" w:hAnsi="EUAlbertina" w:cs="EUAlbertina"/>
                <w:lang w:eastAsia="sk-SK"/>
              </w:rPr>
              <w:t>§ 4 O11</w:t>
            </w:r>
          </w:p>
        </w:tc>
        <w:tc>
          <w:tcPr>
            <w:tcW w:w="4110" w:type="dxa"/>
            <w:tcBorders>
              <w:top w:val="single" w:sz="4" w:space="0" w:color="auto"/>
              <w:bottom w:val="single" w:sz="4" w:space="0" w:color="auto"/>
            </w:tcBorders>
          </w:tcPr>
          <w:p w:rsidR="00F74907" w:rsidRPr="004B3966" w:rsidP="00F74907">
            <w:pPr>
              <w:jc w:val="both"/>
              <w:rPr>
                <w:sz w:val="20"/>
              </w:rPr>
            </w:pPr>
            <w:r w:rsidRPr="004B3966">
              <w:rPr>
                <w:sz w:val="20"/>
              </w:rPr>
              <w:t>(13) Splnenie kritérií trvalej udržateľnosti môže byť preukázané dobrovoľným certifikačným systémom, ktorý na tento účel uznala Európska komisia.</w:t>
            </w:r>
          </w:p>
          <w:p w:rsidR="00C751EE" w:rsidRPr="004B3966" w:rsidP="00C751EE">
            <w:pPr>
              <w:spacing w:after="120"/>
              <w:jc w:val="both"/>
              <w:rPr>
                <w:sz w:val="20"/>
              </w:rPr>
            </w:pPr>
            <w:r w:rsidRPr="004B3966" w:rsidR="0024309C">
              <w:rPr>
                <w:sz w:val="20"/>
              </w:rPr>
              <w:t xml:space="preserve"> </w:t>
            </w:r>
          </w:p>
          <w:p w:rsidR="00C751EE" w:rsidRPr="004B3966" w:rsidP="00C751EE">
            <w:pPr>
              <w:autoSpaceDE w:val="0"/>
              <w:autoSpaceDN w:val="0"/>
              <w:adjustRightInd w:val="0"/>
              <w:jc w:val="both"/>
              <w:rPr>
                <w:sz w:val="20"/>
              </w:rPr>
            </w:pPr>
            <w:r w:rsidRPr="004B3966">
              <w:rPr>
                <w:sz w:val="20"/>
              </w:rPr>
              <w:t xml:space="preserve">(11) </w:t>
            </w:r>
            <w:r w:rsidRPr="004B3966" w:rsidR="004A2119">
              <w:rPr>
                <w:sz w:val="20"/>
              </w:rPr>
              <w:t>Ministerstvo životného prostredia Slovenskej republiky (ďalej len „ministerstvo“) zverejňuje alternatívne spôsoby preukazovania kritérií trvalej udržateľnosti na svojom webovom sídle. Medzi také spôsoby patria napríklad ministerstvom uznané národné systémy členských štátov, dobrovoľné certifikačné systémy uznané Európskou komisiou a certifikačné postupy na základe dohôd uzatvorených Európskou komisiou v mene členských štátov podľa§ 14c ods. 7 zákona, pričom prihliada na vývoj európskych noriem schvaľovaných v tejto oblasti. Ministerstvo zverejní uznané systémy na svojom webovom sídle.</w:t>
            </w:r>
            <w:r w:rsidRPr="004B3966">
              <w:rPr>
                <w:sz w:val="20"/>
              </w:rPr>
              <w:t xml:space="preserve"> </w:t>
            </w:r>
          </w:p>
          <w:p w:rsidR="00C751EE" w:rsidRPr="004B3966" w:rsidP="00C751EE">
            <w:pPr>
              <w:jc w:val="both"/>
              <w:rPr>
                <w:sz w:val="20"/>
              </w:rPr>
            </w:pPr>
          </w:p>
        </w:tc>
        <w:tc>
          <w:tcPr>
            <w:tcW w:w="709"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Ú</w:t>
            </w: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1338"/>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O8</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8. </w:t>
            </w:r>
            <w:r w:rsidRPr="004D1DCA" w:rsidR="00BE2D34">
              <w:rPr>
                <w:sz w:val="20"/>
                <w:lang w:eastAsia="sk-SK"/>
              </w:rPr>
              <w:t xml:space="preserve">Komisia na žiadosť členského štátu alebo z vlastnej iniciatívy preskúma uplatňovanie článku 7b vo vzťahu k zdroju biopaliva a v súlade s postupom preskúmania uvedeným v článku 11 ods. 3 do šiestich mesiacov od prijatia žiadosti rozhodne, či dotknutý členský štát môže zohľadniť biopalivo z daného zdroja na účely článku 7a. </w:t>
            </w:r>
          </w:p>
          <w:p w:rsidR="00C751EE" w:rsidRPr="004D1DCA" w:rsidP="00C751EE">
            <w:pPr>
              <w:autoSpaceDE w:val="0"/>
              <w:autoSpaceDN w:val="0"/>
              <w:adjustRightInd w:val="0"/>
              <w:jc w:val="both"/>
              <w:rPr>
                <w:sz w:val="20"/>
                <w:lang w:eastAsia="sk-SK"/>
              </w:rPr>
            </w:pPr>
          </w:p>
        </w:tc>
        <w:tc>
          <w:tcPr>
            <w:tcW w:w="567"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FD26C3"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jc w:val="both"/>
              <w:rPr>
                <w:sz w:val="20"/>
                <w:highlight w:val="yellow"/>
              </w:rPr>
            </w:pPr>
          </w:p>
        </w:tc>
        <w:tc>
          <w:tcPr>
            <w:tcW w:w="709"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1338"/>
        </w:trPr>
        <w:tc>
          <w:tcPr>
            <w:tcW w:w="637" w:type="dxa"/>
            <w:tcBorders>
              <w:top w:val="single" w:sz="4" w:space="0" w:color="auto"/>
              <w:bottom w:val="single" w:sz="4" w:space="0" w:color="auto"/>
            </w:tcBorders>
          </w:tcPr>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Č7c</w:t>
            </w:r>
          </w:p>
          <w:p w:rsidR="00C751EE" w:rsidRPr="002376A1" w:rsidP="00C751EE">
            <w:pPr>
              <w:jc w:val="both"/>
              <w:rPr>
                <w:rFonts w:ascii="EUAlbertina" w:hAnsi="EUAlbertina" w:cs="EUAlbertina"/>
                <w:sz w:val="20"/>
                <w:lang w:eastAsia="sk-SK"/>
              </w:rPr>
            </w:pPr>
            <w:r w:rsidRPr="002376A1">
              <w:rPr>
                <w:rFonts w:ascii="EUAlbertina" w:hAnsi="EUAlbertina" w:cs="EUAlbertina"/>
                <w:sz w:val="20"/>
                <w:lang w:eastAsia="sk-SK"/>
              </w:rPr>
              <w:t>O9</w:t>
            </w:r>
          </w:p>
        </w:tc>
        <w:tc>
          <w:tcPr>
            <w:tcW w:w="5245" w:type="dxa"/>
            <w:tcBorders>
              <w:top w:val="single" w:sz="4" w:space="0" w:color="auto"/>
              <w:bottom w:val="single" w:sz="4" w:space="0" w:color="auto"/>
            </w:tcBorders>
          </w:tcPr>
          <w:p w:rsidR="00C751EE" w:rsidRPr="002376A1" w:rsidP="00C751EE">
            <w:pPr>
              <w:autoSpaceDE w:val="0"/>
              <w:autoSpaceDN w:val="0"/>
              <w:adjustRightInd w:val="0"/>
              <w:jc w:val="both"/>
              <w:rPr>
                <w:sz w:val="20"/>
                <w:lang w:eastAsia="sk-SK"/>
              </w:rPr>
            </w:pPr>
            <w:r w:rsidRPr="002376A1">
              <w:rPr>
                <w:sz w:val="20"/>
                <w:lang w:eastAsia="sk-SK"/>
              </w:rPr>
              <w:t>9. Do 31. decembra 2012 predloží Komisia Európskemu parlamentu a Rade správu o:</w:t>
            </w:r>
          </w:p>
          <w:p w:rsidR="00C751EE" w:rsidRPr="002376A1" w:rsidP="00C751EE">
            <w:pPr>
              <w:autoSpaceDE w:val="0"/>
              <w:autoSpaceDN w:val="0"/>
              <w:adjustRightInd w:val="0"/>
              <w:jc w:val="both"/>
              <w:rPr>
                <w:sz w:val="20"/>
                <w:lang w:eastAsia="sk-SK"/>
              </w:rPr>
            </w:pPr>
            <w:r w:rsidRPr="002376A1">
              <w:rPr>
                <w:sz w:val="20"/>
                <w:lang w:eastAsia="sk-SK"/>
              </w:rPr>
              <w:t>a) účinnosti systému zavedeného na účely poskytovania informácií o kritériách trvalej udržateľnosti a</w:t>
            </w:r>
          </w:p>
          <w:p w:rsidR="00C751EE" w:rsidRPr="002376A1" w:rsidP="00C751EE">
            <w:pPr>
              <w:autoSpaceDE w:val="0"/>
              <w:autoSpaceDN w:val="0"/>
              <w:adjustRightInd w:val="0"/>
              <w:jc w:val="both"/>
              <w:rPr>
                <w:sz w:val="20"/>
                <w:lang w:eastAsia="sk-SK"/>
              </w:rPr>
            </w:pPr>
            <w:r w:rsidRPr="002376A1">
              <w:rPr>
                <w:sz w:val="20"/>
                <w:lang w:eastAsia="sk-SK"/>
              </w:rPr>
              <w:t>b) uskutočniteľnosti a vhodnosti zavedenia povinných požiadaviek vo vzťahu k ochrane ovzdušia, pôdy alebo vody, pričom zohľadní najnovšie vedecké dôkazy a medzinárodné záväzky Spoločenstva. V prípade potreby Komisia navrhne nápravné opatrenia.</w:t>
            </w:r>
          </w:p>
        </w:tc>
        <w:tc>
          <w:tcPr>
            <w:tcW w:w="567" w:type="dxa"/>
            <w:tcBorders>
              <w:top w:val="single" w:sz="4" w:space="0" w:color="auto"/>
              <w:bottom w:val="single" w:sz="4" w:space="0" w:color="auto"/>
            </w:tcBorders>
          </w:tcPr>
          <w:p w:rsidR="00C751EE" w:rsidRPr="002376A1" w:rsidP="00C751EE">
            <w:pPr>
              <w:jc w:val="center"/>
              <w:rPr>
                <w:rFonts w:ascii="EUAlbertina" w:hAnsi="EUAlbertina" w:cs="EUAlbertina"/>
                <w:sz w:val="20"/>
                <w:lang w:eastAsia="sk-SK"/>
              </w:rPr>
            </w:pPr>
            <w:r w:rsidRPr="002376A1">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FD26C3"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jc w:val="both"/>
              <w:rPr>
                <w:color w:val="00B0F0"/>
                <w:sz w:val="20"/>
                <w:highlight w:val="yellow"/>
              </w:rPr>
            </w:pPr>
          </w:p>
        </w:tc>
        <w:tc>
          <w:tcPr>
            <w:tcW w:w="709" w:type="dxa"/>
            <w:tcBorders>
              <w:top w:val="single" w:sz="4" w:space="0" w:color="auto"/>
              <w:bottom w:val="single" w:sz="4" w:space="0" w:color="auto"/>
            </w:tcBorders>
          </w:tcPr>
          <w:p w:rsidR="00C751EE" w:rsidRPr="00FD26C3"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FD26C3"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C35DDB" w:rsidP="00C751EE">
            <w:pPr>
              <w:jc w:val="both"/>
              <w:rPr>
                <w:rFonts w:ascii="EUAlbertina" w:hAnsi="EUAlbertina" w:cs="EUAlbertina"/>
                <w:sz w:val="20"/>
                <w:lang w:eastAsia="sk-SK"/>
              </w:rPr>
            </w:pPr>
            <w:r w:rsidRPr="00C35DDB">
              <w:rPr>
                <w:rFonts w:ascii="EUAlbertina" w:hAnsi="EUAlbertina" w:cs="EUAlbertina"/>
                <w:sz w:val="20"/>
                <w:lang w:eastAsia="sk-SK"/>
              </w:rPr>
              <w:t>Č7d</w:t>
            </w:r>
          </w:p>
          <w:p w:rsidR="00C751EE" w:rsidRPr="00C35DDB" w:rsidP="00C751EE">
            <w:pPr>
              <w:jc w:val="both"/>
              <w:rPr>
                <w:rFonts w:ascii="EUAlbertina" w:hAnsi="EUAlbertina" w:cs="EUAlbertina"/>
                <w:sz w:val="20"/>
                <w:lang w:eastAsia="sk-SK"/>
              </w:rPr>
            </w:pPr>
            <w:r w:rsidRPr="00C35DDB">
              <w:rPr>
                <w:rFonts w:ascii="EUAlbertina" w:hAnsi="EUAlbertina" w:cs="EUAlbertina"/>
                <w:sz w:val="20"/>
                <w:lang w:eastAsia="sk-SK"/>
              </w:rPr>
              <w:t>O1</w:t>
            </w:r>
          </w:p>
          <w:p w:rsidR="00C751EE" w:rsidRPr="00C35DDB" w:rsidP="00C751EE">
            <w:pPr>
              <w:jc w:val="both"/>
              <w:rPr>
                <w:rFonts w:ascii="EUAlbertina" w:hAnsi="EUAlbertina" w:cs="EUAlbertina"/>
                <w:sz w:val="20"/>
                <w:lang w:eastAsia="sk-SK"/>
              </w:rPr>
            </w:pPr>
          </w:p>
        </w:tc>
        <w:tc>
          <w:tcPr>
            <w:tcW w:w="5245" w:type="dxa"/>
            <w:tcBorders>
              <w:top w:val="single" w:sz="4" w:space="0" w:color="auto"/>
              <w:bottom w:val="single" w:sz="4" w:space="0" w:color="auto"/>
            </w:tcBorders>
          </w:tcPr>
          <w:p w:rsidR="00C751EE" w:rsidRPr="00C35DDB" w:rsidP="00C751EE">
            <w:pPr>
              <w:autoSpaceDE w:val="0"/>
              <w:autoSpaceDN w:val="0"/>
              <w:adjustRightInd w:val="0"/>
              <w:jc w:val="both"/>
              <w:rPr>
                <w:sz w:val="20"/>
                <w:lang w:eastAsia="sk-SK"/>
              </w:rPr>
            </w:pPr>
            <w:r w:rsidRPr="00C35DDB">
              <w:rPr>
                <w:sz w:val="20"/>
                <w:lang w:eastAsia="sk-SK"/>
              </w:rPr>
              <w:t>Článok 7d</w:t>
            </w:r>
          </w:p>
          <w:p w:rsidR="00C751EE" w:rsidRPr="00C35DDB" w:rsidP="00C751EE">
            <w:pPr>
              <w:autoSpaceDE w:val="0"/>
              <w:autoSpaceDN w:val="0"/>
              <w:adjustRightInd w:val="0"/>
              <w:jc w:val="both"/>
              <w:rPr>
                <w:sz w:val="20"/>
                <w:lang w:eastAsia="sk-SK"/>
              </w:rPr>
            </w:pPr>
            <w:r w:rsidRPr="00C35DDB">
              <w:rPr>
                <w:sz w:val="20"/>
                <w:lang w:eastAsia="sk-SK"/>
              </w:rPr>
              <w:t>Výpočet emisií skleníkových plynov z biopalív počas životného cyklu</w:t>
            </w:r>
          </w:p>
          <w:p w:rsidR="00C751EE" w:rsidRPr="00C35DDB" w:rsidP="00C751EE">
            <w:pPr>
              <w:autoSpaceDE w:val="0"/>
              <w:autoSpaceDN w:val="0"/>
              <w:adjustRightInd w:val="0"/>
              <w:jc w:val="both"/>
              <w:rPr>
                <w:sz w:val="20"/>
                <w:lang w:eastAsia="sk-SK"/>
              </w:rPr>
            </w:pPr>
            <w:r w:rsidRPr="00C35DDB">
              <w:rPr>
                <w:sz w:val="20"/>
                <w:lang w:eastAsia="sk-SK"/>
              </w:rPr>
              <w:t>1. Na účely článku 7a a článku 7b ods. 2 sa emisie skleníkových plynov z biopalív počas životného cyklu vypočítavajú takto:</w:t>
            </w:r>
          </w:p>
          <w:p w:rsidR="00C751EE" w:rsidRPr="00C35DDB" w:rsidP="00C751EE">
            <w:pPr>
              <w:autoSpaceDE w:val="0"/>
              <w:autoSpaceDN w:val="0"/>
              <w:adjustRightInd w:val="0"/>
              <w:jc w:val="both"/>
              <w:rPr>
                <w:sz w:val="20"/>
                <w:lang w:eastAsia="sk-SK"/>
              </w:rPr>
            </w:pPr>
            <w:r w:rsidRPr="00C35DDB">
              <w:rPr>
                <w:sz w:val="20"/>
                <w:lang w:eastAsia="sk-SK"/>
              </w:rPr>
              <w:t>a) v prípade, že je určená hodnota úspor emisií skleníkových plynov v rámci výrobného reťazca biopalív stanovená v časti A alebo B prílohy IV a hodnota e</w:t>
            </w:r>
            <w:r w:rsidRPr="00BD1BEB">
              <w:rPr>
                <w:sz w:val="20"/>
                <w:vertAlign w:val="subscript"/>
                <w:lang w:eastAsia="sk-SK"/>
              </w:rPr>
              <w:t>l</w:t>
            </w:r>
            <w:r w:rsidRPr="00C35DDB">
              <w:rPr>
                <w:sz w:val="20"/>
                <w:lang w:eastAsia="sk-SK"/>
              </w:rPr>
              <w:t xml:space="preserve"> pre tieto biopalivá vypočítaná v súlade s bodom 7 časti C prílohy IV je rovná alebo menšia ako nula, použije sa určená hodnota, alebo</w:t>
            </w:r>
          </w:p>
          <w:p w:rsidR="00C751EE" w:rsidRPr="00C35DDB" w:rsidP="00C751EE">
            <w:pPr>
              <w:autoSpaceDE w:val="0"/>
              <w:autoSpaceDN w:val="0"/>
              <w:adjustRightInd w:val="0"/>
              <w:jc w:val="both"/>
              <w:rPr>
                <w:sz w:val="20"/>
                <w:lang w:eastAsia="sk-SK"/>
              </w:rPr>
            </w:pPr>
            <w:r w:rsidRPr="00C35DDB">
              <w:rPr>
                <w:sz w:val="20"/>
                <w:lang w:eastAsia="sk-SK"/>
              </w:rPr>
              <w:t>b) použije sa skutočná hodnota vypočítaná v súlade s metodikou stanovenou v časti C prílohy IV, alebo</w:t>
            </w:r>
          </w:p>
          <w:p w:rsidR="00C751EE" w:rsidRPr="00C35DDB" w:rsidP="00C751EE">
            <w:pPr>
              <w:autoSpaceDE w:val="0"/>
              <w:autoSpaceDN w:val="0"/>
              <w:adjustRightInd w:val="0"/>
              <w:jc w:val="both"/>
              <w:rPr>
                <w:sz w:val="20"/>
                <w:lang w:eastAsia="sk-SK"/>
              </w:rPr>
            </w:pPr>
            <w:r w:rsidRPr="00C35DDB">
              <w:rPr>
                <w:sz w:val="20"/>
                <w:lang w:eastAsia="sk-SK"/>
              </w:rPr>
              <w:t>c) použije sa hodnota vypočítaná ako súčet faktorov vzorca uvedeného v bode 1 časti C prílohy IV, pričom pri niektorých faktoroch možno použiť podrobné určené hodnoty z časti D alebo E prílohy IV a pri všetkých ostatných faktoroch skutočné hodnoty vypočítané v súlade s metodikou stanovenou v časti C prílohy IV.</w:t>
            </w:r>
          </w:p>
          <w:p w:rsidR="00C751EE" w:rsidRPr="00C35DDB" w:rsidP="00C751EE">
            <w:pPr>
              <w:autoSpaceDE w:val="0"/>
              <w:autoSpaceDN w:val="0"/>
              <w:adjustRightInd w:val="0"/>
              <w:jc w:val="both"/>
              <w:rPr>
                <w:rFonts w:ascii="EUAlbertina" w:hAnsi="EUAlbertina" w:cs="EUAlbertina"/>
                <w:sz w:val="20"/>
                <w:lang w:eastAsia="sk-SK"/>
              </w:rPr>
            </w:pPr>
          </w:p>
        </w:tc>
        <w:tc>
          <w:tcPr>
            <w:tcW w:w="567" w:type="dxa"/>
            <w:tcBorders>
              <w:top w:val="single" w:sz="4" w:space="0" w:color="auto"/>
              <w:bottom w:val="single" w:sz="4" w:space="0" w:color="auto"/>
            </w:tcBorders>
          </w:tcPr>
          <w:p w:rsidR="00C751EE" w:rsidRPr="00C35DDB" w:rsidP="00C751EE">
            <w:pPr>
              <w:jc w:val="both"/>
              <w:rPr>
                <w:rFonts w:ascii="EUAlbertina" w:hAnsi="EUAlbertina" w:cs="EUAlbertina"/>
                <w:sz w:val="20"/>
                <w:lang w:eastAsia="sk-SK"/>
              </w:rPr>
            </w:pPr>
            <w:r w:rsidRPr="00C35DDB">
              <w:rPr>
                <w:rFonts w:ascii="EUAlbertina" w:hAnsi="EUAlbertina" w:cs="EUAlbertina"/>
                <w:sz w:val="20"/>
                <w:lang w:eastAsia="sk-SK"/>
              </w:rPr>
              <w:t>N</w:t>
            </w: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p w:rsidR="00C751EE" w:rsidRPr="00C35DDB"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C35DDB" w:rsidP="00C751EE">
            <w:pPr>
              <w:jc w:val="center"/>
              <w:rPr>
                <w:rFonts w:ascii="EUAlbertina" w:hAnsi="EUAlbertina" w:cs="EUAlbertina"/>
                <w:sz w:val="20"/>
                <w:lang w:eastAsia="sk-SK"/>
              </w:rPr>
            </w:pPr>
            <w:r w:rsidRPr="00C35DDB">
              <w:rPr>
                <w:rFonts w:ascii="EUAlbertina" w:hAnsi="EUAlbertina" w:cs="EUAlbertina"/>
                <w:sz w:val="20"/>
                <w:lang w:eastAsia="sk-SK"/>
              </w:rPr>
              <w:t>Z</w:t>
            </w:r>
            <w:r>
              <w:rPr>
                <w:rFonts w:ascii="EUAlbertina" w:hAnsi="EUAlbertina" w:cs="EUAlbertina"/>
                <w:sz w:val="20"/>
                <w:lang w:eastAsia="sk-SK"/>
              </w:rPr>
              <w:t xml:space="preserve"> </w:t>
            </w:r>
            <w:r w:rsidRPr="00C35DDB">
              <w:rPr>
                <w:rFonts w:ascii="EUAlbertina" w:hAnsi="EUAlbertina" w:cs="EUAlbertina"/>
                <w:sz w:val="20"/>
                <w:lang w:eastAsia="sk-SK"/>
              </w:rPr>
              <w:t>309/2009</w:t>
            </w: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4A2119" w:rsidRPr="00C35DDB" w:rsidP="00C751EE">
            <w:pPr>
              <w:jc w:val="center"/>
              <w:rPr>
                <w:rFonts w:ascii="EUAlbertina" w:hAnsi="EUAlbertina" w:cs="EUAlbertina"/>
                <w:sz w:val="20"/>
                <w:lang w:eastAsia="sk-SK"/>
              </w:rPr>
            </w:pPr>
          </w:p>
          <w:p w:rsidR="00C751EE" w:rsidP="00C751EE">
            <w:pPr>
              <w:jc w:val="center"/>
              <w:rPr>
                <w:rFonts w:ascii="EUAlbertina" w:hAnsi="EUAlbertina" w:cs="EUAlbertina"/>
                <w:sz w:val="20"/>
                <w:lang w:eastAsia="sk-SK"/>
              </w:rPr>
            </w:pPr>
          </w:p>
          <w:p w:rsidR="004A2119"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r w:rsidRPr="00C35DDB">
              <w:rPr>
                <w:rFonts w:ascii="EUAlbertina" w:hAnsi="EUAlbertina" w:cs="EUAlbertina"/>
                <w:sz w:val="20"/>
                <w:lang w:eastAsia="sk-SK"/>
              </w:rPr>
              <w:t>V</w:t>
            </w:r>
            <w:r>
              <w:rPr>
                <w:rFonts w:ascii="EUAlbertina" w:hAnsi="EUAlbertina" w:cs="EUAlbertina"/>
                <w:sz w:val="20"/>
                <w:lang w:eastAsia="sk-SK"/>
              </w:rPr>
              <w:t xml:space="preserve"> </w:t>
            </w:r>
            <w:r w:rsidRPr="00C35DDB">
              <w:rPr>
                <w:rFonts w:ascii="EUAlbertina" w:hAnsi="EUAlbertina" w:cs="EUAlbertina"/>
                <w:sz w:val="20"/>
                <w:lang w:eastAsia="sk-SK"/>
              </w:rPr>
              <w:t>271/2011</w:t>
            </w: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C35DDB" w:rsidP="00C751EE">
            <w:pPr>
              <w:pStyle w:val="BodyText21"/>
              <w:spacing w:before="0"/>
              <w:jc w:val="center"/>
              <w:rPr>
                <w:rFonts w:ascii="EUAlbertina" w:hAnsi="EUAlbertina" w:cs="EUAlbertina"/>
                <w:lang w:eastAsia="sk-SK"/>
              </w:rPr>
            </w:pPr>
            <w:r w:rsidRPr="00C35DDB">
              <w:rPr>
                <w:rFonts w:ascii="EUAlbertina" w:hAnsi="EUAlbertina" w:cs="EUAlbertina"/>
                <w:lang w:eastAsia="sk-SK"/>
              </w:rPr>
              <w:t>§14b</w:t>
            </w:r>
          </w:p>
          <w:p w:rsidR="00C751EE" w:rsidRPr="00C35DDB" w:rsidP="00C751EE">
            <w:pPr>
              <w:pStyle w:val="BodyText21"/>
              <w:spacing w:before="0"/>
              <w:jc w:val="center"/>
              <w:rPr>
                <w:rFonts w:ascii="EUAlbertina" w:hAnsi="EUAlbertina" w:cs="EUAlbertina"/>
                <w:lang w:eastAsia="sk-SK"/>
              </w:rPr>
            </w:pPr>
            <w:r w:rsidRPr="00C35DDB">
              <w:rPr>
                <w:rFonts w:ascii="EUAlbertina" w:hAnsi="EUAlbertina" w:cs="EUAlbertina"/>
                <w:lang w:eastAsia="sk-SK"/>
              </w:rPr>
              <w:t>O6</w:t>
            </w: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P="00C751EE">
            <w:pPr>
              <w:pStyle w:val="BodyText21"/>
              <w:spacing w:before="0"/>
              <w:jc w:val="center"/>
              <w:rPr>
                <w:rFonts w:ascii="EUAlbertina" w:hAnsi="EUAlbertina" w:cs="EUAlbertina"/>
                <w:lang w:eastAsia="sk-SK"/>
              </w:rPr>
            </w:pPr>
          </w:p>
          <w:p w:rsidR="004A2119" w:rsidP="00C751EE">
            <w:pPr>
              <w:pStyle w:val="BodyText21"/>
              <w:spacing w:before="0"/>
              <w:jc w:val="center"/>
              <w:rPr>
                <w:rFonts w:ascii="EUAlbertina" w:hAnsi="EUAlbertina" w:cs="EUAlbertina"/>
                <w:lang w:eastAsia="sk-SK"/>
              </w:rPr>
            </w:pPr>
          </w:p>
          <w:p w:rsidR="004A2119"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r w:rsidRPr="00C35DDB">
              <w:rPr>
                <w:rFonts w:ascii="EUAlbertina" w:hAnsi="EUAlbertina" w:cs="EUAlbertina"/>
                <w:lang w:eastAsia="sk-SK"/>
              </w:rPr>
              <w:t>§5</w:t>
            </w:r>
          </w:p>
          <w:p w:rsidR="00C751EE" w:rsidRPr="00C35DDB" w:rsidP="00C751EE">
            <w:pPr>
              <w:pStyle w:val="BodyText21"/>
              <w:spacing w:before="0"/>
              <w:jc w:val="center"/>
              <w:rPr>
                <w:rFonts w:ascii="EUAlbertina" w:hAnsi="EUAlbertina" w:cs="EUAlbertina"/>
                <w:lang w:eastAsia="sk-SK"/>
              </w:rPr>
            </w:pPr>
            <w:r w:rsidRPr="00C35DDB">
              <w:rPr>
                <w:rFonts w:ascii="EUAlbertina" w:hAnsi="EUAlbertina" w:cs="EUAlbertina"/>
                <w:lang w:eastAsia="sk-SK"/>
              </w:rPr>
              <w:t>O1</w:t>
            </w: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p w:rsidR="00C751EE" w:rsidRPr="00C35DDB" w:rsidP="00C751EE">
            <w:pPr>
              <w:pStyle w:val="BodyText21"/>
              <w:spacing w:before="0"/>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4B3966" w:rsidP="00C751EE">
            <w:pPr>
              <w:pStyle w:val="FootnoteText"/>
              <w:jc w:val="both"/>
              <w:rPr>
                <w:rFonts w:ascii="ms sans serif" w:hAnsi="ms sans serif"/>
                <w:sz w:val="20"/>
              </w:rPr>
            </w:pPr>
            <w:r w:rsidRPr="004B3966">
              <w:rPr>
                <w:rFonts w:ascii="ms sans serif" w:hAnsi="ms sans serif"/>
                <w:sz w:val="20"/>
              </w:rPr>
              <w:t>(6)</w:t>
            </w:r>
            <w:r w:rsidRPr="004B3966">
              <w:rPr>
                <w:sz w:val="20"/>
                <w:lang w:eastAsia="en-US"/>
              </w:rPr>
              <w:t xml:space="preserve"> </w:t>
            </w:r>
            <w:r w:rsidRPr="004B3966" w:rsidR="004A2119">
              <w:rPr>
                <w:sz w:val="20"/>
                <w:lang w:eastAsia="en-US"/>
              </w:rPr>
              <w:t>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C751EE" w:rsidRPr="004B3966" w:rsidP="00C751EE">
            <w:pPr>
              <w:pStyle w:val="FootnoteText"/>
              <w:jc w:val="both"/>
              <w:rPr>
                <w:rFonts w:ascii="ms sans serif" w:hAnsi="ms sans serif"/>
                <w:sz w:val="20"/>
              </w:rPr>
            </w:pPr>
          </w:p>
          <w:p w:rsidR="00C751EE" w:rsidRPr="004B3966" w:rsidP="00C751EE">
            <w:pPr>
              <w:pStyle w:val="FootnoteText"/>
              <w:jc w:val="both"/>
              <w:rPr>
                <w:sz w:val="20"/>
                <w:lang w:eastAsia="en-US"/>
              </w:rPr>
            </w:pPr>
          </w:p>
          <w:p w:rsidR="00C751EE" w:rsidRPr="004B3966" w:rsidP="00C751EE">
            <w:pPr>
              <w:autoSpaceDE w:val="0"/>
              <w:autoSpaceDN w:val="0"/>
              <w:adjustRightInd w:val="0"/>
              <w:jc w:val="both"/>
              <w:rPr>
                <w:sz w:val="20"/>
                <w:lang w:eastAsia="en-US"/>
              </w:rPr>
            </w:pPr>
            <w:r w:rsidRPr="004B3966">
              <w:rPr>
                <w:sz w:val="20"/>
                <w:lang w:eastAsia="en-US"/>
              </w:rPr>
              <w:t>(1) Na účely § 3 a 4 sa emisie skleníkových plynov počas životného cyklu biopalív a biokvapalín vypočítajú podľa niektorej z týchto možností:</w:t>
            </w:r>
          </w:p>
          <w:p w:rsidR="00C751EE" w:rsidRPr="004B3966" w:rsidP="00C751EE">
            <w:pPr>
              <w:autoSpaceDE w:val="0"/>
              <w:autoSpaceDN w:val="0"/>
              <w:adjustRightInd w:val="0"/>
              <w:jc w:val="both"/>
              <w:rPr>
                <w:sz w:val="20"/>
                <w:lang w:eastAsia="en-US"/>
              </w:rPr>
            </w:pPr>
            <w:r w:rsidRPr="004B3966">
              <w:rPr>
                <w:sz w:val="20"/>
                <w:lang w:eastAsia="en-US"/>
              </w:rPr>
              <w:t>a) ak je určená hodnota úspor emisií skleníkových plynov v rámci výrobného reťazca biopalív stanovená v prílohe č. 2 časti A alebo časti B a hodnota e</w:t>
            </w:r>
            <w:r w:rsidRPr="004B3966">
              <w:rPr>
                <w:sz w:val="20"/>
                <w:vertAlign w:val="subscript"/>
                <w:lang w:eastAsia="en-US"/>
              </w:rPr>
              <w:t>l</w:t>
            </w:r>
            <w:r w:rsidRPr="004B3966">
              <w:rPr>
                <w:sz w:val="20"/>
                <w:lang w:eastAsia="en-US"/>
              </w:rPr>
              <w:t xml:space="preserve"> pre tieto biopalivá vypočítaná v súlade s bodom 7 časti C prílohy č. 2 je rovná alebo menšia ako nula, použije sa určená hodnota,</w:t>
            </w:r>
          </w:p>
          <w:p w:rsidR="00C751EE" w:rsidRPr="004B3966" w:rsidP="00C751EE">
            <w:pPr>
              <w:autoSpaceDE w:val="0"/>
              <w:autoSpaceDN w:val="0"/>
              <w:adjustRightInd w:val="0"/>
              <w:jc w:val="both"/>
              <w:rPr>
                <w:sz w:val="20"/>
                <w:lang w:eastAsia="en-US"/>
              </w:rPr>
            </w:pPr>
            <w:r w:rsidRPr="004B3966">
              <w:rPr>
                <w:sz w:val="20"/>
                <w:lang w:eastAsia="en-US"/>
              </w:rPr>
              <w:t>b) použije sa skutočná hodnota vypočítaná v súlade</w:t>
            </w:r>
          </w:p>
          <w:p w:rsidR="00C751EE" w:rsidRPr="004B3966" w:rsidP="00C751EE">
            <w:pPr>
              <w:autoSpaceDE w:val="0"/>
              <w:autoSpaceDN w:val="0"/>
              <w:adjustRightInd w:val="0"/>
              <w:jc w:val="both"/>
              <w:rPr>
                <w:sz w:val="20"/>
                <w:lang w:eastAsia="en-US"/>
              </w:rPr>
            </w:pPr>
            <w:r w:rsidRPr="004B3966">
              <w:rPr>
                <w:sz w:val="20"/>
                <w:lang w:eastAsia="en-US"/>
              </w:rPr>
              <w:t>s metodikou stanovenou v prílohe č. 2 časti C alebo</w:t>
            </w:r>
          </w:p>
          <w:p w:rsidR="00C751EE" w:rsidRPr="004B3966" w:rsidP="00C751EE">
            <w:pPr>
              <w:autoSpaceDE w:val="0"/>
              <w:autoSpaceDN w:val="0"/>
              <w:adjustRightInd w:val="0"/>
              <w:jc w:val="both"/>
              <w:rPr>
                <w:sz w:val="20"/>
                <w:lang w:eastAsia="en-US"/>
              </w:rPr>
            </w:pPr>
            <w:r w:rsidRPr="004B3966">
              <w:rPr>
                <w:sz w:val="20"/>
                <w:lang w:eastAsia="en-US"/>
              </w:rPr>
              <w:t>c) použije sa hodnota vypočítaná ako súčet faktorov</w:t>
            </w:r>
          </w:p>
          <w:p w:rsidR="00C751EE" w:rsidRPr="004B3966" w:rsidP="00C751EE">
            <w:pPr>
              <w:autoSpaceDE w:val="0"/>
              <w:autoSpaceDN w:val="0"/>
              <w:adjustRightInd w:val="0"/>
              <w:jc w:val="both"/>
              <w:rPr>
                <w:sz w:val="20"/>
                <w:lang w:eastAsia="en-US"/>
              </w:rPr>
            </w:pPr>
            <w:r w:rsidRPr="004B3966">
              <w:rPr>
                <w:sz w:val="20"/>
                <w:lang w:eastAsia="en-US"/>
              </w:rPr>
              <w:t>vzorca uvedeného v bode 1 časti C prílohy č. 2, pričom pri niektorých faktoroch možno použiť podrobné určené hodnoty z prílohy č. 2 časti D alebo časti E a pri všetkých ostatných faktoroch skutočné hodnoty vypočítané v súlade s metodikou stanovenou v prílohe č. 2 časti C.</w:t>
            </w:r>
          </w:p>
        </w:tc>
        <w:tc>
          <w:tcPr>
            <w:tcW w:w="709" w:type="dxa"/>
            <w:tcBorders>
              <w:top w:val="single" w:sz="4" w:space="0" w:color="auto"/>
              <w:bottom w:val="single" w:sz="4" w:space="0" w:color="auto"/>
            </w:tcBorders>
          </w:tcPr>
          <w:p w:rsidR="00C751EE" w:rsidRPr="00C35DDB" w:rsidP="00C751EE">
            <w:pPr>
              <w:jc w:val="center"/>
              <w:rPr>
                <w:rFonts w:ascii="EUAlbertina" w:hAnsi="EUAlbertina" w:cs="EUAlbertina"/>
                <w:sz w:val="20"/>
                <w:lang w:eastAsia="sk-SK"/>
              </w:rPr>
            </w:pPr>
            <w:r w:rsidRPr="00C35DDB">
              <w:rPr>
                <w:rFonts w:ascii="EUAlbertina" w:hAnsi="EUAlbertina" w:cs="EUAlbertina"/>
                <w:sz w:val="20"/>
                <w:lang w:eastAsia="sk-SK"/>
              </w:rPr>
              <w:t>Ú</w:t>
            </w: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p w:rsidR="00C751EE" w:rsidRPr="00C35DDB"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p w:rsidR="00C751EE" w:rsidRPr="00A82DCB"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3595"/>
        </w:trPr>
        <w:tc>
          <w:tcPr>
            <w:tcW w:w="637" w:type="dxa"/>
            <w:tcBorders>
              <w:top w:val="single" w:sz="4" w:space="0" w:color="auto"/>
              <w:bottom w:val="single" w:sz="4" w:space="0" w:color="auto"/>
            </w:tcBorders>
          </w:tcPr>
          <w:p w:rsidR="00C751EE" w:rsidRPr="001012B3" w:rsidP="00C751EE">
            <w:pPr>
              <w:jc w:val="both"/>
              <w:rPr>
                <w:rFonts w:ascii="EUAlbertina" w:hAnsi="EUAlbertina" w:cs="EUAlbertina"/>
                <w:sz w:val="20"/>
                <w:lang w:eastAsia="sk-SK"/>
              </w:rPr>
            </w:pPr>
            <w:r w:rsidRPr="001012B3">
              <w:rPr>
                <w:rFonts w:ascii="EUAlbertina" w:hAnsi="EUAlbertina" w:cs="EUAlbertina"/>
                <w:sz w:val="20"/>
                <w:lang w:eastAsia="sk-SK"/>
              </w:rPr>
              <w:t>Č7d</w:t>
            </w:r>
          </w:p>
          <w:p w:rsidR="00C751EE" w:rsidRPr="001012B3" w:rsidP="00C751EE">
            <w:pPr>
              <w:jc w:val="both"/>
              <w:rPr>
                <w:rFonts w:ascii="EUAlbertina" w:hAnsi="EUAlbertina" w:cs="EUAlbertina"/>
                <w:sz w:val="20"/>
                <w:lang w:eastAsia="sk-SK"/>
              </w:rPr>
            </w:pPr>
            <w:r w:rsidRPr="001012B3">
              <w:rPr>
                <w:rFonts w:ascii="EUAlbertina" w:hAnsi="EUAlbertina" w:cs="EUAlbertina"/>
                <w:sz w:val="20"/>
                <w:lang w:eastAsia="sk-SK"/>
              </w:rPr>
              <w:t>O2</w:t>
            </w:r>
          </w:p>
          <w:p w:rsidR="00C751EE" w:rsidRPr="001012B3" w:rsidP="00C751EE">
            <w:pPr>
              <w:jc w:val="both"/>
              <w:rPr>
                <w:rFonts w:ascii="EUAlbertina" w:hAnsi="EUAlbertina" w:cs="EUAlbertina"/>
                <w:sz w:val="20"/>
                <w:lang w:eastAsia="sk-SK"/>
              </w:rPr>
            </w:pPr>
          </w:p>
        </w:tc>
        <w:tc>
          <w:tcPr>
            <w:tcW w:w="5245" w:type="dxa"/>
            <w:tcBorders>
              <w:top w:val="single" w:sz="4" w:space="0" w:color="auto"/>
              <w:bottom w:val="single" w:sz="4" w:space="0" w:color="auto"/>
            </w:tcBorders>
          </w:tcPr>
          <w:p w:rsidR="00C751EE" w:rsidRPr="001012B3" w:rsidP="00C751EE">
            <w:pPr>
              <w:autoSpaceDE w:val="0"/>
              <w:autoSpaceDN w:val="0"/>
              <w:adjustRightInd w:val="0"/>
              <w:jc w:val="both"/>
              <w:rPr>
                <w:sz w:val="20"/>
                <w:lang w:eastAsia="sk-SK"/>
              </w:rPr>
            </w:pPr>
            <w:r w:rsidRPr="001012B3">
              <w:rPr>
                <w:sz w:val="20"/>
                <w:lang w:eastAsia="sk-SK"/>
              </w:rPr>
              <w:t>2. Do 31. marca 2010 členské štáty predložia Komisii správu obsahujúcu zoznam tých oblastí na svojom území klasifikovaných ako úroveň 2 nomenklatúry územných jednotiek pre štatistické účely (ďalej len „NUTS“) alebo ako podrobnejšia úroveň NUTS v súlade s nariadením Európskeho parlamentu a Rady (ES) č. 1059/2003 z 26. mája 2003 o zostavení spoločnej nomenklatúry územných jednotiek pre štatistické účely (NUTS) (</w:t>
            </w:r>
            <w:r w:rsidRPr="001012B3">
              <w:rPr>
                <w:sz w:val="20"/>
                <w:vertAlign w:val="superscript"/>
                <w:lang w:eastAsia="sk-SK"/>
              </w:rPr>
              <w:t>1</w:t>
            </w:r>
            <w:r w:rsidRPr="001012B3">
              <w:rPr>
                <w:sz w:val="20"/>
                <w:lang w:eastAsia="sk-SK"/>
              </w:rPr>
              <w:t>), v ktorých možno očakávať, že bežné emisie skleníkových plynov z pestovania poľnohospodárskych surovín sú nižšie alebo sa rovnajú emisiám uvedeným pod nadpisom „Roztriedenie určených hodnôt pre pestovanie“ v časti D prílohy IV tejto smernice, pričom k správe priložia opis metódy a údajov použitých na vypracovanie tohto zoznamu. V tejto metóde sa zohľadňujú pôdne vlastnosti, podnebie a očakávané výnosy suroviny.</w:t>
            </w:r>
          </w:p>
        </w:tc>
        <w:tc>
          <w:tcPr>
            <w:tcW w:w="567" w:type="dxa"/>
            <w:tcBorders>
              <w:top w:val="single" w:sz="4" w:space="0" w:color="auto"/>
              <w:bottom w:val="single" w:sz="4" w:space="0" w:color="auto"/>
            </w:tcBorders>
          </w:tcPr>
          <w:p w:rsidR="00C751EE" w:rsidRPr="001012B3" w:rsidP="00C751EE">
            <w:pPr>
              <w:jc w:val="both"/>
              <w:rPr>
                <w:rFonts w:ascii="EUAlbertina" w:hAnsi="EUAlbertina" w:cs="EUAlbertina"/>
                <w:sz w:val="20"/>
                <w:lang w:eastAsia="sk-SK"/>
              </w:rPr>
            </w:pPr>
            <w:r w:rsidRPr="001012B3">
              <w:rPr>
                <w:rFonts w:ascii="EUAlbertina" w:hAnsi="EUAlbertina" w:cs="EUAlbertina"/>
                <w:sz w:val="20"/>
                <w:lang w:eastAsia="sk-SK"/>
              </w:rPr>
              <w:t>N</w:t>
            </w: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tc>
        <w:tc>
          <w:tcPr>
            <w:tcW w:w="1276" w:type="dxa"/>
            <w:tcBorders>
              <w:top w:val="single" w:sz="4" w:space="0" w:color="auto"/>
              <w:bottom w:val="single" w:sz="4" w:space="0" w:color="auto"/>
            </w:tcBorders>
          </w:tcPr>
          <w:p w:rsidR="00C751EE" w:rsidRPr="001012B3" w:rsidP="00C751EE">
            <w:pPr>
              <w:jc w:val="center"/>
              <w:rPr>
                <w:rFonts w:ascii="EUAlbertina" w:hAnsi="EUAlbertina" w:cs="EUAlbertina"/>
                <w:sz w:val="20"/>
                <w:lang w:eastAsia="sk-SK"/>
              </w:rPr>
            </w:pPr>
            <w:r w:rsidRPr="001012B3">
              <w:rPr>
                <w:rFonts w:ascii="EUAlbertina" w:hAnsi="EUAlbertina" w:cs="EUAlbertina"/>
                <w:sz w:val="20"/>
                <w:lang w:eastAsia="sk-SK"/>
              </w:rPr>
              <w:t>Z</w:t>
            </w:r>
            <w:r>
              <w:rPr>
                <w:rFonts w:ascii="EUAlbertina" w:hAnsi="EUAlbertina" w:cs="EUAlbertina"/>
                <w:sz w:val="20"/>
                <w:lang w:eastAsia="sk-SK"/>
              </w:rPr>
              <w:t xml:space="preserve"> </w:t>
            </w:r>
            <w:r w:rsidRPr="001012B3">
              <w:rPr>
                <w:rFonts w:ascii="EUAlbertina" w:hAnsi="EUAlbertina" w:cs="EUAlbertina"/>
                <w:sz w:val="20"/>
                <w:lang w:eastAsia="sk-SK"/>
              </w:rPr>
              <w:t>309/2009</w:t>
            </w: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1012B3" w:rsidP="00C751EE">
            <w:pPr>
              <w:pStyle w:val="BodyText21"/>
              <w:spacing w:before="0"/>
              <w:jc w:val="center"/>
              <w:rPr>
                <w:rFonts w:ascii="EUAlbertina" w:hAnsi="EUAlbertina" w:cs="EUAlbertina"/>
                <w:lang w:eastAsia="sk-SK"/>
              </w:rPr>
            </w:pPr>
            <w:r w:rsidRPr="001012B3">
              <w:rPr>
                <w:rFonts w:ascii="EUAlbertina" w:hAnsi="EUAlbertina" w:cs="EUAlbertina"/>
                <w:lang w:eastAsia="sk-SK"/>
              </w:rPr>
              <w:t>§19b</w:t>
            </w:r>
          </w:p>
          <w:p w:rsidR="00C751EE" w:rsidRPr="001012B3" w:rsidP="00C751EE">
            <w:pPr>
              <w:pStyle w:val="BodyText21"/>
              <w:spacing w:before="0"/>
              <w:jc w:val="center"/>
              <w:rPr>
                <w:rFonts w:ascii="EUAlbertina" w:hAnsi="EUAlbertina" w:cs="EUAlbertina"/>
                <w:lang w:eastAsia="sk-SK"/>
              </w:rPr>
            </w:pPr>
            <w:r w:rsidRPr="001012B3">
              <w:rPr>
                <w:rFonts w:ascii="EUAlbertina" w:hAnsi="EUAlbertina" w:cs="EUAlbertina"/>
                <w:lang w:eastAsia="sk-SK"/>
              </w:rPr>
              <w:t>O2</w:t>
            </w:r>
          </w:p>
          <w:p w:rsidR="00C751EE" w:rsidRPr="001012B3" w:rsidP="00C751EE">
            <w:pPr>
              <w:pStyle w:val="BodyText21"/>
              <w:spacing w:before="0"/>
              <w:jc w:val="center"/>
              <w:rPr>
                <w:rFonts w:ascii="EUAlbertina" w:hAnsi="EUAlbertina" w:cs="EUAlbertina"/>
                <w:lang w:eastAsia="sk-SK"/>
              </w:rPr>
            </w:pPr>
            <w:r w:rsidRPr="001012B3">
              <w:rPr>
                <w:rFonts w:ascii="EUAlbertina" w:hAnsi="EUAlbertina" w:cs="EUAlbertina"/>
                <w:lang w:eastAsia="sk-SK"/>
              </w:rPr>
              <w:t>Pa</w:t>
            </w: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spacing w:before="0"/>
              <w:jc w:val="center"/>
              <w:rPr>
                <w:rFonts w:ascii="EUAlbertina" w:hAnsi="EUAlbertina" w:cs="EUAlbertina"/>
                <w:lang w:eastAsia="sk-SK"/>
              </w:rPr>
            </w:pPr>
          </w:p>
          <w:p w:rsidR="00C751EE" w:rsidRPr="001012B3" w:rsidP="00C751EE">
            <w:pPr>
              <w:pStyle w:val="BodyText21"/>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4B3966" w:rsidP="00C751EE">
            <w:pPr>
              <w:jc w:val="both"/>
              <w:rPr>
                <w:rFonts w:ascii="ms sans serif" w:hAnsi="ms sans serif"/>
                <w:sz w:val="20"/>
              </w:rPr>
            </w:pPr>
            <w:r w:rsidRPr="004B3966">
              <w:rPr>
                <w:rFonts w:ascii="ms sans serif" w:hAnsi="ms sans serif"/>
                <w:sz w:val="20"/>
              </w:rPr>
              <w:t>(2) Ministerstvo pôdohospodárstva a rozvoja vidieka Slovenskej republiky všeobecne záväzným právnym predpisom ustanoví</w:t>
            </w:r>
          </w:p>
          <w:p w:rsidR="00C751EE" w:rsidRPr="004B3966" w:rsidP="00C751EE">
            <w:pPr>
              <w:jc w:val="both"/>
              <w:rPr>
                <w:sz w:val="20"/>
              </w:rPr>
            </w:pPr>
            <w:r w:rsidRPr="004B3966">
              <w:rPr>
                <w:rFonts w:ascii="ms sans serif" w:hAnsi="ms sans serif"/>
                <w:sz w:val="20"/>
              </w:rPr>
              <w:t xml:space="preserve">a) 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 </w:t>
            </w:r>
          </w:p>
          <w:p w:rsidR="00C751EE" w:rsidRPr="004B3966" w:rsidP="00C751EE">
            <w:pPr>
              <w:jc w:val="both"/>
              <w:rPr>
                <w:sz w:val="20"/>
              </w:rPr>
            </w:pPr>
          </w:p>
          <w:p w:rsidR="00C751EE" w:rsidRPr="004B3966" w:rsidP="00C751EE">
            <w:pPr>
              <w:jc w:val="both"/>
              <w:rPr>
                <w:sz w:val="20"/>
              </w:rPr>
            </w:pPr>
          </w:p>
          <w:p w:rsidR="00C751EE" w:rsidRPr="004B3966" w:rsidP="00C751EE">
            <w:pPr>
              <w:jc w:val="both"/>
              <w:rPr>
                <w:sz w:val="20"/>
              </w:rPr>
            </w:pPr>
          </w:p>
          <w:p w:rsidR="00C751EE" w:rsidRPr="004B3966" w:rsidP="00C751EE">
            <w:pPr>
              <w:jc w:val="both"/>
              <w:rPr>
                <w:sz w:val="20"/>
              </w:rPr>
            </w:pPr>
          </w:p>
          <w:p w:rsidR="00C751EE" w:rsidRPr="004B3966" w:rsidP="00C751EE">
            <w:pPr>
              <w:jc w:val="both"/>
              <w:rPr>
                <w:sz w:val="20"/>
              </w:rPr>
            </w:pPr>
          </w:p>
        </w:tc>
        <w:tc>
          <w:tcPr>
            <w:tcW w:w="709" w:type="dxa"/>
            <w:tcBorders>
              <w:top w:val="single" w:sz="4" w:space="0" w:color="auto"/>
              <w:bottom w:val="single" w:sz="4" w:space="0" w:color="auto"/>
            </w:tcBorders>
          </w:tcPr>
          <w:p w:rsidR="00C751EE" w:rsidRPr="001012B3" w:rsidP="00C751EE">
            <w:pPr>
              <w:jc w:val="center"/>
              <w:rPr>
                <w:rFonts w:ascii="EUAlbertina" w:hAnsi="EUAlbertina" w:cs="EUAlbertina"/>
                <w:sz w:val="20"/>
                <w:lang w:eastAsia="sk-SK"/>
              </w:rPr>
            </w:pPr>
            <w:r w:rsidRPr="001012B3">
              <w:rPr>
                <w:rFonts w:ascii="EUAlbertina" w:hAnsi="EUAlbertina" w:cs="EUAlbertina"/>
                <w:sz w:val="20"/>
                <w:lang w:eastAsia="sk-SK"/>
              </w:rPr>
              <w:t>Ú</w:t>
            </w: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p w:rsidR="00C751EE" w:rsidRPr="001012B3" w:rsidP="00C751EE">
            <w:pPr>
              <w:jc w:val="center"/>
              <w:rPr>
                <w:rFonts w:ascii="EUAlbertina" w:hAnsi="EUAlbertina" w:cs="EUAlbertina"/>
                <w:sz w:val="20"/>
                <w:lang w:eastAsia="sk-SK"/>
              </w:rPr>
            </w:pPr>
          </w:p>
        </w:tc>
        <w:tc>
          <w:tcPr>
            <w:tcW w:w="1701" w:type="dxa"/>
            <w:tcBorders>
              <w:top w:val="single" w:sz="4" w:space="0" w:color="auto"/>
              <w:bottom w:val="single" w:sz="4" w:space="0" w:color="auto"/>
            </w:tcBorders>
          </w:tcPr>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rFonts w:ascii="EUAlbertina" w:hAnsi="EUAlbertina" w:cs="EUAlbertina"/>
                <w:sz w:val="20"/>
                <w:lang w:eastAsia="sk-SK"/>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sz w:val="20"/>
              </w:rPr>
            </w:pPr>
          </w:p>
          <w:p w:rsidR="00C751EE" w:rsidRPr="001012B3" w:rsidP="00C751EE">
            <w:pPr>
              <w:jc w:val="both"/>
              <w:rPr>
                <w:rFonts w:ascii="EUAlbertina" w:hAnsi="EUAlbertina" w:cs="EUAlbertina"/>
                <w:sz w:val="20"/>
                <w:lang w:eastAsia="sk-SK"/>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Č7d</w:t>
            </w:r>
          </w:p>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O3</w:t>
            </w:r>
          </w:p>
          <w:p w:rsidR="00C751EE" w:rsidRPr="00145AB8" w:rsidP="00C751EE">
            <w:pPr>
              <w:jc w:val="both"/>
              <w:rPr>
                <w:rFonts w:ascii="EUAlbertina" w:hAnsi="EUAlbertina" w:cs="EUAlbertina"/>
                <w:sz w:val="20"/>
                <w:lang w:eastAsia="sk-SK"/>
              </w:rPr>
            </w:pPr>
          </w:p>
        </w:tc>
        <w:tc>
          <w:tcPr>
            <w:tcW w:w="5245" w:type="dxa"/>
            <w:tcBorders>
              <w:top w:val="single" w:sz="4" w:space="0" w:color="auto"/>
              <w:bottom w:val="single" w:sz="4" w:space="0" w:color="auto"/>
            </w:tcBorders>
          </w:tcPr>
          <w:p w:rsidR="00C751EE" w:rsidRPr="004D1DCA" w:rsidP="009B2050">
            <w:pPr>
              <w:autoSpaceDE w:val="0"/>
              <w:autoSpaceDN w:val="0"/>
              <w:adjustRightInd w:val="0"/>
              <w:jc w:val="both"/>
              <w:rPr>
                <w:sz w:val="20"/>
                <w:lang w:eastAsia="sk-SK"/>
              </w:rPr>
            </w:pPr>
            <w:r w:rsidRPr="004D1DCA">
              <w:rPr>
                <w:sz w:val="20"/>
                <w:lang w:eastAsia="sk-SK"/>
              </w:rPr>
              <w:t xml:space="preserve">3. </w:t>
            </w:r>
            <w:r w:rsidRPr="004D1DCA" w:rsidR="00BD1BEB">
              <w:rPr>
                <w:sz w:val="20"/>
                <w:lang w:eastAsia="sk-SK"/>
              </w:rPr>
              <w:t xml:space="preserve">Komisii sa môžu nahlásiť typické emisie skleníkových plynov z pestovania poľnohospodárskych východiskových surovín zahrnutých v prípade členských štátov do správ uvedených v odseku 2 a v prípade území mimo Únie do správ rovnocenných so správami uvedenými v odseku 2 a vypracovanými príslušnými orgánmi. </w:t>
            </w:r>
          </w:p>
        </w:tc>
        <w:tc>
          <w:tcPr>
            <w:tcW w:w="56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009B2050">
              <w:rPr>
                <w:rFonts w:ascii="EUAlbertina" w:hAnsi="EUAlbertina" w:cs="EUAlbertina"/>
                <w:sz w:val="20"/>
                <w:lang w:eastAsia="sk-SK"/>
              </w:rPr>
              <w:t>D</w:t>
            </w:r>
          </w:p>
        </w:tc>
        <w:tc>
          <w:tcPr>
            <w:tcW w:w="1276" w:type="dxa"/>
            <w:tcBorders>
              <w:top w:val="single" w:sz="4" w:space="0" w:color="auto"/>
              <w:bottom w:val="single" w:sz="4" w:space="0" w:color="auto"/>
            </w:tcBorders>
          </w:tcPr>
          <w:p w:rsidR="00C751EE" w:rsidRPr="00145AB8" w:rsidP="00C751EE">
            <w:pPr>
              <w:jc w:val="center"/>
              <w:rPr>
                <w:rFonts w:ascii="EUAlbertina" w:hAnsi="EUAlbertina" w:cs="EUAlbertina"/>
                <w:sz w:val="20"/>
                <w:lang w:eastAsia="sk-SK"/>
              </w:rPr>
            </w:pPr>
          </w:p>
        </w:tc>
        <w:tc>
          <w:tcPr>
            <w:tcW w:w="709" w:type="dxa"/>
            <w:tcBorders>
              <w:top w:val="single" w:sz="4" w:space="0" w:color="auto"/>
              <w:bottom w:val="single" w:sz="4" w:space="0" w:color="auto"/>
            </w:tcBorders>
          </w:tcPr>
          <w:p w:rsidR="00C751EE" w:rsidRPr="00145AB8" w:rsidP="00C751EE">
            <w:pPr>
              <w:pStyle w:val="BodyText21"/>
              <w:jc w:val="center"/>
              <w:rPr>
                <w:rFonts w:ascii="EUAlbertina" w:hAnsi="EUAlbertina" w:cs="EUAlbertina"/>
                <w:lang w:eastAsia="sk-SK"/>
              </w:rPr>
            </w:pPr>
          </w:p>
        </w:tc>
        <w:tc>
          <w:tcPr>
            <w:tcW w:w="4110" w:type="dxa"/>
            <w:tcBorders>
              <w:top w:val="single" w:sz="4" w:space="0" w:color="auto"/>
              <w:bottom w:val="single" w:sz="4" w:space="0" w:color="auto"/>
            </w:tcBorders>
          </w:tcPr>
          <w:p w:rsidR="00C751EE" w:rsidRPr="00A755D5" w:rsidP="00C751EE">
            <w:pPr>
              <w:autoSpaceDE w:val="0"/>
              <w:autoSpaceDN w:val="0"/>
              <w:adjustRightInd w:val="0"/>
              <w:jc w:val="both"/>
              <w:rPr>
                <w:sz w:val="20"/>
                <w:highlight w:val="yellow"/>
              </w:rPr>
            </w:pPr>
          </w:p>
        </w:tc>
        <w:tc>
          <w:tcPr>
            <w:tcW w:w="709" w:type="dxa"/>
            <w:tcBorders>
              <w:top w:val="single" w:sz="4" w:space="0" w:color="auto"/>
              <w:bottom w:val="single" w:sz="4" w:space="0" w:color="auto"/>
            </w:tcBorders>
          </w:tcPr>
          <w:p w:rsidR="00C751EE" w:rsidRPr="00145AB8" w:rsidP="00C751EE">
            <w:pPr>
              <w:jc w:val="center"/>
              <w:rPr>
                <w:rFonts w:ascii="EUAlbertina" w:hAnsi="EUAlbertina" w:cs="EUAlbertina"/>
                <w:sz w:val="20"/>
                <w:lang w:eastAsia="sk-SK"/>
              </w:rPr>
            </w:pPr>
            <w:r w:rsidR="00225FBA">
              <w:rPr>
                <w:sz w:val="20"/>
              </w:rPr>
              <w:t>Ž</w:t>
            </w:r>
          </w:p>
        </w:tc>
        <w:tc>
          <w:tcPr>
            <w:tcW w:w="1701" w:type="dxa"/>
            <w:tcBorders>
              <w:top w:val="single" w:sz="4" w:space="0" w:color="auto"/>
              <w:bottom w:val="single" w:sz="4" w:space="0" w:color="auto"/>
            </w:tcBorders>
          </w:tcPr>
          <w:p w:rsidR="00C751EE" w:rsidRPr="00A82DCB" w:rsidP="00C751EE">
            <w:pPr>
              <w:jc w:val="both"/>
              <w:rPr>
                <w:color w:val="00B0F0"/>
                <w:sz w:val="20"/>
              </w:rPr>
            </w:pPr>
          </w:p>
          <w:p w:rsidR="00C751EE" w:rsidRPr="00A82DCB" w:rsidP="00C751EE">
            <w:pPr>
              <w:jc w:val="both"/>
              <w:rPr>
                <w:rFonts w:ascii="EUAlbertina" w:hAnsi="EUAlbertina" w:cs="EUAlbertina"/>
                <w:color w:val="00B0F0"/>
                <w:sz w:val="20"/>
                <w:lang w:eastAsia="sk-SK"/>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Č7d</w:t>
            </w:r>
          </w:p>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O4</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4. </w:t>
            </w:r>
            <w:r w:rsidRPr="004D1DCA" w:rsidR="00BD1BEB">
              <w:rPr>
                <w:sz w:val="20"/>
                <w:lang w:eastAsia="sk-SK"/>
              </w:rPr>
              <w:t>Komisia môže prostredníctvom vykonávacieho aktu prijatého v súlade s postupom preskúmania uvedeným v článku 11 ods. 3 rozhodnúť, že správy uvedené v odseku 3 tohto článku majú obsahovať presné údaje na účely merania emisií skleníkových plynov spojených s pestovaním surovín pre biopalivá typicky produkovaných v daných oblastiach na účely článku 7b ods. 2.</w:t>
            </w:r>
          </w:p>
        </w:tc>
        <w:tc>
          <w:tcPr>
            <w:tcW w:w="56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A82DCB"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ind w:firstLine="284"/>
              <w:jc w:val="both"/>
              <w:rPr>
                <w:color w:val="00B0F0"/>
                <w:sz w:val="20"/>
                <w:highlight w:val="yellow"/>
                <w:lang w:eastAsia="en-US"/>
              </w:rPr>
            </w:pPr>
          </w:p>
        </w:tc>
        <w:tc>
          <w:tcPr>
            <w:tcW w:w="709"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A82DCB" w:rsidP="00C751EE">
            <w:pPr>
              <w:jc w:val="both"/>
              <w:rPr>
                <w:color w:val="00B0F0"/>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Č7d</w:t>
            </w:r>
          </w:p>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O5</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5. </w:t>
            </w:r>
            <w:r w:rsidRPr="004D1DCA" w:rsidR="00BD1BEB">
              <w:rPr>
                <w:sz w:val="20"/>
                <w:lang w:eastAsia="sk-SK"/>
              </w:rPr>
              <w:t>Komisia najneskôr do 31. decembra 2012 a potom každé dva roky vypracuje a uverejní správu o odhadovaných typických a určených hodnotách v prílohe IV častiach B a E, pričom venuje osobitnú pozornosť emisiám skleníkových plynov z dopravy a spracovania.</w:t>
            </w:r>
          </w:p>
          <w:p w:rsidR="00BD1BEB" w:rsidRPr="004D1DCA" w:rsidP="00C751EE">
            <w:pPr>
              <w:autoSpaceDE w:val="0"/>
              <w:autoSpaceDN w:val="0"/>
              <w:adjustRightInd w:val="0"/>
              <w:jc w:val="both"/>
              <w:rPr>
                <w:sz w:val="20"/>
                <w:lang w:eastAsia="sk-SK"/>
              </w:rPr>
            </w:pPr>
          </w:p>
          <w:p w:rsidR="00BD1BEB" w:rsidRPr="004D1DCA" w:rsidP="00C751EE">
            <w:pPr>
              <w:autoSpaceDE w:val="0"/>
              <w:autoSpaceDN w:val="0"/>
              <w:adjustRightInd w:val="0"/>
              <w:jc w:val="both"/>
              <w:rPr>
                <w:sz w:val="20"/>
                <w:lang w:eastAsia="sk-SK"/>
              </w:rPr>
            </w:pPr>
            <w:r w:rsidRPr="004D1DCA">
              <w:rPr>
                <w:sz w:val="20"/>
                <w:lang w:eastAsia="sk-SK"/>
              </w:rPr>
              <w:t>V prípade, že zo správ uvedených v prvom pododseku vyplynie, že odhadované typické a určené hodnoty v prílohe IV častiach B a E môže byť potrebné upraviť na základe najnovších vedeckých poznatkov, Komisia podľa potreby predloží Európskemu parlamentu a Rade legislatívny návrh.</w:t>
            </w:r>
          </w:p>
        </w:tc>
        <w:tc>
          <w:tcPr>
            <w:tcW w:w="56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A82DCB"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ind w:firstLine="284"/>
              <w:jc w:val="both"/>
              <w:rPr>
                <w:color w:val="00B0F0"/>
                <w:sz w:val="20"/>
                <w:highlight w:val="yellow"/>
                <w:lang w:eastAsia="en-US"/>
              </w:rPr>
            </w:pPr>
          </w:p>
        </w:tc>
        <w:tc>
          <w:tcPr>
            <w:tcW w:w="709"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A82DCB" w:rsidP="00C751EE">
            <w:pPr>
              <w:jc w:val="both"/>
              <w:rPr>
                <w:color w:val="00B0F0"/>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Č7d</w:t>
            </w:r>
          </w:p>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O7</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7. </w:t>
            </w:r>
            <w:r w:rsidRPr="004D1DCA" w:rsidR="00BD1BEB">
              <w:rPr>
                <w:sz w:val="20"/>
                <w:lang w:eastAsia="sk-SK"/>
              </w:rPr>
              <w:t>Komisia preskúma prílohu IV, aby sa do nej v opodstatnených prípadoch doplnili hodnoty pre ďalšie postupy výroby biopalív z tých istých alebo iných východiskových surovín. V rámci tohto preskúmania sa zváži aj úprava metodiky stanovenej v prílohe IV časti C, najmä pokiaľ ide o:</w:t>
            </w:r>
          </w:p>
          <w:p w:rsidR="00BD1BEB" w:rsidRPr="004D1DCA" w:rsidP="00C751EE">
            <w:pPr>
              <w:autoSpaceDE w:val="0"/>
              <w:autoSpaceDN w:val="0"/>
              <w:adjustRightInd w:val="0"/>
              <w:jc w:val="both"/>
              <w:rPr>
                <w:sz w:val="20"/>
                <w:lang w:eastAsia="sk-SK"/>
              </w:rPr>
            </w:pPr>
            <w:r w:rsidRPr="004D1DCA">
              <w:rPr>
                <w:sz w:val="20"/>
                <w:lang w:eastAsia="sk-SK"/>
              </w:rPr>
              <w:t>- metódu zohľadnenia odpadov a zvyškov,</w:t>
            </w:r>
          </w:p>
          <w:p w:rsidR="00BD1BEB" w:rsidRPr="004D1DCA" w:rsidP="00C751EE">
            <w:pPr>
              <w:autoSpaceDE w:val="0"/>
              <w:autoSpaceDN w:val="0"/>
              <w:adjustRightInd w:val="0"/>
              <w:jc w:val="both"/>
              <w:rPr>
                <w:sz w:val="20"/>
                <w:lang w:eastAsia="sk-SK"/>
              </w:rPr>
            </w:pPr>
            <w:r w:rsidRPr="004D1DCA">
              <w:rPr>
                <w:sz w:val="20"/>
                <w:lang w:eastAsia="sk-SK"/>
              </w:rPr>
              <w:t>- metódu zohľadnenia vedľajších produktov,</w:t>
            </w:r>
          </w:p>
          <w:p w:rsidR="00BD1BEB" w:rsidRPr="004D1DCA" w:rsidP="00C751EE">
            <w:pPr>
              <w:autoSpaceDE w:val="0"/>
              <w:autoSpaceDN w:val="0"/>
              <w:adjustRightInd w:val="0"/>
              <w:jc w:val="both"/>
              <w:rPr>
                <w:sz w:val="20"/>
                <w:lang w:eastAsia="sk-SK"/>
              </w:rPr>
            </w:pPr>
            <w:r w:rsidRPr="004D1DCA">
              <w:rPr>
                <w:sz w:val="20"/>
                <w:lang w:eastAsia="sk-SK"/>
              </w:rPr>
              <w:t>- metódu zohľadnenia kogenerácie a</w:t>
            </w:r>
          </w:p>
          <w:p w:rsidR="00BD1BEB" w:rsidRPr="004D1DCA" w:rsidP="00C751EE">
            <w:pPr>
              <w:autoSpaceDE w:val="0"/>
              <w:autoSpaceDN w:val="0"/>
              <w:adjustRightInd w:val="0"/>
              <w:jc w:val="both"/>
              <w:rPr>
                <w:sz w:val="20"/>
                <w:lang w:eastAsia="sk-SK"/>
              </w:rPr>
            </w:pPr>
            <w:r w:rsidRPr="004D1DCA">
              <w:rPr>
                <w:sz w:val="20"/>
                <w:lang w:eastAsia="sk-SK"/>
              </w:rPr>
              <w:t>- status vedľajších produktov priznaný zvyškom poľnohospodárskych plodín.</w:t>
            </w:r>
          </w:p>
          <w:p w:rsidR="00BD1BEB" w:rsidRPr="004D1DCA" w:rsidP="00C751EE">
            <w:pPr>
              <w:autoSpaceDE w:val="0"/>
              <w:autoSpaceDN w:val="0"/>
              <w:adjustRightInd w:val="0"/>
              <w:jc w:val="both"/>
              <w:rPr>
                <w:sz w:val="20"/>
                <w:lang w:eastAsia="sk-SK"/>
              </w:rPr>
            </w:pPr>
          </w:p>
          <w:p w:rsidR="00BD1BEB" w:rsidRPr="004D1DCA" w:rsidP="00C751EE">
            <w:pPr>
              <w:autoSpaceDE w:val="0"/>
              <w:autoSpaceDN w:val="0"/>
              <w:adjustRightInd w:val="0"/>
              <w:jc w:val="both"/>
              <w:rPr>
                <w:sz w:val="20"/>
                <w:lang w:eastAsia="sk-SK"/>
              </w:rPr>
            </w:pPr>
            <w:r w:rsidRPr="004D1DCA">
              <w:rPr>
                <w:sz w:val="20"/>
                <w:lang w:eastAsia="sk-SK"/>
              </w:rPr>
              <w:t>Určené hodnoty pre bionaftu z odpadového rastlinného alebo živočíšneho oleja sa preskúmajú čo najskôr. Ak z preskúmania Komisie vyplynie, že by sa príloha IV mala doplniť, Komisia je splnomocnená prijať delegované akty podľa článku 10a s cieľom doplniť, ale nie odstrániť alebo zmeniť odhadované typické a určené hodnoty v prílohe IV častiach A, B, D a E pre postupy výroby biopalív, pre ktoré ešte nie sú v uvedenej prílohe zahrnuté konkrétne hodnoty.</w:t>
            </w:r>
          </w:p>
          <w:p w:rsidR="00BD1BEB" w:rsidRPr="004D1DCA" w:rsidP="00C751EE">
            <w:pPr>
              <w:autoSpaceDE w:val="0"/>
              <w:autoSpaceDN w:val="0"/>
              <w:adjustRightInd w:val="0"/>
              <w:jc w:val="both"/>
              <w:rPr>
                <w:sz w:val="20"/>
                <w:lang w:eastAsia="sk-SK"/>
              </w:rPr>
            </w:pPr>
          </w:p>
          <w:p w:rsidR="00BD1BEB" w:rsidRPr="004D1DCA" w:rsidP="00C751EE">
            <w:pPr>
              <w:autoSpaceDE w:val="0"/>
              <w:autoSpaceDN w:val="0"/>
              <w:adjustRightInd w:val="0"/>
              <w:jc w:val="both"/>
              <w:rPr>
                <w:sz w:val="20"/>
                <w:lang w:eastAsia="sk-SK"/>
              </w:rPr>
            </w:pPr>
            <w:r w:rsidRPr="004D1DCA">
              <w:rPr>
                <w:sz w:val="20"/>
                <w:lang w:eastAsia="sk-SK"/>
              </w:rPr>
              <w:t>Akékoľvek zmeny alebo doplnenia týkajúce sa zoznamu určených hodnôt v prílohe IV musia byť v súlade s týmito pravidlami:</w:t>
            </w:r>
          </w:p>
          <w:p w:rsidR="00BD1BEB" w:rsidRPr="004D1DCA" w:rsidP="00C751EE">
            <w:pPr>
              <w:autoSpaceDE w:val="0"/>
              <w:autoSpaceDN w:val="0"/>
              <w:adjustRightInd w:val="0"/>
              <w:jc w:val="both"/>
              <w:rPr>
                <w:sz w:val="20"/>
                <w:lang w:eastAsia="sk-SK"/>
              </w:rPr>
            </w:pPr>
            <w:r w:rsidRPr="004D1DCA">
              <w:rPr>
                <w:sz w:val="20"/>
                <w:lang w:eastAsia="sk-SK"/>
              </w:rPr>
              <w:t>a) ak je vplyv faktoru na celkové emisie malý alebo ak dochádza len k limitovanej zmene variácií, alebo ak sú náklady na stanovenie skutočných hodnôt vysoké, alebo ak je stanovenie skutočných hodnôt veľmi náročné, určené hodnoty musia byť typické pre normálne výrobné procesy;</w:t>
            </w:r>
          </w:p>
          <w:p w:rsidR="00BD1BEB" w:rsidRPr="004D1DCA" w:rsidP="00C751EE">
            <w:pPr>
              <w:autoSpaceDE w:val="0"/>
              <w:autoSpaceDN w:val="0"/>
              <w:adjustRightInd w:val="0"/>
              <w:jc w:val="both"/>
              <w:rPr>
                <w:sz w:val="20"/>
                <w:lang w:eastAsia="sk-SK"/>
              </w:rPr>
            </w:pPr>
            <w:r w:rsidRPr="004D1DCA">
              <w:rPr>
                <w:sz w:val="20"/>
                <w:lang w:eastAsia="sk-SK"/>
              </w:rPr>
              <w:t>b) vo všetkých ostatných prípadoch musia byť určené hodnoty v porovnaní s normálnymi výrobnými procesmi konzervatívne.</w:t>
            </w:r>
          </w:p>
        </w:tc>
        <w:tc>
          <w:tcPr>
            <w:tcW w:w="56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A82DCB"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ind w:firstLine="284"/>
              <w:jc w:val="both"/>
              <w:rPr>
                <w:color w:val="00B0F0"/>
                <w:sz w:val="20"/>
                <w:highlight w:val="yellow"/>
                <w:lang w:eastAsia="en-US"/>
              </w:rPr>
            </w:pPr>
          </w:p>
        </w:tc>
        <w:tc>
          <w:tcPr>
            <w:tcW w:w="709"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A82DCB" w:rsidP="00C751EE">
            <w:pPr>
              <w:jc w:val="both"/>
              <w:rPr>
                <w:color w:val="00B0F0"/>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Č7d</w:t>
            </w:r>
          </w:p>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O8</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8. </w:t>
            </w:r>
            <w:r w:rsidRPr="004D1DCA" w:rsidR="00BD1BEB">
              <w:rPr>
                <w:sz w:val="20"/>
                <w:lang w:eastAsia="sk-SK"/>
              </w:rPr>
              <w:t>Ak je to potrebné na zabezpečenie jednotného uplatňovania prílohy IV časti C bodu 9, Komisia môže prijať vykonávacie akty, v ktorých sa stanovia podrobné technické špecifikácie a definície. Uvedené vykonávacie akty sa prijmú v súlade s postupom preskúmania uvedeným v článku 11 ods. 3.</w:t>
            </w:r>
          </w:p>
        </w:tc>
        <w:tc>
          <w:tcPr>
            <w:tcW w:w="567" w:type="dxa"/>
            <w:tcBorders>
              <w:top w:val="single" w:sz="4" w:space="0" w:color="auto"/>
              <w:bottom w:val="single" w:sz="4" w:space="0" w:color="auto"/>
            </w:tcBorders>
          </w:tcPr>
          <w:p w:rsidR="00C751EE" w:rsidRPr="00145AB8" w:rsidP="00C751EE">
            <w:pPr>
              <w:jc w:val="both"/>
              <w:rPr>
                <w:rFonts w:ascii="EUAlbertina" w:hAnsi="EUAlbertina" w:cs="EUAlbertina"/>
                <w:sz w:val="20"/>
                <w:lang w:eastAsia="sk-SK"/>
              </w:rPr>
            </w:pPr>
            <w:r w:rsidRPr="00145AB8">
              <w:rPr>
                <w:rFonts w:ascii="EUAlbertina" w:hAnsi="EUAlbertina" w:cs="EUAlbertina"/>
                <w:sz w:val="20"/>
                <w:lang w:eastAsia="sk-SK"/>
              </w:rPr>
              <w:t>n.a.</w:t>
            </w:r>
          </w:p>
        </w:tc>
        <w:tc>
          <w:tcPr>
            <w:tcW w:w="1276"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709" w:type="dxa"/>
            <w:tcBorders>
              <w:top w:val="single" w:sz="4" w:space="0" w:color="auto"/>
              <w:bottom w:val="single" w:sz="4" w:space="0" w:color="auto"/>
            </w:tcBorders>
          </w:tcPr>
          <w:p w:rsidR="00C751EE" w:rsidRPr="00A82DCB" w:rsidP="00C751EE">
            <w:pPr>
              <w:pStyle w:val="BodyText21"/>
              <w:spacing w:before="0"/>
              <w:jc w:val="center"/>
              <w:rPr>
                <w:rFonts w:ascii="EUAlbertina" w:hAnsi="EUAlbertina" w:cs="EUAlbertina"/>
                <w:color w:val="00B0F0"/>
                <w:lang w:eastAsia="sk-SK"/>
              </w:rPr>
            </w:pPr>
          </w:p>
        </w:tc>
        <w:tc>
          <w:tcPr>
            <w:tcW w:w="4110" w:type="dxa"/>
            <w:tcBorders>
              <w:top w:val="single" w:sz="4" w:space="0" w:color="auto"/>
              <w:bottom w:val="single" w:sz="4" w:space="0" w:color="auto"/>
            </w:tcBorders>
          </w:tcPr>
          <w:p w:rsidR="00C751EE" w:rsidRPr="00A755D5" w:rsidP="00C751EE">
            <w:pPr>
              <w:ind w:firstLine="284"/>
              <w:jc w:val="both"/>
              <w:rPr>
                <w:color w:val="00B0F0"/>
                <w:sz w:val="20"/>
                <w:highlight w:val="yellow"/>
                <w:lang w:eastAsia="en-US"/>
              </w:rPr>
            </w:pPr>
          </w:p>
        </w:tc>
        <w:tc>
          <w:tcPr>
            <w:tcW w:w="709" w:type="dxa"/>
            <w:tcBorders>
              <w:top w:val="single" w:sz="4" w:space="0" w:color="auto"/>
              <w:bottom w:val="single" w:sz="4" w:space="0" w:color="auto"/>
            </w:tcBorders>
          </w:tcPr>
          <w:p w:rsidR="00C751EE" w:rsidRPr="00A82DCB" w:rsidP="00C751EE">
            <w:pPr>
              <w:jc w:val="center"/>
              <w:rPr>
                <w:rFonts w:ascii="EUAlbertina" w:hAnsi="EUAlbertina" w:cs="EUAlbertina"/>
                <w:color w:val="00B0F0"/>
                <w:sz w:val="20"/>
                <w:lang w:eastAsia="sk-SK"/>
              </w:rPr>
            </w:pPr>
          </w:p>
        </w:tc>
        <w:tc>
          <w:tcPr>
            <w:tcW w:w="1701" w:type="dxa"/>
            <w:tcBorders>
              <w:top w:val="single" w:sz="4" w:space="0" w:color="auto"/>
              <w:bottom w:val="single" w:sz="4" w:space="0" w:color="auto"/>
            </w:tcBorders>
          </w:tcPr>
          <w:p w:rsidR="00C751EE" w:rsidRPr="00A82DCB" w:rsidP="00C751EE">
            <w:pPr>
              <w:jc w:val="both"/>
              <w:rPr>
                <w:color w:val="00B0F0"/>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sz w:val="20"/>
                <w:lang w:eastAsia="sk-SK"/>
              </w:rPr>
            </w:pPr>
            <w:r w:rsidRPr="00145AB8">
              <w:rPr>
                <w:sz w:val="20"/>
                <w:lang w:eastAsia="sk-SK"/>
              </w:rPr>
              <w:t>Č7e</w:t>
            </w:r>
          </w:p>
          <w:p w:rsidR="00C751EE" w:rsidRPr="00145AB8" w:rsidP="00C751EE">
            <w:pPr>
              <w:jc w:val="both"/>
              <w:rPr>
                <w:sz w:val="20"/>
                <w:lang w:eastAsia="sk-SK"/>
              </w:rPr>
            </w:pPr>
            <w:r w:rsidRPr="00145AB8">
              <w:rPr>
                <w:sz w:val="20"/>
                <w:lang w:eastAsia="sk-SK"/>
              </w:rPr>
              <w:t>O1</w:t>
            </w:r>
          </w:p>
        </w:tc>
        <w:tc>
          <w:tcPr>
            <w:tcW w:w="5245" w:type="dxa"/>
            <w:tcBorders>
              <w:top w:val="single" w:sz="4" w:space="0" w:color="auto"/>
              <w:bottom w:val="single" w:sz="4" w:space="0" w:color="auto"/>
            </w:tcBorders>
          </w:tcPr>
          <w:p w:rsidR="00C751EE" w:rsidRPr="00145AB8" w:rsidP="00C751EE">
            <w:pPr>
              <w:autoSpaceDE w:val="0"/>
              <w:autoSpaceDN w:val="0"/>
              <w:adjustRightInd w:val="0"/>
              <w:jc w:val="both"/>
              <w:rPr>
                <w:sz w:val="20"/>
                <w:lang w:eastAsia="sk-SK"/>
              </w:rPr>
            </w:pPr>
            <w:r w:rsidRPr="00145AB8">
              <w:rPr>
                <w:sz w:val="20"/>
                <w:lang w:eastAsia="sk-SK"/>
              </w:rPr>
              <w:t>Článok 7e</w:t>
            </w:r>
          </w:p>
          <w:p w:rsidR="00C751EE" w:rsidRPr="00145AB8" w:rsidP="00C751EE">
            <w:pPr>
              <w:autoSpaceDE w:val="0"/>
              <w:autoSpaceDN w:val="0"/>
              <w:adjustRightInd w:val="0"/>
              <w:jc w:val="both"/>
              <w:rPr>
                <w:sz w:val="20"/>
                <w:lang w:eastAsia="sk-SK"/>
              </w:rPr>
            </w:pPr>
            <w:r w:rsidRPr="00145AB8">
              <w:rPr>
                <w:sz w:val="20"/>
                <w:lang w:eastAsia="sk-SK"/>
              </w:rPr>
              <w:t>Vykonávacie opatrenia a správy týkajúce sa trvalej udržateľnosti biopalív</w:t>
            </w:r>
          </w:p>
          <w:p w:rsidR="00C751EE" w:rsidRPr="00145AB8" w:rsidP="00C751EE">
            <w:pPr>
              <w:autoSpaceDE w:val="0"/>
              <w:autoSpaceDN w:val="0"/>
              <w:adjustRightInd w:val="0"/>
              <w:jc w:val="both"/>
              <w:rPr>
                <w:sz w:val="20"/>
                <w:lang w:eastAsia="sk-SK"/>
              </w:rPr>
            </w:pPr>
            <w:r w:rsidRPr="00145AB8">
              <w:rPr>
                <w:sz w:val="20"/>
                <w:lang w:eastAsia="sk-SK"/>
              </w:rPr>
              <w:t>1. Vykonávacie opatrenia uvedené v článku 7b ods. 3 druhom</w:t>
            </w:r>
          </w:p>
          <w:p w:rsidR="00C751EE" w:rsidRPr="00145AB8" w:rsidP="00C751EE">
            <w:pPr>
              <w:autoSpaceDE w:val="0"/>
              <w:autoSpaceDN w:val="0"/>
              <w:adjustRightInd w:val="0"/>
              <w:jc w:val="both"/>
              <w:rPr>
                <w:sz w:val="20"/>
                <w:lang w:eastAsia="sk-SK"/>
              </w:rPr>
            </w:pPr>
            <w:r w:rsidRPr="00145AB8">
              <w:rPr>
                <w:sz w:val="20"/>
                <w:lang w:eastAsia="sk-SK"/>
              </w:rPr>
              <w:t>pododseku, v článku 7c ods. 3 treťom pododseku, v článku 7c</w:t>
            </w:r>
          </w:p>
          <w:p w:rsidR="00C751EE" w:rsidRPr="00145AB8" w:rsidP="00C751EE">
            <w:pPr>
              <w:autoSpaceDE w:val="0"/>
              <w:autoSpaceDN w:val="0"/>
              <w:adjustRightInd w:val="0"/>
              <w:jc w:val="both"/>
              <w:rPr>
                <w:sz w:val="20"/>
                <w:lang w:eastAsia="sk-SK"/>
              </w:rPr>
            </w:pPr>
            <w:r w:rsidRPr="00145AB8">
              <w:rPr>
                <w:sz w:val="20"/>
                <w:lang w:eastAsia="sk-SK"/>
              </w:rPr>
              <w:t>ods. 6, v článku 7c ods. 8, v článku 7d ods. 5, v článku 7d ods. 7 prvom pododseku a v článku 7d ods. 8 taktiež plne zohľadnia účely smernice 2009/28/ES.</w:t>
            </w:r>
          </w:p>
        </w:tc>
        <w:tc>
          <w:tcPr>
            <w:tcW w:w="567" w:type="dxa"/>
            <w:tcBorders>
              <w:top w:val="single" w:sz="4" w:space="0" w:color="auto"/>
              <w:bottom w:val="single" w:sz="4" w:space="0" w:color="auto"/>
            </w:tcBorders>
          </w:tcPr>
          <w:p w:rsidR="00C751EE" w:rsidRPr="00145AB8" w:rsidP="00C751EE">
            <w:pPr>
              <w:jc w:val="both"/>
              <w:rPr>
                <w:sz w:val="20"/>
                <w:lang w:eastAsia="sk-SK"/>
              </w:rPr>
            </w:pPr>
            <w:r w:rsidRPr="00145AB8">
              <w:rPr>
                <w:sz w:val="20"/>
                <w:lang w:eastAsia="sk-SK"/>
              </w:rPr>
              <w:t>N</w:t>
            </w: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p w:rsidR="00C751EE" w:rsidRPr="00145AB8" w:rsidP="00C751EE">
            <w:pPr>
              <w:jc w:val="both"/>
              <w:rPr>
                <w:sz w:val="20"/>
                <w:lang w:eastAsia="sk-SK"/>
              </w:rPr>
            </w:pPr>
          </w:p>
        </w:tc>
        <w:tc>
          <w:tcPr>
            <w:tcW w:w="1276" w:type="dxa"/>
            <w:tcBorders>
              <w:top w:val="single" w:sz="4" w:space="0" w:color="auto"/>
              <w:bottom w:val="single" w:sz="4" w:space="0" w:color="auto"/>
            </w:tcBorders>
          </w:tcPr>
          <w:p w:rsidR="00C751EE" w:rsidRPr="00145AB8" w:rsidP="00C751EE">
            <w:pPr>
              <w:jc w:val="center"/>
              <w:rPr>
                <w:sz w:val="20"/>
                <w:lang w:eastAsia="sk-SK"/>
              </w:rPr>
            </w:pPr>
            <w:r w:rsidRPr="00145AB8">
              <w:rPr>
                <w:sz w:val="20"/>
                <w:lang w:eastAsia="sk-SK"/>
              </w:rPr>
              <w:t>Z</w:t>
            </w:r>
            <w:r>
              <w:rPr>
                <w:sz w:val="20"/>
                <w:lang w:eastAsia="sk-SK"/>
              </w:rPr>
              <w:t xml:space="preserve"> </w:t>
            </w:r>
            <w:r w:rsidRPr="00145AB8">
              <w:rPr>
                <w:sz w:val="20"/>
                <w:lang w:eastAsia="sk-SK"/>
              </w:rPr>
              <w:t>309/2009</w:t>
            </w:r>
          </w:p>
        </w:tc>
        <w:tc>
          <w:tcPr>
            <w:tcW w:w="709" w:type="dxa"/>
            <w:tcBorders>
              <w:top w:val="single" w:sz="4" w:space="0" w:color="auto"/>
              <w:bottom w:val="single" w:sz="4" w:space="0" w:color="auto"/>
            </w:tcBorders>
          </w:tcPr>
          <w:p w:rsidR="00C751EE" w:rsidRPr="00145AB8" w:rsidP="00C751EE">
            <w:pPr>
              <w:pStyle w:val="BodyText21"/>
              <w:spacing w:before="0"/>
              <w:rPr>
                <w:lang w:eastAsia="sk-SK"/>
              </w:rPr>
            </w:pPr>
            <w:r w:rsidRPr="00145AB8">
              <w:rPr>
                <w:lang w:eastAsia="sk-SK"/>
              </w:rPr>
              <w:t>Príl. 2</w:t>
            </w:r>
          </w:p>
        </w:tc>
        <w:tc>
          <w:tcPr>
            <w:tcW w:w="4110" w:type="dxa"/>
            <w:tcBorders>
              <w:top w:val="single" w:sz="4" w:space="0" w:color="auto"/>
              <w:bottom w:val="single" w:sz="4" w:space="0" w:color="auto"/>
            </w:tcBorders>
          </w:tcPr>
          <w:p w:rsidR="00C751EE" w:rsidRPr="004B3966" w:rsidP="00C751EE">
            <w:pPr>
              <w:jc w:val="both"/>
              <w:rPr>
                <w:sz w:val="20"/>
                <w:lang w:eastAsia="sk-SK"/>
              </w:rPr>
            </w:pPr>
            <w:r w:rsidRPr="004B3966" w:rsidR="00814FB5">
              <w:rPr>
                <w:sz w:val="20"/>
              </w:rPr>
              <w:t>2</w:t>
            </w:r>
            <w:r w:rsidRPr="004B3966">
              <w:rPr>
                <w:sz w:val="20"/>
              </w:rPr>
              <w:t>. Smernica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5.6.2009).</w:t>
            </w:r>
          </w:p>
        </w:tc>
        <w:tc>
          <w:tcPr>
            <w:tcW w:w="709" w:type="dxa"/>
            <w:tcBorders>
              <w:top w:val="single" w:sz="4" w:space="0" w:color="auto"/>
              <w:bottom w:val="single" w:sz="4" w:space="0" w:color="auto"/>
            </w:tcBorders>
          </w:tcPr>
          <w:p w:rsidR="00C751EE" w:rsidRPr="00145AB8" w:rsidP="00C751EE">
            <w:pPr>
              <w:jc w:val="center"/>
              <w:rPr>
                <w:sz w:val="20"/>
                <w:lang w:eastAsia="sk-SK"/>
              </w:rPr>
            </w:pPr>
            <w:r w:rsidRPr="00145AB8">
              <w:rPr>
                <w:sz w:val="20"/>
                <w:lang w:eastAsia="sk-SK"/>
              </w:rPr>
              <w:t>Ú</w:t>
            </w:r>
          </w:p>
        </w:tc>
        <w:tc>
          <w:tcPr>
            <w:tcW w:w="1701" w:type="dxa"/>
            <w:tcBorders>
              <w:top w:val="single" w:sz="4" w:space="0" w:color="auto"/>
              <w:bottom w:val="single" w:sz="4" w:space="0" w:color="auto"/>
            </w:tcBorders>
          </w:tcPr>
          <w:p w:rsidR="00C751EE" w:rsidRPr="00145AB8" w:rsidP="00C751EE">
            <w:pPr>
              <w:jc w:val="both"/>
              <w:rPr>
                <w:sz w:val="20"/>
                <w:lang w:eastAsia="sk-SK"/>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145AB8" w:rsidP="00C751EE">
            <w:pPr>
              <w:jc w:val="both"/>
              <w:rPr>
                <w:sz w:val="20"/>
                <w:lang w:eastAsia="sk-SK"/>
              </w:rPr>
            </w:pPr>
            <w:r w:rsidRPr="00145AB8">
              <w:rPr>
                <w:sz w:val="20"/>
                <w:lang w:eastAsia="sk-SK"/>
              </w:rPr>
              <w:t>Č7e</w:t>
            </w:r>
          </w:p>
          <w:p w:rsidR="00C751EE" w:rsidRPr="00145AB8" w:rsidP="00C751EE">
            <w:pPr>
              <w:jc w:val="both"/>
              <w:rPr>
                <w:sz w:val="20"/>
                <w:lang w:eastAsia="sk-SK"/>
              </w:rPr>
            </w:pPr>
            <w:r w:rsidRPr="00145AB8">
              <w:rPr>
                <w:sz w:val="20"/>
                <w:lang w:eastAsia="sk-SK"/>
              </w:rPr>
              <w:t>O2</w:t>
            </w:r>
          </w:p>
        </w:tc>
        <w:tc>
          <w:tcPr>
            <w:tcW w:w="5245" w:type="dxa"/>
            <w:tcBorders>
              <w:top w:val="single" w:sz="4" w:space="0" w:color="auto"/>
              <w:bottom w:val="single" w:sz="4" w:space="0" w:color="auto"/>
            </w:tcBorders>
          </w:tcPr>
          <w:p w:rsidR="00C751EE" w:rsidRPr="004D1DCA" w:rsidP="00C751EE">
            <w:pPr>
              <w:autoSpaceDE w:val="0"/>
              <w:autoSpaceDN w:val="0"/>
              <w:adjustRightInd w:val="0"/>
              <w:jc w:val="both"/>
              <w:rPr>
                <w:sz w:val="20"/>
                <w:lang w:eastAsia="sk-SK"/>
              </w:rPr>
            </w:pPr>
            <w:r w:rsidRPr="004D1DCA">
              <w:rPr>
                <w:sz w:val="20"/>
                <w:lang w:eastAsia="sk-SK"/>
              </w:rPr>
              <w:t xml:space="preserve">2. </w:t>
            </w:r>
            <w:r w:rsidRPr="004D1DCA" w:rsidR="00BD1BEB">
              <w:rPr>
                <w:sz w:val="20"/>
                <w:lang w:eastAsia="sk-SK"/>
              </w:rPr>
              <w:t>Správy Komisie pre Európsky parlament a Radu, uvedené v článku 7b ods. 7, článku 7c ods. 2, článku 7c ods. 9 a článku 7d ods. 4 a 5, ako aj správy a informácie predkladané podľa článku 7c ods. 3 prvého a piateho pododseku a článku 7d ods. 2 sa vypracúvajú a postupujú na účely smernice 2009/28/ES, ako aj na účely tejto smernice.</w:t>
            </w:r>
          </w:p>
        </w:tc>
        <w:tc>
          <w:tcPr>
            <w:tcW w:w="567" w:type="dxa"/>
            <w:tcBorders>
              <w:top w:val="single" w:sz="4" w:space="0" w:color="auto"/>
              <w:bottom w:val="single" w:sz="4" w:space="0" w:color="auto"/>
            </w:tcBorders>
          </w:tcPr>
          <w:p w:rsidR="00C751EE" w:rsidRPr="00145AB8" w:rsidP="00C751EE">
            <w:pPr>
              <w:jc w:val="both"/>
              <w:rPr>
                <w:sz w:val="20"/>
                <w:lang w:eastAsia="sk-SK"/>
              </w:rPr>
            </w:pPr>
            <w:r w:rsidRPr="00145AB8">
              <w:rPr>
                <w:sz w:val="20"/>
                <w:lang w:eastAsia="sk-SK"/>
              </w:rPr>
              <w:t>n.a.</w:t>
            </w:r>
          </w:p>
        </w:tc>
        <w:tc>
          <w:tcPr>
            <w:tcW w:w="1276" w:type="dxa"/>
            <w:tcBorders>
              <w:top w:val="single" w:sz="4" w:space="0" w:color="auto"/>
              <w:bottom w:val="single" w:sz="4" w:space="0" w:color="auto"/>
            </w:tcBorders>
          </w:tcPr>
          <w:p w:rsidR="00C751EE" w:rsidRPr="00145AB8" w:rsidP="00C751EE">
            <w:pPr>
              <w:jc w:val="center"/>
              <w:rPr>
                <w:sz w:val="20"/>
                <w:lang w:eastAsia="sk-SK"/>
              </w:rPr>
            </w:pPr>
          </w:p>
        </w:tc>
        <w:tc>
          <w:tcPr>
            <w:tcW w:w="709" w:type="dxa"/>
            <w:tcBorders>
              <w:top w:val="single" w:sz="4" w:space="0" w:color="auto"/>
              <w:bottom w:val="single" w:sz="4" w:space="0" w:color="auto"/>
            </w:tcBorders>
          </w:tcPr>
          <w:p w:rsidR="00C751EE" w:rsidRPr="00A82DCB" w:rsidP="00C751EE">
            <w:pPr>
              <w:pStyle w:val="BodyText21"/>
              <w:spacing w:before="0"/>
              <w:rPr>
                <w:color w:val="00B0F0"/>
                <w:lang w:eastAsia="sk-SK"/>
              </w:rPr>
            </w:pPr>
          </w:p>
        </w:tc>
        <w:tc>
          <w:tcPr>
            <w:tcW w:w="4110" w:type="dxa"/>
            <w:tcBorders>
              <w:top w:val="single" w:sz="4" w:space="0" w:color="auto"/>
              <w:bottom w:val="single" w:sz="4" w:space="0" w:color="auto"/>
            </w:tcBorders>
          </w:tcPr>
          <w:p w:rsidR="00C751EE" w:rsidRPr="00A755D5" w:rsidP="00C751EE">
            <w:pPr>
              <w:jc w:val="both"/>
              <w:rPr>
                <w:color w:val="00B0F0"/>
                <w:sz w:val="20"/>
                <w:highlight w:val="yellow"/>
              </w:rPr>
            </w:pPr>
          </w:p>
        </w:tc>
        <w:tc>
          <w:tcPr>
            <w:tcW w:w="709" w:type="dxa"/>
            <w:tcBorders>
              <w:top w:val="single" w:sz="4" w:space="0" w:color="auto"/>
              <w:bottom w:val="single" w:sz="4" w:space="0" w:color="auto"/>
            </w:tcBorders>
          </w:tcPr>
          <w:p w:rsidR="00C751EE" w:rsidRPr="00A82DCB" w:rsidP="00C751EE">
            <w:pPr>
              <w:jc w:val="center"/>
              <w:rPr>
                <w:color w:val="00B0F0"/>
                <w:sz w:val="20"/>
                <w:lang w:eastAsia="sk-SK"/>
              </w:rPr>
            </w:pPr>
          </w:p>
        </w:tc>
        <w:tc>
          <w:tcPr>
            <w:tcW w:w="1701" w:type="dxa"/>
            <w:tcBorders>
              <w:top w:val="single" w:sz="4" w:space="0" w:color="auto"/>
              <w:bottom w:val="single" w:sz="4" w:space="0" w:color="auto"/>
            </w:tcBorders>
          </w:tcPr>
          <w:p w:rsidR="00C751EE" w:rsidRPr="00A82DCB" w:rsidP="00C751EE">
            <w:pPr>
              <w:jc w:val="both"/>
              <w:rPr>
                <w:color w:val="00B0F0"/>
                <w:sz w:val="20"/>
                <w:lang w:eastAsia="sk-SK"/>
              </w:rPr>
            </w:pPr>
          </w:p>
        </w:tc>
      </w:tr>
      <w:tr w:rsidTr="002E524C">
        <w:tblPrEx>
          <w:tblW w:w="14954" w:type="dxa"/>
          <w:tblLayout w:type="fixed"/>
          <w:tblCellMar>
            <w:left w:w="70" w:type="dxa"/>
            <w:right w:w="70" w:type="dxa"/>
          </w:tblCellMar>
          <w:tblLook w:val="0000"/>
        </w:tblPrEx>
        <w:trPr>
          <w:trHeight w:val="557"/>
        </w:trPr>
        <w:tc>
          <w:tcPr>
            <w:tcW w:w="637" w:type="dxa"/>
            <w:tcBorders>
              <w:top w:val="single" w:sz="4" w:space="0" w:color="auto"/>
              <w:bottom w:val="single" w:sz="4" w:space="0" w:color="auto"/>
            </w:tcBorders>
          </w:tcPr>
          <w:p w:rsidR="00C751EE" w:rsidRPr="00B611A2" w:rsidP="00C751EE">
            <w:pPr>
              <w:jc w:val="center"/>
              <w:rPr>
                <w:sz w:val="20"/>
              </w:rPr>
            </w:pPr>
            <w:r w:rsidRPr="00B611A2">
              <w:rPr>
                <w:sz w:val="20"/>
              </w:rPr>
              <w:t>Č8</w:t>
            </w:r>
          </w:p>
          <w:p w:rsidR="00C751EE" w:rsidRPr="00B611A2" w:rsidP="00C751EE">
            <w:pPr>
              <w:jc w:val="center"/>
              <w:rPr>
                <w:sz w:val="20"/>
              </w:rPr>
            </w:pPr>
            <w:r w:rsidRPr="00B611A2">
              <w:rPr>
                <w:sz w:val="20"/>
              </w:rPr>
              <w:t>O1</w:t>
            </w:r>
          </w:p>
        </w:tc>
        <w:tc>
          <w:tcPr>
            <w:tcW w:w="5245" w:type="dxa"/>
            <w:tcBorders>
              <w:top w:val="single" w:sz="4" w:space="0" w:color="auto"/>
              <w:bottom w:val="single" w:sz="4" w:space="0" w:color="auto"/>
            </w:tcBorders>
          </w:tcPr>
          <w:p w:rsidR="00C751EE" w:rsidRPr="00B611A2" w:rsidP="00C751EE">
            <w:pPr>
              <w:jc w:val="both"/>
              <w:rPr>
                <w:rFonts w:ascii="TimesNewRoman" w:hAnsi="TimesNewRoman" w:cs="TimesNewRoman"/>
                <w:sz w:val="20"/>
                <w:lang w:eastAsia="sk-SK"/>
              </w:rPr>
            </w:pPr>
            <w:r w:rsidRPr="00B611A2">
              <w:rPr>
                <w:rFonts w:ascii="TimesNewRoman" w:hAnsi="TimesNewRoman" w:cs="TimesNewRoman"/>
                <w:sz w:val="20"/>
                <w:lang w:eastAsia="sk-SK"/>
              </w:rPr>
              <w:t>Článok 8</w:t>
            </w:r>
          </w:p>
          <w:p w:rsidR="00C751EE" w:rsidRPr="00B611A2" w:rsidP="00C751EE">
            <w:pPr>
              <w:autoSpaceDE w:val="0"/>
              <w:autoSpaceDN w:val="0"/>
              <w:adjustRightInd w:val="0"/>
              <w:jc w:val="both"/>
              <w:rPr>
                <w:rFonts w:ascii="TimesNewRoman" w:hAnsi="TimesNewRoman" w:cs="TimesNewRoman"/>
                <w:sz w:val="20"/>
                <w:lang w:eastAsia="sk-SK"/>
              </w:rPr>
            </w:pPr>
            <w:r w:rsidRPr="00B611A2">
              <w:rPr>
                <w:rFonts w:ascii="TimesNewRoman" w:hAnsi="TimesNewRoman" w:cs="TimesNewRoman"/>
                <w:sz w:val="20"/>
                <w:lang w:eastAsia="sk-SK"/>
              </w:rPr>
              <w:t>Sledovanie zhody a hlásenia</w:t>
            </w:r>
          </w:p>
          <w:p w:rsidR="00764125" w:rsidRPr="00B611A2" w:rsidP="00C751EE">
            <w:pPr>
              <w:autoSpaceDE w:val="0"/>
              <w:autoSpaceDN w:val="0"/>
              <w:adjustRightInd w:val="0"/>
              <w:jc w:val="both"/>
              <w:rPr>
                <w:rFonts w:ascii="TimesNewRoman" w:hAnsi="TimesNewRoman" w:cs="TimesNewRoman"/>
                <w:sz w:val="20"/>
                <w:lang w:eastAsia="sk-SK"/>
              </w:rPr>
            </w:pPr>
            <w:r w:rsidRPr="00B611A2" w:rsidR="00C751EE">
              <w:rPr>
                <w:rFonts w:ascii="TimesNewRoman" w:hAnsi="TimesNewRoman" w:cs="TimesNewRoman"/>
                <w:sz w:val="20"/>
                <w:lang w:eastAsia="sk-SK"/>
              </w:rPr>
              <w:t xml:space="preserve">1. </w:t>
            </w:r>
            <w:r w:rsidRPr="00B611A2">
              <w:rPr>
                <w:sz w:val="20"/>
                <w:lang w:eastAsia="sk-SK"/>
              </w:rPr>
              <w:t>Členské štáty monitorujú dodržiavanie požiadaviek článkov 3 a 4, pokiaľ ide o benzín a motorovú naftu, na základe analytických metód uvedených v prílohách I a II.</w:t>
            </w:r>
          </w:p>
          <w:p w:rsidR="00C751EE" w:rsidRPr="00B611A2" w:rsidP="00C751EE">
            <w:pPr>
              <w:autoSpaceDE w:val="0"/>
              <w:autoSpaceDN w:val="0"/>
              <w:adjustRightInd w:val="0"/>
              <w:jc w:val="both"/>
              <w:rPr>
                <w:sz w:val="20"/>
                <w:lang w:eastAsia="sk-SK"/>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tc>
        <w:tc>
          <w:tcPr>
            <w:tcW w:w="1276" w:type="dxa"/>
            <w:tcBorders>
              <w:top w:val="single" w:sz="4" w:space="0" w:color="auto"/>
              <w:bottom w:val="single" w:sz="4" w:space="0" w:color="auto"/>
            </w:tcBorders>
          </w:tcPr>
          <w:p w:rsidR="00C751EE" w:rsidRPr="00F74B61" w:rsidP="00C751EE">
            <w:pPr>
              <w:jc w:val="center"/>
              <w:rPr>
                <w:sz w:val="20"/>
              </w:rPr>
            </w:pPr>
            <w:r>
              <w:rPr>
                <w:sz w:val="20"/>
              </w:rPr>
              <w:t>NZ</w:t>
            </w:r>
          </w:p>
          <w:p w:rsidR="00C751EE" w:rsidRPr="00F74B61" w:rsidP="00C751EE">
            <w:pPr>
              <w:jc w:val="center"/>
              <w:rPr>
                <w:sz w:val="20"/>
              </w:rPr>
            </w:pPr>
          </w:p>
          <w:p w:rsidR="00C751EE" w:rsidRPr="00F74B61" w:rsidP="00C751EE">
            <w:pPr>
              <w:jc w:val="center"/>
              <w:rPr>
                <w:sz w:val="20"/>
              </w:rPr>
            </w:pPr>
          </w:p>
          <w:p w:rsidR="00C751EE" w:rsidP="00C751EE">
            <w:pPr>
              <w:jc w:val="center"/>
              <w:rPr>
                <w:sz w:val="20"/>
              </w:rPr>
            </w:pPr>
          </w:p>
          <w:p w:rsidR="002003C4" w:rsidP="00C751EE">
            <w:pPr>
              <w:jc w:val="center"/>
              <w:rPr>
                <w:sz w:val="20"/>
              </w:rPr>
            </w:pPr>
          </w:p>
          <w:p w:rsidR="002003C4" w:rsidP="00C751EE">
            <w:pPr>
              <w:jc w:val="center"/>
              <w:rPr>
                <w:sz w:val="20"/>
              </w:rPr>
            </w:pPr>
          </w:p>
          <w:p w:rsidR="002003C4" w:rsidP="00C751EE">
            <w:pPr>
              <w:jc w:val="center"/>
              <w:rPr>
                <w:sz w:val="20"/>
              </w:rPr>
            </w:pPr>
          </w:p>
          <w:p w:rsidR="002003C4" w:rsidP="00C751EE">
            <w:pPr>
              <w:jc w:val="center"/>
              <w:rPr>
                <w:sz w:val="20"/>
              </w:rPr>
            </w:pPr>
          </w:p>
          <w:p w:rsidR="00C751EE" w:rsidRPr="00F74B61" w:rsidP="00C751EE">
            <w:pPr>
              <w:jc w:val="center"/>
              <w:rPr>
                <w:sz w:val="20"/>
              </w:rPr>
            </w:pPr>
          </w:p>
          <w:p w:rsidR="00C751EE" w:rsidRPr="00E02262" w:rsidP="00C751EE">
            <w:pPr>
              <w:jc w:val="center"/>
              <w:rPr>
                <w:sz w:val="20"/>
              </w:rPr>
            </w:pPr>
            <w:r>
              <w:rPr>
                <w:sz w:val="20"/>
              </w:rPr>
              <w:t>NV</w:t>
            </w:r>
          </w:p>
          <w:p w:rsidR="00C751EE" w:rsidRPr="00E02262" w:rsidP="00C751EE">
            <w:pPr>
              <w:jc w:val="center"/>
              <w:rPr>
                <w:sz w:val="20"/>
              </w:rPr>
            </w:pPr>
          </w:p>
          <w:p w:rsidR="00C751EE" w:rsidRPr="00F74B61" w:rsidP="00C751EE">
            <w:pPr>
              <w:jc w:val="center"/>
              <w:rPr>
                <w:sz w:val="20"/>
              </w:rPr>
            </w:pPr>
          </w:p>
        </w:tc>
        <w:tc>
          <w:tcPr>
            <w:tcW w:w="709" w:type="dxa"/>
            <w:tcBorders>
              <w:top w:val="single" w:sz="4" w:space="0" w:color="auto"/>
              <w:bottom w:val="single" w:sz="4" w:space="0" w:color="auto"/>
            </w:tcBorders>
          </w:tcPr>
          <w:p w:rsidR="00C751EE" w:rsidRPr="009B6AAE" w:rsidP="00C751EE">
            <w:pPr>
              <w:pStyle w:val="BodyText21"/>
              <w:spacing w:before="0"/>
            </w:pPr>
            <w:r w:rsidRPr="009B6AAE" w:rsidR="00593031">
              <w:t>§42</w:t>
            </w:r>
          </w:p>
          <w:p w:rsidR="00C751EE" w:rsidRPr="009B6AAE" w:rsidP="00C751EE">
            <w:pPr>
              <w:pStyle w:val="BodyText21"/>
              <w:spacing w:before="0"/>
            </w:pPr>
            <w:r w:rsidRPr="009B6AAE">
              <w:t>O2</w:t>
            </w:r>
          </w:p>
          <w:p w:rsidR="00C751EE" w:rsidRPr="009B6AAE" w:rsidP="00C751EE">
            <w:pPr>
              <w:pStyle w:val="BodyText21"/>
              <w:spacing w:before="0"/>
            </w:pPr>
            <w:r w:rsidRPr="009B6AAE" w:rsidR="00593031">
              <w:t>Pk</w:t>
            </w:r>
          </w:p>
          <w:p w:rsidR="00C751EE" w:rsidP="00C751EE">
            <w:pPr>
              <w:pStyle w:val="BodyText21"/>
              <w:spacing w:before="0"/>
            </w:pPr>
          </w:p>
          <w:p w:rsidR="002003C4" w:rsidP="00C751EE">
            <w:pPr>
              <w:pStyle w:val="BodyText21"/>
              <w:spacing w:before="0"/>
            </w:pPr>
          </w:p>
          <w:p w:rsidR="002003C4" w:rsidP="00C751EE">
            <w:pPr>
              <w:pStyle w:val="BodyText21"/>
              <w:spacing w:before="0"/>
            </w:pPr>
          </w:p>
          <w:p w:rsidR="002003C4" w:rsidP="00C751EE">
            <w:pPr>
              <w:pStyle w:val="BodyText21"/>
              <w:spacing w:before="0"/>
            </w:pPr>
          </w:p>
          <w:p w:rsidR="002003C4"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rPr>
                <w:lang w:eastAsia="sk-SK"/>
              </w:rPr>
            </w:pPr>
            <w:r w:rsidRPr="009B6AAE" w:rsidR="00687DFC">
              <w:rPr>
                <w:lang w:eastAsia="sk-SK"/>
              </w:rPr>
              <w:t>§9</w:t>
            </w:r>
          </w:p>
          <w:p w:rsidR="00C751EE" w:rsidRPr="009B6AAE" w:rsidP="00C751EE">
            <w:pPr>
              <w:pStyle w:val="BodyText21"/>
              <w:spacing w:before="0"/>
              <w:rPr>
                <w:lang w:eastAsia="sk-SK"/>
              </w:rPr>
            </w:pPr>
            <w:r w:rsidRPr="009B6AAE">
              <w:rPr>
                <w:lang w:eastAsia="sk-SK"/>
              </w:rPr>
              <w:t>O4</w:t>
            </w:r>
          </w:p>
          <w:p w:rsidR="00C751EE" w:rsidRPr="009B6AAE" w:rsidP="00C751EE">
            <w:pPr>
              <w:pStyle w:val="BodyText21"/>
              <w:spacing w:before="0"/>
              <w:rPr>
                <w:lang w:eastAsia="sk-SK"/>
              </w:rPr>
            </w:pPr>
          </w:p>
          <w:p w:rsidR="00C751EE" w:rsidRPr="009B6AAE" w:rsidP="00C751EE">
            <w:pPr>
              <w:pStyle w:val="BodyText21"/>
              <w:spacing w:before="0"/>
            </w:pPr>
          </w:p>
          <w:p w:rsidR="00C751EE" w:rsidRPr="009B6AAE" w:rsidP="009D4B31">
            <w:pPr>
              <w:pStyle w:val="BodyText21"/>
              <w:spacing w:before="0"/>
            </w:pPr>
            <w:r w:rsidRPr="009B6AAE">
              <w:t>O5</w:t>
            </w:r>
          </w:p>
        </w:tc>
        <w:tc>
          <w:tcPr>
            <w:tcW w:w="4110" w:type="dxa"/>
            <w:tcBorders>
              <w:top w:val="single" w:sz="4" w:space="0" w:color="auto"/>
              <w:bottom w:val="single" w:sz="4" w:space="0" w:color="auto"/>
            </w:tcBorders>
          </w:tcPr>
          <w:p w:rsidR="002003C4" w:rsidRPr="00BF05AB" w:rsidP="002003C4">
            <w:pPr>
              <w:tabs>
                <w:tab w:val="left" w:pos="851"/>
              </w:tabs>
              <w:spacing w:after="120"/>
              <w:jc w:val="both"/>
              <w:rPr>
                <w:b/>
                <w:sz w:val="20"/>
                <w:lang w:eastAsia="sk-SK"/>
              </w:rPr>
            </w:pPr>
            <w:r>
              <w:rPr>
                <w:b/>
                <w:sz w:val="20"/>
                <w:lang w:eastAsia="sk-SK"/>
              </w:rPr>
              <w:t>§ 42</w:t>
            </w:r>
          </w:p>
          <w:p w:rsidR="002003C4" w:rsidRPr="00BF05AB" w:rsidP="002003C4">
            <w:pPr>
              <w:tabs>
                <w:tab w:val="left" w:pos="851"/>
              </w:tabs>
              <w:spacing w:after="120"/>
              <w:jc w:val="both"/>
              <w:rPr>
                <w:b/>
                <w:sz w:val="20"/>
                <w:lang w:eastAsia="sk-SK"/>
              </w:rPr>
            </w:pPr>
            <w:r>
              <w:rPr>
                <w:b/>
                <w:sz w:val="20"/>
                <w:lang w:eastAsia="sk-SK"/>
              </w:rPr>
              <w:t>Inšpekcia</w:t>
            </w:r>
          </w:p>
          <w:p w:rsidR="002003C4" w:rsidRPr="000C7FA1" w:rsidP="002003C4">
            <w:pPr>
              <w:jc w:val="both"/>
              <w:rPr>
                <w:sz w:val="20"/>
              </w:rPr>
            </w:pPr>
            <w:r>
              <w:rPr>
                <w:sz w:val="20"/>
              </w:rPr>
              <w:t xml:space="preserve">(2) </w:t>
            </w:r>
            <w:r w:rsidRPr="000C7FA1">
              <w:rPr>
                <w:sz w:val="20"/>
              </w:rPr>
              <w:t xml:space="preserve">Inšpekcia kontroluje </w:t>
            </w:r>
            <w:r>
              <w:rPr>
                <w:sz w:val="20"/>
              </w:rPr>
              <w:t>najmä</w:t>
            </w:r>
          </w:p>
          <w:p w:rsidR="002003C4" w:rsidRPr="000C7FA1" w:rsidP="002003C4">
            <w:pPr>
              <w:rPr>
                <w:sz w:val="20"/>
              </w:rPr>
            </w:pPr>
            <w:r w:rsidRPr="000C7FA1">
              <w:rPr>
                <w:sz w:val="20"/>
              </w:rPr>
              <w:t xml:space="preserve">k) plnenie povinností podnikateľa podľa § </w:t>
            </w:r>
            <w:r>
              <w:rPr>
                <w:sz w:val="20"/>
              </w:rPr>
              <w:t>37</w:t>
            </w:r>
            <w:r w:rsidRPr="000C7FA1">
              <w:rPr>
                <w:sz w:val="20"/>
              </w:rPr>
              <w:t xml:space="preserve">; na tento účel zabezpečuje odober vzoriek </w:t>
            </w:r>
            <w:r>
              <w:rPr>
                <w:sz w:val="20"/>
              </w:rPr>
              <w:t xml:space="preserve">paliva </w:t>
            </w:r>
            <w:r w:rsidRPr="000C7FA1">
              <w:rPr>
                <w:sz w:val="20"/>
              </w:rPr>
              <w:t>a ich analýzy,</w:t>
            </w:r>
          </w:p>
          <w:p w:rsidR="00593031" w:rsidRPr="004B3966" w:rsidP="00C751EE">
            <w:pPr>
              <w:rPr>
                <w:sz w:val="20"/>
              </w:rPr>
            </w:pPr>
          </w:p>
          <w:p w:rsidR="00593031" w:rsidRPr="004B3966" w:rsidP="00C751EE">
            <w:pPr>
              <w:rPr>
                <w:sz w:val="20"/>
              </w:rPr>
            </w:pPr>
          </w:p>
          <w:p w:rsidR="00687DFC" w:rsidRPr="004B3966" w:rsidP="00C751EE">
            <w:pPr>
              <w:pStyle w:val="odsek1"/>
              <w:numPr>
                <w:ilvl w:val="0"/>
                <w:numId w:val="0"/>
              </w:numPr>
              <w:rPr>
                <w:rFonts w:eastAsia="Times New Roman"/>
                <w:sz w:val="20"/>
                <w:szCs w:val="20"/>
                <w:lang w:eastAsia="cs-CZ"/>
              </w:rPr>
            </w:pPr>
            <w:r w:rsidRPr="004B3966" w:rsidR="00C751EE">
              <w:rPr>
                <w:rFonts w:eastAsia="Times New Roman"/>
                <w:sz w:val="20"/>
                <w:szCs w:val="20"/>
                <w:lang w:eastAsia="cs-CZ"/>
              </w:rPr>
              <w:t xml:space="preserve">(4) </w:t>
            </w:r>
            <w:r w:rsidRPr="004B3966">
              <w:rPr>
                <w:rFonts w:eastAsia="Times New Roman"/>
                <w:sz w:val="20"/>
                <w:szCs w:val="20"/>
                <w:lang w:eastAsia="cs-CZ"/>
              </w:rPr>
              <w:t>Kvalitatívne parametre automobilového benzínu sa zisťujú na základe analytických metód stanovených technickou normou.</w:t>
            </w:r>
            <w:r>
              <w:rPr>
                <w:rFonts w:eastAsia="Times New Roman"/>
                <w:sz w:val="20"/>
                <w:szCs w:val="20"/>
                <w:vertAlign w:val="superscript"/>
                <w:lang w:eastAsia="cs-CZ"/>
              </w:rPr>
              <w:footnoteReference w:id="8"/>
            </w:r>
            <w:r w:rsidRPr="004B3966">
              <w:rPr>
                <w:rFonts w:eastAsia="Times New Roman"/>
                <w:sz w:val="20"/>
                <w:szCs w:val="20"/>
                <w:lang w:eastAsia="cs-CZ"/>
              </w:rPr>
              <w:t xml:space="preserve">) </w:t>
            </w:r>
          </w:p>
          <w:p w:rsidR="00C751EE" w:rsidRPr="004B3966" w:rsidP="004B3966">
            <w:pPr>
              <w:pStyle w:val="odsek1"/>
              <w:numPr>
                <w:ilvl w:val="0"/>
                <w:numId w:val="0"/>
              </w:numPr>
              <w:rPr>
                <w:rFonts w:eastAsia="Times New Roman"/>
                <w:sz w:val="20"/>
                <w:szCs w:val="20"/>
                <w:lang w:eastAsia="cs-CZ"/>
              </w:rPr>
            </w:pPr>
            <w:r w:rsidRPr="004B3966">
              <w:rPr>
                <w:rFonts w:eastAsia="Times New Roman"/>
                <w:sz w:val="20"/>
                <w:szCs w:val="20"/>
                <w:lang w:eastAsia="cs-CZ"/>
              </w:rPr>
              <w:t xml:space="preserve">(5) </w:t>
            </w:r>
            <w:r w:rsidRPr="004B3966" w:rsidR="00687DFC">
              <w:rPr>
                <w:rFonts w:eastAsia="Times New Roman"/>
                <w:sz w:val="20"/>
                <w:szCs w:val="20"/>
                <w:lang w:eastAsia="cs-CZ"/>
              </w:rPr>
              <w:t>Kvalitatívne parametre motorovej nafty sa zisťujú na základe analytických metód stanovených technickou normou.</w:t>
            </w:r>
            <w:r>
              <w:rPr>
                <w:rFonts w:eastAsia="Times New Roman"/>
                <w:sz w:val="20"/>
                <w:szCs w:val="20"/>
                <w:vertAlign w:val="superscript"/>
                <w:lang w:eastAsia="cs-CZ"/>
              </w:rPr>
              <w:footnoteReference w:id="9"/>
            </w:r>
            <w:r w:rsidRPr="004B3966" w:rsidR="00687DFC">
              <w:rPr>
                <w:rFonts w:eastAsia="Times New Roman"/>
                <w:sz w:val="20"/>
                <w:szCs w:val="20"/>
                <w:lang w:eastAsia="cs-CZ"/>
              </w:rPr>
              <w:t>)</w:t>
            </w:r>
            <w:r w:rsidRPr="004B3966" w:rsidR="00687DFC">
              <w:t xml:space="preserve"> </w:t>
            </w: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B611A2" w:rsidP="00C751EE">
            <w:pPr>
              <w:jc w:val="center"/>
              <w:rPr>
                <w:sz w:val="20"/>
              </w:rPr>
            </w:pPr>
            <w:r w:rsidRPr="00B611A2">
              <w:rPr>
                <w:sz w:val="20"/>
              </w:rPr>
              <w:t>Č8</w:t>
            </w:r>
          </w:p>
          <w:p w:rsidR="00C751EE" w:rsidRPr="00B611A2" w:rsidP="00C751EE">
            <w:pPr>
              <w:jc w:val="center"/>
              <w:rPr>
                <w:sz w:val="20"/>
              </w:rPr>
            </w:pPr>
            <w:r w:rsidRPr="00B611A2">
              <w:rPr>
                <w:sz w:val="20"/>
              </w:rPr>
              <w:t>O2</w:t>
            </w:r>
          </w:p>
        </w:tc>
        <w:tc>
          <w:tcPr>
            <w:tcW w:w="5245" w:type="dxa"/>
            <w:tcBorders>
              <w:top w:val="single" w:sz="4" w:space="0" w:color="auto"/>
              <w:bottom w:val="single" w:sz="4" w:space="0" w:color="auto"/>
            </w:tcBorders>
          </w:tcPr>
          <w:p w:rsidR="00C751EE" w:rsidRPr="00B611A2" w:rsidP="00C751EE">
            <w:pPr>
              <w:autoSpaceDE w:val="0"/>
              <w:autoSpaceDN w:val="0"/>
              <w:adjustRightInd w:val="0"/>
              <w:jc w:val="both"/>
              <w:rPr>
                <w:rFonts w:ascii="TimesNewRoman" w:hAnsi="TimesNewRoman" w:cs="TimesNewRoman"/>
                <w:sz w:val="20"/>
                <w:lang w:eastAsia="sk-SK"/>
              </w:rPr>
            </w:pPr>
            <w:r w:rsidRPr="00B611A2">
              <w:rPr>
                <w:rFonts w:ascii="TimesNewRoman" w:hAnsi="TimesNewRoman" w:cs="TimesNewRoman"/>
                <w:sz w:val="20"/>
                <w:lang w:eastAsia="sk-SK"/>
              </w:rPr>
              <w:t xml:space="preserve">2. </w:t>
            </w:r>
            <w:r w:rsidRPr="00B611A2">
              <w:rPr>
                <w:rFonts w:ascii="TimesNewRoman+01" w:hAnsi="TimesNewRoman+01" w:cs="TimesNewRoman+01"/>
                <w:sz w:val="20"/>
                <w:lang w:eastAsia="sk-SK"/>
              </w:rPr>
              <w:t>Č</w:t>
            </w:r>
            <w:r w:rsidRPr="00B611A2">
              <w:rPr>
                <w:rFonts w:ascii="TimesNewRoman" w:hAnsi="TimesNewRoman" w:cs="TimesNewRoman"/>
                <w:sz w:val="20"/>
                <w:lang w:eastAsia="sk-SK"/>
              </w:rPr>
              <w:t xml:space="preserve">lenské </w:t>
            </w:r>
            <w:r w:rsidRPr="00B611A2">
              <w:rPr>
                <w:rFonts w:ascii="TimesNewRoman+01" w:hAnsi="TimesNewRoman+01" w:cs="TimesNewRoman+01"/>
                <w:sz w:val="20"/>
                <w:lang w:eastAsia="sk-SK"/>
              </w:rPr>
              <w:t>š</w:t>
            </w:r>
            <w:r w:rsidRPr="00B611A2">
              <w:rPr>
                <w:rFonts w:ascii="TimesNewRoman" w:hAnsi="TimesNewRoman" w:cs="TimesNewRoman"/>
                <w:sz w:val="20"/>
                <w:lang w:eastAsia="sk-SK"/>
              </w:rPr>
              <w:t>táty vytvoria systém pre monitorovanie kvality palív v súlade s po</w:t>
            </w:r>
            <w:r w:rsidRPr="00B611A2">
              <w:rPr>
                <w:rFonts w:ascii="TimesNewRoman+01" w:hAnsi="TimesNewRoman+01" w:cs="TimesNewRoman+01"/>
                <w:sz w:val="20"/>
                <w:lang w:eastAsia="sk-SK"/>
              </w:rPr>
              <w:t>ž</w:t>
            </w:r>
            <w:r w:rsidRPr="00B611A2">
              <w:rPr>
                <w:rFonts w:ascii="TimesNewRoman" w:hAnsi="TimesNewRoman" w:cs="TimesNewRoman"/>
                <w:sz w:val="20"/>
                <w:lang w:eastAsia="sk-SK"/>
              </w:rPr>
              <w:t>iadavkami príslu</w:t>
            </w:r>
            <w:r w:rsidRPr="00B611A2">
              <w:rPr>
                <w:rFonts w:ascii="TimesNewRoman+01" w:hAnsi="TimesNewRoman+01" w:cs="TimesNewRoman+01"/>
                <w:sz w:val="20"/>
                <w:lang w:eastAsia="sk-SK"/>
              </w:rPr>
              <w:t>š</w:t>
            </w:r>
            <w:r w:rsidRPr="00B611A2">
              <w:rPr>
                <w:rFonts w:ascii="TimesNewRoman" w:hAnsi="TimesNewRoman" w:cs="TimesNewRoman"/>
                <w:sz w:val="20"/>
                <w:lang w:eastAsia="sk-SK"/>
              </w:rPr>
              <w:t>nej európskej normy. Pou</w:t>
            </w:r>
            <w:r w:rsidRPr="00B611A2">
              <w:rPr>
                <w:rFonts w:ascii="TimesNewRoman+01" w:hAnsi="TimesNewRoman+01" w:cs="TimesNewRoman+01"/>
                <w:sz w:val="20"/>
                <w:lang w:eastAsia="sk-SK"/>
              </w:rPr>
              <w:t>ž</w:t>
            </w:r>
            <w:r w:rsidRPr="00B611A2">
              <w:rPr>
                <w:rFonts w:ascii="TimesNewRoman" w:hAnsi="TimesNewRoman" w:cs="TimesNewRoman"/>
                <w:sz w:val="20"/>
                <w:lang w:eastAsia="sk-SK"/>
              </w:rPr>
              <w:t>itie alternatívneho systému na monitorovanie kvality palív sa mô</w:t>
            </w:r>
            <w:r w:rsidRPr="00B611A2">
              <w:rPr>
                <w:rFonts w:ascii="TimesNewRoman+01" w:hAnsi="TimesNewRoman+01" w:cs="TimesNewRoman+01"/>
                <w:sz w:val="20"/>
                <w:lang w:eastAsia="sk-SK"/>
              </w:rPr>
              <w:t>ž</w:t>
            </w:r>
            <w:r w:rsidRPr="00B611A2">
              <w:rPr>
                <w:rFonts w:ascii="TimesNewRoman" w:hAnsi="TimesNewRoman" w:cs="TimesNewRoman"/>
                <w:sz w:val="20"/>
                <w:lang w:eastAsia="sk-SK"/>
              </w:rPr>
              <w:t>e povoli</w:t>
            </w:r>
            <w:r w:rsidRPr="00B611A2">
              <w:rPr>
                <w:rFonts w:ascii="TimesNewRoman+01" w:hAnsi="TimesNewRoman+01" w:cs="TimesNewRoman+01"/>
                <w:sz w:val="20"/>
                <w:lang w:eastAsia="sk-SK"/>
              </w:rPr>
              <w:t xml:space="preserve">ť </w:t>
            </w:r>
            <w:r w:rsidRPr="00B611A2">
              <w:rPr>
                <w:rFonts w:ascii="TimesNewRoman" w:hAnsi="TimesNewRoman" w:cs="TimesNewRoman"/>
                <w:sz w:val="20"/>
                <w:lang w:eastAsia="sk-SK"/>
              </w:rPr>
              <w:t xml:space="preserve">za predpokladu, </w:t>
            </w:r>
            <w:r w:rsidRPr="00B611A2">
              <w:rPr>
                <w:rFonts w:ascii="TimesNewRoman+01" w:hAnsi="TimesNewRoman+01" w:cs="TimesNewRoman+01"/>
                <w:sz w:val="20"/>
                <w:lang w:eastAsia="sk-SK"/>
              </w:rPr>
              <w:t>ž</w:t>
            </w:r>
            <w:r w:rsidRPr="00B611A2">
              <w:rPr>
                <w:rFonts w:ascii="TimesNewRoman" w:hAnsi="TimesNewRoman" w:cs="TimesNewRoman"/>
                <w:sz w:val="20"/>
                <w:lang w:eastAsia="sk-SK"/>
              </w:rPr>
              <w:t>e takýto systém zabezpe</w:t>
            </w:r>
            <w:r w:rsidRPr="00B611A2">
              <w:rPr>
                <w:rFonts w:ascii="TimesNewRoman+01" w:hAnsi="TimesNewRoman+01" w:cs="TimesNewRoman+01"/>
                <w:sz w:val="20"/>
                <w:lang w:eastAsia="sk-SK"/>
              </w:rPr>
              <w:t>č</w:t>
            </w:r>
            <w:r w:rsidRPr="00B611A2">
              <w:rPr>
                <w:rFonts w:ascii="TimesNewRoman" w:hAnsi="TimesNewRoman" w:cs="TimesNewRoman"/>
                <w:sz w:val="20"/>
                <w:lang w:eastAsia="sk-SK"/>
              </w:rPr>
              <w:t>í rovnakú dôveryhodnos</w:t>
            </w:r>
            <w:r w:rsidRPr="00B611A2">
              <w:rPr>
                <w:rFonts w:ascii="TimesNewRoman+01" w:hAnsi="TimesNewRoman+01" w:cs="TimesNewRoman+01"/>
                <w:sz w:val="20"/>
                <w:lang w:eastAsia="sk-SK"/>
              </w:rPr>
              <w:t>ť</w:t>
            </w:r>
            <w:r w:rsidRPr="00B611A2">
              <w:rPr>
                <w:rFonts w:ascii="TimesNewRoman" w:hAnsi="TimesNewRoman" w:cs="TimesNewRoman"/>
                <w:sz w:val="20"/>
                <w:lang w:eastAsia="sk-SK"/>
              </w:rPr>
              <w:t xml:space="preserve"> výsledkov.</w:t>
            </w:r>
          </w:p>
          <w:p w:rsidR="00C751EE" w:rsidRPr="00B611A2" w:rsidP="00C751EE">
            <w:pPr>
              <w:jc w:val="both"/>
              <w:rPr>
                <w:i/>
                <w:sz w:val="20"/>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tc>
        <w:tc>
          <w:tcPr>
            <w:tcW w:w="1276" w:type="dxa"/>
            <w:tcBorders>
              <w:top w:val="single" w:sz="4" w:space="0" w:color="auto"/>
              <w:bottom w:val="single" w:sz="4" w:space="0" w:color="auto"/>
            </w:tcBorders>
          </w:tcPr>
          <w:p w:rsidR="00C751EE" w:rsidRPr="00F74B61" w:rsidP="00C751EE">
            <w:pPr>
              <w:jc w:val="center"/>
              <w:rPr>
                <w:sz w:val="20"/>
              </w:rPr>
            </w:pPr>
            <w:r>
              <w:rPr>
                <w:sz w:val="20"/>
              </w:rPr>
              <w:t>N</w:t>
            </w:r>
            <w:r w:rsidRPr="00F74B61">
              <w:rPr>
                <w:sz w:val="20"/>
              </w:rPr>
              <w:t>Z</w:t>
            </w:r>
          </w:p>
          <w:p w:rsidR="00C751EE" w:rsidP="00C751EE">
            <w:pPr>
              <w:jc w:val="center"/>
              <w:rPr>
                <w:sz w:val="20"/>
              </w:rPr>
            </w:pPr>
          </w:p>
          <w:p w:rsidR="00C751EE" w:rsidP="00C751EE">
            <w:pPr>
              <w:jc w:val="center"/>
              <w:rPr>
                <w:sz w:val="20"/>
              </w:rPr>
            </w:pPr>
          </w:p>
          <w:p w:rsidR="00C751EE" w:rsidP="00C751EE">
            <w:pPr>
              <w:jc w:val="center"/>
              <w:rPr>
                <w:sz w:val="20"/>
              </w:rPr>
            </w:pPr>
          </w:p>
          <w:p w:rsidR="00F5258A" w:rsidP="00C751EE">
            <w:pPr>
              <w:jc w:val="center"/>
              <w:rPr>
                <w:sz w:val="20"/>
              </w:rPr>
            </w:pPr>
          </w:p>
          <w:p w:rsidR="00F5258A" w:rsidP="00C751EE">
            <w:pPr>
              <w:jc w:val="center"/>
              <w:rPr>
                <w:sz w:val="20"/>
              </w:rPr>
            </w:pPr>
          </w:p>
          <w:p w:rsidR="00F5258A" w:rsidP="00C751EE">
            <w:pPr>
              <w:jc w:val="center"/>
              <w:rPr>
                <w:sz w:val="20"/>
              </w:rPr>
            </w:pPr>
          </w:p>
          <w:p w:rsidR="00F5258A" w:rsidP="00C751EE">
            <w:pPr>
              <w:jc w:val="center"/>
              <w:rPr>
                <w:sz w:val="20"/>
              </w:rPr>
            </w:pPr>
          </w:p>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9B6AAE" w:rsidP="00C751EE">
            <w:pPr>
              <w:pStyle w:val="BodyText21"/>
              <w:spacing w:before="0"/>
            </w:pPr>
            <w:r w:rsidRPr="009B6AAE" w:rsidR="009B6AAE">
              <w:t>§42</w:t>
            </w:r>
          </w:p>
          <w:p w:rsidR="00C751EE" w:rsidRPr="009B6AAE" w:rsidP="00C751EE">
            <w:pPr>
              <w:pStyle w:val="BodyText21"/>
              <w:spacing w:before="0"/>
            </w:pPr>
            <w:r w:rsidRPr="009B6AAE">
              <w:t>O2</w:t>
            </w:r>
          </w:p>
          <w:p w:rsidR="00C751EE" w:rsidRPr="009B6AAE" w:rsidP="00C751EE">
            <w:pPr>
              <w:pStyle w:val="BodyText21"/>
              <w:spacing w:before="0"/>
            </w:pPr>
            <w:r w:rsidRPr="009B6AAE" w:rsidR="009B6AAE">
              <w:t>Pk</w:t>
            </w:r>
          </w:p>
          <w:p w:rsidR="00C751EE" w:rsidP="00C751EE">
            <w:pPr>
              <w:pStyle w:val="BodyText21"/>
              <w:spacing w:before="0"/>
              <w:rPr>
                <w:lang w:eastAsia="sk-SK"/>
              </w:rPr>
            </w:pPr>
          </w:p>
          <w:p w:rsidR="00F5258A" w:rsidP="00C751EE">
            <w:pPr>
              <w:pStyle w:val="BodyText21"/>
              <w:spacing w:before="0"/>
              <w:rPr>
                <w:lang w:eastAsia="sk-SK"/>
              </w:rPr>
            </w:pPr>
          </w:p>
          <w:p w:rsidR="00F5258A" w:rsidP="00C751EE">
            <w:pPr>
              <w:pStyle w:val="BodyText21"/>
              <w:spacing w:before="0"/>
              <w:rPr>
                <w:lang w:eastAsia="sk-SK"/>
              </w:rPr>
            </w:pPr>
          </w:p>
          <w:p w:rsidR="00F5258A" w:rsidP="00C751EE">
            <w:pPr>
              <w:pStyle w:val="BodyText21"/>
              <w:spacing w:before="0"/>
              <w:rPr>
                <w:lang w:eastAsia="sk-SK"/>
              </w:rPr>
            </w:pPr>
          </w:p>
          <w:p w:rsidR="00F5258A" w:rsidRPr="009B6AAE" w:rsidP="00C751EE">
            <w:pPr>
              <w:pStyle w:val="BodyText21"/>
              <w:spacing w:before="0"/>
              <w:rPr>
                <w:lang w:eastAsia="sk-SK"/>
              </w:rPr>
            </w:pPr>
          </w:p>
          <w:p w:rsidR="00C751EE" w:rsidRPr="009B6AAE" w:rsidP="00C751EE">
            <w:pPr>
              <w:pStyle w:val="BodyText21"/>
              <w:spacing w:before="0"/>
              <w:rPr>
                <w:lang w:eastAsia="sk-SK"/>
              </w:rPr>
            </w:pPr>
            <w:r w:rsidRPr="009B6AAE" w:rsidR="00806CD7">
              <w:rPr>
                <w:lang w:eastAsia="sk-SK"/>
              </w:rPr>
              <w:t>§9</w:t>
            </w:r>
          </w:p>
          <w:p w:rsidR="00C751EE" w:rsidRPr="009B6AAE" w:rsidP="00C751EE">
            <w:pPr>
              <w:pStyle w:val="BodyText21"/>
              <w:spacing w:before="0"/>
              <w:rPr>
                <w:lang w:eastAsia="sk-SK"/>
              </w:rPr>
            </w:pPr>
            <w:r w:rsidRPr="009B6AAE">
              <w:rPr>
                <w:lang w:eastAsia="sk-SK"/>
              </w:rPr>
              <w:t>O1</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O2</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P="00C751EE">
            <w:pPr>
              <w:pStyle w:val="BodyText21"/>
              <w:spacing w:before="0"/>
            </w:pPr>
          </w:p>
          <w:p w:rsidR="00503A51"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O3</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O4</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O5</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O6</w:t>
            </w:r>
          </w:p>
          <w:p w:rsidR="00C751EE" w:rsidP="00C751EE">
            <w:pPr>
              <w:pStyle w:val="BodyText21"/>
              <w:spacing w:before="0"/>
            </w:pPr>
          </w:p>
          <w:p w:rsidR="00C751EE" w:rsidP="00C751EE">
            <w:pPr>
              <w:pStyle w:val="BodyText21"/>
              <w:spacing w:before="0"/>
            </w:pPr>
          </w:p>
          <w:p w:rsidR="00503A51" w:rsidP="00C751EE">
            <w:pPr>
              <w:pStyle w:val="BodyText21"/>
              <w:spacing w:before="0"/>
            </w:pPr>
          </w:p>
          <w:p w:rsidR="00C751EE" w:rsidRPr="009B6AAE" w:rsidP="00C751EE">
            <w:pPr>
              <w:pStyle w:val="BodyText21"/>
              <w:spacing w:before="0"/>
            </w:pPr>
            <w:r w:rsidRPr="009B6AAE">
              <w:t>O7</w:t>
            </w:r>
          </w:p>
          <w:p w:rsidR="00C751EE" w:rsidRPr="009B6AAE" w:rsidP="00C751EE">
            <w:pPr>
              <w:pStyle w:val="BodyText21"/>
              <w:spacing w:before="0"/>
            </w:pPr>
          </w:p>
          <w:p w:rsidR="00C751EE" w:rsidRPr="009B6AAE" w:rsidP="00C751EE">
            <w:pPr>
              <w:pStyle w:val="BodyText21"/>
              <w:spacing w:before="0"/>
            </w:pPr>
          </w:p>
          <w:p w:rsidR="00806CD7" w:rsidRPr="009B6AAE" w:rsidP="00C751EE">
            <w:pPr>
              <w:pStyle w:val="BodyText21"/>
              <w:spacing w:before="0"/>
            </w:pPr>
          </w:p>
          <w:p w:rsidR="00C751EE" w:rsidRPr="009B6AAE" w:rsidP="00C751EE">
            <w:pPr>
              <w:pStyle w:val="BodyText21"/>
              <w:spacing w:before="0"/>
            </w:pPr>
            <w:r w:rsidRPr="009B6AAE" w:rsidR="00806CD7">
              <w:t>O11</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rsidR="00E10CBC">
              <w:t>§10</w:t>
            </w:r>
          </w:p>
          <w:p w:rsidR="00C751EE" w:rsidRPr="009B6AAE" w:rsidP="00C751EE">
            <w:pPr>
              <w:pStyle w:val="BodyText21"/>
              <w:spacing w:before="0"/>
            </w:pPr>
            <w:r w:rsidRPr="009B6AAE">
              <w:t>O1</w:t>
            </w:r>
          </w:p>
          <w:p w:rsidR="00C751EE" w:rsidRPr="009B6AAE" w:rsidP="00C751EE">
            <w:pPr>
              <w:pStyle w:val="BodyText21"/>
              <w:spacing w:before="0"/>
            </w:pPr>
          </w:p>
          <w:p w:rsidR="00C751EE" w:rsidP="00C751EE">
            <w:pPr>
              <w:pStyle w:val="BodyText21"/>
              <w:spacing w:before="0"/>
            </w:pPr>
          </w:p>
          <w:p w:rsidR="00503A51"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O2</w:t>
            </w:r>
          </w:p>
          <w:p w:rsidR="00C751EE" w:rsidRPr="009B6AAE" w:rsidP="00C751EE">
            <w:pPr>
              <w:pStyle w:val="BodyText21"/>
              <w:spacing w:before="0"/>
            </w:pPr>
          </w:p>
          <w:p w:rsidR="00C751EE" w:rsidP="00C751EE">
            <w:pPr>
              <w:pStyle w:val="BodyText21"/>
              <w:spacing w:before="0"/>
            </w:pPr>
          </w:p>
          <w:p w:rsidR="00884D9F" w:rsidRPr="009B6AAE" w:rsidP="00C751EE">
            <w:pPr>
              <w:pStyle w:val="BodyText21"/>
              <w:spacing w:before="0"/>
            </w:pPr>
          </w:p>
          <w:p w:rsidR="00C751EE" w:rsidRPr="009B6AAE" w:rsidP="00C751EE">
            <w:pPr>
              <w:pStyle w:val="BodyText21"/>
              <w:spacing w:before="0"/>
            </w:pPr>
            <w:r w:rsidRPr="009B6AAE">
              <w:t>O3</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O4</w:t>
            </w: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p>
          <w:p w:rsidR="00C751EE" w:rsidP="00C751EE">
            <w:pPr>
              <w:pStyle w:val="BodyText21"/>
              <w:spacing w:before="0"/>
            </w:pPr>
          </w:p>
          <w:p w:rsidR="00503A51" w:rsidRPr="009B6AAE" w:rsidP="00C751EE">
            <w:pPr>
              <w:pStyle w:val="BodyText21"/>
              <w:spacing w:before="0"/>
            </w:pPr>
          </w:p>
          <w:p w:rsidR="00C751EE" w:rsidRPr="009B6AAE" w:rsidP="00C751EE">
            <w:pPr>
              <w:pStyle w:val="BodyText21"/>
              <w:spacing w:before="0"/>
            </w:pPr>
          </w:p>
          <w:p w:rsidR="00C751EE" w:rsidRPr="009B6AAE" w:rsidP="00C751EE">
            <w:pPr>
              <w:pStyle w:val="BodyText21"/>
              <w:spacing w:before="0"/>
            </w:pPr>
            <w:r w:rsidRPr="009B6AAE">
              <w:t>O5</w:t>
            </w:r>
          </w:p>
          <w:p w:rsidR="00C751EE" w:rsidRPr="009B6AAE" w:rsidP="00C751EE">
            <w:pPr>
              <w:pStyle w:val="BodyText21"/>
              <w:spacing w:before="0"/>
            </w:pPr>
          </w:p>
        </w:tc>
        <w:tc>
          <w:tcPr>
            <w:tcW w:w="4110" w:type="dxa"/>
            <w:tcBorders>
              <w:top w:val="single" w:sz="4" w:space="0" w:color="auto"/>
              <w:bottom w:val="single" w:sz="4" w:space="0" w:color="auto"/>
            </w:tcBorders>
          </w:tcPr>
          <w:p w:rsidR="00F5258A" w:rsidRPr="00BF05AB" w:rsidP="00F5258A">
            <w:pPr>
              <w:tabs>
                <w:tab w:val="left" w:pos="851"/>
              </w:tabs>
              <w:spacing w:after="120"/>
              <w:jc w:val="both"/>
              <w:rPr>
                <w:b/>
                <w:sz w:val="20"/>
                <w:lang w:eastAsia="sk-SK"/>
              </w:rPr>
            </w:pPr>
            <w:r>
              <w:rPr>
                <w:b/>
                <w:sz w:val="20"/>
                <w:lang w:eastAsia="sk-SK"/>
              </w:rPr>
              <w:t>§ 42</w:t>
            </w:r>
          </w:p>
          <w:p w:rsidR="00F5258A" w:rsidRPr="00BF05AB" w:rsidP="00F5258A">
            <w:pPr>
              <w:tabs>
                <w:tab w:val="left" w:pos="851"/>
              </w:tabs>
              <w:spacing w:after="120"/>
              <w:jc w:val="both"/>
              <w:rPr>
                <w:b/>
                <w:sz w:val="20"/>
                <w:lang w:eastAsia="sk-SK"/>
              </w:rPr>
            </w:pPr>
            <w:r>
              <w:rPr>
                <w:b/>
                <w:sz w:val="20"/>
                <w:lang w:eastAsia="sk-SK"/>
              </w:rPr>
              <w:t>Inšpekcia</w:t>
            </w:r>
          </w:p>
          <w:p w:rsidR="00F5258A" w:rsidRPr="000C7FA1" w:rsidP="00F5258A">
            <w:pPr>
              <w:jc w:val="both"/>
              <w:rPr>
                <w:sz w:val="20"/>
              </w:rPr>
            </w:pPr>
            <w:r>
              <w:rPr>
                <w:sz w:val="20"/>
              </w:rPr>
              <w:t xml:space="preserve">(2) </w:t>
            </w:r>
            <w:r w:rsidRPr="000C7FA1">
              <w:rPr>
                <w:sz w:val="20"/>
              </w:rPr>
              <w:t xml:space="preserve">Inšpekcia kontroluje </w:t>
            </w:r>
            <w:r>
              <w:rPr>
                <w:sz w:val="20"/>
              </w:rPr>
              <w:t>najmä</w:t>
            </w:r>
          </w:p>
          <w:p w:rsidR="00F5258A" w:rsidP="00F5258A">
            <w:pPr>
              <w:rPr>
                <w:sz w:val="20"/>
              </w:rPr>
            </w:pPr>
            <w:r w:rsidRPr="000C7FA1">
              <w:rPr>
                <w:sz w:val="20"/>
              </w:rPr>
              <w:t xml:space="preserve">k) plnenie povinností podnikateľa podľa § </w:t>
            </w:r>
            <w:r>
              <w:rPr>
                <w:sz w:val="20"/>
              </w:rPr>
              <w:t>37</w:t>
            </w:r>
            <w:r w:rsidRPr="000C7FA1">
              <w:rPr>
                <w:sz w:val="20"/>
              </w:rPr>
              <w:t xml:space="preserve">; na tento účel zabezpečuje odober vzoriek </w:t>
            </w:r>
            <w:r>
              <w:rPr>
                <w:sz w:val="20"/>
              </w:rPr>
              <w:t xml:space="preserve">paliva </w:t>
            </w:r>
            <w:r w:rsidRPr="000C7FA1">
              <w:rPr>
                <w:sz w:val="20"/>
              </w:rPr>
              <w:t>a ich analýzy,</w:t>
            </w:r>
          </w:p>
          <w:p w:rsidR="00F5258A" w:rsidRPr="000C7FA1" w:rsidP="00F5258A">
            <w:pPr>
              <w:rPr>
                <w:sz w:val="20"/>
              </w:rPr>
            </w:pPr>
          </w:p>
          <w:p w:rsidR="00EA68A4" w:rsidRPr="009A7637" w:rsidP="00F5258A">
            <w:pPr>
              <w:pStyle w:val="odsek1"/>
              <w:numPr>
                <w:ilvl w:val="0"/>
                <w:numId w:val="0"/>
              </w:numPr>
              <w:rPr>
                <w:rFonts w:ascii="TimesNewRoman" w:eastAsia="Times New Roman" w:hAnsi="TimesNewRoman" w:cs="TimesNewRoman"/>
                <w:color w:val="231F20"/>
                <w:sz w:val="20"/>
                <w:szCs w:val="20"/>
                <w:lang w:eastAsia="sk-SK"/>
              </w:rPr>
            </w:pPr>
            <w:r w:rsidRPr="009A7637" w:rsidR="00F5258A">
              <w:rPr>
                <w:rFonts w:ascii="TimesNewRoman" w:eastAsia="Times New Roman" w:hAnsi="TimesNewRoman" w:cs="TimesNewRoman"/>
                <w:color w:val="231F20"/>
                <w:sz w:val="20"/>
                <w:szCs w:val="20"/>
                <w:lang w:eastAsia="sk-SK"/>
              </w:rPr>
              <w:t xml:space="preserve"> </w:t>
            </w:r>
            <w:r w:rsidRPr="009A7637">
              <w:rPr>
                <w:rFonts w:ascii="TimesNewRoman" w:eastAsia="Times New Roman" w:hAnsi="TimesNewRoman" w:cs="TimesNewRoman"/>
                <w:color w:val="231F20"/>
                <w:sz w:val="20"/>
                <w:szCs w:val="20"/>
                <w:lang w:eastAsia="sk-SK"/>
              </w:rPr>
              <w:t>(1) Podľa § 42 ods. 2 písm. k) zákona kvalitu palív kontroluje Slovenská inšpekcia životného prostredia (ďalej len „inšpekcia“)</w:t>
            </w:r>
          </w:p>
          <w:p w:rsidR="00EA68A4" w:rsidRPr="009A7637" w:rsidP="00EA68A4">
            <w:pPr>
              <w:pStyle w:val="odsek1"/>
              <w:numPr>
                <w:ilvl w:val="1"/>
                <w:numId w:val="4"/>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zabezpečením odberu reprezentatívnych vzoriek, ich analýzou bez zbytočného odkladu a zdokumentovaním údajov o zistenej kvalite v súlade s technickými normami a ostatnými technickými požiadavkami podľa odsekov 2 až 11,</w:t>
            </w:r>
          </w:p>
          <w:p w:rsidR="00EA68A4" w:rsidRPr="009A7637" w:rsidP="00EA68A4">
            <w:pPr>
              <w:pStyle w:val="odsek1"/>
              <w:numPr>
                <w:ilvl w:val="1"/>
                <w:numId w:val="4"/>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kontrolou plnenia požiadaviek na</w:t>
            </w:r>
          </w:p>
          <w:p w:rsidR="00EA68A4" w:rsidRPr="009A7637" w:rsidP="001B596A">
            <w:pPr>
              <w:pStyle w:val="odsek1"/>
              <w:numPr>
                <w:ilvl w:val="0"/>
                <w:numId w:val="2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zisťovanie a preukazovanie kvality dodávaných palív podľa druhu a spôsobu dodávky vrátane lodných denníkov a dodacích listov pre nádrž lode podľa § 10 až 11,</w:t>
            </w:r>
          </w:p>
          <w:p w:rsidR="00EA68A4" w:rsidRPr="009A7637" w:rsidP="001B596A">
            <w:pPr>
              <w:pStyle w:val="odsek1"/>
              <w:numPr>
                <w:ilvl w:val="0"/>
                <w:numId w:val="2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prevádzkovú evidenciu a poskytovanie údajov podľa druhu a spôsobu predaja paliva koncovému užívateľovi alebo spotrebiteľovi podľa § 12.</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(2) Reprezentatívne vzorky paliva sa odoberajú pravidelne, dostatočne často a v potrebnom množstve, aby reprezentovali </w:t>
            </w:r>
            <w:r w:rsidRPr="009A7637" w:rsidR="00806CD7">
              <w:rPr>
                <w:rFonts w:ascii="TimesNewRoman" w:eastAsia="Times New Roman" w:hAnsi="TimesNewRoman" w:cs="TimesNewRoman"/>
                <w:color w:val="231F20"/>
                <w:sz w:val="20"/>
                <w:szCs w:val="20"/>
                <w:lang w:eastAsia="sk-SK"/>
              </w:rPr>
              <w:t>kontrolované</w:t>
            </w:r>
            <w:r w:rsidRPr="009A7637">
              <w:rPr>
                <w:rFonts w:ascii="TimesNewRoman" w:eastAsia="Times New Roman" w:hAnsi="TimesNewRoman" w:cs="TimesNewRoman"/>
                <w:color w:val="231F20"/>
                <w:sz w:val="20"/>
                <w:szCs w:val="20"/>
                <w:lang w:eastAsia="sk-SK"/>
              </w:rPr>
              <w:t xml:space="preserve"> palivo, ak ide o </w:t>
            </w:r>
          </w:p>
          <w:p w:rsidR="00884D9F" w:rsidRPr="009A7637" w:rsidP="001B596A">
            <w:pPr>
              <w:pStyle w:val="odsek1"/>
              <w:numPr>
                <w:ilvl w:val="1"/>
                <w:numId w:val="14"/>
              </w:numPr>
              <w:ind w:left="426" w:hanging="426"/>
              <w:rPr>
                <w:rFonts w:ascii="TimesNewRoman" w:eastAsia="Times New Roman" w:hAnsi="TimesNewRoman" w:cs="TimesNewRoman"/>
                <w:color w:val="231F20"/>
                <w:sz w:val="20"/>
                <w:lang w:eastAsia="sk-SK"/>
              </w:rPr>
            </w:pPr>
            <w:r w:rsidRPr="009A7637" w:rsidR="00806CD7">
              <w:rPr>
                <w:rFonts w:ascii="TimesNewRoman" w:eastAsia="Times New Roman" w:hAnsi="TimesNewRoman" w:cs="TimesNewRoman"/>
                <w:color w:val="231F20"/>
                <w:sz w:val="20"/>
                <w:szCs w:val="20"/>
                <w:lang w:eastAsia="sk-SK"/>
              </w:rPr>
              <w:t xml:space="preserve">lodné </w:t>
            </w:r>
            <w:r w:rsidRPr="009A7637">
              <w:rPr>
                <w:rFonts w:ascii="TimesNewRoman" w:eastAsia="Times New Roman" w:hAnsi="TimesNewRoman" w:cs="TimesNewRoman"/>
                <w:color w:val="231F20"/>
                <w:sz w:val="20"/>
                <w:lang w:eastAsia="sk-SK"/>
              </w:rPr>
              <w:t>palivo podľa usmernenia pre odber vzoriek vykurovacieho oleja na určenie súladu  s požiadavkami podľa medzinárodnej zmluvy,</w:t>
            </w:r>
            <w:r w:rsidRPr="009A7637">
              <w:rPr>
                <w:rFonts w:ascii="TimesNewRoman" w:eastAsia="Times New Roman" w:hAnsi="TimesNewRoman" w:cs="TimesNewRoman"/>
                <w:color w:val="231F20"/>
                <w:sz w:val="20"/>
                <w:vertAlign w:val="superscript"/>
                <w:lang w:eastAsia="sk-SK"/>
              </w:rPr>
              <w:t>24</w:t>
            </w:r>
            <w:r w:rsidRPr="009A7637">
              <w:rPr>
                <w:rFonts w:ascii="TimesNewRoman" w:eastAsia="Times New Roman" w:hAnsi="TimesNewRoman" w:cs="TimesNewRoman"/>
                <w:color w:val="231F20"/>
                <w:sz w:val="20"/>
                <w:lang w:eastAsia="sk-SK"/>
              </w:rPr>
              <w:t>)</w:t>
            </w:r>
          </w:p>
          <w:p w:rsidR="00806CD7" w:rsidRPr="009A7637" w:rsidP="001B596A">
            <w:pPr>
              <w:pStyle w:val="odsek1"/>
              <w:numPr>
                <w:ilvl w:val="1"/>
                <w:numId w:val="14"/>
              </w:numPr>
              <w:ind w:left="426" w:hanging="426"/>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ostatné </w:t>
            </w:r>
            <w:r w:rsidRPr="009A7637" w:rsidR="00884D9F">
              <w:rPr>
                <w:rFonts w:ascii="TimesNewRoman" w:eastAsia="Times New Roman" w:hAnsi="TimesNewRoman" w:cs="TimesNewRoman"/>
                <w:color w:val="231F20"/>
                <w:sz w:val="20"/>
                <w:szCs w:val="20"/>
                <w:lang w:eastAsia="sk-SK"/>
              </w:rPr>
              <w:t>palivá podľa príslušnej technickej normy pre kontrolovaný druh paliva.</w:t>
            </w:r>
            <w:r>
              <w:rPr>
                <w:rFonts w:ascii="TimesNewRoman" w:eastAsia="Times New Roman" w:hAnsi="TimesNewRoman" w:cs="TimesNewRoman"/>
                <w:color w:val="231F20"/>
                <w:sz w:val="20"/>
                <w:szCs w:val="20"/>
                <w:vertAlign w:val="superscript"/>
                <w:lang w:eastAsia="sk-SK"/>
              </w:rPr>
              <w:footnoteReference w:id="10"/>
            </w:r>
            <w:r w:rsidRPr="009A7637" w:rsidR="00884D9F">
              <w:rPr>
                <w:rFonts w:ascii="TimesNewRoman" w:eastAsia="Times New Roman" w:hAnsi="TimesNewRoman" w:cs="TimesNewRoman"/>
                <w:color w:val="231F20"/>
                <w:sz w:val="20"/>
                <w:szCs w:val="20"/>
                <w:lang w:eastAsia="sk-SK"/>
              </w:rPr>
              <w:t>)</w:t>
            </w:r>
          </w:p>
          <w:p w:rsidR="00C751EE" w:rsidRPr="009A7637" w:rsidP="00806CD7">
            <w:pPr>
              <w:pStyle w:val="odsek1"/>
              <w:numPr>
                <w:ilvl w:val="0"/>
                <w:numId w:val="0"/>
              </w:numPr>
              <w:rPr>
                <w:rFonts w:ascii="TimesNewRoman" w:eastAsia="Times New Roman" w:hAnsi="TimesNewRoman" w:cs="TimesNewRoman"/>
                <w:color w:val="231F20"/>
                <w:sz w:val="20"/>
                <w:szCs w:val="20"/>
                <w:lang w:eastAsia="sk-SK"/>
              </w:rPr>
            </w:pPr>
            <w:r w:rsidRPr="009A7637" w:rsidR="00806CD7">
              <w:rPr>
                <w:rFonts w:ascii="TimesNewRoman" w:eastAsia="Times New Roman" w:hAnsi="TimesNewRoman" w:cs="TimesNewRoman"/>
                <w:color w:val="231F20"/>
                <w:sz w:val="20"/>
                <w:szCs w:val="20"/>
                <w:lang w:eastAsia="sk-SK"/>
              </w:rPr>
              <w:t xml:space="preserve"> </w:t>
            </w:r>
            <w:r w:rsidRPr="009A7637">
              <w:rPr>
                <w:rFonts w:ascii="TimesNewRoman" w:eastAsia="Times New Roman" w:hAnsi="TimesNewRoman" w:cs="TimesNewRoman"/>
                <w:color w:val="231F20"/>
                <w:sz w:val="20"/>
                <w:szCs w:val="20"/>
                <w:lang w:eastAsia="sk-SK"/>
              </w:rPr>
              <w:t>(3) Obsah síry sa zisťuje na základe analytickej referenčnej metódy, ak ide o</w:t>
            </w:r>
          </w:p>
          <w:p w:rsidR="00884D9F" w:rsidRPr="009A7637" w:rsidP="001B596A">
            <w:pPr>
              <w:pStyle w:val="odsek1"/>
              <w:numPr>
                <w:ilvl w:val="1"/>
                <w:numId w:val="13"/>
              </w:numPr>
              <w:ind w:left="426" w:hanging="426"/>
              <w:rPr>
                <w:rFonts w:ascii="TimesNewRoman" w:eastAsia="Times New Roman" w:hAnsi="TimesNewRoman" w:cs="TimesNewRoman"/>
                <w:color w:val="231F20"/>
                <w:sz w:val="20"/>
                <w:szCs w:val="20"/>
                <w:lang w:eastAsia="sk-SK"/>
              </w:rPr>
            </w:pPr>
            <w:r w:rsidRPr="009A7637" w:rsidR="00806CD7">
              <w:rPr>
                <w:rFonts w:ascii="TimesNewRoman" w:eastAsia="Times New Roman" w:hAnsi="TimesNewRoman" w:cs="TimesNewRoman"/>
                <w:color w:val="231F20"/>
                <w:sz w:val="20"/>
                <w:szCs w:val="20"/>
                <w:lang w:eastAsia="sk-SK"/>
              </w:rPr>
              <w:t xml:space="preserve">lodné palivo </w:t>
            </w:r>
            <w:r w:rsidRPr="009A7637">
              <w:rPr>
                <w:rFonts w:ascii="TimesNewRoman" w:eastAsia="Times New Roman" w:hAnsi="TimesNewRoman" w:cs="TimesNewRoman"/>
                <w:color w:val="231F20"/>
                <w:sz w:val="20"/>
                <w:szCs w:val="20"/>
                <w:lang w:eastAsia="sk-SK"/>
              </w:rPr>
              <w:t>podľa postupu na kontrolu palív stanoveného v medzinárodnej zmluve, ktorou je Slovenská republika viazaná,</w:t>
            </w:r>
            <w:r w:rsidRPr="009A7637">
              <w:rPr>
                <w:rFonts w:ascii="TimesNewRoman" w:eastAsia="Times New Roman" w:hAnsi="TimesNewRoman" w:cs="TimesNewRoman"/>
                <w:color w:val="231F20"/>
                <w:sz w:val="20"/>
                <w:szCs w:val="20"/>
                <w:vertAlign w:val="superscript"/>
                <w:lang w:eastAsia="sk-SK"/>
              </w:rPr>
              <w:t>24</w:t>
            </w:r>
            <w:r w:rsidRPr="009A7637">
              <w:rPr>
                <w:rFonts w:ascii="TimesNewRoman" w:eastAsia="Times New Roman" w:hAnsi="TimesNewRoman" w:cs="TimesNewRoman"/>
                <w:color w:val="231F20"/>
                <w:sz w:val="20"/>
                <w:szCs w:val="20"/>
                <w:lang w:eastAsia="sk-SK"/>
              </w:rPr>
              <w:t>)</w:t>
            </w:r>
          </w:p>
          <w:p w:rsidR="00806CD7" w:rsidRPr="009A7637" w:rsidP="001B596A">
            <w:pPr>
              <w:pStyle w:val="odsek1"/>
              <w:numPr>
                <w:ilvl w:val="1"/>
                <w:numId w:val="13"/>
              </w:numPr>
              <w:ind w:left="426" w:hanging="426"/>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vykurovací olej alebo motorový plynový olej podľa technickej normy.</w:t>
            </w:r>
            <w:r w:rsidRPr="009A7637" w:rsidR="00D87230">
              <w:rPr>
                <w:rFonts w:ascii="TimesNewRoman" w:eastAsia="Times New Roman" w:hAnsi="TimesNewRoman" w:cs="TimesNewRoman"/>
                <w:color w:val="231F20"/>
                <w:sz w:val="20"/>
                <w:szCs w:val="20"/>
                <w:vertAlign w:val="superscript"/>
                <w:lang w:eastAsia="sk-SK"/>
              </w:rPr>
              <w:t>36</w:t>
            </w:r>
            <w:r w:rsidRPr="009A7637">
              <w:rPr>
                <w:rFonts w:ascii="TimesNewRoman" w:eastAsia="Times New Roman" w:hAnsi="TimesNewRoman" w:cs="TimesNewRoman"/>
                <w:color w:val="231F20"/>
                <w:sz w:val="20"/>
                <w:szCs w:val="20"/>
                <w:lang w:eastAsia="sk-SK"/>
              </w:rPr>
              <w:t>)</w:t>
            </w:r>
          </w:p>
          <w:p w:rsidR="00806CD7" w:rsidRPr="009A7637" w:rsidP="00806CD7">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 </w:t>
            </w:r>
            <w:r w:rsidRPr="009A7637" w:rsidR="00C751EE">
              <w:rPr>
                <w:rFonts w:ascii="TimesNewRoman" w:eastAsia="Times New Roman" w:hAnsi="TimesNewRoman" w:cs="TimesNewRoman"/>
                <w:color w:val="231F20"/>
                <w:sz w:val="20"/>
                <w:szCs w:val="20"/>
                <w:lang w:eastAsia="sk-SK"/>
              </w:rPr>
              <w:t xml:space="preserve">(4) </w:t>
            </w:r>
            <w:r w:rsidRPr="009A7637" w:rsidR="00884D9F">
              <w:rPr>
                <w:rFonts w:eastAsia="Times New Roman"/>
                <w:sz w:val="20"/>
                <w:szCs w:val="20"/>
                <w:lang w:eastAsia="cs-CZ"/>
              </w:rPr>
              <w:t>Kvalitatívne parametre automobilového benzínu sa zisťujú na základe analytických metód stanovených technickou normou.</w:t>
            </w:r>
            <w:r>
              <w:rPr>
                <w:rFonts w:eastAsia="Times New Roman"/>
                <w:sz w:val="20"/>
                <w:szCs w:val="20"/>
                <w:vertAlign w:val="superscript"/>
                <w:lang w:eastAsia="cs-CZ"/>
              </w:rPr>
              <w:footnoteReference w:id="11"/>
            </w:r>
            <w:r w:rsidRPr="009A7637" w:rsidR="00884D9F">
              <w:rPr>
                <w:rFonts w:eastAsia="Times New Roman"/>
                <w:sz w:val="20"/>
                <w:szCs w:val="20"/>
                <w:lang w:eastAsia="cs-CZ"/>
              </w:rPr>
              <w:t>)</w:t>
            </w:r>
          </w:p>
          <w:p w:rsidR="00C751EE" w:rsidRPr="009A7637" w:rsidP="00806CD7">
            <w:pPr>
              <w:pStyle w:val="odsek1"/>
              <w:numPr>
                <w:ilvl w:val="0"/>
                <w:numId w:val="0"/>
              </w:numPr>
              <w:rPr>
                <w:rFonts w:ascii="TimesNewRoman" w:eastAsia="Times New Roman" w:hAnsi="TimesNewRoman" w:cs="TimesNewRoman"/>
                <w:color w:val="231F20"/>
                <w:sz w:val="20"/>
                <w:szCs w:val="20"/>
                <w:lang w:eastAsia="sk-SK"/>
              </w:rPr>
            </w:pPr>
            <w:r w:rsidRPr="009A7637" w:rsidR="00806CD7">
              <w:rPr>
                <w:rFonts w:ascii="TimesNewRoman" w:eastAsia="Times New Roman" w:hAnsi="TimesNewRoman" w:cs="TimesNewRoman"/>
                <w:color w:val="231F20"/>
                <w:sz w:val="20"/>
                <w:szCs w:val="20"/>
                <w:lang w:eastAsia="sk-SK"/>
              </w:rPr>
              <w:t xml:space="preserve"> </w:t>
            </w:r>
            <w:r w:rsidRPr="009A7637">
              <w:rPr>
                <w:rFonts w:ascii="TimesNewRoman" w:eastAsia="Times New Roman" w:hAnsi="TimesNewRoman" w:cs="TimesNewRoman"/>
                <w:color w:val="231F20"/>
                <w:sz w:val="20"/>
                <w:szCs w:val="20"/>
                <w:lang w:eastAsia="sk-SK"/>
              </w:rPr>
              <w:t xml:space="preserve">(5) </w:t>
            </w:r>
            <w:r w:rsidRPr="009A7637" w:rsidR="00884D9F">
              <w:rPr>
                <w:rFonts w:eastAsia="Times New Roman"/>
                <w:sz w:val="20"/>
                <w:szCs w:val="20"/>
                <w:lang w:eastAsia="cs-CZ"/>
              </w:rPr>
              <w:t>Kvalitatívne parametre motorovej nafty sa zisťujú na základe analytických metód stanovených technickou normou.</w:t>
            </w:r>
            <w:r>
              <w:rPr>
                <w:rFonts w:eastAsia="Times New Roman"/>
                <w:sz w:val="20"/>
                <w:szCs w:val="20"/>
                <w:vertAlign w:val="superscript"/>
                <w:lang w:eastAsia="cs-CZ"/>
              </w:rPr>
              <w:footnoteReference w:id="12"/>
            </w:r>
            <w:r w:rsidRPr="009A7637" w:rsidR="00884D9F">
              <w:rPr>
                <w:rFonts w:eastAsia="Times New Roman"/>
                <w:sz w:val="20"/>
                <w:szCs w:val="20"/>
                <w:lang w:eastAsia="cs-CZ"/>
              </w:rPr>
              <w:t>)</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(6) </w:t>
            </w:r>
            <w:bookmarkStart w:id="2" w:name="_Ref266865242"/>
            <w:r w:rsidRPr="009A7637" w:rsidR="00806CD7">
              <w:rPr>
                <w:rFonts w:ascii="TimesNewRoman" w:eastAsia="Times New Roman" w:hAnsi="TimesNewRoman" w:cs="TimesNewRoman"/>
                <w:color w:val="231F20"/>
                <w:sz w:val="20"/>
                <w:szCs w:val="20"/>
                <w:lang w:eastAsia="sk-SK"/>
              </w:rPr>
              <w:t xml:space="preserve">Kvalitatívne </w:t>
            </w:r>
            <w:bookmarkEnd w:id="2"/>
            <w:r w:rsidRPr="009A7637" w:rsidR="00884D9F">
              <w:rPr>
                <w:sz w:val="20"/>
                <w:szCs w:val="20"/>
              </w:rPr>
              <w:t>parametre skvapalneného ropného plynu (LPG) sa zisťujú na základe analytických metód stanovených technickou normou.</w:t>
            </w:r>
            <w:r w:rsidRPr="009A7637" w:rsidR="00884D9F">
              <w:rPr>
                <w:sz w:val="20"/>
                <w:szCs w:val="20"/>
                <w:vertAlign w:val="superscript"/>
              </w:rPr>
              <w:t>22</w:t>
            </w:r>
            <w:r w:rsidRPr="009A7637" w:rsidR="00884D9F">
              <w:rPr>
                <w:sz w:val="20"/>
                <w:szCs w:val="20"/>
              </w:rPr>
              <w:t>)</w:t>
            </w:r>
            <w:r w:rsidRPr="009A7637" w:rsidR="00884D9F">
              <w:t xml:space="preserve">  </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(7) </w:t>
            </w:r>
            <w:bookmarkStart w:id="3" w:name="_Ref266865728"/>
            <w:r w:rsidRPr="009A7637" w:rsidR="00806CD7">
              <w:rPr>
                <w:rFonts w:ascii="TimesNewRoman" w:eastAsia="Times New Roman" w:hAnsi="TimesNewRoman" w:cs="TimesNewRoman"/>
                <w:color w:val="231F20"/>
                <w:sz w:val="20"/>
                <w:szCs w:val="20"/>
                <w:lang w:eastAsia="sk-SK"/>
              </w:rPr>
              <w:t xml:space="preserve">Kvalitatívne </w:t>
            </w:r>
            <w:bookmarkEnd w:id="3"/>
            <w:r w:rsidRPr="009A7637" w:rsidR="00884D9F">
              <w:rPr>
                <w:sz w:val="20"/>
                <w:szCs w:val="20"/>
              </w:rPr>
              <w:t>parametre stlačeného zemného plynu (CNG) sa zisťujú na základe analytických metód stanovených technickou normou.</w:t>
            </w:r>
            <w:r w:rsidRPr="009A7637" w:rsidR="00884D9F">
              <w:rPr>
                <w:sz w:val="20"/>
                <w:szCs w:val="20"/>
                <w:vertAlign w:val="superscript"/>
              </w:rPr>
              <w:t>23</w:t>
            </w:r>
            <w:r w:rsidRPr="009A7637" w:rsidR="00884D9F">
              <w:rPr>
                <w:sz w:val="20"/>
                <w:szCs w:val="20"/>
              </w:rPr>
              <w:t>)</w:t>
            </w:r>
            <w:r w:rsidRPr="009A7637" w:rsidR="00884D9F">
              <w:t xml:space="preserve">   </w:t>
            </w:r>
          </w:p>
          <w:p w:rsidR="00884D9F" w:rsidRPr="009A7637" w:rsidP="00884D9F">
            <w:pPr>
              <w:tabs>
                <w:tab w:val="left" w:pos="1418"/>
              </w:tabs>
              <w:spacing w:after="120"/>
              <w:jc w:val="both"/>
              <w:rPr>
                <w:sz w:val="20"/>
              </w:rPr>
            </w:pPr>
            <w:r w:rsidRPr="009A7637">
              <w:rPr>
                <w:rFonts w:ascii="TimesNewRoman" w:hAnsi="TimesNewRoman" w:cs="TimesNewRoman"/>
                <w:color w:val="231F20"/>
                <w:sz w:val="20"/>
                <w:lang w:eastAsia="sk-SK"/>
              </w:rPr>
              <w:t xml:space="preserve">(11) </w:t>
            </w:r>
            <w:r w:rsidRPr="009A7637" w:rsidR="00806CD7">
              <w:rPr>
                <w:rFonts w:ascii="TimesNewRoman" w:hAnsi="TimesNewRoman" w:cs="TimesNewRoman"/>
                <w:color w:val="231F20"/>
                <w:sz w:val="20"/>
                <w:lang w:eastAsia="sk-SK"/>
              </w:rPr>
              <w:t xml:space="preserve">Odber </w:t>
            </w:r>
            <w:r w:rsidRPr="009A7637">
              <w:rPr>
                <w:sz w:val="20"/>
              </w:rPr>
              <w:t>reprezentatívnej vzorky paliva, zistenie kvalitatívnych parametrov analytickými metódami a zdokumentovanie výsledkov sa zabezpečuje osobou, ktorá má pre danú činnosť systém manažérstva podľa technickej normy, ktorá určuje všeobecné požiadavky na kompetentnosť skúšobných laboratórií, inšpekčných orgánov,</w:t>
            </w:r>
            <w:r>
              <w:rPr>
                <w:sz w:val="20"/>
                <w:vertAlign w:val="superscript"/>
              </w:rPr>
              <w:footnoteReference w:id="13"/>
            </w:r>
            <w:r w:rsidRPr="009A7637">
              <w:rPr>
                <w:sz w:val="20"/>
              </w:rPr>
              <w:t>) alebo podľa alternatívneho systému, ktorý zabezpečuje rovnakú dôveryhodnosť výsledkov.</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(1) </w:t>
            </w:r>
            <w:r w:rsidRPr="009A7637" w:rsidR="00E10CBC">
              <w:rPr>
                <w:rFonts w:ascii="TimesNewRoman" w:eastAsia="Times New Roman" w:hAnsi="TimesNewRoman" w:cs="TimesNewRoman"/>
                <w:color w:val="231F20"/>
                <w:sz w:val="20"/>
                <w:szCs w:val="20"/>
                <w:lang w:eastAsia="sk-SK"/>
              </w:rPr>
              <w:t>Podnikateľ zisťuje a preukaz</w:t>
            </w:r>
            <w:r w:rsidRPr="009A7637" w:rsidR="00884D9F">
              <w:rPr>
                <w:rFonts w:ascii="TimesNewRoman" w:eastAsia="Times New Roman" w:hAnsi="TimesNewRoman" w:cs="TimesNewRoman"/>
                <w:color w:val="231F20"/>
                <w:sz w:val="20"/>
                <w:szCs w:val="20"/>
                <w:lang w:eastAsia="sk-SK"/>
              </w:rPr>
              <w:t>uje kvalitu palív podľa § 3 až 6</w:t>
            </w:r>
            <w:r w:rsidRPr="009A7637" w:rsidR="00E10CBC">
              <w:rPr>
                <w:rFonts w:ascii="TimesNewRoman" w:eastAsia="Times New Roman" w:hAnsi="TimesNewRoman" w:cs="TimesNewRoman"/>
                <w:color w:val="231F20"/>
                <w:sz w:val="20"/>
                <w:szCs w:val="20"/>
                <w:lang w:eastAsia="sk-SK"/>
              </w:rPr>
              <w:t xml:space="preserve"> a § 8 odberom reprezentatívnej vzorky, analýzou a zdokumentovaním údajov o kvalite pre každú dodávku paliva, ak nejde o rovnakú výrobnú šaržu</w:t>
            </w:r>
            <w:r w:rsidRPr="009A7637">
              <w:rPr>
                <w:rFonts w:ascii="TimesNewRoman" w:eastAsia="Times New Roman" w:hAnsi="TimesNewRoman" w:cs="TimesNewRoman"/>
                <w:color w:val="231F20"/>
                <w:sz w:val="20"/>
                <w:szCs w:val="20"/>
                <w:lang w:eastAsia="sk-SK"/>
              </w:rPr>
              <w:t xml:space="preserve">.   </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(2) </w:t>
            </w:r>
            <w:r w:rsidRPr="009A7637" w:rsidR="00E10CBC">
              <w:rPr>
                <w:rFonts w:ascii="TimesNewRoman" w:eastAsia="Times New Roman" w:hAnsi="TimesNewRoman" w:cs="TimesNewRoman"/>
                <w:color w:val="231F20"/>
                <w:sz w:val="20"/>
                <w:szCs w:val="20"/>
                <w:lang w:eastAsia="sk-SK"/>
              </w:rPr>
              <w:t>Podnikateľ pri tuhých fosílnych palivách okrem mernej sírnatosti podľa § 3 zisťuje údaje aj o obsahu vody a popola</w:t>
            </w:r>
            <w:r w:rsidRPr="009A7637">
              <w:rPr>
                <w:rFonts w:ascii="TimesNewRoman" w:eastAsia="Times New Roman" w:hAnsi="TimesNewRoman" w:cs="TimesNewRoman"/>
                <w:color w:val="231F20"/>
                <w:sz w:val="20"/>
                <w:szCs w:val="20"/>
                <w:lang w:eastAsia="sk-SK"/>
              </w:rPr>
              <w:t xml:space="preserve">.   </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(3) </w:t>
            </w:r>
            <w:r w:rsidRPr="009A7637" w:rsidR="00E10CBC">
              <w:rPr>
                <w:rFonts w:ascii="TimesNewRoman" w:eastAsia="Times New Roman" w:hAnsi="TimesNewRoman" w:cs="TimesNewRoman"/>
                <w:color w:val="231F20"/>
                <w:sz w:val="20"/>
                <w:szCs w:val="20"/>
                <w:lang w:eastAsia="sk-SK"/>
              </w:rPr>
              <w:t>Reprezentatívna vzorka dodávky paliva sa odoberá a kvali</w:t>
            </w:r>
            <w:r w:rsidRPr="009A7637" w:rsidR="009A7637">
              <w:rPr>
                <w:rFonts w:ascii="TimesNewRoman" w:eastAsia="Times New Roman" w:hAnsi="TimesNewRoman" w:cs="TimesNewRoman"/>
                <w:color w:val="231F20"/>
                <w:sz w:val="20"/>
                <w:szCs w:val="20"/>
                <w:lang w:eastAsia="sk-SK"/>
              </w:rPr>
              <w:t>tatívny parameter podľa § 3 až 6</w:t>
            </w:r>
            <w:r w:rsidRPr="009A7637" w:rsidR="00E10CBC">
              <w:rPr>
                <w:rFonts w:ascii="TimesNewRoman" w:eastAsia="Times New Roman" w:hAnsi="TimesNewRoman" w:cs="TimesNewRoman"/>
                <w:color w:val="231F20"/>
                <w:sz w:val="20"/>
                <w:szCs w:val="20"/>
                <w:lang w:eastAsia="sk-SK"/>
              </w:rPr>
              <w:t xml:space="preserve"> a § 8 sa analyticky zisťuje na základe technickej normy podľa § 9, ktorá je podľa svojho významu príslušná pre dodávaný druh paliva</w:t>
            </w:r>
            <w:r w:rsidRPr="009A7637">
              <w:rPr>
                <w:rFonts w:ascii="TimesNewRoman" w:eastAsia="Times New Roman" w:hAnsi="TimesNewRoman" w:cs="TimesNewRoman"/>
                <w:color w:val="231F20"/>
                <w:sz w:val="20"/>
                <w:szCs w:val="20"/>
                <w:lang w:eastAsia="sk-SK"/>
              </w:rPr>
              <w:t>.</w:t>
            </w:r>
          </w:p>
          <w:p w:rsidR="00C751EE" w:rsidRPr="009A7637" w:rsidP="00C751EE">
            <w:pPr>
              <w:pStyle w:val="odsek1"/>
              <w:numPr>
                <w:ilvl w:val="0"/>
                <w:numId w:val="0"/>
              </w:numPr>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 xml:space="preserve">(4) </w:t>
            </w:r>
            <w:r w:rsidRPr="009A7637" w:rsidR="00E10CBC">
              <w:rPr>
                <w:rFonts w:ascii="TimesNewRoman" w:eastAsia="Times New Roman" w:hAnsi="TimesNewRoman" w:cs="TimesNewRoman"/>
                <w:color w:val="231F20"/>
                <w:sz w:val="20"/>
                <w:szCs w:val="20"/>
                <w:lang w:eastAsia="sk-SK"/>
              </w:rPr>
              <w:t>Reprezentatívne vzorky z dodávky paliva odoberá, kvalitatívne parametre analyticky zisťuje osoba alebo iné obdobné pracovisko, ktoré pre danú činnosť má systém manažérstva</w:t>
            </w:r>
          </w:p>
          <w:p w:rsidR="00E10CBC" w:rsidRPr="009A7637" w:rsidP="001B596A">
            <w:pPr>
              <w:pStyle w:val="odsek1"/>
              <w:numPr>
                <w:ilvl w:val="1"/>
                <w:numId w:val="15"/>
              </w:numPr>
              <w:ind w:left="426" w:hanging="426"/>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podľa technickej normy, ktorá určuje všeobecné požiadavky na kompetentnosť tejto osoby alebo iného obdobného pracoviska,</w:t>
            </w:r>
            <w:r>
              <w:rPr>
                <w:rFonts w:ascii="TimesNewRoman" w:eastAsia="Times New Roman" w:hAnsi="TimesNewRoman" w:cs="TimesNewRoman"/>
                <w:color w:val="231F20"/>
                <w:sz w:val="20"/>
                <w:szCs w:val="20"/>
                <w:vertAlign w:val="superscript"/>
                <w:lang w:eastAsia="sk-SK"/>
              </w:rPr>
              <w:footnoteReference w:id="14"/>
            </w:r>
            <w:r w:rsidRPr="009A7637">
              <w:rPr>
                <w:rFonts w:ascii="TimesNewRoman" w:eastAsia="Times New Roman" w:hAnsi="TimesNewRoman" w:cs="TimesNewRoman"/>
                <w:color w:val="231F20"/>
                <w:sz w:val="20"/>
                <w:szCs w:val="20"/>
                <w:lang w:eastAsia="sk-SK"/>
              </w:rPr>
              <w:t>) alebo</w:t>
            </w:r>
          </w:p>
          <w:p w:rsidR="00E10CBC" w:rsidRPr="009A7637" w:rsidP="001B596A">
            <w:pPr>
              <w:pStyle w:val="odsek1"/>
              <w:numPr>
                <w:ilvl w:val="1"/>
                <w:numId w:val="15"/>
              </w:numPr>
              <w:ind w:left="426" w:hanging="426"/>
              <w:rPr>
                <w:rFonts w:ascii="TimesNewRoman" w:eastAsia="Times New Roman" w:hAnsi="TimesNewRoman" w:cs="TimesNewRoman"/>
                <w:color w:val="231F20"/>
                <w:sz w:val="20"/>
                <w:szCs w:val="20"/>
                <w:lang w:eastAsia="sk-SK"/>
              </w:rPr>
            </w:pPr>
            <w:r w:rsidRPr="009A7637">
              <w:rPr>
                <w:rFonts w:ascii="TimesNewRoman" w:eastAsia="Times New Roman" w:hAnsi="TimesNewRoman" w:cs="TimesNewRoman"/>
                <w:color w:val="231F20"/>
                <w:sz w:val="20"/>
                <w:szCs w:val="20"/>
                <w:lang w:eastAsia="sk-SK"/>
              </w:rPr>
              <w:t>podľa osobitného predpisu.</w:t>
            </w:r>
            <w:r>
              <w:rPr>
                <w:rFonts w:ascii="TimesNewRoman" w:eastAsia="Times New Roman" w:hAnsi="TimesNewRoman" w:cs="TimesNewRoman"/>
                <w:color w:val="231F20"/>
                <w:sz w:val="20"/>
                <w:szCs w:val="20"/>
                <w:vertAlign w:val="superscript"/>
                <w:lang w:eastAsia="sk-SK"/>
              </w:rPr>
              <w:footnoteReference w:id="15"/>
            </w:r>
            <w:r w:rsidRPr="009A7637">
              <w:rPr>
                <w:rFonts w:ascii="TimesNewRoman" w:eastAsia="Times New Roman" w:hAnsi="TimesNewRoman" w:cs="TimesNewRoman"/>
                <w:color w:val="231F20"/>
                <w:sz w:val="20"/>
                <w:szCs w:val="20"/>
                <w:lang w:eastAsia="sk-SK"/>
              </w:rPr>
              <w:t>)</w:t>
            </w:r>
          </w:p>
          <w:p w:rsidR="00C751EE" w:rsidRPr="009A7637" w:rsidP="00FF785F">
            <w:pPr>
              <w:pStyle w:val="odsek1"/>
              <w:numPr>
                <w:ilvl w:val="0"/>
                <w:numId w:val="0"/>
              </w:numPr>
              <w:rPr>
                <w:rFonts w:ascii="TimesNewRoman" w:eastAsia="Times New Roman" w:hAnsi="TimesNewRoman" w:cs="TimesNewRoman"/>
                <w:color w:val="231F20"/>
                <w:sz w:val="20"/>
                <w:szCs w:val="20"/>
                <w:lang w:eastAsia="sk-SK"/>
              </w:rPr>
            </w:pPr>
            <w:r w:rsidRPr="009A7637" w:rsidR="00E10CBC">
              <w:rPr>
                <w:rFonts w:ascii="TimesNewRoman" w:eastAsia="Times New Roman" w:hAnsi="TimesNewRoman" w:cs="TimesNewRoman"/>
                <w:color w:val="231F20"/>
                <w:sz w:val="20"/>
                <w:szCs w:val="20"/>
                <w:lang w:eastAsia="sk-SK"/>
              </w:rPr>
              <w:t xml:space="preserve"> </w:t>
            </w:r>
            <w:r w:rsidRPr="009A7637">
              <w:rPr>
                <w:rFonts w:ascii="TimesNewRoman" w:eastAsia="Times New Roman" w:hAnsi="TimesNewRoman" w:cs="TimesNewRoman"/>
                <w:color w:val="231F20"/>
                <w:sz w:val="20"/>
                <w:szCs w:val="20"/>
                <w:lang w:eastAsia="sk-SK"/>
              </w:rPr>
              <w:t xml:space="preserve">(5) </w:t>
            </w:r>
            <w:r w:rsidRPr="009A7637" w:rsidR="00E10CBC">
              <w:rPr>
                <w:sz w:val="20"/>
                <w:szCs w:val="20"/>
                <w:u w:color="008000"/>
              </w:rPr>
              <w:t>Kvalita dodávky sa odberateľovi preukazuje protokolom o skúške, certifikátom alebo iným zodpovedajúcim dokumentom vydaným osobou podľa odseku 4; poskytovanie údajov inšpekcii podľa § 9 ods. 1, orgánom štátnej správy a spotrebiteľom o kvalite palív podľa § 12 tým</w:t>
            </w:r>
            <w:r w:rsidRPr="009A7637" w:rsidR="00E10CBC">
              <w:rPr>
                <w:sz w:val="20"/>
                <w:szCs w:val="20"/>
              </w:rPr>
              <w:t xml:space="preserve"> nie je dotknuté</w:t>
            </w:r>
            <w:r w:rsidRPr="009A7637">
              <w:rPr>
                <w:rFonts w:ascii="TimesNewRoman" w:eastAsia="Times New Roman" w:hAnsi="TimesNewRoman" w:cs="TimesNewRoman"/>
                <w:color w:val="231F20"/>
                <w:sz w:val="20"/>
                <w:szCs w:val="20"/>
                <w:lang w:eastAsia="sk-SK"/>
              </w:rPr>
              <w:t xml:space="preserve">.   </w:t>
            </w: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119"/>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w:t>
            </w:r>
          </w:p>
          <w:p w:rsidR="00C751EE" w:rsidRPr="00F74B61" w:rsidP="00C751EE">
            <w:pPr>
              <w:jc w:val="center"/>
              <w:rPr>
                <w:sz w:val="20"/>
              </w:rPr>
            </w:pPr>
            <w:r w:rsidRPr="00F74B61">
              <w:rPr>
                <w:sz w:val="20"/>
              </w:rPr>
              <w:t>O3</w:t>
            </w:r>
          </w:p>
        </w:tc>
        <w:tc>
          <w:tcPr>
            <w:tcW w:w="5245" w:type="dxa"/>
            <w:tcBorders>
              <w:top w:val="single" w:sz="4" w:space="0" w:color="auto"/>
              <w:bottom w:val="single" w:sz="4" w:space="0" w:color="auto"/>
            </w:tcBorders>
          </w:tcPr>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 xml:space="preserve">3. </w:t>
            </w:r>
            <w:r w:rsidRPr="00FF785F" w:rsidR="00764125">
              <w:rPr>
                <w:rFonts w:ascii="TimesNewRoman" w:hAnsi="TimesNewRoman" w:cs="TimesNewRoman"/>
                <w:sz w:val="20"/>
                <w:lang w:eastAsia="sk-SK"/>
              </w:rPr>
              <w:t>Každý rok do 31. augusta členské štáty predložia správu o národných údajoch o kvalite palív za predchádzajúci kalendárny rok. Komisia vytvorí spoločný formát predkladania zhrnutia národných údajov o kvalite palív prostredníctvom vykonávacieho aktu prijatého v súlade s postupom preskúmania uvedeným v článku 11 ods. 3. Prvá správa sa predloží do 30. júna 2002. Od 1. januára 2004 bude formát uvedenej správy v súlade s príslušnou európskou normou. Členské štáty okrem toho nahlásia celkový objem benzínu a motorovej nafty uvedený na trh na ich území, ako aj na trh uvedený objem bezolovnatého benzínu a motorovej nafty s obsahom síry maximálne 10 mg/kg. Okrem toho členské štáty každoročne nahlasujú na vhodne vyváženom zemepisnom základe dostupnosť benzínu a motorovej nafty s obsahom síry maximálne 10 mg/kg, ktoré boli uvedené na trh na ich území.</w:t>
            </w:r>
          </w:p>
          <w:p w:rsidR="00C751EE" w:rsidRPr="00FF785F" w:rsidP="00C751EE">
            <w:pPr>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P="00C751EE">
            <w:pPr>
              <w:jc w:val="both"/>
              <w:rPr>
                <w:sz w:val="20"/>
              </w:rPr>
            </w:pPr>
            <w:r w:rsidRPr="00F74B61">
              <w:rPr>
                <w:sz w:val="20"/>
              </w:rPr>
              <w:t>N</w:t>
            </w:r>
          </w:p>
          <w:p w:rsidR="0030000F" w:rsidP="00C751EE">
            <w:pPr>
              <w:jc w:val="both"/>
              <w:rPr>
                <w:sz w:val="20"/>
              </w:rPr>
            </w:pPr>
          </w:p>
          <w:p w:rsidR="0030000F" w:rsidP="00C751EE">
            <w:pPr>
              <w:jc w:val="both"/>
              <w:rPr>
                <w:sz w:val="20"/>
              </w:rPr>
            </w:pPr>
          </w:p>
          <w:p w:rsidR="0030000F" w:rsidP="00C751EE">
            <w:pPr>
              <w:jc w:val="both"/>
              <w:rPr>
                <w:sz w:val="20"/>
              </w:rPr>
            </w:pPr>
          </w:p>
          <w:p w:rsidR="0030000F" w:rsidP="00C751EE">
            <w:pPr>
              <w:jc w:val="both"/>
              <w:rPr>
                <w:sz w:val="20"/>
              </w:rPr>
            </w:pPr>
          </w:p>
          <w:p w:rsidR="0030000F" w:rsidP="00C751EE">
            <w:pPr>
              <w:jc w:val="both"/>
              <w:rPr>
                <w:sz w:val="20"/>
              </w:rPr>
            </w:pPr>
          </w:p>
          <w:p w:rsidR="0030000F" w:rsidP="00C751EE">
            <w:pPr>
              <w:jc w:val="both"/>
              <w:rPr>
                <w:sz w:val="20"/>
              </w:rPr>
            </w:pPr>
          </w:p>
          <w:p w:rsidR="0030000F" w:rsidRPr="00F74B61" w:rsidP="00C751EE">
            <w:pPr>
              <w:jc w:val="both"/>
              <w:rPr>
                <w:sz w:val="20"/>
              </w:rPr>
            </w:pPr>
            <w:r>
              <w:rPr>
                <w:sz w:val="20"/>
              </w:rPr>
              <w:t>N</w:t>
            </w:r>
          </w:p>
        </w:tc>
        <w:tc>
          <w:tcPr>
            <w:tcW w:w="1276" w:type="dxa"/>
            <w:tcBorders>
              <w:top w:val="single" w:sz="4" w:space="0" w:color="auto"/>
              <w:bottom w:val="single" w:sz="4" w:space="0" w:color="auto"/>
            </w:tcBorders>
          </w:tcPr>
          <w:p w:rsidR="00C751EE" w:rsidP="00C751EE">
            <w:pPr>
              <w:jc w:val="center"/>
              <w:rPr>
                <w:sz w:val="20"/>
              </w:rPr>
            </w:pPr>
            <w:r>
              <w:rPr>
                <w:sz w:val="20"/>
              </w:rPr>
              <w:t>N</w:t>
            </w:r>
            <w:r w:rsidRPr="00F74B61">
              <w:rPr>
                <w:sz w:val="20"/>
              </w:rPr>
              <w:t>Z</w:t>
            </w:r>
          </w:p>
          <w:p w:rsidR="008B3C88" w:rsidP="00C751EE">
            <w:pPr>
              <w:jc w:val="center"/>
              <w:rPr>
                <w:sz w:val="20"/>
              </w:rPr>
            </w:pPr>
          </w:p>
          <w:p w:rsidR="008B3C88" w:rsidP="00C751EE">
            <w:pPr>
              <w:jc w:val="center"/>
              <w:rPr>
                <w:sz w:val="20"/>
              </w:rPr>
            </w:pPr>
          </w:p>
          <w:p w:rsidR="008B3C88" w:rsidP="00C751EE">
            <w:pPr>
              <w:jc w:val="center"/>
              <w:rPr>
                <w:sz w:val="20"/>
              </w:rPr>
            </w:pPr>
          </w:p>
          <w:p w:rsidR="008B3C88" w:rsidP="00C751EE">
            <w:pPr>
              <w:jc w:val="center"/>
              <w:rPr>
                <w:sz w:val="20"/>
              </w:rPr>
            </w:pPr>
          </w:p>
          <w:p w:rsidR="008B3C88" w:rsidP="00C751EE">
            <w:pPr>
              <w:jc w:val="center"/>
              <w:rPr>
                <w:sz w:val="20"/>
              </w:rPr>
            </w:pPr>
          </w:p>
          <w:p w:rsidR="008A7155" w:rsidP="00C751EE">
            <w:pPr>
              <w:jc w:val="center"/>
              <w:rPr>
                <w:sz w:val="20"/>
              </w:rPr>
            </w:pPr>
          </w:p>
          <w:p w:rsidR="008A7155" w:rsidP="00C751EE">
            <w:pPr>
              <w:jc w:val="center"/>
              <w:rPr>
                <w:sz w:val="20"/>
              </w:rPr>
            </w:pPr>
          </w:p>
          <w:p w:rsidR="008A7155" w:rsidP="00C751EE">
            <w:pPr>
              <w:jc w:val="center"/>
              <w:rPr>
                <w:sz w:val="20"/>
              </w:rPr>
            </w:pPr>
          </w:p>
          <w:p w:rsidR="008B3C88" w:rsidP="00C751EE">
            <w:pPr>
              <w:jc w:val="center"/>
              <w:rPr>
                <w:sz w:val="20"/>
              </w:rPr>
            </w:pPr>
          </w:p>
          <w:p w:rsidR="008B3C88" w:rsidRPr="00F74B61" w:rsidP="00C751EE">
            <w:pPr>
              <w:jc w:val="center"/>
              <w:rPr>
                <w:sz w:val="20"/>
              </w:rPr>
            </w:pPr>
            <w:r>
              <w:rPr>
                <w:sz w:val="20"/>
              </w:rPr>
              <w:t>NV1</w:t>
            </w:r>
          </w:p>
        </w:tc>
        <w:tc>
          <w:tcPr>
            <w:tcW w:w="709" w:type="dxa"/>
            <w:tcBorders>
              <w:top w:val="single" w:sz="4" w:space="0" w:color="auto"/>
              <w:bottom w:val="single" w:sz="4" w:space="0" w:color="auto"/>
            </w:tcBorders>
          </w:tcPr>
          <w:p w:rsidR="00C751EE" w:rsidRPr="00C6628B" w:rsidP="00C751EE">
            <w:pPr>
              <w:pStyle w:val="BodyText21"/>
              <w:spacing w:before="0"/>
            </w:pPr>
            <w:r w:rsidR="00625DE2">
              <w:t>§41</w:t>
            </w:r>
          </w:p>
          <w:p w:rsidR="00C751EE" w:rsidP="00C751EE">
            <w:pPr>
              <w:pStyle w:val="BodyText21"/>
              <w:spacing w:before="0"/>
            </w:pPr>
            <w:r w:rsidRPr="00C6628B">
              <w:t>P</w:t>
            </w:r>
            <w:r w:rsidRPr="00C6628B" w:rsidR="00C6628B">
              <w:t>d</w:t>
            </w:r>
          </w:p>
          <w:p w:rsidR="008B3C88" w:rsidP="00C751EE">
            <w:pPr>
              <w:pStyle w:val="BodyText21"/>
              <w:spacing w:before="0"/>
            </w:pPr>
          </w:p>
          <w:p w:rsidR="008B3C88" w:rsidP="00C751EE">
            <w:pPr>
              <w:pStyle w:val="BodyText21"/>
              <w:spacing w:before="0"/>
            </w:pPr>
          </w:p>
          <w:p w:rsidR="008B3C88" w:rsidP="00C751EE">
            <w:pPr>
              <w:pStyle w:val="BodyText21"/>
              <w:spacing w:before="0"/>
            </w:pPr>
          </w:p>
          <w:p w:rsidR="008A7155" w:rsidP="00C751EE">
            <w:pPr>
              <w:pStyle w:val="BodyText21"/>
              <w:spacing w:before="0"/>
            </w:pPr>
          </w:p>
          <w:p w:rsidR="008A7155" w:rsidP="00C751EE">
            <w:pPr>
              <w:pStyle w:val="BodyText21"/>
              <w:spacing w:before="0"/>
            </w:pPr>
          </w:p>
          <w:p w:rsidR="008A7155" w:rsidP="00C751EE">
            <w:pPr>
              <w:pStyle w:val="BodyText21"/>
              <w:spacing w:before="0"/>
            </w:pPr>
          </w:p>
          <w:p w:rsidR="008A7155" w:rsidP="00C751EE">
            <w:pPr>
              <w:pStyle w:val="BodyText21"/>
              <w:spacing w:before="0"/>
            </w:pPr>
          </w:p>
          <w:p w:rsidR="008B3C88" w:rsidP="00C751EE">
            <w:pPr>
              <w:pStyle w:val="BodyText21"/>
              <w:spacing w:before="0"/>
            </w:pPr>
          </w:p>
          <w:p w:rsidR="008B3C88" w:rsidP="00C751EE">
            <w:pPr>
              <w:pStyle w:val="BodyText21"/>
              <w:spacing w:before="0"/>
            </w:pPr>
            <w:r w:rsidR="00E85020">
              <w:t xml:space="preserve">Príloha </w:t>
            </w:r>
            <w:r>
              <w:t>č.1</w:t>
            </w:r>
          </w:p>
          <w:p w:rsidR="00E85020" w:rsidRPr="00C6628B" w:rsidP="00C751EE">
            <w:pPr>
              <w:pStyle w:val="BodyText21"/>
              <w:spacing w:before="0"/>
            </w:pPr>
            <w:r>
              <w:t>P8</w:t>
            </w:r>
          </w:p>
        </w:tc>
        <w:tc>
          <w:tcPr>
            <w:tcW w:w="4110" w:type="dxa"/>
            <w:tcBorders>
              <w:top w:val="single" w:sz="4" w:space="0" w:color="auto"/>
              <w:bottom w:val="single" w:sz="4" w:space="0" w:color="auto"/>
            </w:tcBorders>
          </w:tcPr>
          <w:p w:rsidR="008A7155" w:rsidRPr="00BF05AB" w:rsidP="008A7155">
            <w:pPr>
              <w:tabs>
                <w:tab w:val="left" w:pos="851"/>
              </w:tabs>
              <w:spacing w:after="120"/>
              <w:jc w:val="both"/>
              <w:rPr>
                <w:b/>
                <w:sz w:val="20"/>
                <w:lang w:eastAsia="sk-SK"/>
              </w:rPr>
            </w:pPr>
            <w:r>
              <w:rPr>
                <w:b/>
                <w:sz w:val="20"/>
                <w:lang w:eastAsia="sk-SK"/>
              </w:rPr>
              <w:t>§ 41</w:t>
            </w:r>
          </w:p>
          <w:p w:rsidR="008A7155" w:rsidRPr="00BF05AB" w:rsidP="008A7155">
            <w:pPr>
              <w:tabs>
                <w:tab w:val="left" w:pos="851"/>
              </w:tabs>
              <w:spacing w:after="120"/>
              <w:jc w:val="both"/>
              <w:rPr>
                <w:b/>
                <w:sz w:val="20"/>
                <w:lang w:eastAsia="sk-SK"/>
              </w:rPr>
            </w:pPr>
            <w:r>
              <w:rPr>
                <w:b/>
                <w:sz w:val="20"/>
                <w:lang w:eastAsia="sk-SK"/>
              </w:rPr>
              <w:t>Ministerstvo</w:t>
            </w:r>
          </w:p>
          <w:p w:rsidR="008A7155" w:rsidRPr="0058076F" w:rsidP="008A7155">
            <w:pPr>
              <w:jc w:val="both"/>
              <w:rPr>
                <w:sz w:val="20"/>
              </w:rPr>
            </w:pPr>
            <w:r w:rsidRPr="0058076F">
              <w:rPr>
                <w:sz w:val="20"/>
              </w:rPr>
              <w:t>d) je vo vzťahu ku Komisii notifikačným orgánom, sprístupňuje a podáva Komisii ustanovené informácie a správy vo veciach ochrany ovzdušia a v ustanovených lehotách a rozsahu ustanovenom vykonávacím predpisom podľa § 62 písm. n),</w:t>
            </w:r>
          </w:p>
          <w:p w:rsidR="008B3C88" w:rsidRPr="00637BD1" w:rsidP="008D4E5C">
            <w:pPr>
              <w:jc w:val="both"/>
              <w:rPr>
                <w:sz w:val="20"/>
              </w:rPr>
            </w:pPr>
          </w:p>
          <w:p w:rsidR="008B3C88" w:rsidRPr="00637BD1" w:rsidP="008B3C88">
            <w:pPr>
              <w:jc w:val="both"/>
              <w:rPr>
                <w:sz w:val="20"/>
              </w:rPr>
            </w:pPr>
            <w:r w:rsidRPr="00637BD1">
              <w:rPr>
                <w:sz w:val="20"/>
              </w:rPr>
              <w:t xml:space="preserve">8. KVALITA PALÍV podľa § </w:t>
            </w:r>
            <w:r w:rsidR="00625DE2">
              <w:rPr>
                <w:sz w:val="20"/>
              </w:rPr>
              <w:t>37</w:t>
            </w:r>
            <w:r w:rsidRPr="00637BD1">
              <w:rPr>
                <w:sz w:val="20"/>
              </w:rPr>
              <w:t xml:space="preserve"> zákona</w:t>
            </w:r>
          </w:p>
          <w:tbl>
            <w:tblPr>
              <w:tblStyle w:val="TableNorm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
            <w:tblGrid>
              <w:gridCol w:w="1117"/>
              <w:gridCol w:w="2094"/>
              <w:gridCol w:w="743"/>
            </w:tblGrid>
            <w:tr w:rsidTr="008B3C88">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30" w:type="dxa"/>
                  <w:left w:w="30" w:type="dxa"/>
                  <w:bottom w:w="30" w:type="dxa"/>
                  <w:right w:w="30" w:type="dxa"/>
                </w:tblCellMar>
                <w:tblLook w:val="04A0"/>
              </w:tblPrEx>
              <w:trPr>
                <w:jc w:val="center"/>
              </w:trPr>
              <w:tc>
                <w:tcPr>
                  <w:tcW w:w="119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8B3C88" w:rsidRPr="008003D5" w:rsidP="008B3C88">
                  <w:pPr>
                    <w:rPr>
                      <w:rFonts w:eastAsia="Trebuchet MS"/>
                      <w:sz w:val="20"/>
                    </w:rPr>
                  </w:pPr>
                  <w:r w:rsidRPr="008003D5">
                    <w:rPr>
                      <w:rFonts w:eastAsia="Trebuchet MS"/>
                      <w:sz w:val="20"/>
                      <w:lang w:eastAsia="zh-CN" w:bidi="ar"/>
                    </w:rPr>
                    <w:t>Správa</w:t>
                    <w:br/>
                    <w:t>o národných údajoch</w:t>
                    <w:br/>
                    <w:t>o kvalite palív</w:t>
                  </w:r>
                </w:p>
              </w:tc>
              <w:tc>
                <w:tcPr>
                  <w:tcW w:w="225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8B3C88" w:rsidRPr="00637BD1" w:rsidP="008B3C88">
                  <w:pPr>
                    <w:rPr>
                      <w:rFonts w:eastAsia="Trebuchet MS"/>
                      <w:sz w:val="20"/>
                    </w:rPr>
                  </w:pPr>
                  <w:r w:rsidRPr="00637BD1">
                    <w:rPr>
                      <w:rFonts w:eastAsia="Trebuchet MS"/>
                      <w:sz w:val="20"/>
                      <w:lang w:eastAsia="zh-CN" w:bidi="ar"/>
                    </w:rPr>
                    <w:t>Obsah správy:</w:t>
                    <w:br/>
                    <w:t>a) národné údaje o kvalite palív,</w:t>
                    <w:br/>
                    <w:t>b) celkový objem automobilového benzínu a motorovej nafty predávaných na území Slovenskej republiky,</w:t>
                    <w:br/>
                    <w:t>c) predávaný objem bezolovnatého automobilového benzínu a motorovej nafty s obsahom síry maximálne 10 mg/kg,</w:t>
                    <w:br/>
                    <w:t>d) dostupnosť automobilového benzínu a motorovej nafty s obsahom síry maximálne 10 mg/kg predávaných na vhodne vyváženom zemepisnom základe.</w:t>
                  </w:r>
                </w:p>
              </w:tc>
              <w:tc>
                <w:tcPr>
                  <w:tcW w:w="79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rsidR="008B3C88" w:rsidRPr="00637BD1" w:rsidP="008B3C88">
                  <w:pPr>
                    <w:rPr>
                      <w:rFonts w:eastAsia="Trebuchet MS"/>
                      <w:sz w:val="20"/>
                    </w:rPr>
                  </w:pPr>
                  <w:r w:rsidRPr="00637BD1">
                    <w:rPr>
                      <w:rFonts w:eastAsia="Trebuchet MS"/>
                      <w:sz w:val="20"/>
                      <w:lang w:eastAsia="zh-CN" w:bidi="ar"/>
                    </w:rPr>
                    <w:t>Každoročne/ do 31. augusta</w:t>
                  </w:r>
                </w:p>
              </w:tc>
            </w:tr>
          </w:tbl>
          <w:p w:rsidR="008B3C88" w:rsidRPr="00637BD1" w:rsidP="008B3C88">
            <w:pPr>
              <w:jc w:val="both"/>
              <w:rPr>
                <w:sz w:val="20"/>
              </w:rPr>
            </w:pP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771"/>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w:t>
            </w:r>
          </w:p>
          <w:p w:rsidR="00C751EE" w:rsidRPr="00F74B61" w:rsidP="00C751EE">
            <w:pPr>
              <w:jc w:val="center"/>
              <w:rPr>
                <w:sz w:val="20"/>
              </w:rPr>
            </w:pPr>
            <w:r w:rsidRPr="00F74B61">
              <w:rPr>
                <w:sz w:val="20"/>
              </w:rPr>
              <w:t>O4</w:t>
            </w:r>
          </w:p>
        </w:tc>
        <w:tc>
          <w:tcPr>
            <w:tcW w:w="5245" w:type="dxa"/>
            <w:tcBorders>
              <w:top w:val="single" w:sz="4" w:space="0" w:color="auto"/>
              <w:bottom w:val="single" w:sz="4" w:space="0" w:color="auto"/>
            </w:tcBorders>
          </w:tcPr>
          <w:p w:rsidR="00C751EE" w:rsidRPr="00FF785F" w:rsidP="00C751EE">
            <w:pPr>
              <w:autoSpaceDE w:val="0"/>
              <w:autoSpaceDN w:val="0"/>
              <w:adjustRightInd w:val="0"/>
              <w:jc w:val="both"/>
              <w:rPr>
                <w:i/>
                <w:sz w:val="20"/>
              </w:rPr>
            </w:pPr>
            <w:r w:rsidRPr="00FF785F">
              <w:rPr>
                <w:rFonts w:ascii="TimesNewRoman" w:hAnsi="TimesNewRoman" w:cs="TimesNewRoman"/>
                <w:sz w:val="20"/>
                <w:lang w:eastAsia="sk-SK"/>
              </w:rPr>
              <w:t xml:space="preserve">4. </w:t>
            </w:r>
            <w:r w:rsidRPr="00FF785F" w:rsidR="00764125">
              <w:rPr>
                <w:rFonts w:ascii="TimesNewRoman" w:hAnsi="TimesNewRoman" w:cs="TimesNewRoman"/>
                <w:sz w:val="20"/>
                <w:lang w:eastAsia="sk-SK"/>
              </w:rPr>
              <w:t>Komisia zabezpečí, aby informácie predložené podľa odseku 3 boli urýchlene k dispozícii prostredníctvom vhodných prostriedkov.</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p>
        </w:tc>
        <w:tc>
          <w:tcPr>
            <w:tcW w:w="4110" w:type="dxa"/>
            <w:tcBorders>
              <w:top w:val="single" w:sz="4" w:space="0" w:color="auto"/>
              <w:bottom w:val="single" w:sz="4" w:space="0" w:color="auto"/>
            </w:tcBorders>
          </w:tcPr>
          <w:p w:rsidR="00C751EE" w:rsidRPr="00A755D5" w:rsidP="00C751EE">
            <w:pPr>
              <w:jc w:val="both"/>
              <w:rPr>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2047"/>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Č8a</w:t>
            </w:r>
          </w:p>
          <w:p w:rsidR="00C751EE" w:rsidRPr="00F74B61" w:rsidP="00C751EE">
            <w:pPr>
              <w:jc w:val="center"/>
              <w:rPr>
                <w:sz w:val="20"/>
              </w:rPr>
            </w:pPr>
            <w:r w:rsidRPr="00F74B61">
              <w:rPr>
                <w:sz w:val="20"/>
              </w:rPr>
              <w:t>O1</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sz w:val="20"/>
                <w:lang w:eastAsia="sk-SK"/>
              </w:rPr>
            </w:pPr>
            <w:r w:rsidRPr="00F74B61">
              <w:rPr>
                <w:sz w:val="20"/>
                <w:lang w:eastAsia="sk-SK"/>
              </w:rPr>
              <w:t>Článok 8a</w:t>
            </w:r>
          </w:p>
          <w:p w:rsidR="00C751EE" w:rsidRPr="00F74B61" w:rsidP="00C751EE">
            <w:pPr>
              <w:autoSpaceDE w:val="0"/>
              <w:autoSpaceDN w:val="0"/>
              <w:adjustRightInd w:val="0"/>
              <w:jc w:val="both"/>
              <w:rPr>
                <w:sz w:val="20"/>
                <w:lang w:eastAsia="sk-SK"/>
              </w:rPr>
            </w:pPr>
            <w:r w:rsidRPr="00F74B61">
              <w:rPr>
                <w:sz w:val="20"/>
                <w:lang w:eastAsia="sk-SK"/>
              </w:rPr>
              <w:t>Kovové prísady</w:t>
            </w:r>
          </w:p>
          <w:p w:rsidR="00C751EE" w:rsidRPr="00F74B61" w:rsidP="00C751EE">
            <w:pPr>
              <w:autoSpaceDE w:val="0"/>
              <w:autoSpaceDN w:val="0"/>
              <w:adjustRightInd w:val="0"/>
              <w:jc w:val="both"/>
              <w:rPr>
                <w:rFonts w:ascii="TimesNewRoman" w:hAnsi="TimesNewRoman" w:cs="TimesNewRoman"/>
                <w:sz w:val="20"/>
                <w:lang w:eastAsia="sk-SK"/>
              </w:rPr>
            </w:pPr>
            <w:r w:rsidRPr="00F74B61">
              <w:rPr>
                <w:sz w:val="20"/>
                <w:lang w:eastAsia="sk-SK"/>
              </w:rPr>
              <w:t>1. Komisia posúdi zdravotné riziká a riziká pre životné prostredie</w:t>
            </w:r>
            <w:r>
              <w:rPr>
                <w:sz w:val="20"/>
                <w:lang w:eastAsia="sk-SK"/>
              </w:rPr>
              <w:t xml:space="preserve"> </w:t>
            </w:r>
            <w:r w:rsidRPr="00F74B61">
              <w:rPr>
                <w:sz w:val="20"/>
                <w:lang w:eastAsia="sk-SK"/>
              </w:rPr>
              <w:t>v súvislosti s používaním kovových prísad v palive a na tento účel</w:t>
            </w:r>
            <w:r>
              <w:rPr>
                <w:sz w:val="20"/>
                <w:lang w:eastAsia="sk-SK"/>
              </w:rPr>
              <w:t xml:space="preserve"> </w:t>
            </w:r>
            <w:r w:rsidRPr="00F74B61">
              <w:rPr>
                <w:rFonts w:ascii="TimesNewRoman" w:hAnsi="TimesNewRoman" w:cs="TimesNewRoman"/>
                <w:sz w:val="20"/>
                <w:lang w:eastAsia="sk-SK"/>
              </w:rPr>
              <w:t>vyvinie skú</w:t>
            </w:r>
            <w:r w:rsidRPr="00F74B61">
              <w:rPr>
                <w:rFonts w:ascii="TimesNewRoman+01" w:hAnsi="TimesNewRoman+01" w:cs="TimesNewRoman+01"/>
                <w:sz w:val="20"/>
                <w:lang w:eastAsia="sk-SK"/>
              </w:rPr>
              <w:t>š</w:t>
            </w:r>
            <w:r w:rsidRPr="00F74B61">
              <w:rPr>
                <w:rFonts w:ascii="TimesNewRoman" w:hAnsi="TimesNewRoman" w:cs="TimesNewRoman"/>
                <w:sz w:val="20"/>
                <w:lang w:eastAsia="sk-SK"/>
              </w:rPr>
              <w:t>obnú metodiku. Do 31. decembra 2012 podá Európskemu parlamentu a Rade správu o svojich záveroch.</w:t>
            </w:r>
          </w:p>
          <w:p w:rsidR="00C751EE" w:rsidRPr="00F74B61" w:rsidP="00C751EE">
            <w:pPr>
              <w:autoSpaceDE w:val="0"/>
              <w:autoSpaceDN w:val="0"/>
              <w:adjustRightInd w:val="0"/>
              <w:jc w:val="both"/>
              <w:rPr>
                <w:rFonts w:ascii="TimesNewRoman" w:hAnsi="TimesNewRoman" w:cs="TimesNewRoman"/>
                <w:sz w:val="20"/>
                <w:lang w:eastAsia="sk-SK"/>
              </w:rPr>
            </w:pP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BodyText20"/>
              <w:ind w:left="0" w:firstLine="0"/>
              <w:rPr>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451"/>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Č8a</w:t>
            </w:r>
          </w:p>
          <w:p w:rsidR="00C751EE" w:rsidRPr="00F74B61" w:rsidP="00C751EE">
            <w:pPr>
              <w:jc w:val="center"/>
              <w:rPr>
                <w:sz w:val="20"/>
              </w:rPr>
            </w:pPr>
            <w:r w:rsidRPr="00F74B61">
              <w:rPr>
                <w:sz w:val="20"/>
              </w:rPr>
              <w:t>O2</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Italic+01" w:hAnsi="TimesNewRomanItalic+01" w:cs="TimesNewRomanItalic+01"/>
                <w:i/>
                <w:iCs/>
                <w:sz w:val="20"/>
                <w:lang w:eastAsia="sk-SK"/>
              </w:rPr>
            </w:pPr>
            <w:r w:rsidRPr="00F74B61">
              <w:rPr>
                <w:rFonts w:ascii="TimesNewRoman" w:hAnsi="TimesNewRoman" w:cs="TimesNewRoman"/>
                <w:sz w:val="20"/>
                <w:lang w:eastAsia="sk-SK"/>
              </w:rPr>
              <w:t>2. Do doby, kým sa vyvinie skú</w:t>
            </w:r>
            <w:r w:rsidRPr="00F74B61">
              <w:rPr>
                <w:rFonts w:ascii="TimesNewRoman+01" w:hAnsi="TimesNewRoman+01" w:cs="TimesNewRoman+01"/>
                <w:sz w:val="20"/>
                <w:lang w:eastAsia="sk-SK"/>
              </w:rPr>
              <w:t>š</w:t>
            </w:r>
            <w:r w:rsidRPr="00F74B61">
              <w:rPr>
                <w:rFonts w:ascii="TimesNewRoman" w:hAnsi="TimesNewRoman" w:cs="TimesNewRoman"/>
                <w:sz w:val="20"/>
                <w:lang w:eastAsia="sk-SK"/>
              </w:rPr>
              <w:t>obná metodika pod</w:t>
            </w:r>
            <w:r w:rsidRPr="00F74B61">
              <w:rPr>
                <w:rFonts w:ascii="TimesNewRoman+01" w:hAnsi="TimesNewRoman+01" w:cs="TimesNewRoman+01"/>
                <w:sz w:val="20"/>
                <w:lang w:eastAsia="sk-SK"/>
              </w:rPr>
              <w:t>ľ</w:t>
            </w:r>
            <w:r>
              <w:rPr>
                <w:rFonts w:ascii="TimesNewRoman" w:hAnsi="TimesNewRoman" w:cs="TimesNewRoman"/>
                <w:sz w:val="20"/>
                <w:lang w:eastAsia="sk-SK"/>
              </w:rPr>
              <w:t xml:space="preserve">a odseku 1, </w:t>
            </w:r>
            <w:r w:rsidRPr="00F74B61">
              <w:rPr>
                <w:rFonts w:ascii="TimesNewRoman" w:hAnsi="TimesNewRoman" w:cs="TimesNewRoman"/>
                <w:sz w:val="20"/>
                <w:lang w:eastAsia="sk-SK"/>
              </w:rPr>
              <w:t>sa</w:t>
            </w:r>
            <w:r>
              <w:rPr>
                <w:rFonts w:ascii="TimesNewRoman" w:hAnsi="TimesNewRoman" w:cs="TimesNewRoman"/>
                <w:sz w:val="20"/>
                <w:lang w:eastAsia="sk-SK"/>
              </w:rPr>
              <w:t xml:space="preserve"> </w:t>
            </w:r>
            <w:r w:rsidRPr="00F74B61">
              <w:rPr>
                <w:rFonts w:ascii="TimesNewRoman" w:hAnsi="TimesNewRoman" w:cs="TimesNewRoman"/>
                <w:sz w:val="20"/>
                <w:lang w:eastAsia="sk-SK"/>
              </w:rPr>
              <w:t>prítomnos</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kovovej prísady trikarbonyl-(metylcyklopentadienyl) mangánium (MMT) v palivách od 1. januára 2011 obmedzí na 6 mg mangánu na liter. Od 1. januára 2014 bude táto hranica predstavova</w:t>
            </w:r>
            <w:r w:rsidRPr="00F74B61">
              <w:rPr>
                <w:rFonts w:ascii="TimesNewRoman+01" w:hAnsi="TimesNewRoman+01" w:cs="TimesNewRoman+01"/>
                <w:sz w:val="20"/>
                <w:lang w:eastAsia="sk-SK"/>
              </w:rPr>
              <w:t xml:space="preserve">ť </w:t>
            </w:r>
            <w:r w:rsidRPr="00F74B61">
              <w:rPr>
                <w:rFonts w:ascii="TimesNewRoman" w:hAnsi="TimesNewRoman" w:cs="TimesNewRoman"/>
                <w:sz w:val="20"/>
                <w:lang w:eastAsia="sk-SK"/>
              </w:rPr>
              <w:t>2 mg mangánu na liter.</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r w:rsidRPr="00F74B61">
              <w:t>§5</w:t>
            </w:r>
          </w:p>
          <w:p w:rsidR="00C751EE" w:rsidRPr="00F74B61" w:rsidP="00C751EE">
            <w:pPr>
              <w:pStyle w:val="BodyText21"/>
              <w:spacing w:before="0"/>
            </w:pPr>
            <w:r>
              <w:t>O</w:t>
            </w:r>
            <w:r w:rsidR="00637BD1">
              <w:t>5</w:t>
            </w:r>
          </w:p>
        </w:tc>
        <w:tc>
          <w:tcPr>
            <w:tcW w:w="4110" w:type="dxa"/>
            <w:tcBorders>
              <w:top w:val="single" w:sz="4" w:space="0" w:color="auto"/>
              <w:bottom w:val="single" w:sz="4" w:space="0" w:color="auto"/>
            </w:tcBorders>
          </w:tcPr>
          <w:p w:rsidR="00F8296D" w:rsidRPr="00637BD1" w:rsidP="00C751EE">
            <w:pPr>
              <w:pStyle w:val="odsek1"/>
              <w:numPr>
                <w:ilvl w:val="0"/>
                <w:numId w:val="0"/>
              </w:numPr>
              <w:rPr>
                <w:rFonts w:ascii="TimesNewRoman" w:eastAsia="Times New Roman" w:hAnsi="TimesNewRoman" w:cs="TimesNewRoman"/>
                <w:sz w:val="20"/>
                <w:szCs w:val="20"/>
                <w:lang w:eastAsia="sk-SK"/>
              </w:rPr>
            </w:pPr>
            <w:r w:rsidRPr="00637BD1" w:rsidR="00637BD1">
              <w:rPr>
                <w:rFonts w:ascii="TimesNewRoman" w:eastAsia="Times New Roman" w:hAnsi="TimesNewRoman" w:cs="TimesNewRoman"/>
                <w:sz w:val="20"/>
                <w:szCs w:val="20"/>
                <w:lang w:eastAsia="sk-SK"/>
              </w:rPr>
              <w:t>(5</w:t>
            </w:r>
            <w:r w:rsidRPr="00637BD1" w:rsidR="00C751EE">
              <w:rPr>
                <w:rFonts w:ascii="TimesNewRoman" w:eastAsia="Times New Roman" w:hAnsi="TimesNewRoman" w:cs="TimesNewRoman"/>
                <w:sz w:val="20"/>
                <w:szCs w:val="20"/>
                <w:lang w:eastAsia="sk-SK"/>
              </w:rPr>
              <w:t xml:space="preserve">) </w:t>
            </w:r>
            <w:r w:rsidRPr="00637BD1">
              <w:rPr>
                <w:rFonts w:ascii="TimesNewRoman" w:eastAsia="Times New Roman" w:hAnsi="TimesNewRoman" w:cs="TimesNewRoman"/>
                <w:sz w:val="20"/>
                <w:szCs w:val="20"/>
                <w:lang w:eastAsia="sk-SK"/>
              </w:rPr>
              <w:t>Motorové palivo nesmie obsahovať viac kovovej prísady trikarbonyl(metylcyklopentadienyl) mangánu (MMT) vyjadrenej ako mangán, ako 2 mg/l.</w:t>
            </w:r>
          </w:p>
          <w:p w:rsidR="00C751EE" w:rsidRPr="00637BD1" w:rsidP="00C751EE">
            <w:pPr>
              <w:pStyle w:val="BodyText20"/>
              <w:ind w:left="0" w:firstLine="0"/>
              <w:rPr>
                <w:rFonts w:ascii="TimesNewRoman" w:hAnsi="TimesNewRoman" w:cs="TimesNewRoman"/>
                <w:sz w:val="20"/>
                <w:lang w:eastAsia="sk-SK"/>
              </w:rPr>
            </w:pP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2047"/>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Č8a</w:t>
            </w:r>
          </w:p>
          <w:p w:rsidR="00C751EE" w:rsidRPr="00F74B61" w:rsidP="00C751EE">
            <w:pPr>
              <w:jc w:val="center"/>
              <w:rPr>
                <w:sz w:val="20"/>
              </w:rPr>
            </w:pPr>
            <w:r w:rsidRPr="00F74B61">
              <w:rPr>
                <w:sz w:val="20"/>
              </w:rPr>
              <w:t>O3</w:t>
            </w:r>
          </w:p>
        </w:tc>
        <w:tc>
          <w:tcPr>
            <w:tcW w:w="5245" w:type="dxa"/>
            <w:tcBorders>
              <w:top w:val="single" w:sz="4" w:space="0" w:color="auto"/>
              <w:bottom w:val="single" w:sz="4" w:space="0" w:color="auto"/>
            </w:tcBorders>
          </w:tcPr>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 xml:space="preserve">3. </w:t>
            </w:r>
            <w:r w:rsidRPr="00FF785F" w:rsidR="00764125">
              <w:rPr>
                <w:rFonts w:ascii="TimesNewRoman" w:hAnsi="TimesNewRoman" w:cs="TimesNewRoman"/>
                <w:sz w:val="20"/>
                <w:lang w:eastAsia="sk-SK"/>
              </w:rPr>
              <w:t>S ohľadom na hodnotenie vykonané pomocou skúšobnej metodiky uvedenej v odseku 1 môže Európsky parlament a Rada na základe legislatívneho návrhu Komisie zrevidovať maximálny obsah MMT v palivách uvedený v odseku 2.</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BodyText20"/>
              <w:ind w:left="0" w:firstLine="0"/>
              <w:rPr>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2047"/>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Č8a</w:t>
            </w:r>
          </w:p>
          <w:p w:rsidR="00C751EE" w:rsidP="00C751EE">
            <w:pPr>
              <w:jc w:val="center"/>
              <w:rPr>
                <w:sz w:val="20"/>
              </w:rPr>
            </w:pPr>
            <w:r w:rsidRPr="00F74B61">
              <w:rPr>
                <w:sz w:val="20"/>
              </w:rPr>
              <w:t>O4</w:t>
            </w:r>
          </w:p>
          <w:p w:rsidR="00C751EE" w:rsidP="00C751EE">
            <w:pPr>
              <w:jc w:val="center"/>
              <w:rPr>
                <w:sz w:val="20"/>
              </w:rPr>
            </w:pPr>
            <w:r>
              <w:rPr>
                <w:sz w:val="20"/>
              </w:rPr>
              <w:t>O5</w:t>
            </w:r>
          </w:p>
          <w:p w:rsidR="00C751EE" w:rsidRPr="00F74B61" w:rsidP="00C751EE">
            <w:pPr>
              <w:jc w:val="center"/>
              <w:rPr>
                <w:sz w:val="20"/>
              </w:rPr>
            </w:pPr>
            <w:r>
              <w:rPr>
                <w:sz w:val="20"/>
              </w:rPr>
              <w:t>O6</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4. </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lenské </w:t>
            </w:r>
            <w:r w:rsidRPr="00F74B61">
              <w:rPr>
                <w:rFonts w:ascii="TimesNewRoman+01" w:hAnsi="TimesNewRoman+01" w:cs="TimesNewRoman+01"/>
                <w:sz w:val="20"/>
                <w:lang w:eastAsia="sk-SK"/>
              </w:rPr>
              <w:t>š</w:t>
            </w:r>
            <w:r w:rsidRPr="00F74B61">
              <w:rPr>
                <w:rFonts w:ascii="TimesNewRoman" w:hAnsi="TimesNewRoman" w:cs="TimesNewRoman"/>
                <w:sz w:val="20"/>
                <w:lang w:eastAsia="sk-SK"/>
              </w:rPr>
              <w:t>táty zabezpe</w:t>
            </w:r>
            <w:r w:rsidRPr="00F74B61">
              <w:rPr>
                <w:rFonts w:ascii="TimesNewRoman+01" w:hAnsi="TimesNewRoman+01" w:cs="TimesNewRoman+01"/>
                <w:sz w:val="20"/>
                <w:lang w:eastAsia="sk-SK"/>
              </w:rPr>
              <w:t>č</w:t>
            </w:r>
            <w:r w:rsidRPr="00F74B61">
              <w:rPr>
                <w:rFonts w:ascii="TimesNewRoman" w:hAnsi="TimesNewRoman" w:cs="TimesNewRoman"/>
                <w:sz w:val="20"/>
                <w:lang w:eastAsia="sk-SK"/>
              </w:rPr>
              <w:t>ia, aby sa ozna</w:t>
            </w:r>
            <w:r w:rsidRPr="00F74B61">
              <w:rPr>
                <w:rFonts w:ascii="TimesNewRoman+01" w:hAnsi="TimesNewRoman+01" w:cs="TimesNewRoman+01"/>
                <w:sz w:val="20"/>
                <w:lang w:eastAsia="sk-SK"/>
              </w:rPr>
              <w:t>č</w:t>
            </w:r>
            <w:r w:rsidRPr="00F74B61">
              <w:rPr>
                <w:rFonts w:ascii="TimesNewRoman" w:hAnsi="TimesNewRoman" w:cs="TimesNewRoman"/>
                <w:sz w:val="20"/>
                <w:lang w:eastAsia="sk-SK"/>
              </w:rPr>
              <w:t>enie uvádzajúce obsah</w:t>
            </w:r>
          </w:p>
          <w:p w:rsidR="00C751EE"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kovových prísad v palive uvádzalo v</w:t>
            </w:r>
            <w:r w:rsidRPr="00F74B61">
              <w:rPr>
                <w:rFonts w:ascii="TimesNewRoman+01" w:hAnsi="TimesNewRoman+01" w:cs="TimesNewRoman+01"/>
                <w:sz w:val="20"/>
                <w:lang w:eastAsia="sk-SK"/>
              </w:rPr>
              <w:t>š</w:t>
            </w:r>
            <w:r w:rsidRPr="00F74B61">
              <w:rPr>
                <w:rFonts w:ascii="TimesNewRoman" w:hAnsi="TimesNewRoman" w:cs="TimesNewRoman"/>
                <w:sz w:val="20"/>
                <w:lang w:eastAsia="sk-SK"/>
              </w:rPr>
              <w:t>ade tam, kde majú spotrebitelia prístup k palivám s kovovými prísadami.</w:t>
            </w:r>
          </w:p>
          <w:p w:rsidR="00C751EE" w:rsidRPr="00F74B61" w:rsidP="00C751EE">
            <w:pPr>
              <w:autoSpaceDE w:val="0"/>
              <w:autoSpaceDN w:val="0"/>
              <w:adjustRightInd w:val="0"/>
              <w:jc w:val="both"/>
              <w:rPr>
                <w:rFonts w:ascii="TimesNewRoman" w:hAnsi="TimesNewRoman" w:cs="TimesNewRoman"/>
                <w:sz w:val="20"/>
                <w:lang w:eastAsia="sk-SK"/>
              </w:rPr>
            </w:pPr>
          </w:p>
          <w:p w:rsidR="00C751EE"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5. Na ozna</w:t>
            </w:r>
            <w:r w:rsidRPr="00F74B61">
              <w:rPr>
                <w:rFonts w:ascii="TimesNewRoman+01" w:hAnsi="TimesNewRoman+01" w:cs="TimesNewRoman+01"/>
                <w:sz w:val="20"/>
                <w:lang w:eastAsia="sk-SK"/>
              </w:rPr>
              <w:t>č</w:t>
            </w:r>
            <w:r w:rsidRPr="00F74B61">
              <w:rPr>
                <w:rFonts w:ascii="TimesNewRoman" w:hAnsi="TimesNewRoman" w:cs="TimesNewRoman"/>
                <w:sz w:val="20"/>
                <w:lang w:eastAsia="sk-SK"/>
              </w:rPr>
              <w:t xml:space="preserve">ení sa uvedie tento text: </w:t>
            </w:r>
            <w:r w:rsidRPr="00F74B61">
              <w:rPr>
                <w:rFonts w:ascii="TimesNewRoman+20" w:hAnsi="TimesNewRoman+20" w:cs="TimesNewRoman+20"/>
                <w:sz w:val="20"/>
                <w:lang w:eastAsia="sk-SK"/>
              </w:rPr>
              <w:t>„</w:t>
            </w:r>
            <w:r w:rsidRPr="00F74B61">
              <w:rPr>
                <w:rFonts w:ascii="TimesNewRoman" w:hAnsi="TimesNewRoman" w:cs="TimesNewRoman"/>
                <w:sz w:val="20"/>
                <w:lang w:eastAsia="sk-SK"/>
              </w:rPr>
              <w:t>Obsahuje kovové prísady</w:t>
            </w:r>
            <w:r w:rsidRPr="00F74B61">
              <w:rPr>
                <w:rFonts w:ascii="TimesNewRoman+20" w:hAnsi="TimesNewRoman+20" w:cs="TimesNewRoman+20"/>
                <w:sz w:val="20"/>
                <w:lang w:eastAsia="sk-SK"/>
              </w:rPr>
              <w:t>“</w:t>
            </w:r>
            <w:r w:rsidRPr="00F74B61">
              <w:rPr>
                <w:rFonts w:ascii="TimesNewRoman" w:hAnsi="TimesNewRoman" w:cs="TimesNewRoman"/>
                <w:sz w:val="20"/>
                <w:lang w:eastAsia="sk-SK"/>
              </w:rPr>
              <w:t>.</w:t>
            </w:r>
          </w:p>
          <w:p w:rsidR="00C751EE" w:rsidP="00C751EE">
            <w:pPr>
              <w:autoSpaceDE w:val="0"/>
              <w:autoSpaceDN w:val="0"/>
              <w:adjustRightInd w:val="0"/>
              <w:jc w:val="both"/>
              <w:rPr>
                <w:rFonts w:ascii="TimesNewRoman" w:hAnsi="TimesNewRoman" w:cs="TimesNewRoman"/>
                <w:sz w:val="20"/>
                <w:lang w:eastAsia="sk-SK"/>
              </w:rPr>
            </w:pPr>
          </w:p>
          <w:p w:rsidR="00C751EE" w:rsidRPr="00F74B61" w:rsidP="00C751EE">
            <w:pPr>
              <w:autoSpaceDE w:val="0"/>
              <w:autoSpaceDN w:val="0"/>
              <w:adjustRightInd w:val="0"/>
              <w:jc w:val="both"/>
              <w:rPr>
                <w:rFonts w:ascii="TimesNewRomanItalic+01" w:hAnsi="TimesNewRomanItalic+01" w:cs="TimesNewRomanItalic+01"/>
                <w:i/>
                <w:iCs/>
                <w:sz w:val="20"/>
                <w:lang w:eastAsia="sk-SK"/>
              </w:rPr>
            </w:pPr>
            <w:r w:rsidRPr="00F74B61">
              <w:rPr>
                <w:rFonts w:ascii="TimesNewRoman" w:hAnsi="TimesNewRoman" w:cs="TimesNewRoman"/>
                <w:sz w:val="20"/>
                <w:lang w:eastAsia="sk-SK"/>
              </w:rPr>
              <w:t>6. Ozna</w:t>
            </w:r>
            <w:r w:rsidRPr="00F74B61">
              <w:rPr>
                <w:rFonts w:ascii="TimesNewRoman+01" w:hAnsi="TimesNewRoman+01" w:cs="TimesNewRoman+01"/>
                <w:sz w:val="20"/>
                <w:lang w:eastAsia="sk-SK"/>
              </w:rPr>
              <w:t>č</w:t>
            </w:r>
            <w:r w:rsidRPr="00F74B61">
              <w:rPr>
                <w:rFonts w:ascii="TimesNewRoman" w:hAnsi="TimesNewRoman" w:cs="TimesNewRoman"/>
                <w:sz w:val="20"/>
                <w:lang w:eastAsia="sk-SK"/>
              </w:rPr>
              <w:t>enie sa zrete</w:t>
            </w:r>
            <w:r w:rsidRPr="00F74B61">
              <w:rPr>
                <w:rFonts w:ascii="TimesNewRoman+01" w:hAnsi="TimesNewRoman+01" w:cs="TimesNewRoman+01"/>
                <w:sz w:val="20"/>
                <w:lang w:eastAsia="sk-SK"/>
              </w:rPr>
              <w:t>ľ</w:t>
            </w:r>
            <w:r w:rsidRPr="00F74B61">
              <w:rPr>
                <w:rFonts w:ascii="TimesNewRoman" w:hAnsi="TimesNewRoman" w:cs="TimesNewRoman"/>
                <w:sz w:val="20"/>
                <w:lang w:eastAsia="sk-SK"/>
              </w:rPr>
              <w:t>ne upevní na mieste, kde sa uvádzajú informácie o druhu paliva. Rozmery a písmo ozna</w:t>
            </w:r>
            <w:r w:rsidRPr="00F74B61">
              <w:rPr>
                <w:rFonts w:ascii="TimesNewRoman+01" w:hAnsi="TimesNewRoman+01" w:cs="TimesNewRoman+01"/>
                <w:sz w:val="20"/>
                <w:lang w:eastAsia="sk-SK"/>
              </w:rPr>
              <w:t>č</w:t>
            </w:r>
            <w:r w:rsidRPr="00F74B61">
              <w:rPr>
                <w:rFonts w:ascii="TimesNewRoman" w:hAnsi="TimesNewRoman" w:cs="TimesNewRoman"/>
                <w:sz w:val="20"/>
                <w:lang w:eastAsia="sk-SK"/>
              </w:rPr>
              <w:t>enia sú také, aby bolo jasne vidite</w:t>
            </w:r>
            <w:r w:rsidRPr="00F74B61">
              <w:rPr>
                <w:rFonts w:ascii="TimesNewRoman+01" w:hAnsi="TimesNewRoman+01" w:cs="TimesNewRoman+01"/>
                <w:sz w:val="20"/>
                <w:lang w:eastAsia="sk-SK"/>
              </w:rPr>
              <w:t>ľ</w:t>
            </w:r>
            <w:r w:rsidRPr="00F74B61">
              <w:rPr>
                <w:rFonts w:ascii="TimesNewRoman" w:hAnsi="TimesNewRoman" w:cs="TimesNewRoman"/>
                <w:sz w:val="20"/>
                <w:lang w:eastAsia="sk-SK"/>
              </w:rPr>
              <w:t xml:space="preserve">né a </w:t>
            </w:r>
            <w:r w:rsidRPr="00F74B61">
              <w:rPr>
                <w:rFonts w:ascii="TimesNewRoman+01" w:hAnsi="TimesNewRoman+01" w:cs="TimesNewRoman+01"/>
                <w:sz w:val="20"/>
                <w:lang w:eastAsia="sk-SK"/>
              </w:rPr>
              <w:t>ľ</w:t>
            </w:r>
            <w:r w:rsidRPr="00F74B61">
              <w:rPr>
                <w:rFonts w:ascii="TimesNewRoman" w:hAnsi="TimesNewRoman" w:cs="TimesNewRoman"/>
                <w:sz w:val="20"/>
                <w:lang w:eastAsia="sk-SK"/>
              </w:rPr>
              <w:t xml:space="preserve">ahko </w:t>
            </w:r>
            <w:r w:rsidRPr="00F74B61">
              <w:rPr>
                <w:rFonts w:ascii="TimesNewRoman+01" w:hAnsi="TimesNewRoman+01" w:cs="TimesNewRoman+01"/>
                <w:sz w:val="20"/>
                <w:lang w:eastAsia="sk-SK"/>
              </w:rPr>
              <w:t>č</w:t>
            </w:r>
            <w:r w:rsidRPr="00F74B61">
              <w:rPr>
                <w:rFonts w:ascii="TimesNewRoman" w:hAnsi="TimesNewRoman" w:cs="TimesNewRoman"/>
                <w:sz w:val="20"/>
                <w:lang w:eastAsia="sk-SK"/>
              </w:rPr>
              <w:t>itate</w:t>
            </w:r>
            <w:r w:rsidRPr="00F74B61">
              <w:rPr>
                <w:rFonts w:ascii="TimesNewRoman+01" w:hAnsi="TimesNewRoman+01" w:cs="TimesNewRoman+01"/>
                <w:sz w:val="20"/>
                <w:lang w:eastAsia="sk-SK"/>
              </w:rPr>
              <w:t>ľ</w:t>
            </w:r>
            <w:r w:rsidRPr="00F74B61">
              <w:rPr>
                <w:rFonts w:ascii="TimesNewRoman" w:hAnsi="TimesNewRoman" w:cs="TimesNewRoman"/>
                <w:sz w:val="20"/>
                <w:lang w:eastAsia="sk-SK"/>
              </w:rPr>
              <w:t>né.</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w:t>
            </w:r>
          </w:p>
        </w:tc>
        <w:tc>
          <w:tcPr>
            <w:tcW w:w="1276" w:type="dxa"/>
            <w:tcBorders>
              <w:top w:val="single" w:sz="4" w:space="0" w:color="auto"/>
              <w:bottom w:val="single" w:sz="4" w:space="0" w:color="auto"/>
            </w:tcBorders>
          </w:tcPr>
          <w:p w:rsidR="00C751EE" w:rsidRPr="00E02262" w:rsidP="00C751EE">
            <w:pPr>
              <w:jc w:val="center"/>
              <w:rPr>
                <w:sz w:val="20"/>
              </w:rPr>
            </w:pPr>
            <w:r>
              <w:rPr>
                <w:sz w:val="20"/>
              </w:rPr>
              <w:t>NV</w:t>
            </w:r>
          </w:p>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r w:rsidR="00F8296D">
              <w:t>§12</w:t>
            </w:r>
          </w:p>
          <w:p w:rsidR="00C751EE" w:rsidRPr="00F74B61" w:rsidP="00C751EE">
            <w:pPr>
              <w:pStyle w:val="BodyText21"/>
              <w:spacing w:before="0"/>
            </w:pPr>
            <w:r>
              <w:t>O9</w:t>
            </w:r>
          </w:p>
        </w:tc>
        <w:tc>
          <w:tcPr>
            <w:tcW w:w="4110" w:type="dxa"/>
            <w:tcBorders>
              <w:top w:val="single" w:sz="4" w:space="0" w:color="auto"/>
              <w:bottom w:val="single" w:sz="4" w:space="0" w:color="auto"/>
            </w:tcBorders>
          </w:tcPr>
          <w:p w:rsidR="00F8296D" w:rsidRPr="00625A04" w:rsidP="00F8296D">
            <w:pPr>
              <w:pStyle w:val="odsek1"/>
              <w:numPr>
                <w:ilvl w:val="0"/>
                <w:numId w:val="0"/>
              </w:numPr>
              <w:rPr>
                <w:rFonts w:ascii="TimesNewRoman" w:hAnsi="TimesNewRoman" w:cs="TimesNewRoman"/>
                <w:sz w:val="20"/>
                <w:lang w:eastAsia="sk-SK"/>
              </w:rPr>
            </w:pPr>
            <w:r w:rsidRPr="00625A04" w:rsidR="00C751EE">
              <w:rPr>
                <w:rFonts w:ascii="TimesNewRoman" w:eastAsia="Times New Roman" w:hAnsi="TimesNewRoman" w:cs="TimesNewRoman"/>
                <w:sz w:val="20"/>
                <w:szCs w:val="20"/>
                <w:lang w:eastAsia="sk-SK"/>
              </w:rPr>
              <w:t xml:space="preserve">(9) </w:t>
            </w:r>
            <w:r w:rsidRPr="00625A04" w:rsidR="00176DB2">
              <w:rPr>
                <w:rFonts w:ascii="TimesNewRoman" w:eastAsia="Times New Roman" w:hAnsi="TimesNewRoman" w:cs="TimesNewRoman"/>
                <w:sz w:val="20"/>
                <w:szCs w:val="20"/>
                <w:lang w:eastAsia="sk-SK"/>
              </w:rPr>
              <w:t xml:space="preserve"> </w:t>
            </w:r>
            <w:r w:rsidRPr="00625A04">
              <w:rPr>
                <w:rFonts w:ascii="TimesNewRoman" w:eastAsia="Times New Roman" w:hAnsi="TimesNewRoman" w:cs="TimesNewRoman"/>
                <w:sz w:val="20"/>
                <w:szCs w:val="20"/>
                <w:lang w:eastAsia="sk-SK"/>
              </w:rPr>
              <w:t>Podnikateľ, ktorý predáva palivá určené na pohon spaľovacích motorov s obsahom kovových prísad, poskytuje spotrebiteľom informáciu o obsahu kovových prísad jej označením na mieste, kde sa uvádzajú údaje o druhu paliva. Na označení sa uvedie text: „Obsahuje kovové prísady“. Uvedené označenie musí byť ľahko čitateľné a pevne pripevnené. Označenie musí byť umiestnené na výdajnom stojane tak, aby bolo dobre viditeľné.</w:t>
            </w:r>
          </w:p>
        </w:tc>
        <w:tc>
          <w:tcPr>
            <w:tcW w:w="709" w:type="dxa"/>
            <w:tcBorders>
              <w:top w:val="single" w:sz="4" w:space="0" w:color="auto"/>
              <w:bottom w:val="single" w:sz="4" w:space="0" w:color="auto"/>
            </w:tcBorders>
          </w:tcPr>
          <w:p w:rsidR="00C751EE" w:rsidRPr="00F74B61" w:rsidP="00C751EE">
            <w:pPr>
              <w:jc w:val="both"/>
              <w:rPr>
                <w:sz w:val="20"/>
              </w:rPr>
            </w:pPr>
            <w:r w:rsidRPr="00F74B61">
              <w:rPr>
                <w:sz w:val="20"/>
              </w:rPr>
              <w:t>Ú</w:t>
            </w: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410"/>
        </w:trPr>
        <w:tc>
          <w:tcPr>
            <w:tcW w:w="637" w:type="dxa"/>
            <w:tcBorders>
              <w:top w:val="single" w:sz="4" w:space="0" w:color="auto"/>
              <w:bottom w:val="single" w:sz="4" w:space="0" w:color="auto"/>
            </w:tcBorders>
          </w:tcPr>
          <w:p w:rsidR="00C751EE" w:rsidRPr="00F74B61" w:rsidP="00C751EE">
            <w:pPr>
              <w:jc w:val="center"/>
              <w:rPr>
                <w:sz w:val="20"/>
              </w:rPr>
            </w:pPr>
            <w:r w:rsidRPr="00F74B61">
              <w:rPr>
                <w:sz w:val="20"/>
              </w:rPr>
              <w:t>Č9</w:t>
            </w:r>
          </w:p>
          <w:p w:rsidR="00C751EE" w:rsidRPr="00F74B61" w:rsidP="00C751EE">
            <w:pPr>
              <w:jc w:val="center"/>
              <w:rPr>
                <w:sz w:val="20"/>
              </w:rPr>
            </w:pPr>
            <w:r w:rsidRPr="00F74B61">
              <w:rPr>
                <w:sz w:val="20"/>
              </w:rPr>
              <w:t>O1</w:t>
            </w:r>
          </w:p>
        </w:tc>
        <w:tc>
          <w:tcPr>
            <w:tcW w:w="5245" w:type="dxa"/>
            <w:tcBorders>
              <w:top w:val="single" w:sz="4" w:space="0" w:color="auto"/>
              <w:bottom w:val="single" w:sz="4" w:space="0" w:color="auto"/>
            </w:tcBorders>
          </w:tcPr>
          <w:p w:rsidR="00C751EE" w:rsidRPr="00FF785F" w:rsidP="00C751EE">
            <w:pPr>
              <w:pStyle w:val="Heading7"/>
              <w:ind w:hanging="567"/>
              <w:rPr>
                <w:rFonts w:ascii="TimesNewRoman+01" w:hAnsi="TimesNewRoman+01" w:cs="TimesNewRoman+01"/>
                <w:b w:val="0"/>
                <w:bCs w:val="0"/>
                <w:i w:val="0"/>
                <w:iCs w:val="0"/>
                <w:sz w:val="20"/>
                <w:lang w:eastAsia="sk-SK"/>
              </w:rPr>
            </w:pPr>
            <w:r w:rsidRPr="00FF785F">
              <w:rPr>
                <w:rFonts w:ascii="TimesNewRoman+01" w:hAnsi="TimesNewRoman+01" w:cs="TimesNewRoman+01"/>
                <w:b w:val="0"/>
                <w:bCs w:val="0"/>
                <w:i w:val="0"/>
                <w:iCs w:val="0"/>
                <w:sz w:val="20"/>
                <w:lang w:eastAsia="sk-SK"/>
              </w:rPr>
              <w:t>Článok 9</w:t>
            </w:r>
          </w:p>
          <w:p w:rsidR="00C751EE" w:rsidRPr="00FF785F" w:rsidP="00C751EE">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Podávanie správ</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01" w:hAnsi="TimesNewRoman+01" w:cs="TimesNewRoman+01"/>
                <w:sz w:val="20"/>
                <w:lang w:eastAsia="sk-SK"/>
              </w:rPr>
              <w:t xml:space="preserve">1. Do 31. decembra </w:t>
            </w:r>
            <w:smartTag w:uri="urn:schemas-microsoft-com:office:smarttags" w:element="metricconverter">
              <w:smartTagPr>
                <w:attr w:name="ProductID" w:val="2012 a"/>
              </w:smartTagPr>
              <w:r w:rsidRPr="00FF785F">
                <w:rPr>
                  <w:rFonts w:ascii="TimesNewRoman+01" w:hAnsi="TimesNewRoman+01" w:cs="TimesNewRoman+01"/>
                  <w:sz w:val="20"/>
                  <w:lang w:eastAsia="sk-SK"/>
                </w:rPr>
                <w:t>2012 a</w:t>
              </w:r>
            </w:smartTag>
            <w:r w:rsidRPr="00FF785F">
              <w:rPr>
                <w:rFonts w:ascii="TimesNewRoman+01" w:hAnsi="TimesNewRoman+01" w:cs="TimesNewRoman+01"/>
                <w:sz w:val="20"/>
                <w:lang w:eastAsia="sk-SK"/>
              </w:rPr>
              <w:t xml:space="preserve"> potom každé tri roky Komisia predloží </w:t>
            </w:r>
            <w:r w:rsidRPr="00FF785F">
              <w:rPr>
                <w:rFonts w:ascii="TimesNewRoman" w:hAnsi="TimesNewRoman" w:cs="TimesNewRoman"/>
                <w:sz w:val="20"/>
                <w:lang w:eastAsia="sk-SK"/>
              </w:rPr>
              <w:t>Európskemu parlamentu a Rade predklada</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správu, ktorú v prípade potreby doplní návrhmi na zmenu a doplnenie tejto smernice.</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V správe sa zoh</w:t>
            </w:r>
            <w:r w:rsidRPr="00FF785F">
              <w:rPr>
                <w:rFonts w:ascii="TimesNewRoman+01" w:hAnsi="TimesNewRoman+01" w:cs="TimesNewRoman+01"/>
                <w:sz w:val="20"/>
                <w:lang w:eastAsia="sk-SK"/>
              </w:rPr>
              <w:t>ľ</w:t>
            </w:r>
            <w:r w:rsidRPr="00FF785F">
              <w:rPr>
                <w:rFonts w:ascii="TimesNewRoman" w:hAnsi="TimesNewRoman" w:cs="TimesNewRoman"/>
                <w:sz w:val="20"/>
                <w:lang w:eastAsia="sk-SK"/>
              </w:rPr>
              <w:t>adnia najmä tieto skuto</w:t>
            </w:r>
            <w:r w:rsidRPr="00FF785F">
              <w:rPr>
                <w:rFonts w:ascii="TimesNewRoman+01" w:hAnsi="TimesNewRoman+01" w:cs="TimesNewRoman+01"/>
                <w:sz w:val="20"/>
                <w:lang w:eastAsia="sk-SK"/>
              </w:rPr>
              <w:t>č</w:t>
            </w:r>
            <w:r w:rsidRPr="00FF785F">
              <w:rPr>
                <w:rFonts w:ascii="TimesNewRoman" w:hAnsi="TimesNewRoman" w:cs="TimesNewRoman"/>
                <w:sz w:val="20"/>
                <w:lang w:eastAsia="sk-SK"/>
              </w:rPr>
              <w:t>nosti:</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a) pou</w:t>
            </w:r>
            <w:r w:rsidRPr="00FF785F">
              <w:rPr>
                <w:rFonts w:ascii="TimesNewRoman+01" w:hAnsi="TimesNewRoman+01" w:cs="TimesNewRoman+01"/>
                <w:sz w:val="20"/>
                <w:lang w:eastAsia="sk-SK"/>
              </w:rPr>
              <w:t>ž</w:t>
            </w:r>
            <w:r w:rsidRPr="00FF785F">
              <w:rPr>
                <w:rFonts w:ascii="TimesNewRoman" w:hAnsi="TimesNewRoman" w:cs="TimesNewRoman"/>
                <w:sz w:val="20"/>
                <w:lang w:eastAsia="sk-SK"/>
              </w:rPr>
              <w:t>itie a vývoj technológie automobilov, najmä pokia</w:t>
            </w:r>
            <w:r w:rsidRPr="00FF785F">
              <w:rPr>
                <w:rFonts w:ascii="TimesNewRoman+01" w:hAnsi="TimesNewRoman+01" w:cs="TimesNewRoman+01"/>
                <w:sz w:val="20"/>
                <w:lang w:eastAsia="sk-SK"/>
              </w:rPr>
              <w:t xml:space="preserve">ľ </w:t>
            </w:r>
            <w:r w:rsidRPr="00FF785F">
              <w:rPr>
                <w:rFonts w:ascii="TimesNewRoman" w:hAnsi="TimesNewRoman" w:cs="TimesNewRoman"/>
                <w:sz w:val="20"/>
                <w:lang w:eastAsia="sk-SK"/>
              </w:rPr>
              <w:t>ide</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o realizovate</w:t>
            </w:r>
            <w:r w:rsidRPr="00FF785F">
              <w:rPr>
                <w:rFonts w:ascii="TimesNewRoman+01" w:hAnsi="TimesNewRoman+01" w:cs="TimesNewRoman+01"/>
                <w:sz w:val="20"/>
                <w:lang w:eastAsia="sk-SK"/>
              </w:rPr>
              <w:t>ľ</w:t>
            </w:r>
            <w:r w:rsidRPr="00FF785F">
              <w:rPr>
                <w:rFonts w:ascii="TimesNewRoman" w:hAnsi="TimesNewRoman" w:cs="TimesNewRoman"/>
                <w:sz w:val="20"/>
                <w:lang w:eastAsia="sk-SK"/>
              </w:rPr>
              <w:t>nos</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zvý</w:t>
            </w:r>
            <w:r w:rsidRPr="00FF785F">
              <w:rPr>
                <w:rFonts w:ascii="TimesNewRoman+01" w:hAnsi="TimesNewRoman+01" w:cs="TimesNewRoman+01"/>
                <w:sz w:val="20"/>
                <w:lang w:eastAsia="sk-SK"/>
              </w:rPr>
              <w:t>š</w:t>
            </w:r>
            <w:r w:rsidRPr="00FF785F">
              <w:rPr>
                <w:rFonts w:ascii="TimesNewRoman" w:hAnsi="TimesNewRoman" w:cs="TimesNewRoman"/>
                <w:sz w:val="20"/>
                <w:lang w:eastAsia="sk-SK"/>
              </w:rPr>
              <w:t>enia maximálneho povoleného obsahu</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biopalív v automobilovom benzíne a motorovej nafte a potrebu</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 xml:space="preserve">preskúmania termínu uvedeného v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3 ods. 3;</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b) politika Spolo</w:t>
            </w:r>
            <w:r w:rsidRPr="00FF785F">
              <w:rPr>
                <w:rFonts w:ascii="TimesNewRoman+01" w:hAnsi="TimesNewRoman+01" w:cs="TimesNewRoman+01"/>
                <w:sz w:val="20"/>
                <w:lang w:eastAsia="sk-SK"/>
              </w:rPr>
              <w:t>č</w:t>
            </w:r>
            <w:r w:rsidRPr="00FF785F">
              <w:rPr>
                <w:rFonts w:ascii="TimesNewRoman" w:hAnsi="TimesNewRoman" w:cs="TimesNewRoman"/>
                <w:sz w:val="20"/>
                <w:lang w:eastAsia="sk-SK"/>
              </w:rPr>
              <w:t>enstva týkajúca sa emisií CO</w:t>
            </w:r>
            <w:r w:rsidRPr="00FF785F">
              <w:rPr>
                <w:rFonts w:ascii="TimesNewRoman" w:hAnsi="TimesNewRoman" w:cs="TimesNewRoman"/>
                <w:sz w:val="20"/>
                <w:vertAlign w:val="subscript"/>
                <w:lang w:eastAsia="sk-SK"/>
              </w:rPr>
              <w:t>2</w:t>
            </w:r>
            <w:r w:rsidRPr="00FF785F">
              <w:rPr>
                <w:rFonts w:ascii="TimesNewRoman" w:hAnsi="TimesNewRoman" w:cs="TimesNewRoman"/>
                <w:sz w:val="20"/>
                <w:lang w:eastAsia="sk-SK"/>
              </w:rPr>
              <w:t xml:space="preserve"> z vozidiel cestnej dopravy;</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c) mo</w:t>
            </w:r>
            <w:r w:rsidRPr="00FF785F">
              <w:rPr>
                <w:rFonts w:ascii="TimesNewRoman+01" w:hAnsi="TimesNewRoman+01" w:cs="TimesNewRoman+01"/>
                <w:sz w:val="20"/>
                <w:lang w:eastAsia="sk-SK"/>
              </w:rPr>
              <w:t>ž</w:t>
            </w:r>
            <w:r w:rsidRPr="00FF785F">
              <w:rPr>
                <w:rFonts w:ascii="TimesNewRoman" w:hAnsi="TimesNewRoman" w:cs="TimesNewRoman"/>
                <w:sz w:val="20"/>
                <w:lang w:eastAsia="sk-SK"/>
              </w:rPr>
              <w:t>nos</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uplat</w:t>
            </w:r>
            <w:r w:rsidRPr="00FF785F">
              <w:rPr>
                <w:rFonts w:ascii="TimesNewRoman+01" w:hAnsi="TimesNewRoman+01" w:cs="TimesNewRoman+01"/>
                <w:sz w:val="20"/>
                <w:lang w:eastAsia="sk-SK"/>
              </w:rPr>
              <w:t>ň</w:t>
            </w:r>
            <w:r w:rsidRPr="00FF785F">
              <w:rPr>
                <w:rFonts w:ascii="TimesNewRoman" w:hAnsi="TimesNewRoman" w:cs="TimesNewRoman"/>
                <w:sz w:val="20"/>
                <w:lang w:eastAsia="sk-SK"/>
              </w:rPr>
              <w:t>ova</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po</w:t>
            </w:r>
            <w:r w:rsidRPr="00FF785F">
              <w:rPr>
                <w:rFonts w:ascii="TimesNewRoman+01" w:hAnsi="TimesNewRoman+01" w:cs="TimesNewRoman+01"/>
                <w:sz w:val="20"/>
                <w:lang w:eastAsia="sk-SK"/>
              </w:rPr>
              <w:t>ž</w:t>
            </w:r>
            <w:r w:rsidRPr="00FF785F">
              <w:rPr>
                <w:rFonts w:ascii="TimesNewRoman" w:hAnsi="TimesNewRoman" w:cs="TimesNewRoman"/>
                <w:sz w:val="20"/>
                <w:lang w:eastAsia="sk-SK"/>
              </w:rPr>
              <w:t>iadavky uvedené v prílohe II, najmä limitné hodnoty polycyklických aromatických uh</w:t>
            </w:r>
            <w:r w:rsidRPr="00FF785F">
              <w:rPr>
                <w:rFonts w:ascii="TimesNewRoman+01" w:hAnsi="TimesNewRoman+01" w:cs="TimesNewRoman+01"/>
                <w:sz w:val="20"/>
                <w:lang w:eastAsia="sk-SK"/>
              </w:rPr>
              <w:t>ľ</w:t>
            </w:r>
            <w:r w:rsidRPr="00FF785F">
              <w:rPr>
                <w:rFonts w:ascii="TimesNewRoman" w:hAnsi="TimesNewRoman" w:cs="TimesNewRoman"/>
                <w:sz w:val="20"/>
                <w:lang w:eastAsia="sk-SK"/>
              </w:rPr>
              <w:t>ovodíkov, na necestné pojazdné stroje (vrátane plavidiel vnútrozemskej vodnej dopravy), po</w:t>
            </w:r>
            <w:r w:rsidRPr="00FF785F">
              <w:rPr>
                <w:rFonts w:ascii="TimesNewRoman+01" w:hAnsi="TimesNewRoman+01" w:cs="TimesNewRoman+01"/>
                <w:sz w:val="20"/>
                <w:lang w:eastAsia="sk-SK"/>
              </w:rPr>
              <w:t>ľ</w:t>
            </w:r>
            <w:r w:rsidRPr="00FF785F">
              <w:rPr>
                <w:rFonts w:ascii="TimesNewRoman" w:hAnsi="TimesNewRoman" w:cs="TimesNewRoman"/>
                <w:sz w:val="20"/>
                <w:lang w:eastAsia="sk-SK"/>
              </w:rPr>
              <w:t>nohospodárske a lesné traktory a rekrea</w:t>
            </w:r>
            <w:r w:rsidRPr="00FF785F">
              <w:rPr>
                <w:rFonts w:ascii="TimesNewRoman+01" w:hAnsi="TimesNewRoman+01" w:cs="TimesNewRoman+01"/>
                <w:sz w:val="20"/>
                <w:lang w:eastAsia="sk-SK"/>
              </w:rPr>
              <w:t>č</w:t>
            </w:r>
            <w:r w:rsidRPr="00FF785F">
              <w:rPr>
                <w:rFonts w:ascii="TimesNewRoman" w:hAnsi="TimesNewRoman" w:cs="TimesNewRoman"/>
                <w:sz w:val="20"/>
                <w:lang w:eastAsia="sk-SK"/>
              </w:rPr>
              <w:t>né plavidlá;</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d) zvý</w:t>
            </w:r>
            <w:r w:rsidRPr="00FF785F">
              <w:rPr>
                <w:rFonts w:ascii="TimesNewRoman+01" w:hAnsi="TimesNewRoman+01" w:cs="TimesNewRoman+01"/>
                <w:sz w:val="20"/>
                <w:lang w:eastAsia="sk-SK"/>
              </w:rPr>
              <w:t>š</w:t>
            </w:r>
            <w:r w:rsidRPr="00FF785F">
              <w:rPr>
                <w:rFonts w:ascii="TimesNewRoman" w:hAnsi="TimesNewRoman" w:cs="TimesNewRoman"/>
                <w:sz w:val="20"/>
                <w:lang w:eastAsia="sk-SK"/>
              </w:rPr>
              <w:t>enie pou</w:t>
            </w:r>
            <w:r w:rsidRPr="00FF785F">
              <w:rPr>
                <w:rFonts w:ascii="TimesNewRoman+01" w:hAnsi="TimesNewRoman+01" w:cs="TimesNewRoman+01"/>
                <w:sz w:val="20"/>
                <w:lang w:eastAsia="sk-SK"/>
              </w:rPr>
              <w:t>ž</w:t>
            </w:r>
            <w:r w:rsidRPr="00FF785F">
              <w:rPr>
                <w:rFonts w:ascii="TimesNewRoman" w:hAnsi="TimesNewRoman" w:cs="TimesNewRoman"/>
                <w:sz w:val="20"/>
                <w:lang w:eastAsia="sk-SK"/>
              </w:rPr>
              <w:t>itia detergentov v palivách;</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e) pou</w:t>
            </w:r>
            <w:r w:rsidRPr="00FF785F">
              <w:rPr>
                <w:rFonts w:ascii="TimesNewRoman+01" w:hAnsi="TimesNewRoman+01" w:cs="TimesNewRoman+01"/>
                <w:sz w:val="20"/>
                <w:lang w:eastAsia="sk-SK"/>
              </w:rPr>
              <w:t>ž</w:t>
            </w:r>
            <w:r w:rsidRPr="00FF785F">
              <w:rPr>
                <w:rFonts w:ascii="TimesNewRoman" w:hAnsi="TimesNewRoman" w:cs="TimesNewRoman"/>
                <w:sz w:val="20"/>
                <w:lang w:eastAsia="sk-SK"/>
              </w:rPr>
              <w:t>itie kovových prísad iných ako MMT v palivách;</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f) celkový objem zlo</w:t>
            </w:r>
            <w:r w:rsidRPr="00FF785F">
              <w:rPr>
                <w:rFonts w:ascii="TimesNewRoman+01" w:hAnsi="TimesNewRoman+01" w:cs="TimesNewRoman+01"/>
                <w:sz w:val="20"/>
                <w:lang w:eastAsia="sk-SK"/>
              </w:rPr>
              <w:t>ž</w:t>
            </w:r>
            <w:r w:rsidRPr="00FF785F">
              <w:rPr>
                <w:rFonts w:ascii="TimesNewRoman" w:hAnsi="TimesNewRoman" w:cs="TimesNewRoman"/>
                <w:sz w:val="20"/>
                <w:lang w:eastAsia="sk-SK"/>
              </w:rPr>
              <w:t>iek pou</w:t>
            </w:r>
            <w:r w:rsidRPr="00FF785F">
              <w:rPr>
                <w:rFonts w:ascii="TimesNewRoman+01" w:hAnsi="TimesNewRoman+01" w:cs="TimesNewRoman+01"/>
                <w:sz w:val="20"/>
                <w:lang w:eastAsia="sk-SK"/>
              </w:rPr>
              <w:t>ž</w:t>
            </w:r>
            <w:r w:rsidRPr="00FF785F">
              <w:rPr>
                <w:rFonts w:ascii="TimesNewRoman" w:hAnsi="TimesNewRoman" w:cs="TimesNewRoman"/>
                <w:sz w:val="20"/>
                <w:lang w:eastAsia="sk-SK"/>
              </w:rPr>
              <w:t>ívaných v automobilovom benzíne</w:t>
            </w:r>
            <w:r w:rsidRPr="00FF785F" w:rsidR="00764125">
              <w:rPr>
                <w:rFonts w:ascii="TimesNewRoman" w:hAnsi="TimesNewRoman" w:cs="TimesNewRoman"/>
                <w:sz w:val="20"/>
                <w:lang w:eastAsia="sk-SK"/>
              </w:rPr>
              <w:t xml:space="preserve"> </w:t>
            </w:r>
            <w:r w:rsidRPr="00FF785F">
              <w:rPr>
                <w:rFonts w:ascii="TimesNewRoman" w:hAnsi="TimesNewRoman" w:cs="TimesNewRoman"/>
                <w:sz w:val="20"/>
                <w:lang w:eastAsia="sk-SK"/>
              </w:rPr>
              <w:t>a motorovej nafte so zrete</w:t>
            </w:r>
            <w:r w:rsidRPr="00FF785F">
              <w:rPr>
                <w:rFonts w:ascii="TimesNewRoman+01" w:hAnsi="TimesNewRoman+01" w:cs="TimesNewRoman+01"/>
                <w:sz w:val="20"/>
                <w:lang w:eastAsia="sk-SK"/>
              </w:rPr>
              <w:t>ľ</w:t>
            </w:r>
            <w:r w:rsidRPr="00FF785F">
              <w:rPr>
                <w:rFonts w:ascii="TimesNewRoman" w:hAnsi="TimesNewRoman" w:cs="TimesNewRoman"/>
                <w:sz w:val="20"/>
                <w:lang w:eastAsia="sk-SK"/>
              </w:rPr>
              <w:t>om na právne predpisy Spolo</w:t>
            </w:r>
            <w:r w:rsidRPr="00FF785F">
              <w:rPr>
                <w:rFonts w:ascii="TimesNewRoman+01" w:hAnsi="TimesNewRoman+01" w:cs="TimesNewRoman+01"/>
                <w:sz w:val="20"/>
                <w:lang w:eastAsia="sk-SK"/>
              </w:rPr>
              <w:t>č</w:t>
            </w:r>
            <w:r w:rsidRPr="00FF785F">
              <w:rPr>
                <w:rFonts w:ascii="TimesNewRoman" w:hAnsi="TimesNewRoman" w:cs="TimesNewRoman"/>
                <w:sz w:val="20"/>
                <w:lang w:eastAsia="sk-SK"/>
              </w:rPr>
              <w:t>enstva</w:t>
            </w:r>
            <w:r w:rsidRPr="00FF785F" w:rsidR="00764125">
              <w:rPr>
                <w:rFonts w:ascii="TimesNewRoman" w:hAnsi="TimesNewRoman" w:cs="TimesNewRoman"/>
                <w:sz w:val="20"/>
                <w:lang w:eastAsia="sk-SK"/>
              </w:rPr>
              <w:t xml:space="preserve"> </w:t>
            </w:r>
            <w:r w:rsidRPr="00FF785F">
              <w:rPr>
                <w:rFonts w:ascii="TimesNewRoman" w:hAnsi="TimesNewRoman" w:cs="TimesNewRoman"/>
                <w:sz w:val="20"/>
                <w:lang w:eastAsia="sk-SK"/>
              </w:rPr>
              <w:t xml:space="preserve">v oblasti </w:t>
            </w:r>
            <w:r w:rsidRPr="00FF785F">
              <w:rPr>
                <w:rFonts w:ascii="TimesNewRoman+01" w:hAnsi="TimesNewRoman+01" w:cs="TimesNewRoman+01"/>
                <w:sz w:val="20"/>
                <w:lang w:eastAsia="sk-SK"/>
              </w:rPr>
              <w:t>ž</w:t>
            </w:r>
            <w:r w:rsidRPr="00FF785F">
              <w:rPr>
                <w:rFonts w:ascii="TimesNewRoman" w:hAnsi="TimesNewRoman" w:cs="TimesNewRoman"/>
                <w:sz w:val="20"/>
                <w:lang w:eastAsia="sk-SK"/>
              </w:rPr>
              <w:t>ivotného prostredia vrátane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ov smernice Európskeho parlamentu a Rady 2000/60/ES z 23. októbra 2000, ktorou sa stanovuje rámec pôsobnosti pre opatrenia Spolo</w:t>
            </w:r>
            <w:r w:rsidRPr="00FF785F">
              <w:rPr>
                <w:rFonts w:ascii="TimesNewRoman+01" w:hAnsi="TimesNewRoman+01" w:cs="TimesNewRoman+01"/>
                <w:sz w:val="20"/>
                <w:lang w:eastAsia="sk-SK"/>
              </w:rPr>
              <w:t>č</w:t>
            </w:r>
            <w:r w:rsidRPr="00FF785F">
              <w:rPr>
                <w:rFonts w:ascii="TimesNewRoman" w:hAnsi="TimesNewRoman" w:cs="TimesNewRoman"/>
                <w:sz w:val="20"/>
                <w:lang w:eastAsia="sk-SK"/>
              </w:rPr>
              <w:t>enstva v oblasti vodného hospodárstva (</w:t>
            </w:r>
            <w:r w:rsidRPr="00FF785F">
              <w:rPr>
                <w:rFonts w:ascii="TimesNewRoman" w:hAnsi="TimesNewRoman" w:cs="TimesNewRoman"/>
                <w:sz w:val="20"/>
                <w:vertAlign w:val="superscript"/>
                <w:lang w:eastAsia="sk-SK"/>
              </w:rPr>
              <w:t>1</w:t>
            </w:r>
            <w:r w:rsidRPr="00FF785F">
              <w:rPr>
                <w:rFonts w:ascii="TimesNewRoman" w:hAnsi="TimesNewRoman" w:cs="TimesNewRoman"/>
                <w:sz w:val="20"/>
                <w:lang w:eastAsia="sk-SK"/>
              </w:rPr>
              <w:t>), a jej dcérskych smerníc;</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g) dôsledky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a zni</w:t>
            </w:r>
            <w:r w:rsidRPr="00FF785F">
              <w:rPr>
                <w:rFonts w:ascii="TimesNewRoman+01" w:hAnsi="TimesNewRoman+01" w:cs="TimesNewRoman+01"/>
                <w:sz w:val="20"/>
                <w:lang w:eastAsia="sk-SK"/>
              </w:rPr>
              <w:t>ž</w:t>
            </w:r>
            <w:r w:rsidRPr="00FF785F">
              <w:rPr>
                <w:rFonts w:ascii="TimesNewRoman" w:hAnsi="TimesNewRoman" w:cs="TimesNewRoman"/>
                <w:sz w:val="20"/>
                <w:lang w:eastAsia="sk-SK"/>
              </w:rPr>
              <w:t xml:space="preserve">ovania emisií skleníkových plynov stanoveného v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7a ods. 2 pre systém obchodovania s emisiami;</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 xml:space="preserve">h) prípadná potreba úprav </w:t>
            </w:r>
            <w:r w:rsidRPr="00FF785F">
              <w:rPr>
                <w:rFonts w:ascii="TimesNewRoman+01" w:hAnsi="TimesNewRoman+01" w:cs="TimesNewRoman+01"/>
                <w:sz w:val="20"/>
                <w:lang w:eastAsia="sk-SK"/>
              </w:rPr>
              <w:t>č</w:t>
            </w:r>
            <w:r w:rsidRPr="00FF785F">
              <w:rPr>
                <w:rFonts w:ascii="TimesNewRoman" w:hAnsi="TimesNewRoman" w:cs="TimesNewRoman"/>
                <w:sz w:val="20"/>
                <w:lang w:eastAsia="sk-SK"/>
              </w:rPr>
              <w:t xml:space="preserve">lánku 2 ods. 6, </w:t>
            </w:r>
            <w:r w:rsidRPr="00FF785F">
              <w:rPr>
                <w:rFonts w:ascii="TimesNewRoman+01" w:hAnsi="TimesNewRoman+01" w:cs="TimesNewRoman+01"/>
                <w:sz w:val="20"/>
                <w:lang w:eastAsia="sk-SK"/>
              </w:rPr>
              <w:t>č</w:t>
            </w:r>
            <w:r w:rsidRPr="00FF785F">
              <w:rPr>
                <w:rFonts w:ascii="TimesNewRoman" w:hAnsi="TimesNewRoman" w:cs="TimesNewRoman"/>
                <w:sz w:val="20"/>
                <w:lang w:eastAsia="sk-SK"/>
              </w:rPr>
              <w:t xml:space="preserve">lánku 2 ods. </w:t>
            </w:r>
            <w:smartTag w:uri="urn:schemas-microsoft-com:office:smarttags" w:element="metricconverter">
              <w:smartTagPr>
                <w:attr w:name="ProductID" w:val="7 a"/>
              </w:smartTagPr>
              <w:r w:rsidRPr="00FF785F">
                <w:rPr>
                  <w:rFonts w:ascii="TimesNewRoman" w:hAnsi="TimesNewRoman" w:cs="TimesNewRoman"/>
                  <w:sz w:val="20"/>
                  <w:lang w:eastAsia="sk-SK"/>
                </w:rPr>
                <w:t>7 a</w:t>
              </w:r>
            </w:smartTag>
            <w:r w:rsidRPr="00FF785F">
              <w:rPr>
                <w:rFonts w:ascii="TimesNewRoman" w:hAnsi="TimesNewRoman" w:cs="TimesNewRoman"/>
                <w:sz w:val="20"/>
                <w:lang w:eastAsia="sk-SK"/>
              </w:rPr>
              <w:t xml:space="preserve">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7a ods. 2 písm. b) s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om posúdi</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mo</w:t>
            </w:r>
            <w:r w:rsidRPr="00FF785F">
              <w:rPr>
                <w:rFonts w:ascii="TimesNewRoman+01" w:hAnsi="TimesNewRoman+01" w:cs="TimesNewRoman+01"/>
                <w:sz w:val="20"/>
                <w:lang w:eastAsia="sk-SK"/>
              </w:rPr>
              <w:t>ž</w:t>
            </w:r>
            <w:r w:rsidRPr="00FF785F">
              <w:rPr>
                <w:rFonts w:ascii="TimesNewRoman" w:hAnsi="TimesNewRoman" w:cs="TimesNewRoman"/>
                <w:sz w:val="20"/>
                <w:lang w:eastAsia="sk-SK"/>
              </w:rPr>
              <w:t>ný podiel na plnení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a zni</w:t>
            </w:r>
            <w:r w:rsidRPr="00FF785F">
              <w:rPr>
                <w:rFonts w:ascii="TimesNewRoman+01" w:hAnsi="TimesNewRoman+01" w:cs="TimesNewRoman+01"/>
                <w:sz w:val="20"/>
                <w:lang w:eastAsia="sk-SK"/>
              </w:rPr>
              <w:t>ž</w:t>
            </w:r>
            <w:r w:rsidRPr="00FF785F">
              <w:rPr>
                <w:rFonts w:ascii="TimesNewRoman" w:hAnsi="TimesNewRoman" w:cs="TimesNewRoman"/>
                <w:sz w:val="20"/>
                <w:lang w:eastAsia="sk-SK"/>
              </w:rPr>
              <w:t>ovania emisií skleníkových plynov do roku 2020 a</w:t>
            </w:r>
            <w:r w:rsidRPr="00FF785F">
              <w:rPr>
                <w:rFonts w:ascii="TimesNewRoman+01" w:hAnsi="TimesNewRoman+01" w:cs="TimesNewRoman+01"/>
                <w:sz w:val="20"/>
                <w:lang w:eastAsia="sk-SK"/>
              </w:rPr>
              <w:t xml:space="preserve">ž </w:t>
            </w:r>
            <w:r w:rsidRPr="00FF785F">
              <w:rPr>
                <w:rFonts w:ascii="TimesNewRoman" w:hAnsi="TimesNewRoman" w:cs="TimesNewRoman"/>
                <w:sz w:val="20"/>
                <w:lang w:eastAsia="sk-SK"/>
              </w:rPr>
              <w:t>o 10 %.</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Tieto úvahy sa zakladajú na mo</w:t>
            </w:r>
            <w:r w:rsidRPr="00FF785F">
              <w:rPr>
                <w:rFonts w:ascii="TimesNewRoman+01" w:hAnsi="TimesNewRoman+01" w:cs="TimesNewRoman+01"/>
                <w:sz w:val="20"/>
                <w:lang w:eastAsia="sk-SK"/>
              </w:rPr>
              <w:t>ž</w:t>
            </w:r>
            <w:r w:rsidRPr="00FF785F">
              <w:rPr>
                <w:rFonts w:ascii="TimesNewRoman" w:hAnsi="TimesNewRoman" w:cs="TimesNewRoman"/>
                <w:sz w:val="20"/>
                <w:lang w:eastAsia="sk-SK"/>
              </w:rPr>
              <w:t>nosti zní</w:t>
            </w:r>
            <w:r w:rsidRPr="00FF785F">
              <w:rPr>
                <w:rFonts w:ascii="TimesNewRoman+01" w:hAnsi="TimesNewRoman+01" w:cs="TimesNewRoman+01"/>
                <w:sz w:val="20"/>
                <w:lang w:eastAsia="sk-SK"/>
              </w:rPr>
              <w:t>ž</w:t>
            </w:r>
            <w:r w:rsidRPr="00FF785F">
              <w:rPr>
                <w:rFonts w:ascii="TimesNewRoman" w:hAnsi="TimesNewRoman" w:cs="TimesNewRoman"/>
                <w:sz w:val="20"/>
                <w:lang w:eastAsia="sk-SK"/>
              </w:rPr>
              <w:t>enia emisií skleníkových plynov po</w:t>
            </w:r>
            <w:r w:rsidRPr="00FF785F">
              <w:rPr>
                <w:rFonts w:ascii="TimesNewRoman+01" w:hAnsi="TimesNewRoman+01" w:cs="TimesNewRoman+01"/>
                <w:sz w:val="20"/>
                <w:lang w:eastAsia="sk-SK"/>
              </w:rPr>
              <w:t>č</w:t>
            </w:r>
            <w:r w:rsidRPr="00FF785F">
              <w:rPr>
                <w:rFonts w:ascii="TimesNewRoman" w:hAnsi="TimesNewRoman" w:cs="TimesNewRoman"/>
                <w:sz w:val="20"/>
                <w:lang w:eastAsia="sk-SK"/>
              </w:rPr>
              <w:t xml:space="preserve">as </w:t>
            </w:r>
            <w:r w:rsidRPr="00FF785F">
              <w:rPr>
                <w:rFonts w:ascii="TimesNewRoman+01" w:hAnsi="TimesNewRoman+01" w:cs="TimesNewRoman+01"/>
                <w:sz w:val="20"/>
                <w:lang w:eastAsia="sk-SK"/>
              </w:rPr>
              <w:t>ž</w:t>
            </w:r>
            <w:r w:rsidRPr="00FF785F">
              <w:rPr>
                <w:rFonts w:ascii="TimesNewRoman" w:hAnsi="TimesNewRoman" w:cs="TimesNewRoman"/>
                <w:sz w:val="20"/>
                <w:lang w:eastAsia="sk-SK"/>
              </w:rPr>
              <w:t>ivotného cyklu palív a energií v rámci Spolo</w:t>
            </w:r>
            <w:r w:rsidRPr="00FF785F">
              <w:rPr>
                <w:rFonts w:ascii="TimesNewRoman+01" w:hAnsi="TimesNewRoman+01" w:cs="TimesNewRoman+01"/>
                <w:sz w:val="20"/>
                <w:lang w:eastAsia="sk-SK"/>
              </w:rPr>
              <w:t>č</w:t>
            </w:r>
            <w:r w:rsidRPr="00FF785F">
              <w:rPr>
                <w:rFonts w:ascii="TimesNewRoman" w:hAnsi="TimesNewRoman" w:cs="TimesNewRoman"/>
                <w:sz w:val="20"/>
                <w:lang w:eastAsia="sk-SK"/>
              </w:rPr>
              <w:t>enstva, pri</w:t>
            </w:r>
            <w:r w:rsidRPr="00FF785F">
              <w:rPr>
                <w:rFonts w:ascii="TimesNewRoman+01" w:hAnsi="TimesNewRoman+01" w:cs="TimesNewRoman+01"/>
                <w:sz w:val="20"/>
                <w:lang w:eastAsia="sk-SK"/>
              </w:rPr>
              <w:t>č</w:t>
            </w:r>
            <w:r w:rsidRPr="00FF785F">
              <w:rPr>
                <w:rFonts w:ascii="TimesNewRoman" w:hAnsi="TimesNewRoman" w:cs="TimesNewRoman"/>
                <w:sz w:val="20"/>
                <w:lang w:eastAsia="sk-SK"/>
              </w:rPr>
              <w:t>om sa zoh</w:t>
            </w:r>
            <w:r w:rsidRPr="00FF785F">
              <w:rPr>
                <w:rFonts w:ascii="TimesNewRoman+01" w:hAnsi="TimesNewRoman+01" w:cs="TimesNewRoman+01"/>
                <w:sz w:val="20"/>
                <w:lang w:eastAsia="sk-SK"/>
              </w:rPr>
              <w:t>ľ</w:t>
            </w:r>
            <w:r w:rsidRPr="00FF785F">
              <w:rPr>
                <w:rFonts w:ascii="TimesNewRoman" w:hAnsi="TimesNewRoman" w:cs="TimesNewRoman"/>
                <w:sz w:val="20"/>
                <w:lang w:eastAsia="sk-SK"/>
              </w:rPr>
              <w:t>adní najmä akýko</w:t>
            </w:r>
            <w:r w:rsidRPr="00FF785F">
              <w:rPr>
                <w:rFonts w:ascii="TimesNewRoman+01" w:hAnsi="TimesNewRoman+01" w:cs="TimesNewRoman+01"/>
                <w:sz w:val="20"/>
                <w:lang w:eastAsia="sk-SK"/>
              </w:rPr>
              <w:t>ľ</w:t>
            </w:r>
            <w:r w:rsidRPr="00FF785F">
              <w:rPr>
                <w:rFonts w:ascii="TimesNewRoman" w:hAnsi="TimesNewRoman" w:cs="TimesNewRoman"/>
                <w:sz w:val="20"/>
                <w:lang w:eastAsia="sk-SK"/>
              </w:rPr>
              <w:t>vek pokrok v oblasti technológií zachytávania a uskladnenia uhlíka spôsobom, ktorý je bezpe</w:t>
            </w:r>
            <w:r w:rsidRPr="00FF785F">
              <w:rPr>
                <w:rFonts w:ascii="TimesNewRoman+01" w:hAnsi="TimesNewRoman+01" w:cs="TimesNewRoman+01"/>
                <w:sz w:val="20"/>
                <w:lang w:eastAsia="sk-SK"/>
              </w:rPr>
              <w:t>č</w:t>
            </w:r>
            <w:r w:rsidRPr="00FF785F">
              <w:rPr>
                <w:rFonts w:ascii="TimesNewRoman" w:hAnsi="TimesNewRoman" w:cs="TimesNewRoman"/>
                <w:sz w:val="20"/>
                <w:lang w:eastAsia="sk-SK"/>
              </w:rPr>
              <w:t xml:space="preserve">ný pre </w:t>
            </w:r>
            <w:r w:rsidRPr="00FF785F">
              <w:rPr>
                <w:rFonts w:ascii="TimesNewRoman+01" w:hAnsi="TimesNewRoman+01" w:cs="TimesNewRoman+01"/>
                <w:sz w:val="20"/>
                <w:lang w:eastAsia="sk-SK"/>
              </w:rPr>
              <w:t>ž</w:t>
            </w:r>
            <w:r w:rsidRPr="00FF785F">
              <w:rPr>
                <w:rFonts w:ascii="TimesNewRoman" w:hAnsi="TimesNewRoman" w:cs="TimesNewRoman"/>
                <w:sz w:val="20"/>
                <w:lang w:eastAsia="sk-SK"/>
              </w:rPr>
              <w:t>ivotné prostredie, a pokrok v oblasti elektrických cestných vozidiel, ako aj nákladová ú</w:t>
            </w:r>
            <w:r w:rsidRPr="00FF785F">
              <w:rPr>
                <w:rFonts w:ascii="TimesNewRoman+01" w:hAnsi="TimesNewRoman+01" w:cs="TimesNewRoman+01"/>
                <w:sz w:val="20"/>
                <w:lang w:eastAsia="sk-SK"/>
              </w:rPr>
              <w:t>č</w:t>
            </w:r>
            <w:r w:rsidRPr="00FF785F">
              <w:rPr>
                <w:rFonts w:ascii="TimesNewRoman" w:hAnsi="TimesNewRoman" w:cs="TimesNewRoman"/>
                <w:sz w:val="20"/>
                <w:lang w:eastAsia="sk-SK"/>
              </w:rPr>
              <w:t>innos</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prostriedkov na zni</w:t>
            </w:r>
            <w:r w:rsidRPr="00FF785F">
              <w:rPr>
                <w:rFonts w:ascii="TimesNewRoman+01" w:hAnsi="TimesNewRoman+01" w:cs="TimesNewRoman+01"/>
                <w:sz w:val="20"/>
                <w:lang w:eastAsia="sk-SK"/>
              </w:rPr>
              <w:t>ž</w:t>
            </w:r>
            <w:r w:rsidRPr="00FF785F">
              <w:rPr>
                <w:rFonts w:ascii="TimesNewRoman" w:hAnsi="TimesNewRoman" w:cs="TimesNewRoman"/>
                <w:sz w:val="20"/>
                <w:lang w:eastAsia="sk-SK"/>
              </w:rPr>
              <w:t>ovanie týchto emisií pod</w:t>
            </w:r>
            <w:r w:rsidRPr="00FF785F">
              <w:rPr>
                <w:rFonts w:ascii="TimesNewRoman+01" w:hAnsi="TimesNewRoman+01" w:cs="TimesNewRoman+01"/>
                <w:sz w:val="20"/>
                <w:lang w:eastAsia="sk-SK"/>
              </w:rPr>
              <w:t>ľ</w:t>
            </w:r>
            <w:r w:rsidRPr="00FF785F">
              <w:rPr>
                <w:rFonts w:ascii="TimesNewRoman" w:hAnsi="TimesNewRoman" w:cs="TimesNewRoman"/>
                <w:sz w:val="20"/>
                <w:lang w:eastAsia="sk-SK"/>
              </w:rPr>
              <w:t xml:space="preserve">a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7a ods. 2 písm. b);</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i) mo</w:t>
            </w:r>
            <w:r w:rsidRPr="00FF785F">
              <w:rPr>
                <w:rFonts w:ascii="TimesNewRoman+01" w:hAnsi="TimesNewRoman+01" w:cs="TimesNewRoman+01"/>
                <w:sz w:val="20"/>
                <w:lang w:eastAsia="sk-SK"/>
              </w:rPr>
              <w:t>ž</w:t>
            </w:r>
            <w:r w:rsidRPr="00FF785F">
              <w:rPr>
                <w:rFonts w:ascii="TimesNewRoman" w:hAnsi="TimesNewRoman" w:cs="TimesNewRoman"/>
                <w:sz w:val="20"/>
                <w:lang w:eastAsia="sk-SK"/>
              </w:rPr>
              <w:t>nos</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zavedenia dodato</w:t>
            </w:r>
            <w:r w:rsidRPr="00FF785F">
              <w:rPr>
                <w:rFonts w:ascii="TimesNewRoman+01" w:hAnsi="TimesNewRoman+01" w:cs="TimesNewRoman+01"/>
                <w:sz w:val="20"/>
                <w:lang w:eastAsia="sk-SK"/>
              </w:rPr>
              <w:t>č</w:t>
            </w:r>
            <w:r w:rsidRPr="00FF785F">
              <w:rPr>
                <w:rFonts w:ascii="TimesNewRoman" w:hAnsi="TimesNewRoman" w:cs="TimesNewRoman"/>
                <w:sz w:val="20"/>
                <w:lang w:eastAsia="sk-SK"/>
              </w:rPr>
              <w:t>ných opatrení pre dodávate</w:t>
            </w:r>
            <w:r w:rsidRPr="00FF785F">
              <w:rPr>
                <w:rFonts w:ascii="TimesNewRoman+01" w:hAnsi="TimesNewRoman+01" w:cs="TimesNewRoman+01"/>
                <w:sz w:val="20"/>
                <w:lang w:eastAsia="sk-SK"/>
              </w:rPr>
              <w:t>ľ</w:t>
            </w:r>
            <w:r w:rsidRPr="00FF785F">
              <w:rPr>
                <w:rFonts w:ascii="TimesNewRoman" w:hAnsi="TimesNewRoman" w:cs="TimesNewRoman"/>
                <w:sz w:val="20"/>
                <w:lang w:eastAsia="sk-SK"/>
              </w:rPr>
              <w:t>ov s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om zní</w:t>
            </w:r>
            <w:r w:rsidRPr="00FF785F">
              <w:rPr>
                <w:rFonts w:ascii="TimesNewRoman+01" w:hAnsi="TimesNewRoman+01" w:cs="TimesNewRoman+01"/>
                <w:sz w:val="20"/>
                <w:lang w:eastAsia="sk-SK"/>
              </w:rPr>
              <w:t>ž</w:t>
            </w:r>
            <w:r w:rsidRPr="00FF785F">
              <w:rPr>
                <w:rFonts w:ascii="TimesNewRoman" w:hAnsi="TimesNewRoman" w:cs="TimesNewRoman"/>
                <w:sz w:val="20"/>
                <w:lang w:eastAsia="sk-SK"/>
              </w:rPr>
              <w:t>i</w:t>
            </w:r>
            <w:r w:rsidRPr="00FF785F">
              <w:rPr>
                <w:rFonts w:ascii="TimesNewRoman+01" w:hAnsi="TimesNewRoman+01" w:cs="TimesNewRoman+01"/>
                <w:sz w:val="20"/>
                <w:lang w:eastAsia="sk-SK"/>
              </w:rPr>
              <w:t xml:space="preserve">ť </w:t>
            </w:r>
            <w:r w:rsidRPr="00FF785F">
              <w:rPr>
                <w:rFonts w:ascii="TimesNewRoman" w:hAnsi="TimesNewRoman" w:cs="TimesNewRoman"/>
                <w:sz w:val="20"/>
                <w:lang w:eastAsia="sk-SK"/>
              </w:rPr>
              <w:t>emisie skleníkových plynov po</w:t>
            </w:r>
            <w:r w:rsidRPr="00FF785F">
              <w:rPr>
                <w:rFonts w:ascii="TimesNewRoman+01" w:hAnsi="TimesNewRoman+01" w:cs="TimesNewRoman+01"/>
                <w:sz w:val="20"/>
                <w:lang w:eastAsia="sk-SK"/>
              </w:rPr>
              <w:t>č</w:t>
            </w:r>
            <w:r w:rsidRPr="00FF785F">
              <w:rPr>
                <w:rFonts w:ascii="TimesNewRoman" w:hAnsi="TimesNewRoman" w:cs="TimesNewRoman"/>
                <w:sz w:val="20"/>
                <w:lang w:eastAsia="sk-SK"/>
              </w:rPr>
              <w:t xml:space="preserve">as </w:t>
            </w:r>
            <w:r w:rsidRPr="00FF785F">
              <w:rPr>
                <w:rFonts w:ascii="TimesNewRoman+01" w:hAnsi="TimesNewRoman+01" w:cs="TimesNewRoman+01"/>
                <w:sz w:val="20"/>
                <w:lang w:eastAsia="sk-SK"/>
              </w:rPr>
              <w:t>ž</w:t>
            </w:r>
            <w:r w:rsidRPr="00FF785F">
              <w:rPr>
                <w:rFonts w:ascii="TimesNewRoman" w:hAnsi="TimesNewRoman" w:cs="TimesNewRoman"/>
                <w:sz w:val="20"/>
                <w:lang w:eastAsia="sk-SK"/>
              </w:rPr>
              <w:t>ivotného cyklu na jednotku energie o 2 % v porovnaní so základnou normou pre palivá pod</w:t>
            </w:r>
            <w:r w:rsidRPr="00FF785F">
              <w:rPr>
                <w:rFonts w:ascii="TimesNewRoman+01" w:hAnsi="TimesNewRoman+01" w:cs="TimesNewRoman+01"/>
                <w:sz w:val="20"/>
                <w:lang w:eastAsia="sk-SK"/>
              </w:rPr>
              <w:t>ľ</w:t>
            </w:r>
            <w:r w:rsidRPr="00FF785F">
              <w:rPr>
                <w:rFonts w:ascii="TimesNewRoman" w:hAnsi="TimesNewRoman" w:cs="TimesNewRoman"/>
                <w:sz w:val="20"/>
                <w:lang w:eastAsia="sk-SK"/>
              </w:rPr>
              <w:t xml:space="preserve">a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7a ods. 5 písm. b) pou</w:t>
            </w:r>
            <w:r w:rsidRPr="00FF785F">
              <w:rPr>
                <w:rFonts w:ascii="TimesNewRoman+01" w:hAnsi="TimesNewRoman+01" w:cs="TimesNewRoman+01"/>
                <w:sz w:val="20"/>
                <w:lang w:eastAsia="sk-SK"/>
              </w:rPr>
              <w:t>ž</w:t>
            </w:r>
            <w:r w:rsidRPr="00FF785F">
              <w:rPr>
                <w:rFonts w:ascii="TimesNewRoman" w:hAnsi="TimesNewRoman" w:cs="TimesNewRoman"/>
                <w:sz w:val="20"/>
                <w:lang w:eastAsia="sk-SK"/>
              </w:rPr>
              <w:t xml:space="preserve">itím kreditov zakúpených prostredníctvom mechanizmu </w:t>
            </w:r>
            <w:r w:rsidRPr="00FF785F">
              <w:rPr>
                <w:rFonts w:ascii="TimesNewRoman+01" w:hAnsi="TimesNewRoman+01" w:cs="TimesNewRoman+01"/>
                <w:sz w:val="20"/>
                <w:lang w:eastAsia="sk-SK"/>
              </w:rPr>
              <w:t>č</w:t>
            </w:r>
            <w:r w:rsidRPr="00FF785F">
              <w:rPr>
                <w:rFonts w:ascii="TimesNewRoman" w:hAnsi="TimesNewRoman" w:cs="TimesNewRoman"/>
                <w:sz w:val="20"/>
                <w:lang w:eastAsia="sk-SK"/>
              </w:rPr>
              <w:t>istého rozvoja v rámci Kjótskeho protokolu za podmienok uvedených v smernici 2003/87/ES, aby bolo mo</w:t>
            </w:r>
            <w:r w:rsidRPr="00FF785F">
              <w:rPr>
                <w:rFonts w:ascii="TimesNewRoman+01" w:hAnsi="TimesNewRoman+01" w:cs="TimesNewRoman+01"/>
                <w:sz w:val="20"/>
                <w:lang w:eastAsia="sk-SK"/>
              </w:rPr>
              <w:t>ž</w:t>
            </w:r>
            <w:r w:rsidRPr="00FF785F">
              <w:rPr>
                <w:rFonts w:ascii="TimesNewRoman" w:hAnsi="TimesNewRoman" w:cs="TimesNewRoman"/>
                <w:sz w:val="20"/>
                <w:lang w:eastAsia="sk-SK"/>
              </w:rPr>
              <w:t>né posúdi</w:t>
            </w:r>
            <w:r w:rsidRPr="00FF785F">
              <w:rPr>
                <w:rFonts w:ascii="TimesNewRoman+01" w:hAnsi="TimesNewRoman+01" w:cs="TimesNewRoman+01"/>
                <w:sz w:val="20"/>
                <w:lang w:eastAsia="sk-SK"/>
              </w:rPr>
              <w:t>ť ď</w:t>
            </w:r>
            <w:r w:rsidRPr="00FF785F">
              <w:rPr>
                <w:rFonts w:ascii="TimesNewRoman" w:hAnsi="TimesNewRoman" w:cs="TimesNewRoman"/>
                <w:sz w:val="20"/>
                <w:lang w:eastAsia="sk-SK"/>
              </w:rPr>
              <w:t>al</w:t>
            </w:r>
            <w:r w:rsidRPr="00FF785F">
              <w:rPr>
                <w:rFonts w:ascii="TimesNewRoman+01" w:hAnsi="TimesNewRoman+01" w:cs="TimesNewRoman+01"/>
                <w:sz w:val="20"/>
                <w:lang w:eastAsia="sk-SK"/>
              </w:rPr>
              <w:t>š</w:t>
            </w:r>
            <w:r w:rsidRPr="00FF785F">
              <w:rPr>
                <w:rFonts w:ascii="TimesNewRoman" w:hAnsi="TimesNewRoman" w:cs="TimesNewRoman"/>
                <w:sz w:val="20"/>
                <w:lang w:eastAsia="sk-SK"/>
              </w:rPr>
              <w:t>í mo</w:t>
            </w:r>
            <w:r w:rsidRPr="00FF785F">
              <w:rPr>
                <w:rFonts w:ascii="TimesNewRoman+01" w:hAnsi="TimesNewRoman+01" w:cs="TimesNewRoman+01"/>
                <w:sz w:val="20"/>
                <w:lang w:eastAsia="sk-SK"/>
              </w:rPr>
              <w:t>ž</w:t>
            </w:r>
            <w:r w:rsidRPr="00FF785F">
              <w:rPr>
                <w:rFonts w:ascii="TimesNewRoman" w:hAnsi="TimesNewRoman" w:cs="TimesNewRoman"/>
                <w:sz w:val="20"/>
                <w:lang w:eastAsia="sk-SK"/>
              </w:rPr>
              <w:t>ný podiel na plnení cie</w:t>
            </w:r>
            <w:r w:rsidRPr="00FF785F">
              <w:rPr>
                <w:rFonts w:ascii="TimesNewRoman+01" w:hAnsi="TimesNewRoman+01" w:cs="TimesNewRoman+01"/>
                <w:sz w:val="20"/>
                <w:lang w:eastAsia="sk-SK"/>
              </w:rPr>
              <w:t>ľ</w:t>
            </w:r>
            <w:r w:rsidRPr="00FF785F">
              <w:rPr>
                <w:rFonts w:ascii="TimesNewRoman" w:hAnsi="TimesNewRoman" w:cs="TimesNewRoman"/>
                <w:sz w:val="20"/>
                <w:lang w:eastAsia="sk-SK"/>
              </w:rPr>
              <w:t>a zni</w:t>
            </w:r>
            <w:r w:rsidRPr="00FF785F">
              <w:rPr>
                <w:rFonts w:ascii="TimesNewRoman+01" w:hAnsi="TimesNewRoman+01" w:cs="TimesNewRoman+01"/>
                <w:sz w:val="20"/>
                <w:lang w:eastAsia="sk-SK"/>
              </w:rPr>
              <w:t>ž</w:t>
            </w:r>
            <w:r w:rsidRPr="00FF785F">
              <w:rPr>
                <w:rFonts w:ascii="TimesNewRoman" w:hAnsi="TimesNewRoman" w:cs="TimesNewRoman"/>
                <w:sz w:val="20"/>
                <w:lang w:eastAsia="sk-SK"/>
              </w:rPr>
              <w:t>ovania emisií skleníkových plynov do roku 2020 a</w:t>
            </w:r>
            <w:r w:rsidRPr="00FF785F">
              <w:rPr>
                <w:rFonts w:ascii="TimesNewRoman+01" w:hAnsi="TimesNewRoman+01" w:cs="TimesNewRoman+01"/>
                <w:sz w:val="20"/>
                <w:lang w:eastAsia="sk-SK"/>
              </w:rPr>
              <w:t xml:space="preserve">ž </w:t>
            </w:r>
            <w:r w:rsidRPr="00FF785F">
              <w:rPr>
                <w:rFonts w:ascii="TimesNewRoman" w:hAnsi="TimesNewRoman" w:cs="TimesNewRoman"/>
                <w:sz w:val="20"/>
                <w:lang w:eastAsia="sk-SK"/>
              </w:rPr>
              <w:t>o 10 % pod</w:t>
            </w:r>
            <w:r w:rsidRPr="00FF785F">
              <w:rPr>
                <w:rFonts w:ascii="TimesNewRoman+01" w:hAnsi="TimesNewRoman+01" w:cs="TimesNewRoman+01"/>
                <w:sz w:val="20"/>
                <w:lang w:eastAsia="sk-SK"/>
              </w:rPr>
              <w:t>ľ</w:t>
            </w:r>
            <w:r w:rsidRPr="00FF785F">
              <w:rPr>
                <w:rFonts w:ascii="TimesNewRoman" w:hAnsi="TimesNewRoman" w:cs="TimesNewRoman"/>
                <w:sz w:val="20"/>
                <w:lang w:eastAsia="sk-SK"/>
              </w:rPr>
              <w:t xml:space="preserve">a </w:t>
            </w:r>
            <w:r w:rsidRPr="00FF785F">
              <w:rPr>
                <w:rFonts w:ascii="TimesNewRoman+01" w:hAnsi="TimesNewRoman+01" w:cs="TimesNewRoman+01"/>
                <w:sz w:val="20"/>
                <w:lang w:eastAsia="sk-SK"/>
              </w:rPr>
              <w:t>č</w:t>
            </w:r>
            <w:r w:rsidRPr="00FF785F">
              <w:rPr>
                <w:rFonts w:ascii="TimesNewRoman" w:hAnsi="TimesNewRoman" w:cs="TimesNewRoman"/>
                <w:sz w:val="20"/>
                <w:lang w:eastAsia="sk-SK"/>
              </w:rPr>
              <w:t>lánku 7a ods. 2 písm. c) tejto smernice;</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j) aktualizovanú analýzu nákladov a prínosov a vplyvu zní</w:t>
            </w:r>
            <w:r w:rsidRPr="00FF785F">
              <w:rPr>
                <w:rFonts w:ascii="TimesNewRoman+01" w:hAnsi="TimesNewRoman+01" w:cs="TimesNewRoman+01"/>
                <w:sz w:val="20"/>
                <w:lang w:eastAsia="sk-SK"/>
              </w:rPr>
              <w:t>ž</w:t>
            </w:r>
            <w:r w:rsidRPr="00FF785F">
              <w:rPr>
                <w:rFonts w:ascii="TimesNewRoman" w:hAnsi="TimesNewRoman" w:cs="TimesNewRoman"/>
                <w:sz w:val="20"/>
                <w:lang w:eastAsia="sk-SK"/>
              </w:rPr>
              <w:t>enia maximálneho povoleného tlaku pár benzínu v letnom období pod 60 kPa.</w:t>
            </w:r>
          </w:p>
          <w:p w:rsidR="00764125"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k) spôsoby výroby, objemy a životný cyklus emisií skleníkových plynov na jednotku energie vrátane predbežných stredných hodnôt odhadovaných emisií vyplývajúcich z nepriamej zmeny využívania pôdy a súvisiace rozpätie odvodené od analýzy citlivosti uvedených v prílohe V týkajúce sa biopalív spotrebovaných v Únii. Komisia zverejní údaje o predbežných stredných hodnotách odhadovaných emisií vyplývajúcich z nepriamej zmeny využívania pôdy a súvisiace rozpätie odvodené od analýzy citlivosti.</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spacing w:before="0"/>
            </w:pPr>
          </w:p>
        </w:tc>
        <w:tc>
          <w:tcPr>
            <w:tcW w:w="4110" w:type="dxa"/>
            <w:tcBorders>
              <w:top w:val="single" w:sz="4" w:space="0" w:color="auto"/>
              <w:bottom w:val="single" w:sz="4" w:space="0" w:color="auto"/>
            </w:tcBorders>
          </w:tcPr>
          <w:p w:rsidR="00C751EE" w:rsidRPr="00A755D5" w:rsidP="00C751EE">
            <w:pPr>
              <w:pStyle w:val="BodyText20"/>
              <w:ind w:left="0" w:firstLine="0"/>
              <w:rPr>
                <w:sz w:val="20"/>
                <w:highlight w:val="yellow"/>
                <w:lang w:eastAsia="sk-SK"/>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1975"/>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Č9</w:t>
            </w:r>
          </w:p>
          <w:p w:rsidR="00C751EE" w:rsidRPr="00F74B61" w:rsidP="00C751EE">
            <w:pPr>
              <w:jc w:val="both"/>
              <w:rPr>
                <w:sz w:val="20"/>
              </w:rPr>
            </w:pPr>
            <w:r w:rsidRPr="00F74B61">
              <w:rPr>
                <w:sz w:val="20"/>
              </w:rPr>
              <w:t>O2</w:t>
            </w:r>
          </w:p>
        </w:tc>
        <w:tc>
          <w:tcPr>
            <w:tcW w:w="5245" w:type="dxa"/>
            <w:tcBorders>
              <w:top w:val="single" w:sz="4" w:space="0" w:color="auto"/>
              <w:bottom w:val="single" w:sz="4" w:space="0" w:color="auto"/>
            </w:tcBorders>
          </w:tcPr>
          <w:p w:rsidR="00764125" w:rsidP="00C751EE">
            <w:pPr>
              <w:autoSpaceDE w:val="0"/>
              <w:autoSpaceDN w:val="0"/>
              <w:adjustRightInd w:val="0"/>
              <w:jc w:val="both"/>
              <w:rPr>
                <w:rFonts w:ascii="TimesNewRoman" w:hAnsi="TimesNewRoman" w:cs="TimesNewRoman"/>
                <w:sz w:val="20"/>
                <w:lang w:eastAsia="sk-SK"/>
              </w:rPr>
            </w:pPr>
            <w:r w:rsidRPr="00F74B61" w:rsidR="00C751EE">
              <w:rPr>
                <w:rFonts w:ascii="TimesNewRoman" w:hAnsi="TimesNewRoman" w:cs="TimesNewRoman"/>
                <w:sz w:val="20"/>
                <w:lang w:eastAsia="sk-SK"/>
              </w:rPr>
              <w:t>2. Komisia najneskôr v roku 2014 predlo</w:t>
            </w:r>
            <w:r w:rsidRPr="00F74B61" w:rsidR="00C751EE">
              <w:rPr>
                <w:rFonts w:ascii="TimesNewRoman+01" w:hAnsi="TimesNewRoman+01" w:cs="TimesNewRoman+01"/>
                <w:sz w:val="20"/>
                <w:lang w:eastAsia="sk-SK"/>
              </w:rPr>
              <w:t>ž</w:t>
            </w:r>
            <w:r w:rsidRPr="00F74B61" w:rsidR="00C751EE">
              <w:rPr>
                <w:rFonts w:ascii="TimesNewRoman" w:hAnsi="TimesNewRoman" w:cs="TimesNewRoman"/>
                <w:sz w:val="20"/>
                <w:lang w:eastAsia="sk-SK"/>
              </w:rPr>
              <w:t>í Európskemu parlamentu a Rade správu o výsledkoch dosiahnutých v oblasti plnenia cie</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ovej hodnoty emisií skleníkových plynov na rok 2020 pod</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 xml:space="preserve">a </w:t>
            </w:r>
            <w:r w:rsidRPr="00F74B61" w:rsidR="00C751EE">
              <w:rPr>
                <w:rFonts w:ascii="TimesNewRoman+01" w:hAnsi="TimesNewRoman+01" w:cs="TimesNewRoman+01"/>
                <w:sz w:val="20"/>
                <w:lang w:eastAsia="sk-SK"/>
              </w:rPr>
              <w:t>č</w:t>
            </w:r>
            <w:r w:rsidRPr="00F74B61" w:rsidR="00C751EE">
              <w:rPr>
                <w:rFonts w:ascii="TimesNewRoman" w:hAnsi="TimesNewRoman" w:cs="TimesNewRoman"/>
                <w:sz w:val="20"/>
                <w:lang w:eastAsia="sk-SK"/>
              </w:rPr>
              <w:t>lánku7a, pri</w:t>
            </w:r>
            <w:r w:rsidRPr="00F74B61" w:rsidR="00C751EE">
              <w:rPr>
                <w:rFonts w:ascii="TimesNewRoman+01" w:hAnsi="TimesNewRoman+01" w:cs="TimesNewRoman+01"/>
                <w:sz w:val="20"/>
                <w:lang w:eastAsia="sk-SK"/>
              </w:rPr>
              <w:t>č</w:t>
            </w:r>
            <w:r w:rsidRPr="00F74B61" w:rsidR="00C751EE">
              <w:rPr>
                <w:rFonts w:ascii="TimesNewRoman" w:hAnsi="TimesNewRoman" w:cs="TimesNewRoman"/>
                <w:sz w:val="20"/>
                <w:lang w:eastAsia="sk-SK"/>
              </w:rPr>
              <w:t>om zoh</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adní potrebu súladu tohto cie</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a s cie</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 xml:space="preserve">om uvedeným v </w:t>
            </w:r>
            <w:r w:rsidRPr="00F74B61" w:rsidR="00C751EE">
              <w:rPr>
                <w:rFonts w:ascii="TimesNewRoman+01" w:hAnsi="TimesNewRoman+01" w:cs="TimesNewRoman+01"/>
                <w:sz w:val="20"/>
                <w:lang w:eastAsia="sk-SK"/>
              </w:rPr>
              <w:t>č</w:t>
            </w:r>
            <w:r w:rsidRPr="00F74B61" w:rsidR="00C751EE">
              <w:rPr>
                <w:rFonts w:ascii="TimesNewRoman" w:hAnsi="TimesNewRoman" w:cs="TimesNewRoman"/>
                <w:sz w:val="20"/>
                <w:lang w:eastAsia="sk-SK"/>
              </w:rPr>
              <w:t>lánku 3 ods. 3 smernice 2009/28/ES v súvislosti s podielom energie z obnovite</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ných zdrojov v doprave vzh</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adom na správy pod</w:t>
            </w:r>
            <w:r w:rsidRPr="00F74B61" w:rsidR="00C751EE">
              <w:rPr>
                <w:rFonts w:ascii="TimesNewRoman+01" w:hAnsi="TimesNewRoman+01" w:cs="TimesNewRoman+01"/>
                <w:sz w:val="20"/>
                <w:lang w:eastAsia="sk-SK"/>
              </w:rPr>
              <w:t>ľ</w:t>
            </w:r>
            <w:r w:rsidRPr="00F74B61" w:rsidR="00C751EE">
              <w:rPr>
                <w:rFonts w:ascii="TimesNewRoman" w:hAnsi="TimesNewRoman" w:cs="TimesNewRoman"/>
                <w:sz w:val="20"/>
                <w:lang w:eastAsia="sk-SK"/>
              </w:rPr>
              <w:t xml:space="preserve">a </w:t>
            </w:r>
            <w:r w:rsidRPr="00F74B61" w:rsidR="00C751EE">
              <w:rPr>
                <w:rFonts w:ascii="TimesNewRoman+01" w:hAnsi="TimesNewRoman+01" w:cs="TimesNewRoman+01"/>
                <w:sz w:val="20"/>
                <w:lang w:eastAsia="sk-SK"/>
              </w:rPr>
              <w:t>č</w:t>
            </w:r>
            <w:r w:rsidRPr="00F74B61" w:rsidR="00C751EE">
              <w:rPr>
                <w:rFonts w:ascii="TimesNewRoman" w:hAnsi="TimesNewRoman" w:cs="TimesNewRoman"/>
                <w:sz w:val="20"/>
                <w:lang w:eastAsia="sk-SK"/>
              </w:rPr>
              <w:t xml:space="preserve">lánku 23 ods. </w:t>
            </w:r>
            <w:smartTag w:uri="urn:schemas-microsoft-com:office:smarttags" w:element="metricconverter">
              <w:smartTagPr>
                <w:attr w:name="ProductID" w:val="8 a"/>
              </w:smartTagPr>
              <w:r w:rsidRPr="00F74B61" w:rsidR="00C751EE">
                <w:rPr>
                  <w:rFonts w:ascii="TimesNewRoman" w:hAnsi="TimesNewRoman" w:cs="TimesNewRoman"/>
                  <w:sz w:val="20"/>
                  <w:lang w:eastAsia="sk-SK"/>
                </w:rPr>
                <w:t>8 a</w:t>
              </w:r>
            </w:smartTag>
            <w:r w:rsidRPr="00F74B61" w:rsidR="00C751EE">
              <w:rPr>
                <w:rFonts w:ascii="TimesNewRoman" w:hAnsi="TimesNewRoman" w:cs="TimesNewRoman"/>
                <w:sz w:val="20"/>
                <w:lang w:eastAsia="sk-SK"/>
              </w:rPr>
              <w:t xml:space="preserve"> 9 tejto smernice. </w:t>
            </w:r>
          </w:p>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V prípade potreby Komisia správu doplní návrhom na zmenu cie</w:t>
            </w:r>
            <w:r w:rsidRPr="00F74B61">
              <w:rPr>
                <w:rFonts w:ascii="TimesNewRoman+01" w:hAnsi="TimesNewRoman+01" w:cs="TimesNewRoman+01"/>
                <w:sz w:val="20"/>
                <w:lang w:eastAsia="sk-SK"/>
              </w:rPr>
              <w:t>ľ</w:t>
            </w:r>
            <w:r w:rsidRPr="00F74B61">
              <w:rPr>
                <w:rFonts w:ascii="TimesNewRoman" w:hAnsi="TimesNewRoman" w:cs="TimesNewRoman"/>
                <w:sz w:val="20"/>
                <w:lang w:eastAsia="sk-SK"/>
              </w:rPr>
              <w:t>a.</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p w:rsidR="00C751EE" w:rsidRPr="00F74B61" w:rsidP="00C751EE">
            <w:pPr>
              <w:jc w:val="both"/>
              <w:rPr>
                <w:sz w:val="20"/>
              </w:rPr>
            </w:pPr>
          </w:p>
          <w:p w:rsidR="00C751EE" w:rsidRPr="00F74B61" w:rsidP="00C751EE">
            <w:pPr>
              <w:jc w:val="both"/>
              <w:rPr>
                <w:sz w:val="20"/>
              </w:rPr>
            </w:pP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70"/>
        </w:trPr>
        <w:tc>
          <w:tcPr>
            <w:tcW w:w="637" w:type="dxa"/>
            <w:tcBorders>
              <w:top w:val="single" w:sz="4" w:space="0" w:color="auto"/>
              <w:bottom w:val="single" w:sz="4" w:space="0" w:color="auto"/>
            </w:tcBorders>
          </w:tcPr>
          <w:p w:rsidR="00822E53" w:rsidRPr="00F74B61" w:rsidP="00822E53">
            <w:pPr>
              <w:jc w:val="both"/>
              <w:rPr>
                <w:sz w:val="20"/>
              </w:rPr>
            </w:pPr>
            <w:r w:rsidRPr="00F74B61">
              <w:rPr>
                <w:sz w:val="20"/>
              </w:rPr>
              <w:t>9a</w:t>
            </w:r>
          </w:p>
        </w:tc>
        <w:tc>
          <w:tcPr>
            <w:tcW w:w="5245" w:type="dxa"/>
            <w:tcBorders>
              <w:top w:val="single" w:sz="4" w:space="0" w:color="auto"/>
              <w:bottom w:val="single" w:sz="4" w:space="0" w:color="auto"/>
            </w:tcBorders>
          </w:tcPr>
          <w:p w:rsidR="00822E53" w:rsidRPr="00822E53" w:rsidP="00822E53">
            <w:pPr>
              <w:pStyle w:val="Heading8"/>
              <w:jc w:val="both"/>
              <w:rPr>
                <w:rFonts w:ascii="TimesNewRoman" w:hAnsi="TimesNewRoman" w:cs="TimesNewRoman"/>
                <w:i w:val="0"/>
                <w:iCs w:val="0"/>
                <w:lang w:eastAsia="sk-SK"/>
              </w:rPr>
            </w:pPr>
            <w:r w:rsidRPr="00822E53">
              <w:rPr>
                <w:rFonts w:ascii="TimesNewRoman" w:hAnsi="TimesNewRoman" w:cs="TimesNewRoman"/>
                <w:i w:val="0"/>
                <w:iCs w:val="0"/>
                <w:lang w:eastAsia="sk-SK"/>
              </w:rPr>
              <w:t>Článok 9a</w:t>
            </w:r>
          </w:p>
          <w:p w:rsidR="00822E53" w:rsidRPr="00822E53" w:rsidP="00822E53">
            <w:pPr>
              <w:pStyle w:val="Heading2"/>
              <w:jc w:val="both"/>
              <w:rPr>
                <w:rFonts w:ascii="TimesNewRoman" w:hAnsi="TimesNewRoman" w:cs="TimesNewRoman"/>
                <w:b w:val="0"/>
                <w:spacing w:val="0"/>
                <w:sz w:val="20"/>
                <w:lang w:eastAsia="sk-SK"/>
              </w:rPr>
            </w:pPr>
            <w:r w:rsidRPr="00822E53">
              <w:rPr>
                <w:rFonts w:ascii="TimesNewRoman" w:hAnsi="TimesNewRoman" w:cs="TimesNewRoman"/>
                <w:b w:val="0"/>
                <w:spacing w:val="0"/>
                <w:sz w:val="20"/>
                <w:lang w:eastAsia="sk-SK"/>
              </w:rPr>
              <w:t>Pokuty</w:t>
            </w:r>
          </w:p>
          <w:p w:rsidR="00822E53" w:rsidRPr="00822E53" w:rsidP="00822E53">
            <w:pPr>
              <w:pStyle w:val="Heading7"/>
              <w:ind w:left="0"/>
              <w:rPr>
                <w:b w:val="0"/>
                <w:i w:val="0"/>
                <w:sz w:val="20"/>
              </w:rPr>
            </w:pPr>
            <w:r w:rsidRPr="00822E53">
              <w:rPr>
                <w:rFonts w:ascii="TimesNewRoman" w:hAnsi="TimesNewRoman" w:cs="TimesNewRoman"/>
                <w:b w:val="0"/>
                <w:bCs w:val="0"/>
                <w:i w:val="0"/>
                <w:iCs w:val="0"/>
                <w:sz w:val="20"/>
                <w:lang w:eastAsia="sk-SK"/>
              </w:rPr>
              <w:t>Členské štáty stanovia</w:t>
            </w:r>
            <w:r w:rsidRPr="00822E53">
              <w:rPr>
                <w:b w:val="0"/>
                <w:i w:val="0"/>
                <w:sz w:val="20"/>
              </w:rPr>
              <w:t xml:space="preserve"> pokuty, ktoré sa budú uplatňovať pri porušení vnútroštátnych ustanovení prijatých v súlade s touto smernicou. </w:t>
            </w:r>
          </w:p>
          <w:p w:rsidR="00822E53" w:rsidRPr="00822E53" w:rsidP="00822E53">
            <w:pPr>
              <w:pStyle w:val="Heading7"/>
              <w:ind w:left="0"/>
              <w:rPr>
                <w:b w:val="0"/>
                <w:i w:val="0"/>
                <w:sz w:val="20"/>
              </w:rPr>
            </w:pPr>
            <w:r w:rsidRPr="00822E53">
              <w:rPr>
                <w:b w:val="0"/>
                <w:i w:val="0"/>
                <w:sz w:val="20"/>
              </w:rPr>
              <w:t>Uvedené pokuty musia byť účinné, primerané a výstražné.</w:t>
            </w:r>
          </w:p>
        </w:tc>
        <w:tc>
          <w:tcPr>
            <w:tcW w:w="567" w:type="dxa"/>
            <w:tcBorders>
              <w:top w:val="single" w:sz="4" w:space="0" w:color="auto"/>
              <w:bottom w:val="single" w:sz="4" w:space="0" w:color="auto"/>
            </w:tcBorders>
          </w:tcPr>
          <w:p w:rsidR="00822E53" w:rsidRPr="00F74B61" w:rsidP="00822E53">
            <w:pPr>
              <w:jc w:val="both"/>
              <w:rPr>
                <w:sz w:val="20"/>
              </w:rPr>
            </w:pPr>
            <w:r w:rsidRPr="00F74B61">
              <w:rPr>
                <w:sz w:val="20"/>
              </w:rPr>
              <w:t>N</w:t>
            </w:r>
          </w:p>
        </w:tc>
        <w:tc>
          <w:tcPr>
            <w:tcW w:w="1276" w:type="dxa"/>
            <w:tcBorders>
              <w:top w:val="single" w:sz="4" w:space="0" w:color="auto"/>
              <w:bottom w:val="single" w:sz="4" w:space="0" w:color="auto"/>
            </w:tcBorders>
          </w:tcPr>
          <w:p w:rsidR="00822E53" w:rsidRPr="00F74B61" w:rsidP="00822E53">
            <w:pPr>
              <w:jc w:val="center"/>
              <w:rPr>
                <w:sz w:val="20"/>
              </w:rPr>
            </w:pPr>
            <w:r>
              <w:rPr>
                <w:sz w:val="20"/>
              </w:rPr>
              <w:t>NZ</w:t>
            </w:r>
          </w:p>
        </w:tc>
        <w:tc>
          <w:tcPr>
            <w:tcW w:w="709" w:type="dxa"/>
            <w:tcBorders>
              <w:top w:val="single" w:sz="4" w:space="0" w:color="auto"/>
              <w:bottom w:val="single" w:sz="4" w:space="0" w:color="auto"/>
            </w:tcBorders>
          </w:tcPr>
          <w:p w:rsidR="00822E53" w:rsidP="00822E53">
            <w:pPr>
              <w:pStyle w:val="BodyText21"/>
              <w:spacing w:before="0"/>
              <w:rPr>
                <w:lang w:eastAsia="sk-SK"/>
              </w:rPr>
            </w:pPr>
            <w:r w:rsidRPr="00D52C0C">
              <w:rPr>
                <w:lang w:eastAsia="sk-SK"/>
              </w:rPr>
              <w:t>§55</w:t>
            </w:r>
          </w:p>
          <w:p w:rsidR="00822E53" w:rsidP="00822E53">
            <w:pPr>
              <w:pStyle w:val="BodyText21"/>
              <w:spacing w:before="0"/>
              <w:rPr>
                <w:lang w:eastAsia="sk-SK"/>
              </w:rPr>
            </w:pPr>
          </w:p>
          <w:p w:rsidR="00822E53" w:rsidP="00822E53">
            <w:pPr>
              <w:pStyle w:val="BodyText21"/>
              <w:spacing w:before="0"/>
              <w:rPr>
                <w:lang w:eastAsia="sk-SK"/>
              </w:rPr>
            </w:pPr>
          </w:p>
          <w:p w:rsidR="00822E53" w:rsidRPr="00D52C0C" w:rsidP="00822E53">
            <w:pPr>
              <w:pStyle w:val="BodyText21"/>
              <w:spacing w:before="0"/>
              <w:rPr>
                <w:lang w:eastAsia="sk-SK"/>
              </w:rPr>
            </w:pPr>
            <w:r w:rsidR="00A315AC">
              <w:rPr>
                <w:lang w:eastAsia="sk-SK"/>
              </w:rPr>
              <w:t>O6</w:t>
            </w:r>
          </w:p>
          <w:p w:rsidR="00822E53" w:rsidRPr="00D52C0C" w:rsidP="00822E53">
            <w:pPr>
              <w:pStyle w:val="BodyText21"/>
              <w:spacing w:before="0"/>
              <w:rPr>
                <w:lang w:eastAsia="sk-SK"/>
              </w:rPr>
            </w:pPr>
          </w:p>
          <w:p w:rsidR="00822E53" w:rsidRPr="00D52C0C" w:rsidP="00822E53">
            <w:pPr>
              <w:pStyle w:val="BodyText21"/>
              <w:spacing w:before="0"/>
              <w:rPr>
                <w:lang w:eastAsia="sk-SK"/>
              </w:rPr>
            </w:pPr>
          </w:p>
          <w:p w:rsidR="00822E53" w:rsidRPr="00D52C0C"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8A7155" w:rsidP="00822E53">
            <w:pPr>
              <w:pStyle w:val="BodyText21"/>
              <w:spacing w:before="0"/>
              <w:rPr>
                <w:lang w:eastAsia="sk-SK"/>
              </w:rPr>
            </w:pPr>
          </w:p>
          <w:p w:rsidR="00A315AC" w:rsidP="00822E53">
            <w:pPr>
              <w:pStyle w:val="BodyText21"/>
              <w:spacing w:before="0"/>
              <w:rPr>
                <w:lang w:eastAsia="sk-SK"/>
              </w:rPr>
            </w:pPr>
          </w:p>
          <w:p w:rsidR="00A315AC" w:rsidP="00822E53">
            <w:pPr>
              <w:pStyle w:val="BodyText21"/>
              <w:spacing w:before="0"/>
              <w:rPr>
                <w:lang w:eastAsia="sk-SK"/>
              </w:rPr>
            </w:pPr>
          </w:p>
          <w:p w:rsidR="00A315AC" w:rsidP="00822E53">
            <w:pPr>
              <w:pStyle w:val="BodyText21"/>
              <w:spacing w:before="0"/>
              <w:rPr>
                <w:lang w:eastAsia="sk-SK"/>
              </w:rPr>
            </w:pPr>
          </w:p>
          <w:p w:rsidR="00A315AC" w:rsidP="00822E53">
            <w:pPr>
              <w:pStyle w:val="BodyText21"/>
              <w:spacing w:before="0"/>
              <w:rPr>
                <w:lang w:eastAsia="sk-SK"/>
              </w:rPr>
            </w:pPr>
          </w:p>
          <w:p w:rsidR="00A315AC" w:rsidP="00822E53">
            <w:pPr>
              <w:pStyle w:val="BodyText21"/>
              <w:spacing w:before="0"/>
              <w:rPr>
                <w:lang w:eastAsia="sk-SK"/>
              </w:rPr>
            </w:pPr>
          </w:p>
          <w:p w:rsidR="00A315AC" w:rsidP="00822E53">
            <w:pPr>
              <w:pStyle w:val="BodyText21"/>
              <w:spacing w:before="0"/>
              <w:rPr>
                <w:lang w:eastAsia="sk-SK"/>
              </w:rPr>
            </w:pPr>
          </w:p>
          <w:p w:rsidR="008A7155" w:rsidP="00822E53">
            <w:pPr>
              <w:pStyle w:val="BodyText21"/>
              <w:spacing w:before="0"/>
              <w:rPr>
                <w:lang w:eastAsia="sk-SK"/>
              </w:rPr>
            </w:pPr>
          </w:p>
          <w:p w:rsidR="00822E53" w:rsidP="00822E53">
            <w:pPr>
              <w:pStyle w:val="BodyText21"/>
              <w:spacing w:before="0"/>
              <w:rPr>
                <w:lang w:eastAsia="sk-SK"/>
              </w:rPr>
            </w:pPr>
            <w:r>
              <w:rPr>
                <w:lang w:eastAsia="sk-SK"/>
              </w:rPr>
              <w:t>O11</w:t>
            </w:r>
          </w:p>
          <w:p w:rsidR="00822E53"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822E53" w:rsidP="00822E53">
            <w:pPr>
              <w:pStyle w:val="BodyText21"/>
              <w:spacing w:before="0"/>
              <w:rPr>
                <w:lang w:eastAsia="sk-SK"/>
              </w:rPr>
            </w:pPr>
          </w:p>
          <w:p w:rsidR="00A315AC" w:rsidP="00822E53">
            <w:pPr>
              <w:pStyle w:val="BodyText21"/>
              <w:spacing w:before="0"/>
              <w:rPr>
                <w:lang w:eastAsia="sk-SK"/>
              </w:rPr>
            </w:pPr>
          </w:p>
          <w:p w:rsidR="004F79D5" w:rsidP="00822E53">
            <w:pPr>
              <w:pStyle w:val="BodyText21"/>
              <w:spacing w:before="0"/>
              <w:rPr>
                <w:lang w:eastAsia="sk-SK"/>
              </w:rPr>
            </w:pPr>
          </w:p>
          <w:p w:rsidR="00822E53" w:rsidRPr="00D52C0C" w:rsidP="00822E53">
            <w:pPr>
              <w:pStyle w:val="BodyText21"/>
              <w:spacing w:before="0"/>
              <w:rPr>
                <w:lang w:eastAsia="sk-SK"/>
              </w:rPr>
            </w:pPr>
            <w:r w:rsidR="00A315AC">
              <w:rPr>
                <w:lang w:eastAsia="sk-SK"/>
              </w:rPr>
              <w:t>O12</w:t>
            </w:r>
          </w:p>
          <w:p w:rsidR="00822E53" w:rsidRPr="00D52C0C" w:rsidP="00822E53">
            <w:pPr>
              <w:pStyle w:val="BodyText21"/>
              <w:spacing w:before="0"/>
              <w:rPr>
                <w:lang w:eastAsia="sk-SK"/>
              </w:rPr>
            </w:pPr>
          </w:p>
          <w:p w:rsidR="00822E53" w:rsidRPr="00D52C0C" w:rsidP="00822E53">
            <w:pPr>
              <w:pStyle w:val="BodyText21"/>
              <w:spacing w:before="0"/>
              <w:rPr>
                <w:lang w:eastAsia="sk-SK"/>
              </w:rPr>
            </w:pPr>
          </w:p>
          <w:p w:rsidR="00822E53" w:rsidRPr="00D52C0C" w:rsidP="00822E53">
            <w:pPr>
              <w:pStyle w:val="BodyText21"/>
              <w:spacing w:before="0"/>
              <w:rPr>
                <w:lang w:eastAsia="sk-SK"/>
              </w:rPr>
            </w:pPr>
          </w:p>
          <w:p w:rsidR="00822E53" w:rsidRPr="00D52C0C" w:rsidP="00822E53">
            <w:pPr>
              <w:pStyle w:val="BodyText21"/>
              <w:spacing w:before="0"/>
              <w:rPr>
                <w:lang w:eastAsia="sk-SK"/>
              </w:rPr>
            </w:pPr>
          </w:p>
        </w:tc>
        <w:tc>
          <w:tcPr>
            <w:tcW w:w="4110" w:type="dxa"/>
            <w:tcBorders>
              <w:top w:val="single" w:sz="4" w:space="0" w:color="auto"/>
              <w:bottom w:val="single" w:sz="4" w:space="0" w:color="auto"/>
            </w:tcBorders>
          </w:tcPr>
          <w:p w:rsidR="00A315AC" w:rsidRPr="00390F74" w:rsidP="00A315AC">
            <w:pPr>
              <w:tabs>
                <w:tab w:val="left" w:pos="851"/>
              </w:tabs>
              <w:spacing w:after="120"/>
              <w:jc w:val="both"/>
              <w:rPr>
                <w:b/>
                <w:sz w:val="20"/>
                <w:lang w:eastAsia="sk-SK"/>
              </w:rPr>
            </w:pPr>
            <w:r w:rsidRPr="00390F74">
              <w:rPr>
                <w:b/>
                <w:sz w:val="20"/>
                <w:lang w:eastAsia="sk-SK"/>
              </w:rPr>
              <w:t>§ 55</w:t>
            </w:r>
          </w:p>
          <w:p w:rsidR="00A315AC" w:rsidRPr="00390F74" w:rsidP="00A315AC">
            <w:pPr>
              <w:tabs>
                <w:tab w:val="left" w:pos="851"/>
              </w:tabs>
              <w:spacing w:after="120"/>
              <w:jc w:val="both"/>
              <w:rPr>
                <w:b/>
                <w:sz w:val="20"/>
                <w:lang w:eastAsia="sk-SK"/>
              </w:rPr>
            </w:pPr>
            <w:r>
              <w:rPr>
                <w:b/>
                <w:sz w:val="20"/>
                <w:lang w:eastAsia="sk-SK"/>
              </w:rPr>
              <w:t>Iné správne delikty</w:t>
            </w:r>
          </w:p>
          <w:p w:rsidR="00A315AC" w:rsidRPr="00500C1E" w:rsidP="00A315AC">
            <w:pPr>
              <w:pStyle w:val="ListParagraph0"/>
              <w:spacing w:after="0" w:line="240" w:lineRule="auto"/>
              <w:ind w:left="0"/>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(6</w:t>
            </w:r>
            <w:r w:rsidRPr="00390F74">
              <w:rPr>
                <w:rFonts w:ascii="Times New Roman" w:eastAsia="Times New Roman" w:hAnsi="Times New Roman"/>
                <w:sz w:val="20"/>
                <w:szCs w:val="20"/>
                <w:lang w:eastAsia="cs-CZ"/>
              </w:rPr>
              <w:t xml:space="preserve">) </w:t>
            </w:r>
            <w:r w:rsidRPr="00500C1E">
              <w:rPr>
                <w:rFonts w:ascii="Times New Roman" w:eastAsia="Times New Roman" w:hAnsi="Times New Roman"/>
                <w:sz w:val="20"/>
                <w:szCs w:val="20"/>
                <w:lang w:eastAsia="cs-CZ"/>
              </w:rPr>
              <w:t xml:space="preserve">Okresný úrad alebo inšpekcia </w:t>
            </w:r>
            <w:r w:rsidRPr="00D74678">
              <w:rPr>
                <w:rFonts w:ascii="Times New Roman" w:eastAsia="Times New Roman" w:hAnsi="Times New Roman"/>
                <w:sz w:val="20"/>
                <w:szCs w:val="20"/>
                <w:lang w:eastAsia="cs-CZ"/>
              </w:rPr>
              <w:t>uloží pokutu právnickej osobe a fyzickej osobe - podnikateľovi,</w:t>
            </w:r>
            <w:r w:rsidRPr="00D74678">
              <w:rPr>
                <w:rFonts w:ascii="Times New Roman" w:eastAsia="Times New Roman" w:hAnsi="Times New Roman"/>
                <w:sz w:val="20"/>
                <w:szCs w:val="20"/>
                <w:vertAlign w:val="superscript"/>
                <w:lang w:eastAsia="cs-CZ"/>
              </w:rPr>
              <w:fldChar w:fldCharType="begin"/>
            </w:r>
            <w:r w:rsidRPr="00D74678">
              <w:rPr>
                <w:rFonts w:ascii="Times New Roman" w:eastAsia="Times New Roman" w:hAnsi="Times New Roman"/>
                <w:sz w:val="20"/>
                <w:szCs w:val="20"/>
                <w:vertAlign w:val="superscript"/>
                <w:lang w:eastAsia="cs-CZ"/>
              </w:rPr>
              <w:instrText xml:space="preserve"> NOTEREF _Ref114573558 \h  \* MERGEFORMAT </w:instrText>
            </w:r>
            <w:r w:rsidRPr="00D74678">
              <w:rPr>
                <w:rFonts w:ascii="Times New Roman" w:eastAsia="Times New Roman" w:hAnsi="Times New Roman"/>
                <w:sz w:val="20"/>
                <w:szCs w:val="20"/>
                <w:vertAlign w:val="superscript"/>
                <w:lang w:eastAsia="cs-CZ"/>
              </w:rPr>
              <w:fldChar w:fldCharType="separate"/>
            </w:r>
            <w:r w:rsidRPr="00D74678">
              <w:rPr>
                <w:rFonts w:ascii="Times New Roman" w:eastAsia="Times New Roman" w:hAnsi="Times New Roman"/>
                <w:sz w:val="20"/>
                <w:szCs w:val="20"/>
                <w:vertAlign w:val="superscript"/>
                <w:lang w:eastAsia="cs-CZ"/>
              </w:rPr>
              <w:t>74</w:t>
            </w:r>
            <w:r w:rsidRPr="00D74678">
              <w:rPr>
                <w:rFonts w:ascii="Times New Roman" w:eastAsia="Times New Roman" w:hAnsi="Times New Roman"/>
                <w:sz w:val="20"/>
                <w:szCs w:val="20"/>
                <w:vertAlign w:val="superscript"/>
                <w:lang w:eastAsia="cs-CZ"/>
              </w:rPr>
              <w:fldChar w:fldCharType="end"/>
            </w:r>
            <w:r w:rsidRPr="00D74678">
              <w:rPr>
                <w:rFonts w:ascii="Times New Roman" w:eastAsia="Times New Roman" w:hAnsi="Times New Roman"/>
                <w:sz w:val="20"/>
                <w:szCs w:val="20"/>
                <w:lang w:eastAsia="cs-CZ"/>
              </w:rPr>
              <w:t>) ktorý uvádza na trh alebo predáva palivá za porušenie povinnosti podľa</w:t>
            </w:r>
            <w:r>
              <w:rPr>
                <w:rFonts w:ascii="Times New Roman" w:eastAsia="Times New Roman" w:hAnsi="Times New Roman"/>
                <w:sz w:val="20"/>
                <w:szCs w:val="20"/>
                <w:lang w:eastAsia="cs-CZ"/>
              </w:rPr>
              <w:t xml:space="preserve"> </w:t>
            </w:r>
          </w:p>
          <w:p w:rsidR="00A315AC" w:rsidRPr="00390F74" w:rsidP="00A315AC">
            <w:pPr>
              <w:pStyle w:val="ListParagraph0"/>
              <w:spacing w:after="0" w:line="240" w:lineRule="auto"/>
              <w:ind w:left="0"/>
              <w:contextualSpacing w:val="0"/>
              <w:jc w:val="both"/>
              <w:rPr>
                <w:rFonts w:ascii="Times New Roman" w:eastAsia="Times New Roman" w:hAnsi="Times New Roman"/>
                <w:sz w:val="20"/>
                <w:szCs w:val="20"/>
                <w:lang w:eastAsia="cs-CZ"/>
              </w:rPr>
            </w:pPr>
          </w:p>
          <w:p w:rsidR="00A315AC" w:rsidRPr="00390F74" w:rsidP="00A315AC">
            <w:pPr>
              <w:pStyle w:val="ListParagraph0"/>
              <w:numPr>
                <w:ilvl w:val="0"/>
                <w:numId w:val="24"/>
              </w:numPr>
              <w:tabs>
                <w:tab w:val="left" w:pos="0"/>
              </w:tabs>
              <w:spacing w:after="0" w:line="240" w:lineRule="auto"/>
              <w:ind w:left="284" w:hanging="284"/>
              <w:jc w:val="both"/>
              <w:rPr>
                <w:rFonts w:ascii="Times New Roman" w:eastAsia="Times New Roman" w:hAnsi="Times New Roman"/>
                <w:sz w:val="20"/>
                <w:szCs w:val="20"/>
                <w:lang w:eastAsia="cs-CZ"/>
              </w:rPr>
            </w:pPr>
            <w:r w:rsidRPr="00500C1E">
              <w:rPr>
                <w:rFonts w:ascii="Times New Roman" w:eastAsia="Times New Roman" w:hAnsi="Times New Roman"/>
                <w:sz w:val="20"/>
                <w:szCs w:val="20"/>
                <w:lang w:eastAsia="cs-CZ"/>
              </w:rPr>
              <w:t>§ 37 ods. 1 písm. a) až c) a e)  § 37 ods. 2 a 3 vo výške od 10 000 eur do 1 000 000 eur</w:t>
            </w:r>
            <w:r w:rsidRPr="00390F74">
              <w:rPr>
                <w:rFonts w:ascii="Times New Roman" w:eastAsia="Times New Roman" w:hAnsi="Times New Roman"/>
                <w:sz w:val="20"/>
                <w:szCs w:val="20"/>
                <w:lang w:eastAsia="cs-CZ"/>
              </w:rPr>
              <w:t>,</w:t>
            </w:r>
          </w:p>
          <w:p w:rsidR="00A315AC" w:rsidP="00A315AC">
            <w:pPr>
              <w:pStyle w:val="ListParagraph0"/>
              <w:numPr>
                <w:ilvl w:val="0"/>
                <w:numId w:val="24"/>
              </w:numPr>
              <w:tabs>
                <w:tab w:val="left" w:pos="0"/>
              </w:tabs>
              <w:spacing w:after="360" w:line="240" w:lineRule="auto"/>
              <w:ind w:left="284" w:hanging="284"/>
              <w:contextualSpacing w:val="0"/>
              <w:jc w:val="both"/>
              <w:rPr>
                <w:rFonts w:ascii="Times New Roman" w:eastAsia="Times New Roman" w:hAnsi="Times New Roman"/>
                <w:sz w:val="20"/>
                <w:szCs w:val="20"/>
                <w:lang w:eastAsia="cs-CZ"/>
              </w:rPr>
            </w:pPr>
            <w:r w:rsidRPr="00500C1E">
              <w:rPr>
                <w:rFonts w:ascii="Times New Roman" w:eastAsia="Times New Roman" w:hAnsi="Times New Roman"/>
                <w:sz w:val="20"/>
                <w:szCs w:val="20"/>
                <w:lang w:eastAsia="cs-CZ"/>
              </w:rPr>
              <w:t>§ 37 ods. 1 písm. d) a § 37 ods. 5 od 2500 eur do 250 000 eur</w:t>
            </w:r>
            <w:r w:rsidRPr="00390F74">
              <w:rPr>
                <w:rFonts w:ascii="Times New Roman" w:eastAsia="Times New Roman" w:hAnsi="Times New Roman"/>
                <w:sz w:val="20"/>
                <w:szCs w:val="20"/>
                <w:lang w:eastAsia="cs-CZ"/>
              </w:rPr>
              <w:t>.</w:t>
            </w:r>
          </w:p>
          <w:p w:rsidR="00A315AC" w:rsidP="00A315AC">
            <w:pPr>
              <w:spacing w:line="240" w:lineRule="atLeast"/>
              <w:ind w:left="-44" w:firstLine="44"/>
              <w:jc w:val="both"/>
            </w:pPr>
            <w:r>
              <w:rPr>
                <w:noProof/>
              </w:rPr>
              <w:pict>
                <v:shapetype id="_x0000_t32" coordsize="21600,21600" o:spt="32" o:oned="t" path="m,l21600,21600e" filled="f">
                  <v:path arrowok="t" fillok="f" o:connecttype="none"/>
                  <o:lock v:ext="edit" shapetype="t"/>
                </v:shapetype>
                <v:shape id="_x0000_s1025" type="#_x0000_t32" style="width:58.2pt;height:0;margin-top:5.4pt;margin-left:0.1pt;position:absolute;z-index:251659264" o:connectortype="straight"/>
              </w:pict>
            </w:r>
          </w:p>
          <w:p w:rsidR="00A315AC" w:rsidRPr="004B7FFE" w:rsidP="00A315AC">
            <w:pPr>
              <w:jc w:val="both"/>
              <w:rPr>
                <w:color w:val="231F20"/>
                <w:sz w:val="20"/>
                <w:lang w:eastAsia="sk-SK"/>
              </w:rPr>
            </w:pPr>
            <w:r>
              <w:rPr>
                <w:sz w:val="18"/>
                <w:szCs w:val="18"/>
                <w:vertAlign w:val="superscript"/>
              </w:rPr>
              <w:t>74</w:t>
            </w:r>
            <w:r>
              <w:rPr>
                <w:sz w:val="18"/>
                <w:szCs w:val="18"/>
              </w:rPr>
              <w:t xml:space="preserve">) </w:t>
            </w:r>
            <w:r w:rsidRPr="00D74678">
              <w:rPr>
                <w:sz w:val="18"/>
                <w:szCs w:val="18"/>
              </w:rPr>
              <w:t>§ 2 ods. 2 zákona č. 513/1991 Zb. Obchodný zákonník</w:t>
            </w:r>
            <w:r>
              <w:rPr>
                <w:sz w:val="18"/>
                <w:szCs w:val="18"/>
              </w:rPr>
              <w:t>.</w:t>
            </w:r>
          </w:p>
          <w:p w:rsidR="00A315AC" w:rsidP="00A315AC">
            <w:pPr>
              <w:pStyle w:val="ListParagraph0"/>
              <w:tabs>
                <w:tab w:val="left" w:pos="0"/>
              </w:tabs>
              <w:spacing w:after="360" w:line="240" w:lineRule="auto"/>
              <w:ind w:left="0"/>
              <w:contextualSpacing w:val="0"/>
              <w:jc w:val="both"/>
              <w:rPr>
                <w:rFonts w:ascii="Times New Roman" w:eastAsia="Times New Roman" w:hAnsi="Times New Roman"/>
                <w:sz w:val="20"/>
                <w:szCs w:val="20"/>
                <w:lang w:eastAsia="cs-CZ"/>
              </w:rPr>
            </w:pPr>
          </w:p>
          <w:p w:rsidR="00A315AC" w:rsidRPr="00390F74" w:rsidP="00A315AC">
            <w:pPr>
              <w:pStyle w:val="ListParagraph0"/>
              <w:tabs>
                <w:tab w:val="left" w:pos="0"/>
              </w:tabs>
              <w:spacing w:after="360" w:line="240" w:lineRule="auto"/>
              <w:ind w:left="0"/>
              <w:contextualSpacing w:val="0"/>
              <w:jc w:val="both"/>
              <w:rPr>
                <w:rFonts w:ascii="Times New Roman" w:eastAsia="Times New Roman" w:hAnsi="Times New Roman"/>
                <w:sz w:val="20"/>
                <w:szCs w:val="20"/>
                <w:lang w:eastAsia="cs-CZ"/>
              </w:rPr>
            </w:pPr>
            <w:r w:rsidRPr="00390F74">
              <w:rPr>
                <w:rFonts w:ascii="Times New Roman" w:eastAsia="Times New Roman" w:hAnsi="Times New Roman"/>
                <w:sz w:val="20"/>
                <w:szCs w:val="20"/>
                <w:lang w:eastAsia="cs-CZ"/>
              </w:rPr>
              <w:t xml:space="preserve">(11) 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 </w:t>
            </w:r>
          </w:p>
          <w:p w:rsidR="00822E53" w:rsidRPr="00390F74" w:rsidP="00A315AC">
            <w:pPr>
              <w:pStyle w:val="ListParagraph0"/>
              <w:tabs>
                <w:tab w:val="left" w:pos="0"/>
              </w:tabs>
              <w:spacing w:after="360" w:line="240" w:lineRule="auto"/>
              <w:ind w:left="0"/>
              <w:contextualSpacing w:val="0"/>
              <w:jc w:val="both"/>
              <w:rPr>
                <w:rFonts w:ascii="EUAlbertina" w:hAnsi="EUAlbertina"/>
                <w:sz w:val="20"/>
                <w:lang w:eastAsia="sk-SK"/>
              </w:rPr>
            </w:pPr>
            <w:r w:rsidR="00A315AC">
              <w:rPr>
                <w:rFonts w:ascii="Times New Roman" w:eastAsia="Times New Roman" w:hAnsi="Times New Roman"/>
                <w:sz w:val="20"/>
                <w:szCs w:val="20"/>
                <w:lang w:eastAsia="cs-CZ"/>
              </w:rPr>
              <w:t>(12</w:t>
            </w:r>
            <w:r w:rsidRPr="00390F74" w:rsidR="00A315AC">
              <w:rPr>
                <w:rFonts w:ascii="Times New Roman" w:eastAsia="Times New Roman" w:hAnsi="Times New Roman"/>
                <w:sz w:val="20"/>
                <w:szCs w:val="20"/>
                <w:lang w:eastAsia="cs-CZ"/>
              </w:rPr>
              <w:t xml:space="preserve">) Pri rozhodovaní o výške pokuty prihliada orgán dozoru na závažnosť a rozsah porušenia povinností, na okolnosti, ktoré viedli k tomuto porušeniu, na čas trvania protiprávneho stavu. </w:t>
            </w:r>
          </w:p>
        </w:tc>
        <w:tc>
          <w:tcPr>
            <w:tcW w:w="709" w:type="dxa"/>
            <w:tcBorders>
              <w:top w:val="single" w:sz="4" w:space="0" w:color="auto"/>
              <w:bottom w:val="single" w:sz="4" w:space="0" w:color="auto"/>
            </w:tcBorders>
          </w:tcPr>
          <w:p w:rsidR="00822E53" w:rsidRPr="00F74B61" w:rsidP="00822E53">
            <w:pPr>
              <w:jc w:val="both"/>
              <w:rPr>
                <w:sz w:val="20"/>
              </w:rPr>
            </w:pPr>
            <w:r w:rsidRPr="00F74B61">
              <w:rPr>
                <w:sz w:val="20"/>
              </w:rPr>
              <w:t>Ú</w:t>
            </w:r>
          </w:p>
        </w:tc>
        <w:tc>
          <w:tcPr>
            <w:tcW w:w="1701" w:type="dxa"/>
            <w:tcBorders>
              <w:top w:val="single" w:sz="4" w:space="0" w:color="auto"/>
              <w:bottom w:val="single" w:sz="4" w:space="0" w:color="auto"/>
            </w:tcBorders>
          </w:tcPr>
          <w:p w:rsidR="00822E53" w:rsidRPr="00F74B61" w:rsidP="00822E53">
            <w:pPr>
              <w:jc w:val="both"/>
              <w:rPr>
                <w:sz w:val="20"/>
              </w:rPr>
            </w:pPr>
          </w:p>
        </w:tc>
      </w:tr>
      <w:tr w:rsidTr="002E524C">
        <w:tblPrEx>
          <w:tblW w:w="14954" w:type="dxa"/>
          <w:tblLayout w:type="fixed"/>
          <w:tblCellMar>
            <w:left w:w="70" w:type="dxa"/>
            <w:right w:w="70" w:type="dxa"/>
          </w:tblCellMar>
          <w:tblLook w:val="0000"/>
        </w:tblPrEx>
        <w:trPr>
          <w:trHeight w:val="1524"/>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Č10</w:t>
            </w:r>
          </w:p>
          <w:p w:rsidR="00C751EE" w:rsidRPr="00F74B61" w:rsidP="00C751EE">
            <w:pPr>
              <w:jc w:val="both"/>
              <w:rPr>
                <w:sz w:val="20"/>
              </w:rPr>
            </w:pPr>
            <w:r w:rsidRPr="00F74B61">
              <w:rPr>
                <w:sz w:val="20"/>
              </w:rPr>
              <w:t>O1</w:t>
            </w:r>
          </w:p>
        </w:tc>
        <w:tc>
          <w:tcPr>
            <w:tcW w:w="5245" w:type="dxa"/>
            <w:tcBorders>
              <w:top w:val="single" w:sz="4" w:space="0" w:color="auto"/>
              <w:bottom w:val="single" w:sz="4" w:space="0" w:color="auto"/>
            </w:tcBorders>
          </w:tcPr>
          <w:p w:rsidR="00C751EE" w:rsidRPr="00FF785F" w:rsidP="00C751EE">
            <w:pPr>
              <w:pStyle w:val="Heading4"/>
              <w:rPr>
                <w:rFonts w:ascii="TimesNewRoman" w:hAnsi="TimesNewRoman" w:cs="TimesNewRoman"/>
                <w:b w:val="0"/>
                <w:bCs w:val="0"/>
                <w:sz w:val="20"/>
                <w:lang w:eastAsia="sk-SK"/>
              </w:rPr>
            </w:pPr>
            <w:r w:rsidRPr="00FF785F">
              <w:rPr>
                <w:rFonts w:ascii="TimesNewRoman" w:hAnsi="TimesNewRoman" w:cs="TimesNewRoman"/>
                <w:b w:val="0"/>
                <w:bCs w:val="0"/>
                <w:sz w:val="20"/>
                <w:lang w:eastAsia="sk-SK"/>
              </w:rPr>
              <w:t>Článok 10</w:t>
            </w:r>
          </w:p>
          <w:p w:rsidR="004133B6" w:rsidRPr="00FF785F" w:rsidP="00C751EE">
            <w:pPr>
              <w:autoSpaceDE w:val="0"/>
              <w:autoSpaceDN w:val="0"/>
              <w:adjustRightInd w:val="0"/>
              <w:jc w:val="both"/>
              <w:rPr>
                <w:rFonts w:ascii="TimesNewRoman" w:hAnsi="TimesNewRoman" w:cs="TimesNewRoman"/>
                <w:sz w:val="20"/>
                <w:lang w:eastAsia="sk-SK"/>
              </w:rPr>
            </w:pPr>
            <w:r w:rsidRPr="00FF785F">
              <w:rPr>
                <w:rFonts w:ascii="TimesNewRoman+01" w:hAnsi="TimesNewRoman+01" w:cs="TimesNewRoman+01"/>
                <w:sz w:val="20"/>
                <w:lang w:eastAsia="sk-SK"/>
              </w:rPr>
              <w:t>Postup na úpravu povolených analytických metód a výnimiek vzťahujúcich sa na povolený tlak výparov</w:t>
            </w:r>
            <w:r w:rsidRPr="00FF785F">
              <w:rPr>
                <w:rFonts w:ascii="TimesNewRoman" w:hAnsi="TimesNewRoman" w:cs="TimesNewRoman"/>
                <w:sz w:val="20"/>
                <w:lang w:eastAsia="sk-SK"/>
              </w:rPr>
              <w:t xml:space="preserve"> </w:t>
            </w:r>
          </w:p>
          <w:p w:rsidR="00C751EE" w:rsidRPr="00FF785F" w:rsidP="00C751EE">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 xml:space="preserve">1. </w:t>
            </w:r>
            <w:r w:rsidRPr="00FF785F" w:rsidR="004133B6">
              <w:rPr>
                <w:rFonts w:ascii="TimesNewRoman+01" w:hAnsi="TimesNewRoman+01" w:cs="TimesNewRoman+01"/>
                <w:sz w:val="20"/>
                <w:lang w:eastAsia="sk-SK"/>
              </w:rPr>
              <w:t>Komisia je splnomocnená prijímať delegované akty podľa článku 10a v rozsahu potrebnom na úpravu povolených analytických metód s cieľom zabezpečiť súlad s prípadnou revíziou európskych noriem uvedených v prílohe I alebo II. Komisia je splnomocnená tiež prijímať delegované akty podľa článku 10a na účely úpravy výnimiek vzťahujúcich sa na povolený tlak výparov v kPa v súvislosti s obsahom etanolu v benzíne stanoveným v prílohe III v rámci obmedzenia stanoveného v článku 3 ods. 4 prvom pododseku. Takýmito delegovanými aktmi nie sú dotknuté výnimky udelené podľa článku 3 ods. 4.</w:t>
            </w:r>
            <w:r w:rsidRPr="00FF785F" w:rsidR="004133B6">
              <w:rPr>
                <w:rFonts w:ascii="TimesNewRoman" w:hAnsi="TimesNewRoman" w:cs="TimesNewRoman"/>
                <w:sz w:val="20"/>
                <w:lang w:eastAsia="sk-SK"/>
              </w:rPr>
              <w:t xml:space="preserve"> </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751EE" w:rsidRPr="00F74B61" w:rsidP="00C751EE">
            <w:pPr>
              <w:jc w:val="both"/>
              <w:rPr>
                <w:sz w:val="20"/>
              </w:rPr>
            </w:pPr>
            <w:r w:rsidRPr="00F74B61">
              <w:rPr>
                <w:sz w:val="20"/>
              </w:rPr>
              <w:t>Č10</w:t>
            </w:r>
          </w:p>
          <w:p w:rsidR="00C751EE" w:rsidRPr="00F74B61" w:rsidP="00C751EE">
            <w:pPr>
              <w:jc w:val="both"/>
              <w:rPr>
                <w:sz w:val="20"/>
              </w:rPr>
            </w:pPr>
            <w:r w:rsidRPr="00F74B61">
              <w:rPr>
                <w:sz w:val="20"/>
              </w:rPr>
              <w:t>O2</w:t>
            </w:r>
          </w:p>
        </w:tc>
        <w:tc>
          <w:tcPr>
            <w:tcW w:w="5245" w:type="dxa"/>
            <w:tcBorders>
              <w:top w:val="single" w:sz="4" w:space="0" w:color="auto"/>
              <w:bottom w:val="single" w:sz="4" w:space="0" w:color="auto"/>
            </w:tcBorders>
          </w:tcPr>
          <w:p w:rsidR="00C751EE" w:rsidRPr="00F74B61" w:rsidP="00C751EE">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2. Takéto prispôsobenie nesmie mať za následok priame alebo</w:t>
            </w:r>
          </w:p>
          <w:p w:rsidR="00C751EE" w:rsidRPr="00F74B61" w:rsidP="00C751EE">
            <w:pPr>
              <w:pStyle w:val="Heading4"/>
              <w:rPr>
                <w:b w:val="0"/>
                <w:i/>
                <w:sz w:val="20"/>
              </w:rPr>
            </w:pPr>
            <w:r w:rsidRPr="00F74B61">
              <w:rPr>
                <w:rFonts w:ascii="TimesNewRoman" w:hAnsi="TimesNewRoman" w:cs="TimesNewRoman"/>
                <w:b w:val="0"/>
                <w:bCs w:val="0"/>
                <w:sz w:val="20"/>
                <w:lang w:eastAsia="sk-SK"/>
              </w:rPr>
              <w:t>nepriame úpravy limitných hodnôt stanovených v tejto smernici alebo akékoľvek zmeny dátumov, od ktorých platia.</w:t>
            </w:r>
          </w:p>
        </w:tc>
        <w:tc>
          <w:tcPr>
            <w:tcW w:w="567" w:type="dxa"/>
            <w:tcBorders>
              <w:top w:val="single" w:sz="4" w:space="0" w:color="auto"/>
              <w:bottom w:val="single" w:sz="4" w:space="0" w:color="auto"/>
            </w:tcBorders>
          </w:tcPr>
          <w:p w:rsidR="00C751EE" w:rsidRPr="00F74B61" w:rsidP="00C751EE">
            <w:pPr>
              <w:jc w:val="both"/>
              <w:rPr>
                <w:sz w:val="20"/>
              </w:rPr>
            </w:pPr>
            <w:r w:rsidRPr="00F74B61">
              <w:rPr>
                <w:sz w:val="20"/>
              </w:rPr>
              <w:t>n.a.</w:t>
            </w:r>
          </w:p>
        </w:tc>
        <w:tc>
          <w:tcPr>
            <w:tcW w:w="1276" w:type="dxa"/>
            <w:tcBorders>
              <w:top w:val="single" w:sz="4" w:space="0" w:color="auto"/>
              <w:bottom w:val="single" w:sz="4" w:space="0" w:color="auto"/>
            </w:tcBorders>
          </w:tcPr>
          <w:p w:rsidR="00C751EE" w:rsidRPr="00F74B61" w:rsidP="00C751EE">
            <w:pPr>
              <w:jc w:val="center"/>
              <w:rPr>
                <w:sz w:val="20"/>
              </w:rPr>
            </w:pPr>
          </w:p>
        </w:tc>
        <w:tc>
          <w:tcPr>
            <w:tcW w:w="709" w:type="dxa"/>
            <w:tcBorders>
              <w:top w:val="single" w:sz="4" w:space="0" w:color="auto"/>
              <w:bottom w:val="single" w:sz="4" w:space="0" w:color="auto"/>
            </w:tcBorders>
          </w:tcPr>
          <w:p w:rsidR="00C751EE" w:rsidRPr="00F74B61" w:rsidP="00C751EE">
            <w:pPr>
              <w:pStyle w:val="BodyText21"/>
            </w:pPr>
          </w:p>
        </w:tc>
        <w:tc>
          <w:tcPr>
            <w:tcW w:w="4110" w:type="dxa"/>
            <w:tcBorders>
              <w:top w:val="single" w:sz="4" w:space="0" w:color="auto"/>
              <w:bottom w:val="single" w:sz="4" w:space="0" w:color="auto"/>
            </w:tcBorders>
          </w:tcPr>
          <w:p w:rsidR="00C751EE" w:rsidRPr="00A755D5" w:rsidP="00C751EE">
            <w:pPr>
              <w:pStyle w:val="Heading6"/>
              <w:rPr>
                <w:b w:val="0"/>
                <w:sz w:val="20"/>
                <w:highlight w:val="yellow"/>
              </w:rPr>
            </w:pPr>
          </w:p>
        </w:tc>
        <w:tc>
          <w:tcPr>
            <w:tcW w:w="709" w:type="dxa"/>
            <w:tcBorders>
              <w:top w:val="single" w:sz="4" w:space="0" w:color="auto"/>
              <w:bottom w:val="single" w:sz="4" w:space="0" w:color="auto"/>
            </w:tcBorders>
          </w:tcPr>
          <w:p w:rsidR="00C751EE" w:rsidRPr="00F74B61" w:rsidP="00C751EE">
            <w:pPr>
              <w:jc w:val="both"/>
              <w:rPr>
                <w:sz w:val="20"/>
              </w:rPr>
            </w:pPr>
          </w:p>
        </w:tc>
        <w:tc>
          <w:tcPr>
            <w:tcW w:w="1701" w:type="dxa"/>
            <w:tcBorders>
              <w:top w:val="single" w:sz="4" w:space="0" w:color="auto"/>
              <w:bottom w:val="single" w:sz="4" w:space="0" w:color="auto"/>
            </w:tcBorders>
          </w:tcPr>
          <w:p w:rsidR="00C751EE" w:rsidRPr="00F74B61" w:rsidP="00C751EE">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Č10a</w:t>
            </w:r>
          </w:p>
          <w:p w:rsidR="00C43A1B" w:rsidRPr="00FF785F" w:rsidP="00C43A1B">
            <w:pPr>
              <w:jc w:val="both"/>
              <w:rPr>
                <w:sz w:val="20"/>
              </w:rPr>
            </w:pPr>
            <w:r w:rsidRPr="00FF785F">
              <w:rPr>
                <w:sz w:val="20"/>
              </w:rPr>
              <w:t>O1</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Článok 10a</w:t>
            </w:r>
          </w:p>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Vykonávanie delegovania právomoci</w:t>
            </w:r>
          </w:p>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1. Komisii sa udeľuje právomoc prijímať delegované akty za podmienok stanovených v tomto článku.</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Č10a</w:t>
            </w:r>
          </w:p>
          <w:p w:rsidR="00C43A1B" w:rsidRPr="00FF785F" w:rsidP="00C43A1B">
            <w:pPr>
              <w:jc w:val="both"/>
              <w:rPr>
                <w:sz w:val="20"/>
              </w:rPr>
            </w:pPr>
            <w:r w:rsidRPr="00FF785F">
              <w:rPr>
                <w:sz w:val="20"/>
              </w:rPr>
              <w:t>O2</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 w:hAnsi="TimesNewRoman" w:cs="TimesNewRoman"/>
                <w:sz w:val="20"/>
                <w:lang w:eastAsia="sk-SK"/>
              </w:rPr>
            </w:pPr>
            <w:r w:rsidRPr="00FF785F">
              <w:rPr>
                <w:rFonts w:ascii="TimesNewRoman+01" w:hAnsi="TimesNewRoman+01" w:cs="TimesNewRoman+01"/>
                <w:sz w:val="20"/>
                <w:lang w:eastAsia="sk-SK"/>
              </w:rPr>
              <w:t>2. Právomoc prijímať delegované akty uvedené v článku 7a ods. 6, v článku 7d ods. 7 a v článku 10 ods. 1 sa Komisii udeľuje na obdobie piatich rokov od 5. októbra 2015.</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Č10a</w:t>
            </w:r>
          </w:p>
          <w:p w:rsidR="00C43A1B" w:rsidRPr="00FF785F" w:rsidP="00C43A1B">
            <w:pPr>
              <w:jc w:val="both"/>
              <w:rPr>
                <w:sz w:val="20"/>
              </w:rPr>
            </w:pPr>
            <w:r w:rsidRPr="00FF785F">
              <w:rPr>
                <w:sz w:val="20"/>
              </w:rPr>
              <w:t>O3</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3. Delegovanie právomoci uvedené v článku 7a ods. 6, v článku 7d ods. 7 a v článku 10 ods. 1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43A1B" w:rsidP="00C43A1B">
            <w:pPr>
              <w:jc w:val="both"/>
              <w:rPr>
                <w:sz w:val="20"/>
              </w:rPr>
            </w:pPr>
            <w:r>
              <w:rPr>
                <w:sz w:val="20"/>
              </w:rPr>
              <w:t>Č10a</w:t>
            </w:r>
          </w:p>
          <w:p w:rsidR="00C43A1B" w:rsidRPr="00F74B61" w:rsidP="00C43A1B">
            <w:pPr>
              <w:jc w:val="both"/>
              <w:rPr>
                <w:sz w:val="20"/>
              </w:rPr>
            </w:pPr>
            <w:r>
              <w:rPr>
                <w:sz w:val="20"/>
              </w:rPr>
              <w:t>O4</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4. Komisia oznamuje delegovaný akt hneď po prijatí súčasne Európskemu parlamentu a Rade.</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C43A1B" w:rsidP="00C43A1B">
            <w:pPr>
              <w:jc w:val="both"/>
              <w:rPr>
                <w:sz w:val="20"/>
              </w:rPr>
            </w:pPr>
            <w:r>
              <w:rPr>
                <w:sz w:val="20"/>
              </w:rPr>
              <w:t>Č10a</w:t>
            </w:r>
          </w:p>
          <w:p w:rsidR="00C43A1B" w:rsidRPr="00F74B61" w:rsidP="00C43A1B">
            <w:pPr>
              <w:jc w:val="both"/>
              <w:rPr>
                <w:sz w:val="20"/>
              </w:rPr>
            </w:pPr>
            <w:r>
              <w:rPr>
                <w:sz w:val="20"/>
              </w:rPr>
              <w:t>O5</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 w:hAnsi="TimesNewRoman" w:cs="TimesNewRoman"/>
                <w:sz w:val="20"/>
                <w:lang w:eastAsia="sk-SK"/>
              </w:rPr>
            </w:pPr>
            <w:r w:rsidRPr="00FF785F">
              <w:rPr>
                <w:rFonts w:ascii="TimesNewRoman+01" w:hAnsi="TimesNewRoman+01" w:cs="TimesNewRoman+01"/>
                <w:sz w:val="20"/>
                <w:lang w:eastAsia="sk-SK"/>
              </w:rPr>
              <w:t>5. Delegovaný akt prijatý podľa článku 7a ods. 6, článku 7d ods. 7 a článku 10 ods. 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1127"/>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Č11</w:t>
            </w:r>
          </w:p>
          <w:p w:rsidR="00C43A1B" w:rsidRPr="00FF785F" w:rsidP="00C43A1B">
            <w:pPr>
              <w:jc w:val="both"/>
              <w:rPr>
                <w:sz w:val="20"/>
              </w:rPr>
            </w:pPr>
            <w:r w:rsidRPr="00FF785F">
              <w:rPr>
                <w:sz w:val="20"/>
              </w:rPr>
              <w:t>O1</w:t>
            </w:r>
          </w:p>
        </w:tc>
        <w:tc>
          <w:tcPr>
            <w:tcW w:w="5245" w:type="dxa"/>
            <w:tcBorders>
              <w:top w:val="single" w:sz="4" w:space="0" w:color="auto"/>
              <w:bottom w:val="single" w:sz="4" w:space="0" w:color="auto"/>
            </w:tcBorders>
          </w:tcPr>
          <w:p w:rsidR="00C43A1B" w:rsidRPr="00FF785F" w:rsidP="00C43A1B">
            <w:pPr>
              <w:pStyle w:val="Heading8"/>
              <w:jc w:val="both"/>
              <w:rPr>
                <w:rFonts w:ascii="TimesNewRoman" w:hAnsi="TimesNewRoman" w:cs="TimesNewRoman"/>
                <w:i w:val="0"/>
                <w:iCs w:val="0"/>
                <w:lang w:eastAsia="sk-SK"/>
              </w:rPr>
            </w:pPr>
            <w:r w:rsidRPr="00FF785F">
              <w:rPr>
                <w:rFonts w:ascii="TimesNewRoman" w:hAnsi="TimesNewRoman" w:cs="TimesNewRoman"/>
                <w:i w:val="0"/>
                <w:iCs w:val="0"/>
                <w:lang w:eastAsia="sk-SK"/>
              </w:rPr>
              <w:t>Článok 11</w:t>
            </w:r>
          </w:p>
          <w:p w:rsidR="00C43A1B" w:rsidRPr="00FF785F" w:rsidP="00C43A1B">
            <w:pPr>
              <w:pStyle w:val="Heading8"/>
              <w:jc w:val="both"/>
              <w:rPr>
                <w:rFonts w:ascii="TimesNewRoman" w:hAnsi="TimesNewRoman" w:cs="TimesNewRoman"/>
                <w:i w:val="0"/>
                <w:iCs w:val="0"/>
                <w:lang w:eastAsia="sk-SK"/>
              </w:rPr>
            </w:pPr>
            <w:r w:rsidRPr="00FF785F">
              <w:rPr>
                <w:rFonts w:ascii="TimesNewRoman" w:hAnsi="TimesNewRoman" w:cs="TimesNewRoman"/>
                <w:i w:val="0"/>
                <w:iCs w:val="0"/>
                <w:lang w:eastAsia="sk-SK"/>
              </w:rPr>
              <w:t>Postup výboru</w:t>
            </w:r>
          </w:p>
          <w:p w:rsidR="00C43A1B" w:rsidRPr="00FF785F" w:rsidP="00C43A1B">
            <w:pPr>
              <w:autoSpaceDE w:val="0"/>
              <w:autoSpaceDN w:val="0"/>
              <w:adjustRightInd w:val="0"/>
              <w:jc w:val="both"/>
              <w:rPr>
                <w:rFonts w:ascii="TimesNewRoman" w:hAnsi="TimesNewRoman" w:cs="TimesNewRoman"/>
                <w:sz w:val="20"/>
                <w:lang w:eastAsia="sk-SK"/>
              </w:rPr>
            </w:pPr>
            <w:r w:rsidRPr="00FF785F">
              <w:rPr>
                <w:rFonts w:ascii="TimesNewRoman" w:hAnsi="TimesNewRoman" w:cs="TimesNewRoman"/>
                <w:sz w:val="20"/>
                <w:lang w:eastAsia="sk-SK"/>
              </w:rPr>
              <w:t>1</w:t>
            </w:r>
            <w:r w:rsidRPr="00FF785F">
              <w:rPr>
                <w:rFonts w:ascii="TimesNewRoman+01" w:hAnsi="TimesNewRoman+01" w:cs="TimesNewRoman+01"/>
                <w:sz w:val="20"/>
                <w:lang w:eastAsia="sk-SK"/>
              </w:rPr>
              <w:t>. Okrem prípadov uvedených v odseku 2 Komisii pomáha Výbor pre kvalitu palív. Uvedený výbor je výborom v zmysle nariadenia Európskeho parlamentu a Rady (EÚ) č. 182/2011 (</w:t>
            </w:r>
            <w:hyperlink r:id="rId7" w:anchor="E0011" w:history="1">
              <w:r w:rsidRPr="00FF785F">
                <w:rPr>
                  <w:rFonts w:ascii="TimesNewRoman+01" w:hAnsi="TimesNewRoman+01" w:cs="TimesNewRoman+01"/>
                  <w:sz w:val="20"/>
                  <w:vertAlign w:val="superscript"/>
                  <w:lang w:eastAsia="sk-SK"/>
                </w:rPr>
                <w:t xml:space="preserve"> 11 </w:t>
              </w:r>
            </w:hyperlink>
            <w:r w:rsidRPr="00FF785F">
              <w:rPr>
                <w:rFonts w:ascii="TimesNewRoman+01" w:hAnsi="TimesNewRoman+01" w:cs="TimesNewRoman+01"/>
                <w:sz w:val="20"/>
                <w:lang w:eastAsia="sk-SK"/>
              </w:rPr>
              <w:t>).</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1116"/>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Č11</w:t>
            </w:r>
          </w:p>
          <w:p w:rsidR="00C43A1B" w:rsidRPr="00FF785F" w:rsidP="00C43A1B">
            <w:pPr>
              <w:jc w:val="both"/>
              <w:rPr>
                <w:sz w:val="20"/>
              </w:rPr>
            </w:pPr>
            <w:r w:rsidRPr="00FF785F">
              <w:rPr>
                <w:sz w:val="20"/>
              </w:rPr>
              <w:t>O2</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pPr>
            <w:r w:rsidRPr="00FF785F">
              <w:rPr>
                <w:rFonts w:ascii="TimesNewRoman" w:hAnsi="TimesNewRoman" w:cs="TimesNewRoman"/>
                <w:sz w:val="20"/>
                <w:lang w:eastAsia="sk-SK"/>
              </w:rPr>
              <w:t xml:space="preserve">2. </w:t>
            </w:r>
            <w:r w:rsidRPr="00FF785F">
              <w:rPr>
                <w:rFonts w:ascii="TimesNewRoman+01" w:hAnsi="TimesNewRoman+01" w:cs="TimesNewRoman+01"/>
                <w:sz w:val="20"/>
                <w:lang w:eastAsia="sk-SK"/>
              </w:rPr>
              <w:t>V prípade záležitostí, ktoré sa týkajú trvalej udržateľnosti biopalív podľa článkov 7b, 7c a 7d, Komisii pomáha Výbor pre trvalú udržateľnosť biopalív a biokvapalín uvedený v článku 25 ods. 2 smernice 2009/28/ES. Uvedený výbor je výborom v zmysle nariadenia (EÚ) č. 182/2011.</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847"/>
        </w:trPr>
        <w:tc>
          <w:tcPr>
            <w:tcW w:w="637" w:type="dxa"/>
            <w:tcBorders>
              <w:top w:val="single" w:sz="4" w:space="0" w:color="auto"/>
              <w:bottom w:val="single" w:sz="4" w:space="0" w:color="auto"/>
            </w:tcBorders>
          </w:tcPr>
          <w:p w:rsidR="00C43A1B" w:rsidRPr="00FF785F" w:rsidP="00C43A1B">
            <w:pPr>
              <w:jc w:val="both"/>
              <w:rPr>
                <w:sz w:val="20"/>
              </w:rPr>
            </w:pPr>
            <w:r w:rsidRPr="00FF785F">
              <w:rPr>
                <w:sz w:val="20"/>
              </w:rPr>
              <w:t>Č11</w:t>
            </w:r>
          </w:p>
          <w:p w:rsidR="00C43A1B" w:rsidRPr="00FF785F" w:rsidP="00C43A1B">
            <w:pPr>
              <w:jc w:val="both"/>
              <w:rPr>
                <w:sz w:val="20"/>
              </w:rPr>
            </w:pPr>
            <w:r w:rsidRPr="00FF785F">
              <w:rPr>
                <w:sz w:val="20"/>
              </w:rPr>
              <w:t>O3</w:t>
            </w:r>
          </w:p>
        </w:tc>
        <w:tc>
          <w:tcPr>
            <w:tcW w:w="5245" w:type="dxa"/>
            <w:tcBorders>
              <w:top w:val="single" w:sz="4" w:space="0" w:color="auto"/>
              <w:bottom w:val="single" w:sz="4" w:space="0" w:color="auto"/>
            </w:tcBorders>
          </w:tcPr>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 w:hAnsi="TimesNewRoman" w:cs="TimesNewRoman"/>
                <w:sz w:val="20"/>
                <w:lang w:eastAsia="sk-SK"/>
              </w:rPr>
              <w:t>3.</w:t>
            </w:r>
            <w:r w:rsidRPr="00FF785F">
              <w:rPr>
                <w:rFonts w:ascii="TimesNewRoman+01" w:hAnsi="TimesNewRoman+01" w:cs="TimesNewRoman+01"/>
                <w:sz w:val="20"/>
                <w:lang w:eastAsia="sk-SK"/>
              </w:rPr>
              <w:t xml:space="preserve"> Ak sa odkazuje na tento odsek, uplatňuje sa článok 5 nariadenia (EÚ) č. 182/2011.</w:t>
            </w:r>
          </w:p>
          <w:p w:rsidR="00C43A1B" w:rsidRPr="00FF785F" w:rsidP="00C43A1B">
            <w:pPr>
              <w:autoSpaceDE w:val="0"/>
              <w:autoSpaceDN w:val="0"/>
              <w:adjustRightInd w:val="0"/>
              <w:jc w:val="both"/>
              <w:rPr>
                <w:rFonts w:ascii="TimesNewRoman+01" w:hAnsi="TimesNewRoman+01" w:cs="TimesNewRoman+01"/>
                <w:sz w:val="20"/>
                <w:lang w:eastAsia="sk-SK"/>
              </w:rPr>
            </w:pPr>
            <w:r w:rsidRPr="00FF785F">
              <w:rPr>
                <w:rFonts w:ascii="TimesNewRoman+01" w:hAnsi="TimesNewRoman+01" w:cs="TimesNewRoman+01"/>
                <w:sz w:val="20"/>
                <w:lang w:eastAsia="sk-SK"/>
              </w:rPr>
              <w:t>Ak výbory nevydajú žiadne stanovisko, Komisia neprijme návrh vykonávacieho aktu a uplatňuje sa článok 5 ods. 4 tretí pododsek nariadenia (EÚ) č. 182/2011.</w:t>
            </w:r>
          </w:p>
          <w:p w:rsidR="00C43A1B" w:rsidRPr="00FF785F" w:rsidP="00C43A1B">
            <w:pPr>
              <w:pStyle w:val="Heading8"/>
              <w:jc w:val="both"/>
            </w:pP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268"/>
        </w:trPr>
        <w:tc>
          <w:tcPr>
            <w:tcW w:w="637" w:type="dxa"/>
            <w:tcBorders>
              <w:top w:val="single" w:sz="4" w:space="0" w:color="auto"/>
              <w:bottom w:val="single" w:sz="4" w:space="0" w:color="auto"/>
            </w:tcBorders>
          </w:tcPr>
          <w:p w:rsidR="00C43A1B" w:rsidRPr="00F74B61" w:rsidP="00C43A1B">
            <w:pPr>
              <w:jc w:val="both"/>
              <w:rPr>
                <w:sz w:val="20"/>
              </w:rPr>
            </w:pPr>
            <w:r w:rsidRPr="00F74B61">
              <w:rPr>
                <w:sz w:val="20"/>
              </w:rPr>
              <w:t>Č12</w:t>
            </w:r>
          </w:p>
          <w:p w:rsidR="00C43A1B" w:rsidRPr="00F74B61" w:rsidP="00C43A1B">
            <w:pPr>
              <w:jc w:val="both"/>
              <w:rPr>
                <w:sz w:val="20"/>
              </w:rPr>
            </w:pPr>
            <w:r w:rsidRPr="00F74B61">
              <w:rPr>
                <w:sz w:val="20"/>
              </w:rPr>
              <w:t>O1</w:t>
            </w:r>
          </w:p>
        </w:tc>
        <w:tc>
          <w:tcPr>
            <w:tcW w:w="5245" w:type="dxa"/>
            <w:tcBorders>
              <w:top w:val="single" w:sz="4" w:space="0" w:color="auto"/>
              <w:bottom w:val="single" w:sz="4" w:space="0" w:color="auto"/>
            </w:tcBorders>
          </w:tcPr>
          <w:p w:rsidR="00C43A1B" w:rsidRPr="00F74B61" w:rsidP="00C43A1B">
            <w:pPr>
              <w:pStyle w:val="Heading2"/>
              <w:jc w:val="both"/>
              <w:rPr>
                <w:rFonts w:ascii="TimesNewRoman" w:hAnsi="TimesNewRoman" w:cs="TimesNewRoman"/>
                <w:b w:val="0"/>
                <w:spacing w:val="0"/>
                <w:sz w:val="20"/>
                <w:lang w:eastAsia="sk-SK"/>
              </w:rPr>
            </w:pPr>
            <w:r w:rsidRPr="00F74B61">
              <w:rPr>
                <w:rFonts w:ascii="TimesNewRoman" w:hAnsi="TimesNewRoman" w:cs="TimesNewRoman"/>
                <w:b w:val="0"/>
                <w:spacing w:val="0"/>
                <w:sz w:val="20"/>
                <w:lang w:eastAsia="sk-SK"/>
              </w:rPr>
              <w:t>Článok 12</w:t>
            </w:r>
          </w:p>
          <w:p w:rsidR="00C43A1B" w:rsidRPr="00F74B61" w:rsidP="00C43A1B">
            <w:pPr>
              <w:pStyle w:val="Heading1"/>
              <w:tabs>
                <w:tab w:val="left" w:pos="880"/>
                <w:tab w:val="left" w:pos="1134"/>
                <w:tab w:val="left" w:pos="1418"/>
                <w:tab w:val="left" w:pos="1701"/>
                <w:tab w:val="left" w:pos="1985"/>
              </w:tabs>
              <w:spacing w:before="0"/>
              <w:jc w:val="both"/>
              <w:rPr>
                <w:rFonts w:ascii="TimesNewRoman" w:hAnsi="TimesNewRoman" w:cs="TimesNewRoman"/>
                <w:b w:val="0"/>
                <w:kern w:val="0"/>
                <w:sz w:val="20"/>
                <w:lang w:eastAsia="sk-SK"/>
              </w:rPr>
            </w:pPr>
            <w:r w:rsidRPr="00F74B61">
              <w:rPr>
                <w:rFonts w:ascii="TimesNewRoman" w:hAnsi="TimesNewRoman" w:cs="TimesNewRoman"/>
                <w:b w:val="0"/>
                <w:kern w:val="0"/>
                <w:sz w:val="20"/>
                <w:lang w:eastAsia="sk-SK"/>
              </w:rPr>
              <w:t>Zrušenie a zmeny a doplnky smerníc týkajúcich sa kvality benzínu a nafty</w:t>
            </w:r>
          </w:p>
          <w:p w:rsidR="00C43A1B" w:rsidRPr="00F74B61" w:rsidP="00C43A1B">
            <w:pPr>
              <w:jc w:val="both"/>
              <w:rPr>
                <w:i/>
                <w:sz w:val="20"/>
              </w:rPr>
            </w:pPr>
            <w:r>
              <w:rPr>
                <w:rFonts w:ascii="TimesNewRoman" w:hAnsi="TimesNewRoman" w:cs="TimesNewRoman"/>
                <w:sz w:val="20"/>
                <w:lang w:eastAsia="sk-SK"/>
              </w:rPr>
              <w:t xml:space="preserve">1. </w:t>
            </w:r>
            <w:r w:rsidRPr="00F74B61">
              <w:rPr>
                <w:rFonts w:ascii="TimesNewRoman" w:hAnsi="TimesNewRoman" w:cs="TimesNewRoman"/>
                <w:sz w:val="20"/>
                <w:lang w:eastAsia="sk-SK"/>
              </w:rPr>
              <w:t>Smernice 85/210/EHS</w:t>
            </w:r>
            <w:r w:rsidRPr="00F74B61">
              <w:rPr>
                <w:sz w:val="20"/>
              </w:rPr>
              <w:t>, 85/536/EHS a 87/441/EHS sa rušia od 1. januára 2000.</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552"/>
        </w:trPr>
        <w:tc>
          <w:tcPr>
            <w:tcW w:w="637" w:type="dxa"/>
            <w:tcBorders>
              <w:top w:val="single" w:sz="4" w:space="0" w:color="auto"/>
              <w:bottom w:val="single" w:sz="4" w:space="0" w:color="auto"/>
            </w:tcBorders>
          </w:tcPr>
          <w:p w:rsidR="00C43A1B" w:rsidRPr="00F74B61" w:rsidP="00C43A1B">
            <w:pPr>
              <w:jc w:val="both"/>
              <w:rPr>
                <w:sz w:val="20"/>
              </w:rPr>
            </w:pPr>
            <w:r w:rsidRPr="00F74B61">
              <w:rPr>
                <w:sz w:val="20"/>
              </w:rPr>
              <w:t>Č12</w:t>
            </w:r>
          </w:p>
          <w:p w:rsidR="00C43A1B" w:rsidRPr="00F74B61" w:rsidP="00C43A1B">
            <w:pPr>
              <w:jc w:val="both"/>
              <w:rPr>
                <w:sz w:val="20"/>
              </w:rPr>
            </w:pPr>
            <w:r w:rsidRPr="00F74B61">
              <w:rPr>
                <w:sz w:val="20"/>
              </w:rPr>
              <w:t>O2</w:t>
            </w:r>
          </w:p>
        </w:tc>
        <w:tc>
          <w:tcPr>
            <w:tcW w:w="5245" w:type="dxa"/>
            <w:tcBorders>
              <w:top w:val="single" w:sz="4" w:space="0" w:color="auto"/>
              <w:bottom w:val="single" w:sz="4" w:space="0" w:color="auto"/>
            </w:tcBorders>
          </w:tcPr>
          <w:p w:rsidR="00C43A1B" w:rsidRPr="00F74B61" w:rsidP="00C43A1B">
            <w:pPr>
              <w:pStyle w:val="Heading2"/>
              <w:ind w:left="0" w:firstLine="0"/>
              <w:jc w:val="both"/>
              <w:rPr>
                <w:rFonts w:ascii="Times New Roman" w:hAnsi="Times New Roman"/>
                <w:b w:val="0"/>
                <w:i/>
                <w:sz w:val="20"/>
              </w:rPr>
            </w:pPr>
            <w:r w:rsidRPr="00F74B61">
              <w:rPr>
                <w:rFonts w:ascii="Times New Roman" w:hAnsi="Times New Roman"/>
                <w:b w:val="0"/>
                <w:spacing w:val="0"/>
                <w:sz w:val="20"/>
              </w:rPr>
              <w:t>2. Smernica 93/12/EHS sa mení a dopĺňa zrušením článku 1 ods. 1 písm. b) a článku 2 ods. 1 od 1. januára 2000.</w:t>
            </w:r>
          </w:p>
        </w:tc>
        <w:tc>
          <w:tcPr>
            <w:tcW w:w="567" w:type="dxa"/>
            <w:tcBorders>
              <w:top w:val="single" w:sz="4" w:space="0" w:color="auto"/>
              <w:bottom w:val="single" w:sz="4" w:space="0" w:color="auto"/>
            </w:tcBorders>
          </w:tcPr>
          <w:p w:rsidR="00C43A1B" w:rsidRPr="00F74B61" w:rsidP="00C43A1B">
            <w:pPr>
              <w:jc w:val="both"/>
              <w:rPr>
                <w:sz w:val="20"/>
              </w:rPr>
            </w:pPr>
            <w:r w:rsidRPr="00F74B61">
              <w:rPr>
                <w:sz w:val="20"/>
              </w:rPr>
              <w:t>n.a.</w:t>
            </w:r>
          </w:p>
        </w:tc>
        <w:tc>
          <w:tcPr>
            <w:tcW w:w="1276" w:type="dxa"/>
            <w:tcBorders>
              <w:top w:val="single" w:sz="4" w:space="0" w:color="auto"/>
              <w:bottom w:val="single" w:sz="4" w:space="0" w:color="auto"/>
            </w:tcBorders>
          </w:tcPr>
          <w:p w:rsidR="00C43A1B" w:rsidRPr="00F74B61" w:rsidP="00C43A1B">
            <w:pPr>
              <w:jc w:val="center"/>
              <w:rPr>
                <w:sz w:val="20"/>
              </w:rPr>
            </w:pPr>
          </w:p>
        </w:tc>
        <w:tc>
          <w:tcPr>
            <w:tcW w:w="709" w:type="dxa"/>
            <w:tcBorders>
              <w:top w:val="single" w:sz="4" w:space="0" w:color="auto"/>
              <w:bottom w:val="single" w:sz="4" w:space="0" w:color="auto"/>
            </w:tcBorders>
          </w:tcPr>
          <w:p w:rsidR="00C43A1B" w:rsidRPr="00F74B61" w:rsidP="00C43A1B">
            <w:pPr>
              <w:pStyle w:val="BodyText21"/>
            </w:pPr>
          </w:p>
        </w:tc>
        <w:tc>
          <w:tcPr>
            <w:tcW w:w="4110" w:type="dxa"/>
            <w:tcBorders>
              <w:top w:val="single" w:sz="4" w:space="0" w:color="auto"/>
              <w:bottom w:val="single" w:sz="4" w:space="0" w:color="auto"/>
            </w:tcBorders>
          </w:tcPr>
          <w:p w:rsidR="00C43A1B" w:rsidRPr="00A755D5" w:rsidP="00C43A1B">
            <w:pPr>
              <w:pStyle w:val="Heading6"/>
              <w:rPr>
                <w:b w:val="0"/>
                <w:sz w:val="20"/>
                <w:highlight w:val="yellow"/>
              </w:rPr>
            </w:pPr>
          </w:p>
        </w:tc>
        <w:tc>
          <w:tcPr>
            <w:tcW w:w="709" w:type="dxa"/>
            <w:tcBorders>
              <w:top w:val="single" w:sz="4" w:space="0" w:color="auto"/>
              <w:bottom w:val="single" w:sz="4" w:space="0" w:color="auto"/>
            </w:tcBorders>
          </w:tcPr>
          <w:p w:rsidR="00C43A1B" w:rsidRPr="00F74B61" w:rsidP="00C43A1B">
            <w:pPr>
              <w:jc w:val="both"/>
              <w:rPr>
                <w:sz w:val="20"/>
              </w:rPr>
            </w:pPr>
          </w:p>
        </w:tc>
        <w:tc>
          <w:tcPr>
            <w:tcW w:w="1701" w:type="dxa"/>
            <w:tcBorders>
              <w:top w:val="single" w:sz="4" w:space="0" w:color="auto"/>
              <w:bottom w:val="single" w:sz="4" w:space="0" w:color="auto"/>
            </w:tcBorders>
          </w:tcPr>
          <w:p w:rsidR="00C43A1B" w:rsidRPr="00F74B61" w:rsidP="00C43A1B">
            <w:pPr>
              <w:jc w:val="both"/>
              <w:rPr>
                <w:sz w:val="20"/>
              </w:rPr>
            </w:pPr>
          </w:p>
        </w:tc>
      </w:tr>
      <w:tr w:rsidTr="002E524C">
        <w:tblPrEx>
          <w:tblW w:w="14954" w:type="dxa"/>
          <w:tblLayout w:type="fixed"/>
          <w:tblCellMar>
            <w:left w:w="70" w:type="dxa"/>
            <w:right w:w="70" w:type="dxa"/>
          </w:tblCellMar>
          <w:tblLook w:val="0000"/>
        </w:tblPrEx>
        <w:trPr>
          <w:trHeight w:val="991"/>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Č13</w:t>
            </w:r>
          </w:p>
          <w:p w:rsidR="00E077CA" w:rsidRPr="00F74B61" w:rsidP="00E077CA">
            <w:pPr>
              <w:jc w:val="both"/>
              <w:rPr>
                <w:sz w:val="20"/>
              </w:rPr>
            </w:pPr>
            <w:r w:rsidRPr="00F74B61">
              <w:rPr>
                <w:sz w:val="20"/>
              </w:rPr>
              <w:t>O1</w:t>
            </w:r>
          </w:p>
        </w:tc>
        <w:tc>
          <w:tcPr>
            <w:tcW w:w="5245" w:type="dxa"/>
            <w:tcBorders>
              <w:top w:val="single" w:sz="4" w:space="0" w:color="auto"/>
              <w:bottom w:val="single" w:sz="4" w:space="0" w:color="auto"/>
            </w:tcBorders>
          </w:tcPr>
          <w:p w:rsidR="00E077CA" w:rsidRPr="00E077CA" w:rsidP="00E077CA">
            <w:pPr>
              <w:pStyle w:val="Heading2"/>
              <w:jc w:val="both"/>
              <w:rPr>
                <w:rFonts w:ascii="TimesNewRomanBold" w:hAnsi="TimesNewRomanBold" w:cs="TimesNewRomanBold"/>
                <w:b w:val="0"/>
                <w:bCs/>
                <w:spacing w:val="0"/>
                <w:sz w:val="20"/>
                <w:lang w:eastAsia="sk-SK"/>
              </w:rPr>
            </w:pPr>
            <w:r w:rsidRPr="00E077CA">
              <w:rPr>
                <w:rFonts w:ascii="TimesNewRomanBold" w:hAnsi="TimesNewRomanBold" w:cs="TimesNewRomanBold"/>
                <w:b w:val="0"/>
                <w:bCs/>
                <w:spacing w:val="0"/>
                <w:sz w:val="20"/>
                <w:lang w:eastAsia="sk-SK"/>
              </w:rPr>
              <w:t>Článok 13</w:t>
            </w:r>
          </w:p>
          <w:p w:rsidR="00E077CA" w:rsidRPr="00E077CA" w:rsidP="00E077CA">
            <w:pPr>
              <w:autoSpaceDE w:val="0"/>
              <w:autoSpaceDN w:val="0"/>
              <w:adjustRightInd w:val="0"/>
              <w:jc w:val="both"/>
              <w:rPr>
                <w:rFonts w:ascii="TimesNewRomanBold" w:hAnsi="TimesNewRomanBold" w:cs="TimesNewRomanBold"/>
                <w:bCs/>
                <w:sz w:val="20"/>
                <w:lang w:eastAsia="sk-SK"/>
              </w:rPr>
            </w:pPr>
            <w:r w:rsidRPr="00E077CA">
              <w:rPr>
                <w:rFonts w:ascii="TimesNewRomanBold" w:hAnsi="TimesNewRomanBold" w:cs="TimesNewRomanBold"/>
                <w:bCs/>
                <w:sz w:val="20"/>
                <w:lang w:eastAsia="sk-SK"/>
              </w:rPr>
              <w:t>Transpozícia do vnútroštátnych právnych predpisov</w:t>
            </w:r>
          </w:p>
          <w:p w:rsidR="00E077CA" w:rsidRPr="00E077CA" w:rsidP="00E077CA">
            <w:pPr>
              <w:autoSpaceDE w:val="0"/>
              <w:autoSpaceDN w:val="0"/>
              <w:adjustRightInd w:val="0"/>
              <w:jc w:val="both"/>
              <w:rPr>
                <w:rFonts w:ascii="TimesNewRomanBold" w:hAnsi="TimesNewRomanBold" w:cs="TimesNewRomanBold"/>
                <w:bCs/>
                <w:sz w:val="20"/>
                <w:lang w:eastAsia="sk-SK"/>
              </w:rPr>
            </w:pPr>
            <w:r w:rsidRPr="00E077CA">
              <w:rPr>
                <w:rFonts w:ascii="TimesNewRomanBold" w:hAnsi="TimesNewRomanBold" w:cs="TimesNewRomanBold"/>
                <w:bCs/>
                <w:sz w:val="20"/>
                <w:lang w:eastAsia="sk-SK"/>
              </w:rPr>
              <w:t>1. Členské štáty do 1. júla 1999 uvedú do účinnosti zákony, iné</w:t>
            </w:r>
          </w:p>
          <w:p w:rsidR="00E077CA" w:rsidRPr="00E077CA" w:rsidP="00E077CA">
            <w:pPr>
              <w:autoSpaceDE w:val="0"/>
              <w:autoSpaceDN w:val="0"/>
              <w:adjustRightInd w:val="0"/>
              <w:jc w:val="both"/>
              <w:rPr>
                <w:rFonts w:ascii="TimesNewRomanBold" w:hAnsi="TimesNewRomanBold" w:cs="TimesNewRomanBold"/>
                <w:bCs/>
                <w:sz w:val="20"/>
                <w:lang w:eastAsia="sk-SK"/>
              </w:rPr>
            </w:pPr>
            <w:r w:rsidRPr="00E077CA">
              <w:rPr>
                <w:rFonts w:ascii="TimesNewRomanBold" w:hAnsi="TimesNewRomanBold" w:cs="TimesNewRomanBold"/>
                <w:bCs/>
                <w:sz w:val="20"/>
                <w:lang w:eastAsia="sk-SK"/>
              </w:rPr>
              <w:t xml:space="preserve">právne predpisy a správne opatrenia potrebné na dosiahnutie súladu s touto smernicou. Bezodkladne o tom budú informovať Komisiu. </w:t>
            </w:r>
          </w:p>
          <w:p w:rsidR="00E077CA" w:rsidRPr="00E077CA" w:rsidP="00E077CA">
            <w:pPr>
              <w:autoSpaceDE w:val="0"/>
              <w:autoSpaceDN w:val="0"/>
              <w:adjustRightInd w:val="0"/>
              <w:jc w:val="both"/>
              <w:rPr>
                <w:rFonts w:ascii="TimesNewRoman" w:hAnsi="TimesNewRoman" w:cs="TimesNewRoman"/>
                <w:sz w:val="20"/>
                <w:lang w:eastAsia="sk-SK"/>
              </w:rPr>
            </w:pPr>
            <w:r w:rsidRPr="00E077CA">
              <w:rPr>
                <w:rFonts w:ascii="TimesNewRomanBold" w:hAnsi="TimesNewRomanBold" w:cs="TimesNewRomanBold"/>
                <w:bCs/>
                <w:sz w:val="20"/>
                <w:lang w:eastAsia="sk-SK"/>
              </w:rPr>
              <w:t>Členské štáty budú uplatňovať</w:t>
            </w:r>
            <w:r w:rsidRPr="00E077CA">
              <w:rPr>
                <w:rFonts w:ascii="TimesNewRoman+01" w:hAnsi="TimesNewRoman+01" w:cs="TimesNewRoman+01"/>
                <w:sz w:val="20"/>
                <w:lang w:eastAsia="sk-SK"/>
              </w:rPr>
              <w:t xml:space="preserve"> </w:t>
            </w:r>
            <w:r w:rsidRPr="00E077CA">
              <w:rPr>
                <w:rFonts w:ascii="TimesNewRoman" w:hAnsi="TimesNewRoman" w:cs="TimesNewRoman"/>
                <w:sz w:val="20"/>
                <w:lang w:eastAsia="sk-SK"/>
              </w:rPr>
              <w:t xml:space="preserve">tieto opatrenia od 1. januára 2000. </w:t>
            </w:r>
            <w:r w:rsidRPr="00E077CA">
              <w:rPr>
                <w:rFonts w:ascii="TimesNewRoman+01" w:hAnsi="TimesNewRoman+01" w:cs="TimesNewRoman+01"/>
                <w:sz w:val="20"/>
                <w:lang w:eastAsia="sk-SK"/>
              </w:rPr>
              <w:t>Č</w:t>
            </w:r>
            <w:r w:rsidRPr="00E077CA">
              <w:rPr>
                <w:rFonts w:ascii="TimesNewRoman" w:hAnsi="TimesNewRoman" w:cs="TimesNewRoman"/>
                <w:sz w:val="20"/>
                <w:lang w:eastAsia="sk-SK"/>
              </w:rPr>
              <w:t xml:space="preserve">lenské </w:t>
            </w:r>
            <w:r w:rsidRPr="00E077CA">
              <w:rPr>
                <w:rFonts w:ascii="TimesNewRoman+01" w:hAnsi="TimesNewRoman+01" w:cs="TimesNewRoman+01"/>
                <w:sz w:val="20"/>
                <w:lang w:eastAsia="sk-SK"/>
              </w:rPr>
              <w:t>š</w:t>
            </w:r>
            <w:r w:rsidRPr="00E077CA">
              <w:rPr>
                <w:rFonts w:ascii="TimesNewRoman" w:hAnsi="TimesNewRoman" w:cs="TimesNewRoman"/>
                <w:sz w:val="20"/>
                <w:lang w:eastAsia="sk-SK"/>
              </w:rPr>
              <w:t xml:space="preserve">táty uvedú priamo v prijatých ustanoveniach alebo pri ich úradnom uverejnení odkaz na túto smernicu. Podrobnosti o odkaze upravia </w:t>
            </w:r>
            <w:r w:rsidRPr="00E077CA">
              <w:rPr>
                <w:rFonts w:ascii="TimesNewRoman+01" w:hAnsi="TimesNewRoman+01" w:cs="TimesNewRoman+01"/>
                <w:sz w:val="20"/>
                <w:lang w:eastAsia="sk-SK"/>
              </w:rPr>
              <w:t>č</w:t>
            </w:r>
            <w:r w:rsidRPr="00E077CA">
              <w:rPr>
                <w:rFonts w:ascii="TimesNewRoman" w:hAnsi="TimesNewRoman" w:cs="TimesNewRoman"/>
                <w:sz w:val="20"/>
                <w:lang w:eastAsia="sk-SK"/>
              </w:rPr>
              <w:t xml:space="preserve">lenské </w:t>
            </w:r>
            <w:r w:rsidRPr="00E077CA">
              <w:rPr>
                <w:rFonts w:ascii="TimesNewRoman+01" w:hAnsi="TimesNewRoman+01" w:cs="TimesNewRoman+01"/>
                <w:sz w:val="20"/>
                <w:lang w:eastAsia="sk-SK"/>
              </w:rPr>
              <w:t>š</w:t>
            </w:r>
            <w:r w:rsidRPr="00E077CA">
              <w:rPr>
                <w:rFonts w:ascii="TimesNewRoman" w:hAnsi="TimesNewRoman" w:cs="TimesNewRoman"/>
                <w:sz w:val="20"/>
                <w:lang w:eastAsia="sk-SK"/>
              </w:rPr>
              <w:t>táty.</w:t>
            </w:r>
          </w:p>
        </w:tc>
        <w:tc>
          <w:tcPr>
            <w:tcW w:w="567" w:type="dxa"/>
            <w:tcBorders>
              <w:top w:val="single" w:sz="4" w:space="0" w:color="auto"/>
              <w:bottom w:val="single" w:sz="4" w:space="0" w:color="auto"/>
            </w:tcBorders>
          </w:tcPr>
          <w:p w:rsidR="00E077CA" w:rsidRPr="00F74B61" w:rsidP="00E077CA">
            <w:pPr>
              <w:jc w:val="both"/>
              <w:rPr>
                <w:sz w:val="20"/>
              </w:rPr>
            </w:pPr>
            <w:r>
              <w:rPr>
                <w:sz w:val="20"/>
              </w:rPr>
              <w:t>N</w:t>
            </w:r>
          </w:p>
        </w:tc>
        <w:tc>
          <w:tcPr>
            <w:tcW w:w="1276" w:type="dxa"/>
            <w:tcBorders>
              <w:top w:val="single" w:sz="4" w:space="0" w:color="auto"/>
              <w:bottom w:val="single" w:sz="4" w:space="0" w:color="auto"/>
            </w:tcBorders>
          </w:tcPr>
          <w:p w:rsidR="00E077CA" w:rsidRPr="00E077CA" w:rsidP="00E077CA">
            <w:pPr>
              <w:rPr>
                <w:sz w:val="20"/>
                <w:lang w:eastAsia="sk-SK"/>
              </w:rPr>
            </w:pPr>
            <w:r w:rsidRPr="00E077CA">
              <w:rPr>
                <w:sz w:val="20"/>
                <w:lang w:eastAsia="sk-SK"/>
              </w:rPr>
              <w:t>NZ</w:t>
            </w: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P="00E077CA">
            <w:pPr>
              <w:rPr>
                <w:sz w:val="20"/>
                <w:lang w:eastAsia="sk-SK"/>
              </w:rPr>
            </w:pPr>
          </w:p>
          <w:p w:rsidR="00E077CA" w:rsidRPr="00E077CA" w:rsidP="00E077CA">
            <w:pPr>
              <w:rPr>
                <w:sz w:val="20"/>
                <w:lang w:eastAsia="sk-SK"/>
              </w:rPr>
            </w:pPr>
          </w:p>
          <w:p w:rsidR="00E077CA" w:rsidP="00E077CA">
            <w:pPr>
              <w:rPr>
                <w:sz w:val="20"/>
                <w:lang w:eastAsia="sk-SK"/>
              </w:rPr>
            </w:pPr>
          </w:p>
          <w:p w:rsidR="00E077CA" w:rsidP="00E077CA">
            <w:pPr>
              <w:rPr>
                <w:sz w:val="20"/>
                <w:lang w:eastAsia="sk-SK"/>
              </w:rPr>
            </w:pPr>
          </w:p>
          <w:p w:rsidR="00503A51" w:rsidRPr="00E077CA" w:rsidP="00E077CA">
            <w:pPr>
              <w:rPr>
                <w:sz w:val="20"/>
                <w:lang w:eastAsia="sk-SK"/>
              </w:rPr>
            </w:pPr>
          </w:p>
          <w:p w:rsidR="00E077CA" w:rsidRPr="00E077CA" w:rsidP="00E077CA">
            <w:pPr>
              <w:rPr>
                <w:sz w:val="20"/>
                <w:lang w:eastAsia="sk-SK"/>
              </w:rPr>
            </w:pPr>
          </w:p>
          <w:p w:rsidR="00E077CA" w:rsidRPr="00E077CA" w:rsidP="00E077CA">
            <w:pPr>
              <w:rPr>
                <w:sz w:val="20"/>
                <w:lang w:eastAsia="sk-SK"/>
              </w:rPr>
            </w:pPr>
            <w:r w:rsidRPr="00E077CA">
              <w:rPr>
                <w:sz w:val="20"/>
                <w:lang w:eastAsia="sk-SK"/>
              </w:rPr>
              <w:t>NV</w:t>
            </w:r>
          </w:p>
        </w:tc>
        <w:tc>
          <w:tcPr>
            <w:tcW w:w="709" w:type="dxa"/>
            <w:tcBorders>
              <w:top w:val="single" w:sz="4" w:space="0" w:color="auto"/>
              <w:bottom w:val="single" w:sz="4" w:space="0" w:color="auto"/>
            </w:tcBorders>
          </w:tcPr>
          <w:p w:rsidR="00E077CA" w:rsidP="00E077CA">
            <w:pPr>
              <w:pStyle w:val="BodyText21"/>
              <w:spacing w:before="0"/>
              <w:rPr>
                <w:lang w:eastAsia="sk-SK"/>
              </w:rPr>
            </w:pPr>
            <w:r>
              <w:rPr>
                <w:lang w:eastAsia="sk-SK"/>
              </w:rPr>
              <w:t>§ 64</w:t>
            </w:r>
          </w:p>
          <w:p w:rsidR="00E077CA" w:rsidP="00E077CA">
            <w:pPr>
              <w:pStyle w:val="BodyText21"/>
              <w:spacing w:before="0"/>
              <w:rPr>
                <w:lang w:eastAsia="sk-SK"/>
              </w:rPr>
            </w:pPr>
            <w:r>
              <w:rPr>
                <w:lang w:eastAsia="sk-SK"/>
              </w:rPr>
              <w:t>O1</w:t>
            </w: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r w:rsidRPr="00DD6E7C">
              <w:rPr>
                <w:lang w:eastAsia="sk-SK"/>
              </w:rPr>
              <w:t>Príl</w:t>
            </w:r>
            <w:r>
              <w:rPr>
                <w:lang w:eastAsia="sk-SK"/>
              </w:rPr>
              <w:t>oha č. 11</w:t>
            </w:r>
          </w:p>
          <w:p w:rsidR="00E077CA" w:rsidP="00E077CA">
            <w:pPr>
              <w:pStyle w:val="BodyText21"/>
              <w:spacing w:before="0"/>
              <w:rPr>
                <w:lang w:eastAsia="sk-SK"/>
              </w:rPr>
            </w:pPr>
            <w:r>
              <w:rPr>
                <w:lang w:eastAsia="sk-SK"/>
              </w:rPr>
              <w:t>O2</w:t>
            </w: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503A51"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r>
              <w:rPr>
                <w:lang w:eastAsia="sk-SK"/>
              </w:rPr>
              <w:t>§ 8</w:t>
            </w: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P="00E077CA">
            <w:pPr>
              <w:pStyle w:val="BodyText21"/>
              <w:spacing w:before="0"/>
              <w:rPr>
                <w:lang w:eastAsia="sk-SK"/>
              </w:rPr>
            </w:pPr>
          </w:p>
          <w:p w:rsidR="00E077CA" w:rsidRPr="00DD6E7C" w:rsidP="00E077CA">
            <w:pPr>
              <w:pStyle w:val="BodyText21"/>
              <w:spacing w:before="0"/>
              <w:rPr>
                <w:lang w:eastAsia="sk-SK"/>
              </w:rPr>
            </w:pPr>
            <w:r w:rsidRPr="00DD6E7C">
              <w:rPr>
                <w:lang w:eastAsia="sk-SK"/>
              </w:rPr>
              <w:t>Príl</w:t>
            </w:r>
            <w:r>
              <w:rPr>
                <w:lang w:eastAsia="sk-SK"/>
              </w:rPr>
              <w:t>oha č. 5</w:t>
            </w:r>
          </w:p>
          <w:p w:rsidR="00E077CA" w:rsidRPr="00DD6E7C" w:rsidP="00E077CA">
            <w:pPr>
              <w:pStyle w:val="BodyText21"/>
              <w:spacing w:before="0"/>
              <w:rPr>
                <w:lang w:eastAsia="sk-SK"/>
              </w:rPr>
            </w:pPr>
            <w:r>
              <w:rPr>
                <w:lang w:eastAsia="sk-SK"/>
              </w:rPr>
              <w:t>O1</w:t>
            </w:r>
          </w:p>
        </w:tc>
        <w:tc>
          <w:tcPr>
            <w:tcW w:w="4110" w:type="dxa"/>
            <w:tcBorders>
              <w:top w:val="single" w:sz="4" w:space="0" w:color="auto"/>
              <w:bottom w:val="single" w:sz="4" w:space="0" w:color="auto"/>
            </w:tcBorders>
          </w:tcPr>
          <w:p w:rsidR="00E077CA" w:rsidRPr="00E077CA" w:rsidP="00E077CA">
            <w:pPr>
              <w:jc w:val="both"/>
              <w:rPr>
                <w:b/>
                <w:sz w:val="19"/>
                <w:szCs w:val="19"/>
              </w:rPr>
            </w:pPr>
            <w:r w:rsidRPr="00E077CA">
              <w:rPr>
                <w:b/>
                <w:sz w:val="19"/>
                <w:szCs w:val="19"/>
              </w:rPr>
              <w:t>§ 64</w:t>
            </w:r>
          </w:p>
          <w:p w:rsidR="00E077CA" w:rsidRPr="00E077CA" w:rsidP="00E077CA">
            <w:pPr>
              <w:rPr>
                <w:b/>
                <w:sz w:val="19"/>
                <w:szCs w:val="19"/>
              </w:rPr>
            </w:pPr>
            <w:r w:rsidRPr="00E077CA">
              <w:rPr>
                <w:b/>
                <w:sz w:val="19"/>
                <w:szCs w:val="19"/>
              </w:rPr>
              <w:t>Transpozičné ustanovenie</w:t>
            </w:r>
          </w:p>
          <w:p w:rsidR="00E077CA" w:rsidRPr="00E077CA" w:rsidP="001B596A">
            <w:pPr>
              <w:pStyle w:val="ListParagraph0"/>
              <w:keepNext/>
              <w:numPr>
                <w:ilvl w:val="0"/>
                <w:numId w:val="23"/>
              </w:numPr>
              <w:spacing w:after="360" w:line="240" w:lineRule="auto"/>
              <w:ind w:left="352" w:hanging="352"/>
              <w:contextualSpacing w:val="0"/>
              <w:jc w:val="both"/>
              <w:rPr>
                <w:rFonts w:ascii="Times New Roman" w:hAnsi="Times New Roman"/>
                <w:sz w:val="19"/>
                <w:szCs w:val="19"/>
              </w:rPr>
            </w:pPr>
            <w:r w:rsidRPr="00E077CA">
              <w:rPr>
                <w:rFonts w:ascii="Times New Roman" w:hAnsi="Times New Roman"/>
                <w:sz w:val="19"/>
                <w:szCs w:val="19"/>
              </w:rPr>
              <w:t>Týmto zákonom sa preberajú právne záväzné akty Európskej únie uvedené v prílohe č. 11.</w:t>
            </w:r>
          </w:p>
          <w:p w:rsidR="00E077CA" w:rsidRPr="00E077CA" w:rsidP="00E077CA">
            <w:pPr>
              <w:pStyle w:val="BodyTextIndent"/>
              <w:rPr>
                <w:b/>
                <w:color w:val="auto"/>
                <w:sz w:val="19"/>
                <w:szCs w:val="19"/>
              </w:rPr>
            </w:pPr>
            <w:r w:rsidRPr="00E077CA">
              <w:rPr>
                <w:b/>
                <w:color w:val="auto"/>
                <w:sz w:val="19"/>
                <w:szCs w:val="19"/>
              </w:rPr>
              <w:t>Príloha č. 11</w:t>
            </w:r>
          </w:p>
          <w:p w:rsidR="00E077CA" w:rsidRPr="00E077CA" w:rsidP="00E077CA">
            <w:pPr>
              <w:pStyle w:val="BodyTextIndent"/>
              <w:jc w:val="left"/>
              <w:rPr>
                <w:b/>
                <w:color w:val="auto"/>
                <w:sz w:val="19"/>
                <w:szCs w:val="19"/>
              </w:rPr>
            </w:pPr>
            <w:r w:rsidRPr="00E077CA">
              <w:rPr>
                <w:b/>
                <w:color w:val="auto"/>
                <w:sz w:val="19"/>
                <w:szCs w:val="19"/>
              </w:rPr>
              <w:t>ZOZNAM PREBERANÝCH PRÁVNE ZÁVÄZNÝCH AKTOV EURÓPSKEJ ÚNIE</w:t>
            </w:r>
          </w:p>
          <w:p w:rsidR="00E077CA" w:rsidRPr="00E077CA" w:rsidP="00E077CA">
            <w:pPr>
              <w:numPr>
                <w:ilvl w:val="0"/>
                <w:numId w:val="4"/>
              </w:numPr>
              <w:tabs>
                <w:tab w:val="clear" w:pos="720"/>
              </w:tabs>
              <w:spacing w:after="240"/>
              <w:ind w:left="350" w:hanging="350"/>
              <w:jc w:val="both"/>
              <w:rPr>
                <w:sz w:val="19"/>
                <w:szCs w:val="19"/>
              </w:rPr>
            </w:pPr>
            <w:r w:rsidRPr="00E077CA">
              <w:rPr>
                <w:sz w:val="19"/>
                <w:szCs w:val="19"/>
              </w:rPr>
              <w:t xml:space="preserve">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w:t>
            </w:r>
            <w:r w:rsidR="00345300">
              <w:rPr>
                <w:sz w:val="19"/>
                <w:szCs w:val="19"/>
              </w:rPr>
              <w:t>1882</w:t>
            </w:r>
            <w:r w:rsidRPr="00E077CA">
              <w:rPr>
                <w:sz w:val="19"/>
                <w:szCs w:val="19"/>
              </w:rPr>
              <w:t>/2003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rsidR="00E077CA" w:rsidRPr="00E077CA" w:rsidP="00E077CA">
            <w:pPr>
              <w:jc w:val="both"/>
              <w:rPr>
                <w:b/>
                <w:sz w:val="19"/>
                <w:szCs w:val="19"/>
              </w:rPr>
            </w:pPr>
            <w:r w:rsidRPr="00E077CA">
              <w:rPr>
                <w:b/>
                <w:sz w:val="19"/>
                <w:szCs w:val="19"/>
              </w:rPr>
              <w:t>§ 8</w:t>
            </w:r>
          </w:p>
          <w:p w:rsidR="00E077CA" w:rsidRPr="00E077CA" w:rsidP="00E077CA">
            <w:pPr>
              <w:rPr>
                <w:b/>
                <w:sz w:val="19"/>
                <w:szCs w:val="19"/>
              </w:rPr>
            </w:pPr>
            <w:r w:rsidRPr="00E077CA">
              <w:rPr>
                <w:b/>
                <w:sz w:val="19"/>
                <w:szCs w:val="19"/>
              </w:rPr>
              <w:t>Zoznam preberaných právne záväzných aktov Európskej únie</w:t>
            </w:r>
          </w:p>
          <w:p w:rsidR="00E077CA" w:rsidRPr="00E077CA" w:rsidP="00E077CA">
            <w:pPr>
              <w:rPr>
                <w:sz w:val="19"/>
                <w:szCs w:val="19"/>
              </w:rPr>
            </w:pPr>
          </w:p>
          <w:p w:rsidR="00E077CA" w:rsidRPr="00E077CA" w:rsidP="00E077CA">
            <w:pPr>
              <w:jc w:val="both"/>
              <w:rPr>
                <w:b/>
                <w:sz w:val="19"/>
                <w:szCs w:val="19"/>
              </w:rPr>
            </w:pPr>
            <w:r w:rsidRPr="00E077CA">
              <w:rPr>
                <w:sz w:val="19"/>
                <w:szCs w:val="19"/>
              </w:rPr>
              <w:t>Touto vyhláškou sa preberajú právne záväzné akty Európskej únie uvedené v prílohe č. 5.</w:t>
            </w:r>
          </w:p>
          <w:p w:rsidR="00E077CA" w:rsidP="00E077CA">
            <w:pPr>
              <w:pStyle w:val="BodyTextIndent"/>
              <w:rPr>
                <w:b/>
                <w:sz w:val="19"/>
                <w:szCs w:val="19"/>
              </w:rPr>
            </w:pPr>
          </w:p>
          <w:p w:rsidR="00E077CA" w:rsidRPr="00E077CA" w:rsidP="00E077CA">
            <w:pPr>
              <w:pStyle w:val="BodyTextIndent"/>
              <w:rPr>
                <w:b/>
                <w:sz w:val="19"/>
                <w:szCs w:val="19"/>
              </w:rPr>
            </w:pPr>
          </w:p>
          <w:p w:rsidR="00E077CA" w:rsidRPr="00E077CA" w:rsidP="00E077CA">
            <w:pPr>
              <w:pStyle w:val="BodyTextIndent"/>
              <w:rPr>
                <w:b/>
                <w:color w:val="auto"/>
                <w:sz w:val="19"/>
                <w:szCs w:val="19"/>
              </w:rPr>
            </w:pPr>
            <w:r w:rsidRPr="00E077CA">
              <w:rPr>
                <w:b/>
                <w:color w:val="auto"/>
                <w:sz w:val="19"/>
                <w:szCs w:val="19"/>
              </w:rPr>
              <w:t>Príloha č. 5</w:t>
            </w:r>
          </w:p>
          <w:p w:rsidR="00E077CA" w:rsidRPr="00E077CA" w:rsidP="00E077CA">
            <w:pPr>
              <w:pStyle w:val="BodyTextIndent"/>
              <w:jc w:val="left"/>
              <w:rPr>
                <w:b/>
                <w:color w:val="auto"/>
                <w:sz w:val="19"/>
                <w:szCs w:val="19"/>
              </w:rPr>
            </w:pPr>
            <w:r w:rsidRPr="00E077CA">
              <w:rPr>
                <w:b/>
                <w:color w:val="auto"/>
                <w:sz w:val="19"/>
                <w:szCs w:val="19"/>
              </w:rPr>
              <w:t>ZOZNAM PREBERANÝCH PRÁVNE ZÁVÄZNÝCH AKTOV EURÓPSKEJ ÚNIE</w:t>
            </w:r>
          </w:p>
          <w:p w:rsidR="00E077CA" w:rsidRPr="00E077CA" w:rsidP="001B596A">
            <w:pPr>
              <w:numPr>
                <w:ilvl w:val="3"/>
                <w:numId w:val="22"/>
              </w:numPr>
              <w:spacing w:after="240"/>
              <w:ind w:left="208" w:hanging="208"/>
              <w:jc w:val="both"/>
              <w:rPr>
                <w:b/>
                <w:sz w:val="19"/>
                <w:szCs w:val="19"/>
              </w:rPr>
            </w:pPr>
            <w:r w:rsidRPr="00E077CA">
              <w:rPr>
                <w:sz w:val="19"/>
                <w:szCs w:val="19"/>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1882/2003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tc>
        <w:tc>
          <w:tcPr>
            <w:tcW w:w="709" w:type="dxa"/>
            <w:tcBorders>
              <w:top w:val="single" w:sz="4" w:space="0" w:color="auto"/>
              <w:bottom w:val="single" w:sz="4" w:space="0" w:color="auto"/>
            </w:tcBorders>
          </w:tcPr>
          <w:p w:rsidR="00E077CA" w:rsidRPr="00F74B61" w:rsidP="00E077CA">
            <w:pPr>
              <w:jc w:val="both"/>
              <w:rPr>
                <w:sz w:val="20"/>
              </w:rPr>
            </w:pPr>
            <w:r>
              <w:rPr>
                <w:sz w:val="20"/>
              </w:rPr>
              <w:t>Ú</w:t>
            </w:r>
          </w:p>
        </w:tc>
        <w:tc>
          <w:tcPr>
            <w:tcW w:w="1701" w:type="dxa"/>
            <w:tcBorders>
              <w:top w:val="single" w:sz="4" w:space="0" w:color="auto"/>
              <w:bottom w:val="single" w:sz="4" w:space="0" w:color="auto"/>
            </w:tcBorders>
          </w:tcPr>
          <w:p w:rsidR="00E077CA" w:rsidRPr="0088761F" w:rsidP="00E077CA">
            <w:pPr>
              <w:jc w:val="both"/>
              <w:rPr>
                <w:rFonts w:ascii="TimesNewRomanBold" w:hAnsi="TimesNewRomanBold" w:cs="TimesNewRomanBold"/>
                <w:bCs/>
                <w:sz w:val="20"/>
                <w:lang w:eastAsia="sk-SK"/>
              </w:rPr>
            </w:pPr>
          </w:p>
        </w:tc>
      </w:tr>
      <w:tr w:rsidTr="002E524C">
        <w:tblPrEx>
          <w:tblW w:w="14954" w:type="dxa"/>
          <w:tblLayout w:type="fixed"/>
          <w:tblCellMar>
            <w:left w:w="70" w:type="dxa"/>
            <w:right w:w="70" w:type="dxa"/>
          </w:tblCellMar>
          <w:tblLook w:val="0000"/>
        </w:tblPrEx>
        <w:trPr>
          <w:trHeight w:val="346"/>
        </w:trPr>
        <w:tc>
          <w:tcPr>
            <w:tcW w:w="637" w:type="dxa"/>
            <w:tcBorders>
              <w:top w:val="single" w:sz="4" w:space="0" w:color="auto"/>
              <w:bottom w:val="single" w:sz="4" w:space="0" w:color="auto"/>
            </w:tcBorders>
          </w:tcPr>
          <w:p w:rsidR="00DB3EC7" w:rsidRPr="00F74B61" w:rsidP="00DB3EC7">
            <w:pPr>
              <w:jc w:val="both"/>
              <w:rPr>
                <w:sz w:val="20"/>
              </w:rPr>
            </w:pPr>
            <w:r w:rsidRPr="00F74B61">
              <w:rPr>
                <w:sz w:val="20"/>
              </w:rPr>
              <w:t>Č13</w:t>
            </w:r>
          </w:p>
          <w:p w:rsidR="00DB3EC7" w:rsidRPr="00F74B61" w:rsidP="00DB3EC7">
            <w:pPr>
              <w:jc w:val="both"/>
              <w:rPr>
                <w:sz w:val="20"/>
              </w:rPr>
            </w:pPr>
            <w:r w:rsidRPr="00F74B61">
              <w:rPr>
                <w:sz w:val="20"/>
              </w:rPr>
              <w:t>O2</w:t>
            </w:r>
          </w:p>
        </w:tc>
        <w:tc>
          <w:tcPr>
            <w:tcW w:w="5245" w:type="dxa"/>
            <w:tcBorders>
              <w:top w:val="single" w:sz="4" w:space="0" w:color="auto"/>
              <w:bottom w:val="single" w:sz="4" w:space="0" w:color="auto"/>
            </w:tcBorders>
          </w:tcPr>
          <w:p w:rsidR="00DB3EC7" w:rsidRPr="00DB3EC7" w:rsidP="00DB3EC7">
            <w:pPr>
              <w:autoSpaceDE w:val="0"/>
              <w:autoSpaceDN w:val="0"/>
              <w:adjustRightInd w:val="0"/>
              <w:jc w:val="both"/>
              <w:rPr>
                <w:rFonts w:ascii="TimesNewRoman" w:hAnsi="TimesNewRoman" w:cs="TimesNewRoman"/>
                <w:sz w:val="20"/>
                <w:lang w:eastAsia="sk-SK"/>
              </w:rPr>
            </w:pPr>
            <w:r w:rsidRPr="00DB3EC7">
              <w:rPr>
                <w:rFonts w:ascii="TimesNewRoman" w:hAnsi="TimesNewRoman" w:cs="TimesNewRoman"/>
                <w:sz w:val="20"/>
                <w:lang w:eastAsia="sk-SK"/>
              </w:rPr>
              <w:t>2. Členské štáty oznámia Komisii znenie hlavných ustanovení</w:t>
            </w:r>
          </w:p>
          <w:p w:rsidR="00DB3EC7" w:rsidRPr="00DB3EC7" w:rsidP="00DB3EC7">
            <w:pPr>
              <w:pStyle w:val="Heading2"/>
              <w:ind w:left="0" w:firstLine="0"/>
              <w:jc w:val="both"/>
              <w:rPr>
                <w:rFonts w:ascii="Times New Roman" w:hAnsi="Times New Roman"/>
                <w:b w:val="0"/>
                <w:i/>
                <w:sz w:val="20"/>
              </w:rPr>
            </w:pPr>
            <w:r w:rsidRPr="00DB3EC7">
              <w:rPr>
                <w:rFonts w:ascii="TimesNewRoman" w:hAnsi="TimesNewRoman" w:cs="TimesNewRoman"/>
                <w:b w:val="0"/>
                <w:spacing w:val="0"/>
                <w:sz w:val="20"/>
                <w:lang w:eastAsia="sk-SK"/>
              </w:rPr>
              <w:t>vnútroštátnych právnych predpisov, ktoré prijmú v oblasti pôsobnosti tejto smernice.</w:t>
            </w:r>
          </w:p>
        </w:tc>
        <w:tc>
          <w:tcPr>
            <w:tcW w:w="567" w:type="dxa"/>
            <w:tcBorders>
              <w:top w:val="single" w:sz="4" w:space="0" w:color="auto"/>
              <w:bottom w:val="single" w:sz="4" w:space="0" w:color="auto"/>
            </w:tcBorders>
          </w:tcPr>
          <w:p w:rsidR="00DB3EC7" w:rsidRPr="00DB3EC7" w:rsidP="00DB3EC7">
            <w:pPr>
              <w:jc w:val="center"/>
              <w:rPr>
                <w:sz w:val="19"/>
                <w:szCs w:val="19"/>
              </w:rPr>
            </w:pPr>
            <w:r w:rsidRPr="00DB3EC7">
              <w:rPr>
                <w:sz w:val="19"/>
                <w:szCs w:val="19"/>
              </w:rPr>
              <w:t>N</w:t>
            </w:r>
          </w:p>
        </w:tc>
        <w:tc>
          <w:tcPr>
            <w:tcW w:w="1276" w:type="dxa"/>
            <w:tcBorders>
              <w:top w:val="single" w:sz="4" w:space="0" w:color="auto"/>
              <w:bottom w:val="single" w:sz="4" w:space="0" w:color="auto"/>
            </w:tcBorders>
          </w:tcPr>
          <w:p w:rsidR="00DB3EC7" w:rsidRPr="00DB3EC7" w:rsidP="00DB3EC7">
            <w:pPr>
              <w:snapToGrid w:val="0"/>
              <w:jc w:val="center"/>
              <w:rPr>
                <w:sz w:val="19"/>
                <w:szCs w:val="19"/>
              </w:rPr>
            </w:pPr>
            <w:r w:rsidRPr="00DB3EC7">
              <w:rPr>
                <w:sz w:val="19"/>
                <w:szCs w:val="19"/>
              </w:rPr>
              <w:t>Z 575</w:t>
            </w:r>
          </w:p>
        </w:tc>
        <w:tc>
          <w:tcPr>
            <w:tcW w:w="709" w:type="dxa"/>
            <w:tcBorders>
              <w:top w:val="single" w:sz="4" w:space="0" w:color="auto"/>
              <w:bottom w:val="single" w:sz="4" w:space="0" w:color="auto"/>
            </w:tcBorders>
          </w:tcPr>
          <w:p w:rsidR="00DB3EC7" w:rsidRPr="00DB3EC7" w:rsidP="00DB3EC7">
            <w:pPr>
              <w:snapToGrid w:val="0"/>
              <w:rPr>
                <w:sz w:val="19"/>
                <w:szCs w:val="19"/>
              </w:rPr>
            </w:pPr>
            <w:r w:rsidRPr="00DB3EC7">
              <w:rPr>
                <w:sz w:val="19"/>
                <w:szCs w:val="19"/>
              </w:rPr>
              <w:t>§35</w:t>
            </w:r>
          </w:p>
          <w:p w:rsidR="00DB3EC7" w:rsidRPr="00DB3EC7" w:rsidP="00DB3EC7">
            <w:pPr>
              <w:snapToGrid w:val="0"/>
              <w:rPr>
                <w:sz w:val="19"/>
                <w:szCs w:val="19"/>
              </w:rPr>
            </w:pPr>
            <w:r w:rsidRPr="00DB3EC7">
              <w:rPr>
                <w:sz w:val="19"/>
                <w:szCs w:val="19"/>
              </w:rPr>
              <w:t>O7</w:t>
            </w:r>
          </w:p>
        </w:tc>
        <w:tc>
          <w:tcPr>
            <w:tcW w:w="4110" w:type="dxa"/>
            <w:tcBorders>
              <w:top w:val="single" w:sz="4" w:space="0" w:color="auto"/>
              <w:bottom w:val="single" w:sz="4" w:space="0" w:color="auto"/>
            </w:tcBorders>
          </w:tcPr>
          <w:p w:rsidR="00DB3EC7" w:rsidRPr="00DB3EC7" w:rsidP="00DB3EC7">
            <w:pPr>
              <w:jc w:val="both"/>
              <w:rPr>
                <w:b/>
                <w:sz w:val="19"/>
                <w:szCs w:val="19"/>
              </w:rPr>
            </w:pPr>
            <w:r w:rsidRPr="00DB3EC7">
              <w:rPr>
                <w:b/>
                <w:sz w:val="19"/>
                <w:szCs w:val="19"/>
              </w:rPr>
              <w:t>Úlohy ministerstiev a ostatných ústredných orgánov štátnej správy</w:t>
            </w:r>
          </w:p>
          <w:p w:rsidR="00DB3EC7" w:rsidRPr="00DB3EC7" w:rsidP="00DB3EC7">
            <w:pPr>
              <w:jc w:val="both"/>
              <w:rPr>
                <w:b/>
                <w:sz w:val="19"/>
                <w:szCs w:val="19"/>
              </w:rPr>
            </w:pPr>
            <w:r w:rsidRPr="00DB3EC7">
              <w:rPr>
                <w:b/>
                <w:sz w:val="19"/>
                <w:szCs w:val="19"/>
              </w:rPr>
              <w:t>§ 35</w:t>
            </w:r>
          </w:p>
          <w:p w:rsidR="00DB3EC7" w:rsidRPr="00DB3EC7" w:rsidP="00DB3EC7">
            <w:pPr>
              <w:jc w:val="both"/>
              <w:rPr>
                <w:sz w:val="19"/>
                <w:szCs w:val="19"/>
              </w:rPr>
            </w:pPr>
            <w:r w:rsidRPr="00DB3EC7">
              <w:rPr>
                <w:sz w:val="19"/>
                <w:szCs w:val="19"/>
              </w:rPr>
              <w:t>(7) Ministerstvá a ostatné ústredné orgány štátnej správy v rozsahu vymedzenej pôsobnosti plnia voči orgánom Európskej únie informačnú a oznamovaciu povinnosť, ktorá im vyplýva z právne záväzných aktov týchto orgánov.</w:t>
            </w:r>
          </w:p>
          <w:p w:rsidR="00DB3EC7" w:rsidRPr="00DB3EC7" w:rsidP="00DB3EC7">
            <w:pPr>
              <w:pStyle w:val="Import2"/>
              <w:snapToGrid w:val="0"/>
              <w:spacing w:line="240" w:lineRule="auto"/>
              <w:jc w:val="both"/>
              <w:rPr>
                <w:rFonts w:ascii="Times New Roman" w:hAnsi="Times New Roman"/>
                <w:sz w:val="19"/>
                <w:szCs w:val="19"/>
                <w:lang w:val="sk-SK"/>
              </w:rPr>
            </w:pPr>
          </w:p>
        </w:tc>
        <w:tc>
          <w:tcPr>
            <w:tcW w:w="709" w:type="dxa"/>
            <w:tcBorders>
              <w:top w:val="single" w:sz="4" w:space="0" w:color="auto"/>
              <w:bottom w:val="single" w:sz="4" w:space="0" w:color="auto"/>
            </w:tcBorders>
          </w:tcPr>
          <w:p w:rsidR="00DB3EC7" w:rsidRPr="00DB3EC7" w:rsidP="00DB3EC7">
            <w:pPr>
              <w:snapToGrid w:val="0"/>
              <w:jc w:val="center"/>
              <w:rPr>
                <w:sz w:val="19"/>
                <w:szCs w:val="19"/>
              </w:rPr>
            </w:pPr>
            <w:r w:rsidRPr="00DB3EC7">
              <w:rPr>
                <w:sz w:val="19"/>
                <w:szCs w:val="19"/>
              </w:rPr>
              <w:t>Ú</w:t>
            </w:r>
          </w:p>
        </w:tc>
        <w:tc>
          <w:tcPr>
            <w:tcW w:w="1701" w:type="dxa"/>
            <w:tcBorders>
              <w:top w:val="single" w:sz="4" w:space="0" w:color="auto"/>
              <w:bottom w:val="single" w:sz="4" w:space="0" w:color="auto"/>
            </w:tcBorders>
          </w:tcPr>
          <w:p w:rsidR="00DB3EC7" w:rsidRPr="0088761F" w:rsidP="00DB3EC7">
            <w:pPr>
              <w:jc w:val="both"/>
              <w:rPr>
                <w:rFonts w:ascii="TimesNewRomanBold" w:hAnsi="TimesNewRomanBold" w:cs="TimesNewRomanBold"/>
                <w:bCs/>
                <w:sz w:val="20"/>
                <w:lang w:eastAsia="sk-SK"/>
              </w:rPr>
            </w:pPr>
          </w:p>
        </w:tc>
      </w:tr>
      <w:tr w:rsidTr="002E524C">
        <w:tblPrEx>
          <w:tblW w:w="14954" w:type="dxa"/>
          <w:tblLayout w:type="fixed"/>
          <w:tblCellMar>
            <w:left w:w="70" w:type="dxa"/>
            <w:right w:w="70" w:type="dxa"/>
          </w:tblCellMar>
          <w:tblLook w:val="0000"/>
        </w:tblPrEx>
        <w:trPr>
          <w:trHeight w:val="925"/>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Č15</w:t>
            </w:r>
          </w:p>
        </w:tc>
        <w:tc>
          <w:tcPr>
            <w:tcW w:w="5245" w:type="dxa"/>
            <w:tcBorders>
              <w:top w:val="single" w:sz="4" w:space="0" w:color="auto"/>
              <w:bottom w:val="single" w:sz="4" w:space="0" w:color="auto"/>
            </w:tcBorders>
          </w:tcPr>
          <w:p w:rsidR="00E077CA" w:rsidRPr="00F74B61" w:rsidP="00E077CA">
            <w:pPr>
              <w:pStyle w:val="Heading2"/>
              <w:jc w:val="both"/>
              <w:rPr>
                <w:rFonts w:ascii="TimesNewRoman" w:hAnsi="TimesNewRoman" w:cs="TimesNewRoman"/>
                <w:b w:val="0"/>
                <w:spacing w:val="0"/>
                <w:sz w:val="20"/>
                <w:lang w:eastAsia="sk-SK"/>
              </w:rPr>
            </w:pPr>
            <w:r w:rsidRPr="00F74B61">
              <w:rPr>
                <w:rFonts w:ascii="TimesNewRoman" w:hAnsi="TimesNewRoman" w:cs="TimesNewRoman"/>
                <w:b w:val="0"/>
                <w:spacing w:val="0"/>
                <w:sz w:val="20"/>
                <w:lang w:eastAsia="sk-SK"/>
              </w:rPr>
              <w:t>Článok 15</w:t>
            </w:r>
          </w:p>
          <w:p w:rsidR="00E077CA" w:rsidRPr="00F74B61" w:rsidP="00E077CA">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Nadobudnutie účinnosti tejto smernice</w:t>
            </w:r>
          </w:p>
          <w:p w:rsidR="00E077CA" w:rsidRPr="00F74B61" w:rsidP="00E077CA">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Táto smernica nadobúda účinnosť dňom jej uverejnenia v Úradnom vestníku Európskych spoločenstiev.</w:t>
            </w:r>
          </w:p>
        </w:tc>
        <w:tc>
          <w:tcPr>
            <w:tcW w:w="567" w:type="dxa"/>
            <w:tcBorders>
              <w:top w:val="single" w:sz="4" w:space="0" w:color="auto"/>
              <w:bottom w:val="single" w:sz="4" w:space="0" w:color="auto"/>
            </w:tcBorders>
          </w:tcPr>
          <w:p w:rsidR="00E077CA" w:rsidRPr="00F74B61" w:rsidP="00E077CA">
            <w:pPr>
              <w:jc w:val="both"/>
              <w:rPr>
                <w:sz w:val="20"/>
              </w:rPr>
            </w:pPr>
            <w:r w:rsidRPr="00F74B61">
              <w:rPr>
                <w:sz w:val="20"/>
              </w:rPr>
              <w:t>n.a.</w:t>
            </w:r>
          </w:p>
        </w:tc>
        <w:tc>
          <w:tcPr>
            <w:tcW w:w="1276" w:type="dxa"/>
            <w:tcBorders>
              <w:top w:val="single" w:sz="4" w:space="0" w:color="auto"/>
              <w:bottom w:val="single" w:sz="4" w:space="0" w:color="auto"/>
            </w:tcBorders>
          </w:tcPr>
          <w:p w:rsidR="00E077CA" w:rsidRPr="00F74B61" w:rsidP="00E077CA">
            <w:pPr>
              <w:jc w:val="center"/>
              <w:rPr>
                <w:sz w:val="20"/>
              </w:rPr>
            </w:pPr>
          </w:p>
        </w:tc>
        <w:tc>
          <w:tcPr>
            <w:tcW w:w="709" w:type="dxa"/>
            <w:tcBorders>
              <w:top w:val="single" w:sz="4" w:space="0" w:color="auto"/>
              <w:bottom w:val="single" w:sz="4" w:space="0" w:color="auto"/>
            </w:tcBorders>
          </w:tcPr>
          <w:p w:rsidR="00E077CA" w:rsidRPr="00F74B61" w:rsidP="00E077CA">
            <w:pPr>
              <w:pStyle w:val="BodyText21"/>
            </w:pPr>
          </w:p>
        </w:tc>
        <w:tc>
          <w:tcPr>
            <w:tcW w:w="4110" w:type="dxa"/>
            <w:tcBorders>
              <w:top w:val="single" w:sz="4" w:space="0" w:color="auto"/>
              <w:bottom w:val="single" w:sz="4" w:space="0" w:color="auto"/>
            </w:tcBorders>
          </w:tcPr>
          <w:p w:rsidR="00E077CA" w:rsidRPr="00A755D5" w:rsidP="00E077CA">
            <w:pPr>
              <w:pStyle w:val="Heading6"/>
              <w:rPr>
                <w:b w:val="0"/>
                <w:sz w:val="20"/>
                <w:highlight w:val="yellow"/>
              </w:rPr>
            </w:pPr>
          </w:p>
        </w:tc>
        <w:tc>
          <w:tcPr>
            <w:tcW w:w="709" w:type="dxa"/>
            <w:tcBorders>
              <w:top w:val="single" w:sz="4" w:space="0" w:color="auto"/>
              <w:bottom w:val="single" w:sz="4" w:space="0" w:color="auto"/>
            </w:tcBorders>
          </w:tcPr>
          <w:p w:rsidR="00E077CA" w:rsidRPr="00F74B61" w:rsidP="00E077CA">
            <w:pPr>
              <w:jc w:val="both"/>
              <w:rPr>
                <w:sz w:val="20"/>
              </w:rPr>
            </w:pPr>
          </w:p>
        </w:tc>
        <w:tc>
          <w:tcPr>
            <w:tcW w:w="1701" w:type="dxa"/>
            <w:tcBorders>
              <w:top w:val="single" w:sz="4" w:space="0" w:color="auto"/>
              <w:bottom w:val="single" w:sz="4" w:space="0" w:color="auto"/>
            </w:tcBorders>
          </w:tcPr>
          <w:p w:rsidR="00E077CA" w:rsidRPr="00F74B61" w:rsidP="00E077CA">
            <w:pPr>
              <w:jc w:val="both"/>
              <w:rPr>
                <w:sz w:val="20"/>
              </w:rPr>
            </w:pPr>
          </w:p>
        </w:tc>
      </w:tr>
      <w:tr w:rsidTr="002E524C">
        <w:tblPrEx>
          <w:tblW w:w="14954" w:type="dxa"/>
          <w:tblLayout w:type="fixed"/>
          <w:tblCellMar>
            <w:left w:w="70" w:type="dxa"/>
            <w:right w:w="70" w:type="dxa"/>
          </w:tblCellMar>
          <w:tblLook w:val="0000"/>
        </w:tblPrEx>
        <w:trPr>
          <w:trHeight w:val="698"/>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Č16</w:t>
            </w:r>
          </w:p>
        </w:tc>
        <w:tc>
          <w:tcPr>
            <w:tcW w:w="5245" w:type="dxa"/>
            <w:tcBorders>
              <w:top w:val="single" w:sz="4" w:space="0" w:color="auto"/>
              <w:bottom w:val="single" w:sz="4" w:space="0" w:color="auto"/>
            </w:tcBorders>
          </w:tcPr>
          <w:p w:rsidR="00E077CA" w:rsidRPr="00F74B61" w:rsidP="00E077CA">
            <w:pPr>
              <w:pStyle w:val="Heading8"/>
              <w:tabs>
                <w:tab w:val="left" w:pos="880"/>
              </w:tabs>
              <w:jc w:val="both"/>
              <w:rPr>
                <w:rFonts w:ascii="TimesNewRoman" w:hAnsi="TimesNewRoman" w:cs="TimesNewRoman"/>
                <w:i w:val="0"/>
                <w:iCs w:val="0"/>
                <w:lang w:eastAsia="sk-SK"/>
              </w:rPr>
            </w:pPr>
            <w:r w:rsidRPr="00F74B61">
              <w:rPr>
                <w:rFonts w:ascii="TimesNewRoman" w:hAnsi="TimesNewRoman" w:cs="TimesNewRoman"/>
                <w:i w:val="0"/>
                <w:iCs w:val="0"/>
                <w:lang w:eastAsia="sk-SK"/>
              </w:rPr>
              <w:t>Článok 16</w:t>
            </w:r>
          </w:p>
          <w:p w:rsidR="00E077CA" w:rsidRPr="00F74B61" w:rsidP="00E077CA">
            <w:pPr>
              <w:pStyle w:val="Heading1"/>
              <w:tabs>
                <w:tab w:val="left" w:pos="880"/>
                <w:tab w:val="left" w:pos="1134"/>
                <w:tab w:val="left" w:pos="1418"/>
                <w:tab w:val="left" w:pos="1701"/>
                <w:tab w:val="left" w:pos="1985"/>
              </w:tabs>
              <w:spacing w:before="0"/>
              <w:jc w:val="both"/>
              <w:rPr>
                <w:rFonts w:ascii="TimesNewRoman" w:hAnsi="TimesNewRoman" w:cs="TimesNewRoman"/>
                <w:b w:val="0"/>
                <w:kern w:val="0"/>
                <w:sz w:val="20"/>
                <w:lang w:eastAsia="sk-SK"/>
              </w:rPr>
            </w:pPr>
            <w:r w:rsidRPr="00F74B61">
              <w:rPr>
                <w:rFonts w:ascii="TimesNewRoman" w:hAnsi="TimesNewRoman" w:cs="TimesNewRoman"/>
                <w:b w:val="0"/>
                <w:kern w:val="0"/>
                <w:sz w:val="20"/>
                <w:lang w:eastAsia="sk-SK"/>
              </w:rPr>
              <w:t>Adresáti</w:t>
            </w:r>
          </w:p>
          <w:p w:rsidR="00E077CA" w:rsidRPr="00F74B61" w:rsidP="00E077CA">
            <w:pPr>
              <w:pStyle w:val="BodyText21"/>
              <w:tabs>
                <w:tab w:val="left" w:pos="880"/>
              </w:tabs>
              <w:spacing w:before="0" w:line="240" w:lineRule="auto"/>
              <w:rPr>
                <w:rFonts w:ascii="TimesNewRoman" w:hAnsi="TimesNewRoman" w:cs="TimesNewRoman"/>
                <w:lang w:eastAsia="sk-SK"/>
              </w:rPr>
            </w:pPr>
            <w:r w:rsidRPr="00F74B61">
              <w:rPr>
                <w:rFonts w:ascii="TimesNewRoman" w:hAnsi="TimesNewRoman" w:cs="TimesNewRoman"/>
                <w:lang w:eastAsia="sk-SK"/>
              </w:rPr>
              <w:t>Táto smernica je adresovaná členským štátom.</w:t>
            </w:r>
          </w:p>
        </w:tc>
        <w:tc>
          <w:tcPr>
            <w:tcW w:w="567" w:type="dxa"/>
            <w:tcBorders>
              <w:top w:val="single" w:sz="4" w:space="0" w:color="auto"/>
              <w:bottom w:val="single" w:sz="4" w:space="0" w:color="auto"/>
            </w:tcBorders>
          </w:tcPr>
          <w:p w:rsidR="00E077CA" w:rsidRPr="00F74B61" w:rsidP="00E077CA">
            <w:pPr>
              <w:jc w:val="both"/>
              <w:rPr>
                <w:sz w:val="20"/>
              </w:rPr>
            </w:pPr>
            <w:r w:rsidRPr="00F74B61">
              <w:rPr>
                <w:sz w:val="20"/>
              </w:rPr>
              <w:t>n.a.</w:t>
            </w:r>
          </w:p>
        </w:tc>
        <w:tc>
          <w:tcPr>
            <w:tcW w:w="1276" w:type="dxa"/>
            <w:tcBorders>
              <w:top w:val="single" w:sz="4" w:space="0" w:color="auto"/>
              <w:bottom w:val="single" w:sz="4" w:space="0" w:color="auto"/>
            </w:tcBorders>
          </w:tcPr>
          <w:p w:rsidR="00E077CA" w:rsidRPr="00F74B61" w:rsidP="00E077CA">
            <w:pPr>
              <w:jc w:val="center"/>
              <w:rPr>
                <w:sz w:val="20"/>
              </w:rPr>
            </w:pPr>
          </w:p>
        </w:tc>
        <w:tc>
          <w:tcPr>
            <w:tcW w:w="709" w:type="dxa"/>
            <w:tcBorders>
              <w:top w:val="single" w:sz="4" w:space="0" w:color="auto"/>
              <w:bottom w:val="single" w:sz="4" w:space="0" w:color="auto"/>
            </w:tcBorders>
          </w:tcPr>
          <w:p w:rsidR="00E077CA" w:rsidRPr="00F74B61" w:rsidP="00E077CA">
            <w:pPr>
              <w:pStyle w:val="BodyText21"/>
            </w:pPr>
          </w:p>
        </w:tc>
        <w:tc>
          <w:tcPr>
            <w:tcW w:w="4110" w:type="dxa"/>
            <w:tcBorders>
              <w:top w:val="single" w:sz="4" w:space="0" w:color="auto"/>
              <w:bottom w:val="single" w:sz="4" w:space="0" w:color="auto"/>
            </w:tcBorders>
          </w:tcPr>
          <w:p w:rsidR="00E077CA" w:rsidRPr="00A755D5" w:rsidP="00E077CA">
            <w:pPr>
              <w:pStyle w:val="Heading6"/>
              <w:rPr>
                <w:b w:val="0"/>
                <w:sz w:val="20"/>
                <w:highlight w:val="yellow"/>
              </w:rPr>
            </w:pPr>
          </w:p>
        </w:tc>
        <w:tc>
          <w:tcPr>
            <w:tcW w:w="709" w:type="dxa"/>
            <w:tcBorders>
              <w:top w:val="single" w:sz="4" w:space="0" w:color="auto"/>
              <w:bottom w:val="single" w:sz="4" w:space="0" w:color="auto"/>
            </w:tcBorders>
          </w:tcPr>
          <w:p w:rsidR="00E077CA" w:rsidRPr="00F74B61" w:rsidP="00E077CA">
            <w:pPr>
              <w:jc w:val="both"/>
              <w:rPr>
                <w:sz w:val="20"/>
              </w:rPr>
            </w:pPr>
          </w:p>
        </w:tc>
        <w:tc>
          <w:tcPr>
            <w:tcW w:w="1701" w:type="dxa"/>
            <w:tcBorders>
              <w:top w:val="single" w:sz="4" w:space="0" w:color="auto"/>
              <w:bottom w:val="single" w:sz="4" w:space="0" w:color="auto"/>
            </w:tcBorders>
          </w:tcPr>
          <w:p w:rsidR="00E077CA" w:rsidRPr="00F74B61" w:rsidP="00E077CA">
            <w:pPr>
              <w:jc w:val="both"/>
              <w:rPr>
                <w:sz w:val="20"/>
              </w:rPr>
            </w:pPr>
          </w:p>
        </w:tc>
      </w:tr>
      <w:tr w:rsidTr="002E524C">
        <w:tblPrEx>
          <w:tblW w:w="14954" w:type="dxa"/>
          <w:tblLayout w:type="fixed"/>
          <w:tblCellMar>
            <w:left w:w="70" w:type="dxa"/>
            <w:right w:w="70" w:type="dxa"/>
          </w:tblCellMar>
          <w:tblLook w:val="0000"/>
        </w:tblPrEx>
        <w:trPr>
          <w:trHeight w:val="963"/>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Príl.</w:t>
            </w:r>
          </w:p>
          <w:p w:rsidR="00E077CA" w:rsidRPr="00F74B61" w:rsidP="00E077CA">
            <w:pPr>
              <w:jc w:val="both"/>
              <w:rPr>
                <w:sz w:val="20"/>
              </w:rPr>
            </w:pPr>
            <w:r w:rsidRPr="00F74B61">
              <w:rPr>
                <w:sz w:val="20"/>
              </w:rPr>
              <w:t>I</w:t>
            </w:r>
          </w:p>
        </w:tc>
        <w:tc>
          <w:tcPr>
            <w:tcW w:w="5245" w:type="dxa"/>
            <w:tcBorders>
              <w:top w:val="single" w:sz="4" w:space="0" w:color="auto"/>
              <w:bottom w:val="single" w:sz="4" w:space="0" w:color="auto"/>
            </w:tcBorders>
          </w:tcPr>
          <w:p w:rsidR="00E077CA" w:rsidRPr="00F74B61" w:rsidP="00E077CA">
            <w:pPr>
              <w:pStyle w:val="BodyText"/>
              <w:rPr>
                <w:rFonts w:ascii="TimesNewRoman" w:hAnsi="TimesNewRoman" w:cs="TimesNewRoman"/>
                <w:sz w:val="20"/>
                <w:lang w:eastAsia="sk-SK"/>
              </w:rPr>
            </w:pPr>
            <w:r w:rsidRPr="00F74B61">
              <w:rPr>
                <w:rFonts w:ascii="TimesNewRoman" w:hAnsi="TimesNewRoman" w:cs="TimesNewRoman"/>
                <w:sz w:val="20"/>
                <w:lang w:eastAsia="sk-SK"/>
              </w:rPr>
              <w:t>Príloha I</w:t>
            </w:r>
          </w:p>
          <w:p w:rsidR="00E077CA" w:rsidRPr="00F74B61" w:rsidP="00E077CA">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Environmentálne špecifikácie predávaných palív používaných na pohon vozidiel so zážihovým motorom</w:t>
            </w:r>
          </w:p>
        </w:tc>
        <w:tc>
          <w:tcPr>
            <w:tcW w:w="567" w:type="dxa"/>
            <w:tcBorders>
              <w:top w:val="single" w:sz="4" w:space="0" w:color="auto"/>
              <w:bottom w:val="single" w:sz="4" w:space="0" w:color="auto"/>
            </w:tcBorders>
          </w:tcPr>
          <w:p w:rsidR="00E077CA" w:rsidRPr="00F74B61" w:rsidP="00E077CA">
            <w:pPr>
              <w:jc w:val="both"/>
              <w:rPr>
                <w:sz w:val="20"/>
              </w:rPr>
            </w:pPr>
            <w:r w:rsidRPr="00F74B61">
              <w:rPr>
                <w:sz w:val="20"/>
              </w:rPr>
              <w:t>N</w:t>
            </w:r>
          </w:p>
        </w:tc>
        <w:tc>
          <w:tcPr>
            <w:tcW w:w="1276" w:type="dxa"/>
            <w:tcBorders>
              <w:top w:val="single" w:sz="4" w:space="0" w:color="auto"/>
              <w:bottom w:val="single" w:sz="4" w:space="0" w:color="auto"/>
            </w:tcBorders>
          </w:tcPr>
          <w:p w:rsidR="00E077CA" w:rsidRPr="00E02262" w:rsidP="00E077CA">
            <w:pPr>
              <w:jc w:val="center"/>
              <w:rPr>
                <w:sz w:val="20"/>
              </w:rPr>
            </w:pPr>
            <w:r>
              <w:rPr>
                <w:sz w:val="20"/>
              </w:rPr>
              <w:t>NV</w:t>
            </w:r>
          </w:p>
          <w:p w:rsidR="00E077CA" w:rsidRPr="00F74B61" w:rsidP="00E077CA">
            <w:pPr>
              <w:jc w:val="center"/>
              <w:rPr>
                <w:sz w:val="20"/>
              </w:rPr>
            </w:pPr>
          </w:p>
        </w:tc>
        <w:tc>
          <w:tcPr>
            <w:tcW w:w="709" w:type="dxa"/>
            <w:tcBorders>
              <w:top w:val="single" w:sz="4" w:space="0" w:color="auto"/>
              <w:bottom w:val="single" w:sz="4" w:space="0" w:color="auto"/>
            </w:tcBorders>
          </w:tcPr>
          <w:p w:rsidR="00E077CA" w:rsidRPr="00F74B61" w:rsidP="00E077CA">
            <w:pPr>
              <w:pStyle w:val="BodyText21"/>
              <w:spacing w:before="0"/>
            </w:pPr>
            <w:r w:rsidRPr="00F74B61">
              <w:t xml:space="preserve">Príloha </w:t>
            </w:r>
            <w:r>
              <w:t xml:space="preserve">č. </w:t>
            </w:r>
            <w:r w:rsidRPr="00F74B61">
              <w:t>1</w:t>
            </w:r>
          </w:p>
        </w:tc>
        <w:tc>
          <w:tcPr>
            <w:tcW w:w="4110" w:type="dxa"/>
            <w:tcBorders>
              <w:top w:val="single" w:sz="4" w:space="0" w:color="auto"/>
              <w:bottom w:val="single" w:sz="4" w:space="0" w:color="auto"/>
            </w:tcBorders>
          </w:tcPr>
          <w:p w:rsidR="00E077CA" w:rsidRPr="00625A04" w:rsidP="00E077CA">
            <w:pPr>
              <w:jc w:val="both"/>
              <w:rPr>
                <w:sz w:val="20"/>
                <w:lang w:eastAsia="sk-SK"/>
              </w:rPr>
            </w:pPr>
            <w:r w:rsidRPr="00625A04">
              <w:rPr>
                <w:sz w:val="20"/>
                <w:lang w:eastAsia="sk-SK"/>
              </w:rPr>
              <w:t>Príloha č. 1</w:t>
            </w:r>
          </w:p>
          <w:p w:rsidR="00E077CA" w:rsidRPr="00625A04" w:rsidP="00E077CA">
            <w:pPr>
              <w:jc w:val="both"/>
              <w:rPr>
                <w:sz w:val="20"/>
                <w:lang w:eastAsia="sk-SK"/>
              </w:rPr>
            </w:pPr>
            <w:r w:rsidRPr="00625A04">
              <w:rPr>
                <w:sz w:val="20"/>
                <w:lang w:eastAsia="sk-SK"/>
              </w:rPr>
              <w:t xml:space="preserve">Požiadavky na kvalitu automobilového benzínu </w:t>
            </w:r>
          </w:p>
          <w:p w:rsidR="00E077CA" w:rsidRPr="00625A04" w:rsidP="00E077CA">
            <w:pPr>
              <w:jc w:val="both"/>
              <w:rPr>
                <w:sz w:val="20"/>
                <w:lang w:eastAsia="sk-SK"/>
              </w:rPr>
            </w:pPr>
          </w:p>
          <w:tbl>
            <w:tblPr>
              <w:tblStyle w:val="TableNormal"/>
              <w:tblW w:w="400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673"/>
              <w:gridCol w:w="416"/>
              <w:gridCol w:w="491"/>
              <w:gridCol w:w="598"/>
            </w:tblGrid>
            <w:tr w:rsidTr="00830141">
              <w:tblPrEx>
                <w:tblW w:w="400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Ex>
              <w:trPr>
                <w:tblCellSpacing w:w="0" w:type="dxa"/>
                <w:jc w:val="center"/>
              </w:trPr>
              <w:tc>
                <w:tcPr>
                  <w:tcW w:w="2632" w:type="pct"/>
                  <w:vMerge w:val="restart"/>
                  <w:tcBorders>
                    <w:left w:val="nil"/>
                    <w:bottom w:val="single" w:sz="2" w:space="0" w:color="auto"/>
                    <w:right w:val="nil"/>
                  </w:tcBorders>
                  <w:vAlign w:val="center"/>
                </w:tcPr>
                <w:p w:rsidR="00E077CA" w:rsidRPr="00625A04" w:rsidP="00E077CA">
                  <w:pPr>
                    <w:jc w:val="center"/>
                    <w:rPr>
                      <w:b/>
                      <w:sz w:val="16"/>
                      <w:szCs w:val="16"/>
                    </w:rPr>
                  </w:pPr>
                  <w:r w:rsidRPr="00625A04">
                    <w:rPr>
                      <w:b/>
                      <w:bCs/>
                      <w:sz w:val="16"/>
                      <w:szCs w:val="16"/>
                    </w:rPr>
                    <w:t>Parameter</w:t>
                  </w:r>
                  <w:r w:rsidRPr="00625A04">
                    <w:rPr>
                      <w:b/>
                      <w:bCs/>
                      <w:sz w:val="16"/>
                      <w:szCs w:val="16"/>
                      <w:vertAlign w:val="superscript"/>
                    </w:rPr>
                    <w:t>a</w:t>
                  </w:r>
                  <w:r w:rsidRPr="00625A04">
                    <w:rPr>
                      <w:b/>
                      <w:bCs/>
                      <w:sz w:val="16"/>
                      <w:szCs w:val="16"/>
                    </w:rPr>
                    <w:t>)</w:t>
                  </w:r>
                </w:p>
              </w:tc>
              <w:tc>
                <w:tcPr>
                  <w:tcW w:w="655" w:type="pct"/>
                  <w:vMerge w:val="restart"/>
                  <w:tcBorders>
                    <w:left w:val="single" w:sz="2" w:space="0" w:color="auto"/>
                    <w:bottom w:val="single" w:sz="2" w:space="0" w:color="auto"/>
                    <w:right w:val="nil"/>
                  </w:tcBorders>
                  <w:vAlign w:val="center"/>
                </w:tcPr>
                <w:p w:rsidR="00E077CA" w:rsidRPr="00625A04" w:rsidP="00E077CA">
                  <w:pPr>
                    <w:jc w:val="center"/>
                    <w:rPr>
                      <w:b/>
                      <w:sz w:val="16"/>
                      <w:szCs w:val="16"/>
                    </w:rPr>
                  </w:pPr>
                  <w:r w:rsidRPr="00625A04">
                    <w:rPr>
                      <w:b/>
                      <w:bCs/>
                      <w:sz w:val="16"/>
                      <w:szCs w:val="16"/>
                    </w:rPr>
                    <w:t>Jednotka</w:t>
                  </w:r>
                </w:p>
              </w:tc>
              <w:tc>
                <w:tcPr>
                  <w:tcW w:w="1713" w:type="pct"/>
                  <w:gridSpan w:val="2"/>
                  <w:tcBorders>
                    <w:left w:val="single" w:sz="2" w:space="0" w:color="auto"/>
                    <w:bottom w:val="nil"/>
                  </w:tcBorders>
                  <w:vAlign w:val="center"/>
                </w:tcPr>
                <w:p w:rsidR="00E077CA" w:rsidRPr="00625A04" w:rsidP="00E077CA">
                  <w:pPr>
                    <w:jc w:val="center"/>
                    <w:rPr>
                      <w:b/>
                      <w:sz w:val="16"/>
                      <w:szCs w:val="16"/>
                    </w:rPr>
                  </w:pPr>
                  <w:r w:rsidRPr="00625A04">
                    <w:rPr>
                      <w:b/>
                      <w:bCs/>
                      <w:sz w:val="16"/>
                      <w:szCs w:val="16"/>
                    </w:rPr>
                    <w:t>Limity</w:t>
                  </w:r>
                  <w:r w:rsidRPr="00625A04">
                    <w:rPr>
                      <w:b/>
                      <w:bCs/>
                      <w:sz w:val="16"/>
                      <w:szCs w:val="16"/>
                      <w:vertAlign w:val="superscript"/>
                    </w:rPr>
                    <w:t xml:space="preserve"> b</w:t>
                  </w:r>
                  <w:r w:rsidRPr="00625A04">
                    <w:rPr>
                      <w:b/>
                      <w:bCs/>
                      <w:sz w:val="16"/>
                      <w:szCs w:val="16"/>
                    </w:rPr>
                    <w:t>)</w:t>
                  </w:r>
                </w:p>
              </w:tc>
            </w:tr>
            <w:tr w:rsidTr="00830141">
              <w:tblPrEx>
                <w:tblW w:w="4006" w:type="pct"/>
                <w:jc w:val="center"/>
                <w:tblCellSpacing w:w="0" w:type="dxa"/>
                <w:tblLayout w:type="fixed"/>
                <w:tblCellMar>
                  <w:left w:w="0" w:type="dxa"/>
                  <w:right w:w="0" w:type="dxa"/>
                </w:tblCellMar>
                <w:tblLook w:val="0000"/>
              </w:tblPrEx>
              <w:trPr>
                <w:tblCellSpacing w:w="0" w:type="dxa"/>
                <w:jc w:val="center"/>
              </w:trPr>
              <w:tc>
                <w:tcPr>
                  <w:tcW w:w="2632" w:type="pct"/>
                  <w:vMerge/>
                  <w:tcBorders>
                    <w:top w:val="single" w:sz="2" w:space="0" w:color="auto"/>
                    <w:left w:val="nil"/>
                    <w:right w:val="nil"/>
                  </w:tcBorders>
                  <w:vAlign w:val="center"/>
                </w:tcPr>
                <w:p w:rsidR="00E077CA" w:rsidRPr="00625A04" w:rsidP="00E077CA">
                  <w:pPr>
                    <w:jc w:val="center"/>
                    <w:rPr>
                      <w:b/>
                      <w:sz w:val="16"/>
                      <w:szCs w:val="16"/>
                    </w:rPr>
                  </w:pPr>
                </w:p>
              </w:tc>
              <w:tc>
                <w:tcPr>
                  <w:tcW w:w="655" w:type="pct"/>
                  <w:vMerge/>
                  <w:tcBorders>
                    <w:top w:val="single" w:sz="2" w:space="0" w:color="auto"/>
                    <w:left w:val="single" w:sz="2" w:space="0" w:color="auto"/>
                    <w:right w:val="nil"/>
                  </w:tcBorders>
                  <w:vAlign w:val="center"/>
                </w:tcPr>
                <w:p w:rsidR="00E077CA" w:rsidRPr="00625A04" w:rsidP="00E077CA">
                  <w:pPr>
                    <w:jc w:val="center"/>
                    <w:rPr>
                      <w:b/>
                      <w:sz w:val="16"/>
                      <w:szCs w:val="16"/>
                    </w:rPr>
                  </w:pPr>
                </w:p>
              </w:tc>
              <w:tc>
                <w:tcPr>
                  <w:tcW w:w="772" w:type="pct"/>
                  <w:tcBorders>
                    <w:left w:val="single" w:sz="2" w:space="0" w:color="auto"/>
                  </w:tcBorders>
                  <w:vAlign w:val="center"/>
                </w:tcPr>
                <w:p w:rsidR="00E077CA" w:rsidRPr="00625A04" w:rsidP="00E077CA">
                  <w:pPr>
                    <w:jc w:val="center"/>
                    <w:rPr>
                      <w:b/>
                      <w:sz w:val="16"/>
                      <w:szCs w:val="16"/>
                    </w:rPr>
                  </w:pPr>
                  <w:r w:rsidRPr="00625A04">
                    <w:rPr>
                      <w:b/>
                      <w:bCs/>
                      <w:sz w:val="16"/>
                      <w:szCs w:val="16"/>
                    </w:rPr>
                    <w:t>Najmenej</w:t>
                  </w:r>
                </w:p>
              </w:tc>
              <w:tc>
                <w:tcPr>
                  <w:tcW w:w="941" w:type="pct"/>
                  <w:tcBorders>
                    <w:left w:val="nil"/>
                  </w:tcBorders>
                  <w:vAlign w:val="center"/>
                </w:tcPr>
                <w:p w:rsidR="00E077CA" w:rsidRPr="00625A04" w:rsidP="00E077CA">
                  <w:pPr>
                    <w:jc w:val="center"/>
                    <w:rPr>
                      <w:b/>
                      <w:sz w:val="16"/>
                      <w:szCs w:val="16"/>
                    </w:rPr>
                  </w:pPr>
                  <w:r w:rsidRPr="00625A04">
                    <w:rPr>
                      <w:b/>
                      <w:bCs/>
                      <w:sz w:val="16"/>
                      <w:szCs w:val="16"/>
                    </w:rPr>
                    <w:t>Najviac</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5000" w:type="pct"/>
                  <w:gridSpan w:val="4"/>
                  <w:tcBorders>
                    <w:top w:val="single" w:sz="2" w:space="0" w:color="auto"/>
                    <w:left w:val="nil"/>
                  </w:tcBorders>
                  <w:vAlign w:val="center"/>
                </w:tcPr>
                <w:p w:rsidR="00E077CA" w:rsidRPr="00625A04" w:rsidP="00E077CA">
                  <w:pPr>
                    <w:rPr>
                      <w:b/>
                      <w:bCs/>
                      <w:sz w:val="16"/>
                      <w:szCs w:val="16"/>
                    </w:rPr>
                  </w:pPr>
                  <w:r w:rsidRPr="00625A04">
                    <w:rPr>
                      <w:sz w:val="16"/>
                      <w:szCs w:val="16"/>
                    </w:rPr>
                    <w:t>BENZÍN</w:t>
                  </w:r>
                </w:p>
              </w:tc>
            </w:tr>
            <w:tr w:rsidTr="00830141">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Oktánové číslo výskumnou metódou</w:t>
                  </w:r>
                </w:p>
              </w:tc>
              <w:tc>
                <w:tcPr>
                  <w:tcW w:w="655" w:type="pct"/>
                  <w:tcBorders>
                    <w:right w:val="nil"/>
                  </w:tcBorders>
                </w:tcPr>
                <w:p w:rsidR="00E077CA" w:rsidRPr="00625A04" w:rsidP="00E077CA">
                  <w:pPr>
                    <w:rPr>
                      <w:sz w:val="16"/>
                      <w:szCs w:val="16"/>
                    </w:rPr>
                  </w:pPr>
                </w:p>
              </w:tc>
              <w:tc>
                <w:tcPr>
                  <w:tcW w:w="772" w:type="pct"/>
                </w:tcPr>
                <w:p w:rsidR="00E077CA" w:rsidRPr="00625A04" w:rsidP="00E077CA">
                  <w:pPr>
                    <w:jc w:val="center"/>
                    <w:rPr>
                      <w:sz w:val="16"/>
                      <w:szCs w:val="16"/>
                      <w:vertAlign w:val="superscript"/>
                    </w:rPr>
                  </w:pPr>
                  <w:r w:rsidRPr="00625A04">
                    <w:rPr>
                      <w:sz w:val="16"/>
                      <w:szCs w:val="16"/>
                    </w:rPr>
                    <w:t>95</w:t>
                  </w:r>
                </w:p>
              </w:tc>
              <w:tc>
                <w:tcPr>
                  <w:tcW w:w="941" w:type="pct"/>
                  <w:tcBorders>
                    <w:left w:val="nil"/>
                    <w:right w:val="nil"/>
                  </w:tcBorders>
                </w:tcPr>
                <w:p w:rsidR="00E077CA" w:rsidRPr="00625A04" w:rsidP="00E077CA">
                  <w:pPr>
                    <w:jc w:val="center"/>
                    <w:rPr>
                      <w:sz w:val="16"/>
                      <w:szCs w:val="16"/>
                    </w:rPr>
                  </w:pPr>
                </w:p>
              </w:tc>
            </w:tr>
            <w:tr w:rsidTr="00830141">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Oktánové číslo motorovou metódou</w:t>
                  </w:r>
                </w:p>
              </w:tc>
              <w:tc>
                <w:tcPr>
                  <w:tcW w:w="655" w:type="pct"/>
                  <w:tcBorders>
                    <w:right w:val="nil"/>
                  </w:tcBorders>
                </w:tcPr>
                <w:p w:rsidR="00E077CA" w:rsidRPr="00625A04" w:rsidP="00E077CA">
                  <w:pPr>
                    <w:rPr>
                      <w:sz w:val="16"/>
                      <w:szCs w:val="16"/>
                    </w:rPr>
                  </w:pPr>
                </w:p>
              </w:tc>
              <w:tc>
                <w:tcPr>
                  <w:tcW w:w="772" w:type="pct"/>
                </w:tcPr>
                <w:p w:rsidR="00E077CA" w:rsidRPr="00625A04" w:rsidP="00E077CA">
                  <w:pPr>
                    <w:jc w:val="center"/>
                    <w:rPr>
                      <w:sz w:val="16"/>
                      <w:szCs w:val="16"/>
                    </w:rPr>
                  </w:pPr>
                  <w:r w:rsidRPr="00625A04">
                    <w:rPr>
                      <w:sz w:val="16"/>
                      <w:szCs w:val="16"/>
                    </w:rPr>
                    <w:t>85</w:t>
                  </w:r>
                </w:p>
              </w:tc>
              <w:tc>
                <w:tcPr>
                  <w:tcW w:w="941" w:type="pct"/>
                  <w:tcBorders>
                    <w:left w:val="nil"/>
                    <w:right w:val="nil"/>
                  </w:tcBorders>
                </w:tcPr>
                <w:p w:rsidR="00E077CA" w:rsidRPr="00625A04" w:rsidP="00E077CA">
                  <w:pPr>
                    <w:jc w:val="center"/>
                    <w:rPr>
                      <w:sz w:val="16"/>
                      <w:szCs w:val="16"/>
                    </w:rPr>
                  </w:pPr>
                </w:p>
              </w:tc>
            </w:tr>
            <w:tr w:rsidTr="00830141">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bottom w:val="single" w:sz="2" w:space="0" w:color="auto"/>
                    <w:right w:val="nil"/>
                  </w:tcBorders>
                </w:tcPr>
                <w:p w:rsidR="00E077CA" w:rsidRPr="00625A04" w:rsidP="00E077CA">
                  <w:pPr>
                    <w:rPr>
                      <w:sz w:val="16"/>
                      <w:szCs w:val="16"/>
                    </w:rPr>
                  </w:pPr>
                  <w:r w:rsidRPr="00625A04">
                    <w:rPr>
                      <w:sz w:val="16"/>
                      <w:szCs w:val="16"/>
                    </w:rPr>
                    <w:t>Tlak pár pre letné obdobie</w:t>
                  </w:r>
                  <w:r w:rsidRPr="00625A04">
                    <w:rPr>
                      <w:sz w:val="16"/>
                      <w:szCs w:val="16"/>
                      <w:vertAlign w:val="superscript"/>
                    </w:rPr>
                    <w:t>c</w:t>
                  </w:r>
                  <w:r w:rsidRPr="00625A04">
                    <w:rPr>
                      <w:sz w:val="16"/>
                      <w:szCs w:val="16"/>
                    </w:rPr>
                    <w:t>)</w:t>
                  </w:r>
                </w:p>
              </w:tc>
              <w:tc>
                <w:tcPr>
                  <w:tcW w:w="655" w:type="pct"/>
                  <w:tcBorders>
                    <w:bottom w:val="nil"/>
                    <w:right w:val="nil"/>
                  </w:tcBorders>
                </w:tcPr>
                <w:p w:rsidR="00E077CA" w:rsidRPr="00625A04" w:rsidP="00E077CA">
                  <w:pPr>
                    <w:jc w:val="center"/>
                    <w:rPr>
                      <w:sz w:val="16"/>
                      <w:szCs w:val="16"/>
                    </w:rPr>
                  </w:pPr>
                  <w:r w:rsidRPr="00625A04">
                    <w:rPr>
                      <w:sz w:val="16"/>
                      <w:szCs w:val="16"/>
                    </w:rPr>
                    <w:t>kPa</w:t>
                  </w:r>
                </w:p>
              </w:tc>
              <w:tc>
                <w:tcPr>
                  <w:tcW w:w="772" w:type="pct"/>
                  <w:tcBorders>
                    <w:bottom w:val="nil"/>
                  </w:tcBorders>
                </w:tcPr>
                <w:p w:rsidR="00E077CA" w:rsidRPr="00625A04" w:rsidP="00E077CA">
                  <w:pPr>
                    <w:jc w:val="center"/>
                    <w:rPr>
                      <w:sz w:val="16"/>
                      <w:szCs w:val="16"/>
                    </w:rPr>
                  </w:pPr>
                  <w:r w:rsidRPr="00625A04">
                    <w:rPr>
                      <w:sz w:val="16"/>
                      <w:szCs w:val="16"/>
                    </w:rPr>
                    <w:t> </w:t>
                  </w:r>
                </w:p>
              </w:tc>
              <w:tc>
                <w:tcPr>
                  <w:tcW w:w="941" w:type="pct"/>
                  <w:tcBorders>
                    <w:left w:val="nil"/>
                    <w:bottom w:val="nil"/>
                    <w:right w:val="nil"/>
                  </w:tcBorders>
                </w:tcPr>
                <w:p w:rsidR="00E077CA" w:rsidRPr="00625A04" w:rsidP="00E077CA">
                  <w:pPr>
                    <w:jc w:val="center"/>
                    <w:rPr>
                      <w:sz w:val="16"/>
                      <w:szCs w:val="16"/>
                      <w:vertAlign w:val="superscript"/>
                    </w:rPr>
                  </w:pPr>
                  <w:r w:rsidRPr="00625A04">
                    <w:rPr>
                      <w:sz w:val="16"/>
                      <w:szCs w:val="16"/>
                    </w:rPr>
                    <w:t>60,0</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5000" w:type="pct"/>
                  <w:gridSpan w:val="4"/>
                  <w:tcBorders>
                    <w:left w:val="nil"/>
                    <w:bottom w:val="single" w:sz="2" w:space="0" w:color="auto"/>
                    <w:right w:val="nil"/>
                  </w:tcBorders>
                </w:tcPr>
                <w:p w:rsidR="00E077CA" w:rsidRPr="00625A04" w:rsidP="00E077CA">
                  <w:pPr>
                    <w:rPr>
                      <w:sz w:val="16"/>
                      <w:szCs w:val="16"/>
                    </w:rPr>
                  </w:pPr>
                  <w:r w:rsidRPr="00625A04">
                    <w:rPr>
                      <w:sz w:val="16"/>
                      <w:szCs w:val="16"/>
                    </w:rPr>
                    <w:t>Destilácia:</w:t>
                  </w:r>
                </w:p>
              </w:tc>
            </w:tr>
            <w:tr w:rsidTr="00830141">
              <w:tblPrEx>
                <w:tblW w:w="4006" w:type="pct"/>
                <w:jc w:val="center"/>
                <w:tblCellSpacing w:w="0" w:type="dxa"/>
                <w:tblLayout w:type="fixed"/>
                <w:tblCellMar>
                  <w:left w:w="0" w:type="dxa"/>
                  <w:right w:w="0" w:type="dxa"/>
                </w:tblCellMar>
                <w:tblLook w:val="0000"/>
              </w:tblPrEx>
              <w:trPr>
                <w:trHeight w:val="406"/>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odparené percento do 100 °C</w:t>
                  </w:r>
                </w:p>
              </w:tc>
              <w:tc>
                <w:tcPr>
                  <w:tcW w:w="655" w:type="pct"/>
                  <w:vMerge w:val="restart"/>
                  <w:tcBorders>
                    <w:left w:val="single" w:sz="2" w:space="0" w:color="auto"/>
                    <w:right w:val="single" w:sz="2" w:space="0" w:color="auto"/>
                  </w:tcBorders>
                  <w:vAlign w:val="center"/>
                </w:tcPr>
                <w:p w:rsidR="00E077CA" w:rsidRPr="00625A04" w:rsidP="00E077CA">
                  <w:pPr>
                    <w:jc w:val="center"/>
                    <w:rPr>
                      <w:sz w:val="16"/>
                      <w:szCs w:val="16"/>
                    </w:rPr>
                  </w:pPr>
                  <w:r w:rsidRPr="00625A04">
                    <w:rPr>
                      <w:sz w:val="16"/>
                      <w:szCs w:val="16"/>
                    </w:rPr>
                    <w:t>% objemu</w:t>
                  </w:r>
                </w:p>
              </w:tc>
              <w:tc>
                <w:tcPr>
                  <w:tcW w:w="772" w:type="pct"/>
                  <w:tcBorders>
                    <w:left w:val="nil"/>
                    <w:right w:val="nil"/>
                  </w:tcBorders>
                </w:tcPr>
                <w:p w:rsidR="00E077CA" w:rsidRPr="00625A04" w:rsidP="00E077CA">
                  <w:pPr>
                    <w:jc w:val="center"/>
                    <w:rPr>
                      <w:sz w:val="16"/>
                      <w:szCs w:val="16"/>
                    </w:rPr>
                  </w:pPr>
                  <w:r w:rsidRPr="00625A04">
                    <w:rPr>
                      <w:sz w:val="16"/>
                      <w:szCs w:val="16"/>
                    </w:rPr>
                    <w:t>46,0</w:t>
                  </w:r>
                </w:p>
              </w:tc>
              <w:tc>
                <w:tcPr>
                  <w:tcW w:w="941" w:type="pct"/>
                  <w:tcBorders>
                    <w:left w:val="single" w:sz="2" w:space="0" w:color="auto"/>
                    <w:right w:val="single" w:sz="2" w:space="0" w:color="auto"/>
                  </w:tcBorders>
                </w:tcPr>
                <w:p w:rsidR="00E077CA" w:rsidRPr="00625A04" w:rsidP="00E077CA">
                  <w:pPr>
                    <w:spacing w:after="240"/>
                    <w:jc w:val="center"/>
                    <w:rPr>
                      <w:sz w:val="16"/>
                      <w:szCs w:val="16"/>
                    </w:rPr>
                  </w:pPr>
                </w:p>
              </w:tc>
            </w:tr>
            <w:tr w:rsidTr="00830141">
              <w:tblPrEx>
                <w:tblW w:w="4006" w:type="pct"/>
                <w:jc w:val="center"/>
                <w:tblCellSpacing w:w="0" w:type="dxa"/>
                <w:tblLayout w:type="fixed"/>
                <w:tblCellMar>
                  <w:left w:w="0" w:type="dxa"/>
                  <w:right w:w="0" w:type="dxa"/>
                </w:tblCellMar>
                <w:tblLook w:val="0000"/>
              </w:tblPrEx>
              <w:trPr>
                <w:trHeight w:val="385"/>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odparené percento do 150 °C</w:t>
                  </w:r>
                </w:p>
              </w:tc>
              <w:tc>
                <w:tcPr>
                  <w:tcW w:w="655" w:type="pct"/>
                  <w:vMerge/>
                  <w:tcBorders>
                    <w:left w:val="single" w:sz="2" w:space="0" w:color="auto"/>
                    <w:right w:val="single" w:sz="2" w:space="0" w:color="auto"/>
                  </w:tcBorders>
                </w:tcPr>
                <w:p w:rsidR="00E077CA" w:rsidRPr="00625A04" w:rsidP="00E077CA">
                  <w:pPr>
                    <w:jc w:val="center"/>
                    <w:rPr>
                      <w:sz w:val="16"/>
                      <w:szCs w:val="16"/>
                    </w:rPr>
                  </w:pPr>
                </w:p>
              </w:tc>
              <w:tc>
                <w:tcPr>
                  <w:tcW w:w="772" w:type="pct"/>
                  <w:tcBorders>
                    <w:left w:val="nil"/>
                    <w:right w:val="nil"/>
                  </w:tcBorders>
                </w:tcPr>
                <w:p w:rsidR="00E077CA" w:rsidRPr="00625A04" w:rsidP="00E077CA">
                  <w:pPr>
                    <w:jc w:val="center"/>
                    <w:rPr>
                      <w:sz w:val="16"/>
                      <w:szCs w:val="16"/>
                    </w:rPr>
                  </w:pPr>
                  <w:r w:rsidRPr="00625A04">
                    <w:rPr>
                      <w:sz w:val="16"/>
                      <w:szCs w:val="16"/>
                    </w:rPr>
                    <w:t>75,0</w:t>
                  </w:r>
                </w:p>
              </w:tc>
              <w:tc>
                <w:tcPr>
                  <w:tcW w:w="941" w:type="pct"/>
                  <w:tcBorders>
                    <w:left w:val="single" w:sz="2" w:space="0" w:color="auto"/>
                    <w:right w:val="single" w:sz="2" w:space="0" w:color="auto"/>
                  </w:tcBorders>
                </w:tcPr>
                <w:p w:rsidR="00E077CA" w:rsidRPr="00625A04" w:rsidP="00E077CA">
                  <w:pPr>
                    <w:spacing w:after="240"/>
                    <w:jc w:val="center"/>
                    <w:rPr>
                      <w:sz w:val="16"/>
                      <w:szCs w:val="16"/>
                    </w:rPr>
                  </w:pPr>
                </w:p>
              </w:tc>
            </w:tr>
            <w:tr w:rsidTr="00C3333F">
              <w:tblPrEx>
                <w:tblW w:w="4006" w:type="pct"/>
                <w:jc w:val="center"/>
                <w:tblCellSpacing w:w="0" w:type="dxa"/>
                <w:tblLayout w:type="fixed"/>
                <w:tblCellMar>
                  <w:left w:w="0" w:type="dxa"/>
                  <w:right w:w="0" w:type="dxa"/>
                </w:tblCellMar>
                <w:tblLook w:val="0000"/>
              </w:tblPrEx>
              <w:trPr>
                <w:trHeight w:val="356"/>
                <w:tblCellSpacing w:w="0" w:type="dxa"/>
                <w:jc w:val="center"/>
              </w:trPr>
              <w:tc>
                <w:tcPr>
                  <w:tcW w:w="5000" w:type="pct"/>
                  <w:gridSpan w:val="4"/>
                  <w:tcBorders>
                    <w:left w:val="nil"/>
                    <w:right w:val="single" w:sz="2" w:space="0" w:color="auto"/>
                  </w:tcBorders>
                </w:tcPr>
                <w:p w:rsidR="00E077CA" w:rsidRPr="00625A04" w:rsidP="00E077CA">
                  <w:pPr>
                    <w:spacing w:after="240"/>
                    <w:rPr>
                      <w:sz w:val="16"/>
                      <w:szCs w:val="16"/>
                    </w:rPr>
                  </w:pPr>
                  <w:r w:rsidRPr="00625A04">
                    <w:rPr>
                      <w:sz w:val="16"/>
                      <w:szCs w:val="16"/>
                    </w:rPr>
                    <w:t>Obsah uhľovodíkových skupín:</w:t>
                  </w:r>
                </w:p>
              </w:tc>
            </w:tr>
            <w:tr w:rsidTr="00830141">
              <w:tblPrEx>
                <w:tblW w:w="4006" w:type="pct"/>
                <w:jc w:val="center"/>
                <w:tblCellSpacing w:w="0" w:type="dxa"/>
                <w:tblLayout w:type="fixed"/>
                <w:tblCellMar>
                  <w:left w:w="0" w:type="dxa"/>
                  <w:right w:w="0" w:type="dxa"/>
                </w:tblCellMar>
                <w:tblLook w:val="0000"/>
              </w:tblPrEx>
              <w:trPr>
                <w:trHeight w:val="398"/>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olefíny</w:t>
                  </w:r>
                </w:p>
              </w:tc>
              <w:tc>
                <w:tcPr>
                  <w:tcW w:w="655" w:type="pct"/>
                  <w:vMerge w:val="restart"/>
                  <w:tcBorders>
                    <w:left w:val="single" w:sz="2" w:space="0" w:color="auto"/>
                    <w:right w:val="nil"/>
                  </w:tcBorders>
                  <w:vAlign w:val="center"/>
                </w:tcPr>
                <w:p w:rsidR="00E077CA" w:rsidRPr="00625A04" w:rsidP="00E077CA">
                  <w:pPr>
                    <w:jc w:val="center"/>
                    <w:rPr>
                      <w:sz w:val="16"/>
                      <w:szCs w:val="16"/>
                    </w:rPr>
                  </w:pPr>
                  <w:r w:rsidRPr="00625A04">
                    <w:rPr>
                      <w:sz w:val="16"/>
                      <w:szCs w:val="16"/>
                    </w:rPr>
                    <w:t>% objemu</w:t>
                  </w:r>
                </w:p>
              </w:tc>
              <w:tc>
                <w:tcPr>
                  <w:tcW w:w="772" w:type="pct"/>
                  <w:tcBorders>
                    <w:left w:val="single" w:sz="2" w:space="0" w:color="auto"/>
                    <w:right w:val="single" w:sz="2" w:space="0" w:color="auto"/>
                  </w:tcBorders>
                </w:tcPr>
                <w:p w:rsidR="00E077CA" w:rsidRPr="00625A04" w:rsidP="00E077CA">
                  <w:pPr>
                    <w:spacing w:after="240"/>
                    <w:jc w:val="center"/>
                    <w:rPr>
                      <w:sz w:val="16"/>
                      <w:szCs w:val="16"/>
                    </w:rPr>
                  </w:pPr>
                </w:p>
              </w:tc>
              <w:tc>
                <w:tcPr>
                  <w:tcW w:w="941" w:type="pct"/>
                  <w:tcBorders>
                    <w:left w:val="nil"/>
                    <w:right w:val="nil"/>
                  </w:tcBorders>
                </w:tcPr>
                <w:p w:rsidR="00E077CA" w:rsidRPr="00625A04" w:rsidP="00E077CA">
                  <w:pPr>
                    <w:jc w:val="center"/>
                    <w:rPr>
                      <w:sz w:val="16"/>
                      <w:szCs w:val="16"/>
                    </w:rPr>
                  </w:pPr>
                  <w:r w:rsidRPr="00625A04">
                    <w:rPr>
                      <w:sz w:val="16"/>
                      <w:szCs w:val="16"/>
                    </w:rPr>
                    <w:t>18,0</w:t>
                  </w:r>
                </w:p>
              </w:tc>
            </w:tr>
            <w:tr w:rsidTr="00830141">
              <w:tblPrEx>
                <w:tblW w:w="4006" w:type="pct"/>
                <w:jc w:val="center"/>
                <w:tblCellSpacing w:w="0" w:type="dxa"/>
                <w:tblLayout w:type="fixed"/>
                <w:tblCellMar>
                  <w:left w:w="0" w:type="dxa"/>
                  <w:right w:w="0" w:type="dxa"/>
                </w:tblCellMar>
                <w:tblLook w:val="0000"/>
              </w:tblPrEx>
              <w:trPr>
                <w:trHeight w:val="378"/>
                <w:tblCellSpacing w:w="0" w:type="dxa"/>
                <w:jc w:val="center"/>
              </w:trPr>
              <w:tc>
                <w:tcPr>
                  <w:tcW w:w="2632" w:type="pct"/>
                  <w:tcBorders>
                    <w:top w:val="single" w:sz="2" w:space="0" w:color="auto"/>
                    <w:left w:val="nil"/>
                    <w:right w:val="nil"/>
                  </w:tcBorders>
                </w:tcPr>
                <w:p w:rsidR="00E077CA" w:rsidRPr="00625A04" w:rsidP="00E077CA">
                  <w:pPr>
                    <w:rPr>
                      <w:sz w:val="16"/>
                      <w:szCs w:val="16"/>
                    </w:rPr>
                  </w:pPr>
                  <w:r w:rsidRPr="00625A04">
                    <w:rPr>
                      <w:sz w:val="16"/>
                      <w:szCs w:val="16"/>
                    </w:rPr>
                    <w:t>aromáty</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top w:val="single" w:sz="2" w:space="0" w:color="auto"/>
                    <w:left w:val="single" w:sz="2" w:space="0" w:color="auto"/>
                  </w:tcBorders>
                </w:tcPr>
                <w:p w:rsidR="00E077CA" w:rsidRPr="00625A04" w:rsidP="00E077CA">
                  <w:pPr>
                    <w:spacing w:after="240"/>
                    <w:jc w:val="center"/>
                    <w:rPr>
                      <w:sz w:val="16"/>
                      <w:szCs w:val="16"/>
                    </w:rPr>
                  </w:pPr>
                </w:p>
              </w:tc>
              <w:tc>
                <w:tcPr>
                  <w:tcW w:w="941" w:type="pct"/>
                  <w:tcBorders>
                    <w:top w:val="single" w:sz="2" w:space="0" w:color="auto"/>
                    <w:left w:val="nil"/>
                    <w:right w:val="nil"/>
                  </w:tcBorders>
                </w:tcPr>
                <w:p w:rsidR="00E077CA" w:rsidRPr="00625A04" w:rsidP="00E077CA">
                  <w:pPr>
                    <w:jc w:val="center"/>
                    <w:rPr>
                      <w:sz w:val="16"/>
                      <w:szCs w:val="16"/>
                    </w:rPr>
                  </w:pPr>
                  <w:r w:rsidRPr="00625A04">
                    <w:rPr>
                      <w:sz w:val="16"/>
                      <w:szCs w:val="16"/>
                    </w:rPr>
                    <w:t>35,0</w:t>
                  </w:r>
                </w:p>
              </w:tc>
            </w:tr>
            <w:tr w:rsidTr="00830141">
              <w:tblPrEx>
                <w:tblW w:w="4006" w:type="pct"/>
                <w:jc w:val="center"/>
                <w:tblCellSpacing w:w="0" w:type="dxa"/>
                <w:tblLayout w:type="fixed"/>
                <w:tblCellMar>
                  <w:left w:w="0" w:type="dxa"/>
                  <w:right w:w="0" w:type="dxa"/>
                </w:tblCellMar>
                <w:tblLook w:val="0000"/>
              </w:tblPrEx>
              <w:trPr>
                <w:trHeight w:val="372"/>
                <w:tblCellSpacing w:w="0" w:type="dxa"/>
                <w:jc w:val="center"/>
              </w:trPr>
              <w:tc>
                <w:tcPr>
                  <w:tcW w:w="2632" w:type="pct"/>
                  <w:tcBorders>
                    <w:top w:val="single" w:sz="2" w:space="0" w:color="auto"/>
                    <w:left w:val="nil"/>
                    <w:right w:val="nil"/>
                  </w:tcBorders>
                </w:tcPr>
                <w:p w:rsidR="00E077CA" w:rsidRPr="00625A04" w:rsidP="00E077CA">
                  <w:pPr>
                    <w:rPr>
                      <w:sz w:val="16"/>
                      <w:szCs w:val="16"/>
                    </w:rPr>
                  </w:pPr>
                  <w:r w:rsidRPr="00625A04">
                    <w:rPr>
                      <w:sz w:val="16"/>
                      <w:szCs w:val="16"/>
                    </w:rPr>
                    <w:t>benzén</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top w:val="single" w:sz="2" w:space="0" w:color="auto"/>
                    <w:left w:val="single" w:sz="2" w:space="0" w:color="auto"/>
                  </w:tcBorders>
                </w:tcPr>
                <w:p w:rsidR="00E077CA" w:rsidRPr="00625A04" w:rsidP="00E077CA">
                  <w:pPr>
                    <w:spacing w:after="240"/>
                    <w:jc w:val="center"/>
                    <w:rPr>
                      <w:sz w:val="16"/>
                      <w:szCs w:val="16"/>
                    </w:rPr>
                  </w:pPr>
                </w:p>
              </w:tc>
              <w:tc>
                <w:tcPr>
                  <w:tcW w:w="941" w:type="pct"/>
                  <w:tcBorders>
                    <w:top w:val="single" w:sz="2" w:space="0" w:color="auto"/>
                    <w:left w:val="nil"/>
                    <w:right w:val="nil"/>
                  </w:tcBorders>
                </w:tcPr>
                <w:p w:rsidR="00E077CA" w:rsidRPr="00625A04" w:rsidP="00E077CA">
                  <w:pPr>
                    <w:jc w:val="center"/>
                    <w:rPr>
                      <w:sz w:val="16"/>
                      <w:szCs w:val="16"/>
                    </w:rPr>
                  </w:pPr>
                  <w:r w:rsidRPr="00625A04">
                    <w:rPr>
                      <w:sz w:val="16"/>
                      <w:szCs w:val="16"/>
                    </w:rPr>
                    <w:t>1,0</w:t>
                  </w:r>
                </w:p>
              </w:tc>
            </w:tr>
            <w:tr w:rsidTr="00830141">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bottom w:val="nil"/>
                    <w:right w:val="nil"/>
                  </w:tcBorders>
                </w:tcPr>
                <w:p w:rsidR="00E077CA" w:rsidRPr="00625A04" w:rsidP="00E077CA">
                  <w:pPr>
                    <w:rPr>
                      <w:sz w:val="16"/>
                      <w:szCs w:val="16"/>
                    </w:rPr>
                  </w:pPr>
                  <w:r w:rsidRPr="00625A04">
                    <w:rPr>
                      <w:sz w:val="16"/>
                      <w:szCs w:val="16"/>
                    </w:rPr>
                    <w:t>Obsah kyslíka</w:t>
                  </w:r>
                </w:p>
              </w:tc>
              <w:tc>
                <w:tcPr>
                  <w:tcW w:w="655" w:type="pct"/>
                  <w:tcBorders>
                    <w:bottom w:val="nil"/>
                  </w:tcBorders>
                </w:tcPr>
                <w:p w:rsidR="00E077CA" w:rsidRPr="00625A04" w:rsidP="00E077CA">
                  <w:pPr>
                    <w:jc w:val="center"/>
                    <w:rPr>
                      <w:sz w:val="16"/>
                      <w:szCs w:val="16"/>
                    </w:rPr>
                  </w:pPr>
                  <w:r w:rsidRPr="00625A04">
                    <w:rPr>
                      <w:sz w:val="16"/>
                      <w:szCs w:val="16"/>
                    </w:rPr>
                    <w:t>% hmotnosti</w:t>
                  </w:r>
                </w:p>
              </w:tc>
              <w:tc>
                <w:tcPr>
                  <w:tcW w:w="772" w:type="pct"/>
                  <w:tcBorders>
                    <w:left w:val="nil"/>
                    <w:bottom w:val="nil"/>
                  </w:tcBorders>
                </w:tcPr>
                <w:p w:rsidR="00E077CA" w:rsidRPr="00625A04" w:rsidP="00E077CA">
                  <w:pPr>
                    <w:jc w:val="center"/>
                    <w:rPr>
                      <w:sz w:val="16"/>
                      <w:szCs w:val="16"/>
                    </w:rPr>
                  </w:pPr>
                </w:p>
              </w:tc>
              <w:tc>
                <w:tcPr>
                  <w:tcW w:w="941" w:type="pct"/>
                  <w:tcBorders>
                    <w:left w:val="nil"/>
                    <w:bottom w:val="nil"/>
                    <w:right w:val="nil"/>
                  </w:tcBorders>
                </w:tcPr>
                <w:p w:rsidR="00E077CA" w:rsidRPr="00625A04" w:rsidP="00E077CA">
                  <w:pPr>
                    <w:jc w:val="center"/>
                    <w:rPr>
                      <w:sz w:val="16"/>
                      <w:szCs w:val="16"/>
                    </w:rPr>
                  </w:pPr>
                  <w:r w:rsidRPr="00625A04">
                    <w:rPr>
                      <w:sz w:val="16"/>
                      <w:szCs w:val="16"/>
                    </w:rPr>
                    <w:t>3,7</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5000" w:type="pct"/>
                  <w:gridSpan w:val="4"/>
                  <w:tcBorders>
                    <w:left w:val="nil"/>
                    <w:bottom w:val="nil"/>
                    <w:right w:val="nil"/>
                  </w:tcBorders>
                </w:tcPr>
                <w:p w:rsidR="00E077CA" w:rsidRPr="00625A04" w:rsidP="00E077CA">
                  <w:pPr>
                    <w:rPr>
                      <w:sz w:val="16"/>
                      <w:szCs w:val="16"/>
                    </w:rPr>
                  </w:pPr>
                  <w:r w:rsidRPr="00625A04">
                    <w:rPr>
                      <w:sz w:val="16"/>
                      <w:szCs w:val="16"/>
                    </w:rPr>
                    <w:t>Obsah kyslíkatých zlúčenín:</w:t>
                  </w:r>
                </w:p>
              </w:tc>
            </w:tr>
            <w:tr w:rsidTr="00830141">
              <w:tblPrEx>
                <w:tblW w:w="4006" w:type="pct"/>
                <w:jc w:val="center"/>
                <w:tblCellSpacing w:w="0" w:type="dxa"/>
                <w:tblLayout w:type="fixed"/>
                <w:tblCellMar>
                  <w:left w:w="0" w:type="dxa"/>
                  <w:right w:w="0" w:type="dxa"/>
                </w:tblCellMar>
                <w:tblLook w:val="0000"/>
              </w:tblPrEx>
              <w:trPr>
                <w:cantSplit/>
                <w:tblCellSpacing w:w="0" w:type="dxa"/>
                <w:jc w:val="center"/>
              </w:trPr>
              <w:tc>
                <w:tcPr>
                  <w:tcW w:w="2632" w:type="pct"/>
                  <w:tcBorders>
                    <w:left w:val="nil"/>
                    <w:bottom w:val="single" w:sz="2" w:space="0" w:color="auto"/>
                    <w:right w:val="nil"/>
                  </w:tcBorders>
                </w:tcPr>
                <w:p w:rsidR="00E077CA" w:rsidRPr="00625A04" w:rsidP="00E077CA">
                  <w:pPr>
                    <w:rPr>
                      <w:sz w:val="16"/>
                      <w:szCs w:val="16"/>
                    </w:rPr>
                  </w:pPr>
                  <w:r w:rsidRPr="00625A04">
                    <w:rPr>
                      <w:sz w:val="16"/>
                      <w:szCs w:val="16"/>
                    </w:rPr>
                    <w:t>metanol</w:t>
                  </w:r>
                </w:p>
              </w:tc>
              <w:tc>
                <w:tcPr>
                  <w:tcW w:w="655" w:type="pct"/>
                  <w:vMerge w:val="restart"/>
                  <w:tcBorders>
                    <w:left w:val="single" w:sz="2" w:space="0" w:color="auto"/>
                    <w:right w:val="nil"/>
                  </w:tcBorders>
                  <w:vAlign w:val="center"/>
                </w:tcPr>
                <w:p w:rsidR="00E077CA" w:rsidRPr="00625A04" w:rsidP="00E077CA">
                  <w:pPr>
                    <w:jc w:val="center"/>
                    <w:rPr>
                      <w:sz w:val="16"/>
                      <w:szCs w:val="16"/>
                    </w:rPr>
                  </w:pPr>
                  <w:r w:rsidRPr="00625A04">
                    <w:rPr>
                      <w:sz w:val="16"/>
                      <w:szCs w:val="16"/>
                    </w:rPr>
                    <w:t>% objemu</w:t>
                  </w:r>
                </w:p>
              </w:tc>
              <w:tc>
                <w:tcPr>
                  <w:tcW w:w="772" w:type="pct"/>
                  <w:tcBorders>
                    <w:left w:val="single" w:sz="2" w:space="0" w:color="auto"/>
                    <w:bottom w:val="single" w:sz="2" w:space="0" w:color="auto"/>
                    <w:right w:val="single" w:sz="2" w:space="0" w:color="auto"/>
                  </w:tcBorders>
                </w:tcPr>
                <w:p w:rsidR="00E077CA" w:rsidRPr="00625A04" w:rsidP="00E077CA">
                  <w:pPr>
                    <w:spacing w:after="240"/>
                    <w:jc w:val="center"/>
                    <w:rPr>
                      <w:sz w:val="16"/>
                      <w:szCs w:val="16"/>
                    </w:rPr>
                  </w:pPr>
                </w:p>
              </w:tc>
              <w:tc>
                <w:tcPr>
                  <w:tcW w:w="941" w:type="pct"/>
                  <w:tcBorders>
                    <w:left w:val="nil"/>
                    <w:bottom w:val="single" w:sz="2" w:space="0" w:color="auto"/>
                    <w:right w:val="nil"/>
                  </w:tcBorders>
                </w:tcPr>
                <w:p w:rsidR="00E077CA" w:rsidRPr="00625A04" w:rsidP="00E077CA">
                  <w:pPr>
                    <w:jc w:val="center"/>
                    <w:rPr>
                      <w:sz w:val="16"/>
                      <w:szCs w:val="16"/>
                    </w:rPr>
                  </w:pPr>
                  <w:r w:rsidRPr="00625A04">
                    <w:rPr>
                      <w:sz w:val="16"/>
                      <w:szCs w:val="16"/>
                    </w:rPr>
                    <w:t>3,0</w:t>
                  </w:r>
                </w:p>
              </w:tc>
            </w:tr>
            <w:tr w:rsidTr="00830141">
              <w:tblPrEx>
                <w:tblW w:w="4006" w:type="pct"/>
                <w:jc w:val="center"/>
                <w:tblCellSpacing w:w="0" w:type="dxa"/>
                <w:tblLayout w:type="fixed"/>
                <w:tblCellMar>
                  <w:left w:w="0" w:type="dxa"/>
                  <w:right w:w="0" w:type="dxa"/>
                </w:tblCellMar>
                <w:tblLook w:val="0000"/>
              </w:tblPrEx>
              <w:trPr>
                <w:cantSplit/>
                <w:tblCellSpacing w:w="0" w:type="dxa"/>
                <w:jc w:val="center"/>
              </w:trPr>
              <w:tc>
                <w:tcPr>
                  <w:tcW w:w="2632" w:type="pct"/>
                  <w:tcBorders>
                    <w:left w:val="nil"/>
                    <w:bottom w:val="single" w:sz="2" w:space="0" w:color="auto"/>
                    <w:right w:val="nil"/>
                  </w:tcBorders>
                </w:tcPr>
                <w:p w:rsidR="00E077CA" w:rsidRPr="00625A04" w:rsidP="00E077CA">
                  <w:pPr>
                    <w:rPr>
                      <w:sz w:val="16"/>
                      <w:szCs w:val="16"/>
                    </w:rPr>
                  </w:pPr>
                  <w:r w:rsidRPr="00625A04">
                    <w:rPr>
                      <w:sz w:val="16"/>
                      <w:szCs w:val="16"/>
                    </w:rPr>
                    <w:t>etanol (môžu sa pridať stabilizátory)</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left w:val="single" w:sz="2" w:space="0" w:color="auto"/>
                    <w:bottom w:val="single" w:sz="2" w:space="0" w:color="auto"/>
                  </w:tcBorders>
                </w:tcPr>
                <w:p w:rsidR="00E077CA" w:rsidRPr="00625A04" w:rsidP="00E077CA">
                  <w:pPr>
                    <w:spacing w:after="240"/>
                    <w:jc w:val="center"/>
                    <w:rPr>
                      <w:sz w:val="16"/>
                      <w:szCs w:val="16"/>
                    </w:rPr>
                  </w:pPr>
                </w:p>
              </w:tc>
              <w:tc>
                <w:tcPr>
                  <w:tcW w:w="941" w:type="pct"/>
                  <w:tcBorders>
                    <w:left w:val="nil"/>
                    <w:bottom w:val="single" w:sz="2" w:space="0" w:color="auto"/>
                    <w:right w:val="nil"/>
                  </w:tcBorders>
                </w:tcPr>
                <w:p w:rsidR="00E077CA" w:rsidRPr="00625A04" w:rsidP="00E077CA">
                  <w:pPr>
                    <w:jc w:val="center"/>
                    <w:rPr>
                      <w:sz w:val="16"/>
                      <w:szCs w:val="16"/>
                    </w:rPr>
                  </w:pPr>
                  <w:r w:rsidRPr="00625A04">
                    <w:rPr>
                      <w:sz w:val="16"/>
                      <w:szCs w:val="16"/>
                    </w:rPr>
                    <w:t>10,0</w:t>
                  </w:r>
                </w:p>
              </w:tc>
            </w:tr>
            <w:tr w:rsidTr="00C3333F">
              <w:tblPrEx>
                <w:tblW w:w="4006" w:type="pct"/>
                <w:jc w:val="center"/>
                <w:tblCellSpacing w:w="0" w:type="dxa"/>
                <w:tblLayout w:type="fixed"/>
                <w:tblCellMar>
                  <w:left w:w="0" w:type="dxa"/>
                  <w:right w:w="0" w:type="dxa"/>
                </w:tblCellMar>
                <w:tblLook w:val="0000"/>
              </w:tblPrEx>
              <w:trPr>
                <w:trHeight w:val="297"/>
                <w:tblCellSpacing w:w="0" w:type="dxa"/>
                <w:jc w:val="center"/>
              </w:trPr>
              <w:tc>
                <w:tcPr>
                  <w:tcW w:w="2632" w:type="pct"/>
                  <w:tcBorders>
                    <w:left w:val="nil"/>
                    <w:bottom w:val="single" w:sz="2" w:space="0" w:color="auto"/>
                    <w:right w:val="nil"/>
                  </w:tcBorders>
                </w:tcPr>
                <w:p w:rsidR="00E077CA" w:rsidRPr="00625A04" w:rsidP="00E077CA">
                  <w:pPr>
                    <w:rPr>
                      <w:sz w:val="16"/>
                      <w:szCs w:val="16"/>
                    </w:rPr>
                  </w:pPr>
                  <w:r w:rsidRPr="00625A04">
                    <w:rPr>
                      <w:sz w:val="16"/>
                      <w:szCs w:val="16"/>
                    </w:rPr>
                    <w:t>izo-propylalkohol</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left w:val="single" w:sz="2" w:space="0" w:color="auto"/>
                    <w:bottom w:val="single" w:sz="2" w:space="0" w:color="auto"/>
                  </w:tcBorders>
                </w:tcPr>
                <w:p w:rsidR="00E077CA" w:rsidRPr="00625A04" w:rsidP="00E077CA">
                  <w:pPr>
                    <w:spacing w:after="240"/>
                    <w:jc w:val="center"/>
                    <w:rPr>
                      <w:sz w:val="16"/>
                      <w:szCs w:val="16"/>
                    </w:rPr>
                  </w:pPr>
                </w:p>
              </w:tc>
              <w:tc>
                <w:tcPr>
                  <w:tcW w:w="941" w:type="pct"/>
                  <w:tcBorders>
                    <w:left w:val="nil"/>
                    <w:bottom w:val="single" w:sz="2" w:space="0" w:color="auto"/>
                    <w:right w:val="nil"/>
                  </w:tcBorders>
                </w:tcPr>
                <w:p w:rsidR="00E077CA" w:rsidRPr="00625A04" w:rsidP="00E077CA">
                  <w:pPr>
                    <w:jc w:val="center"/>
                    <w:rPr>
                      <w:sz w:val="16"/>
                      <w:szCs w:val="16"/>
                    </w:rPr>
                  </w:pPr>
                  <w:r w:rsidRPr="00625A04">
                    <w:rPr>
                      <w:sz w:val="16"/>
                      <w:szCs w:val="16"/>
                    </w:rPr>
                    <w:t>12,0</w:t>
                  </w:r>
                </w:p>
              </w:tc>
            </w:tr>
            <w:tr w:rsidTr="00C3333F">
              <w:tblPrEx>
                <w:tblW w:w="4006" w:type="pct"/>
                <w:jc w:val="center"/>
                <w:tblCellSpacing w:w="0" w:type="dxa"/>
                <w:tblLayout w:type="fixed"/>
                <w:tblCellMar>
                  <w:left w:w="0" w:type="dxa"/>
                  <w:right w:w="0" w:type="dxa"/>
                </w:tblCellMar>
                <w:tblLook w:val="0000"/>
              </w:tblPrEx>
              <w:trPr>
                <w:trHeight w:val="475"/>
                <w:tblCellSpacing w:w="0" w:type="dxa"/>
                <w:jc w:val="center"/>
              </w:trPr>
              <w:tc>
                <w:tcPr>
                  <w:tcW w:w="2632" w:type="pct"/>
                  <w:tcBorders>
                    <w:left w:val="nil"/>
                    <w:bottom w:val="single" w:sz="2" w:space="0" w:color="auto"/>
                    <w:right w:val="nil"/>
                  </w:tcBorders>
                </w:tcPr>
                <w:p w:rsidR="00E077CA" w:rsidRPr="00625A04" w:rsidP="00E077CA">
                  <w:pPr>
                    <w:rPr>
                      <w:sz w:val="16"/>
                      <w:szCs w:val="16"/>
                    </w:rPr>
                  </w:pPr>
                  <w:r w:rsidRPr="00625A04">
                    <w:rPr>
                      <w:sz w:val="16"/>
                      <w:szCs w:val="16"/>
                    </w:rPr>
                    <w:t>terc-butylalkohol</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left w:val="single" w:sz="2" w:space="0" w:color="auto"/>
                    <w:bottom w:val="single" w:sz="2" w:space="0" w:color="auto"/>
                  </w:tcBorders>
                </w:tcPr>
                <w:p w:rsidR="00E077CA" w:rsidRPr="00625A04" w:rsidP="00E077CA">
                  <w:pPr>
                    <w:spacing w:after="240"/>
                    <w:jc w:val="center"/>
                    <w:rPr>
                      <w:sz w:val="16"/>
                      <w:szCs w:val="16"/>
                    </w:rPr>
                  </w:pPr>
                </w:p>
              </w:tc>
              <w:tc>
                <w:tcPr>
                  <w:tcW w:w="941" w:type="pct"/>
                  <w:tcBorders>
                    <w:left w:val="nil"/>
                    <w:bottom w:val="single" w:sz="2" w:space="0" w:color="auto"/>
                    <w:right w:val="nil"/>
                  </w:tcBorders>
                </w:tcPr>
                <w:p w:rsidR="00E077CA" w:rsidRPr="00625A04" w:rsidP="00E077CA">
                  <w:pPr>
                    <w:jc w:val="center"/>
                    <w:rPr>
                      <w:sz w:val="16"/>
                      <w:szCs w:val="16"/>
                    </w:rPr>
                  </w:pPr>
                  <w:r w:rsidRPr="00625A04">
                    <w:rPr>
                      <w:sz w:val="16"/>
                      <w:szCs w:val="16"/>
                    </w:rPr>
                    <w:t>15,0</w:t>
                  </w:r>
                </w:p>
              </w:tc>
            </w:tr>
            <w:tr w:rsidTr="00C3333F">
              <w:tblPrEx>
                <w:tblW w:w="4006" w:type="pct"/>
                <w:jc w:val="center"/>
                <w:tblCellSpacing w:w="0" w:type="dxa"/>
                <w:tblLayout w:type="fixed"/>
                <w:tblCellMar>
                  <w:left w:w="0" w:type="dxa"/>
                  <w:right w:w="0" w:type="dxa"/>
                </w:tblCellMar>
                <w:tblLook w:val="0000"/>
              </w:tblPrEx>
              <w:trPr>
                <w:trHeight w:val="355"/>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izo-butylalkohol</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left w:val="single" w:sz="2" w:space="0" w:color="auto"/>
                    <w:right w:val="single" w:sz="2" w:space="0" w:color="auto"/>
                  </w:tcBorders>
                </w:tcPr>
                <w:p w:rsidR="00E077CA" w:rsidRPr="00625A04" w:rsidP="00E077CA">
                  <w:pPr>
                    <w:spacing w:after="240"/>
                    <w:jc w:val="center"/>
                    <w:rPr>
                      <w:sz w:val="16"/>
                      <w:szCs w:val="16"/>
                    </w:rPr>
                  </w:pPr>
                </w:p>
              </w:tc>
              <w:tc>
                <w:tcPr>
                  <w:tcW w:w="941" w:type="pct"/>
                  <w:tcBorders>
                    <w:left w:val="nil"/>
                    <w:right w:val="nil"/>
                  </w:tcBorders>
                </w:tcPr>
                <w:p w:rsidR="00E077CA" w:rsidRPr="00625A04" w:rsidP="00E077CA">
                  <w:pPr>
                    <w:jc w:val="center"/>
                    <w:rPr>
                      <w:sz w:val="16"/>
                      <w:szCs w:val="16"/>
                    </w:rPr>
                  </w:pPr>
                  <w:r w:rsidRPr="00625A04">
                    <w:rPr>
                      <w:sz w:val="16"/>
                      <w:szCs w:val="16"/>
                    </w:rPr>
                    <w:t>15,0</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bottom w:val="nil"/>
                    <w:right w:val="nil"/>
                  </w:tcBorders>
                </w:tcPr>
                <w:p w:rsidR="00E077CA" w:rsidRPr="00625A04" w:rsidP="00E077CA">
                  <w:pPr>
                    <w:rPr>
                      <w:sz w:val="16"/>
                      <w:szCs w:val="16"/>
                    </w:rPr>
                  </w:pPr>
                  <w:r w:rsidRPr="00625A04">
                    <w:rPr>
                      <w:sz w:val="16"/>
                      <w:szCs w:val="16"/>
                    </w:rPr>
                    <w:t>étery, obsahujúce 5 a viac atómov uhlíka v molekule</w:t>
                  </w:r>
                </w:p>
              </w:tc>
              <w:tc>
                <w:tcPr>
                  <w:tcW w:w="655" w:type="pct"/>
                  <w:vMerge/>
                  <w:tcBorders>
                    <w:top w:val="single" w:sz="2" w:space="0" w:color="auto"/>
                    <w:left w:val="single" w:sz="2" w:space="0" w:color="auto"/>
                    <w:right w:val="nil"/>
                  </w:tcBorders>
                </w:tcPr>
                <w:p w:rsidR="00E077CA" w:rsidRPr="00625A04" w:rsidP="00E077CA">
                  <w:pPr>
                    <w:jc w:val="center"/>
                    <w:rPr>
                      <w:sz w:val="16"/>
                      <w:szCs w:val="16"/>
                    </w:rPr>
                  </w:pPr>
                </w:p>
              </w:tc>
              <w:tc>
                <w:tcPr>
                  <w:tcW w:w="772" w:type="pct"/>
                  <w:tcBorders>
                    <w:left w:val="single" w:sz="4" w:space="0" w:color="auto"/>
                    <w:right w:val="nil"/>
                  </w:tcBorders>
                </w:tcPr>
                <w:p w:rsidR="00E077CA" w:rsidRPr="00625A04" w:rsidP="00E077CA">
                  <w:pPr>
                    <w:spacing w:after="240"/>
                    <w:jc w:val="center"/>
                    <w:rPr>
                      <w:sz w:val="16"/>
                      <w:szCs w:val="16"/>
                    </w:rPr>
                  </w:pPr>
                </w:p>
              </w:tc>
              <w:tc>
                <w:tcPr>
                  <w:tcW w:w="941" w:type="pct"/>
                  <w:tcBorders>
                    <w:right w:val="single" w:sz="2" w:space="0" w:color="auto"/>
                  </w:tcBorders>
                </w:tcPr>
                <w:p w:rsidR="00E077CA" w:rsidRPr="00625A04" w:rsidP="00E077CA">
                  <w:pPr>
                    <w:jc w:val="center"/>
                    <w:rPr>
                      <w:sz w:val="16"/>
                      <w:szCs w:val="16"/>
                    </w:rPr>
                  </w:pPr>
                  <w:r w:rsidRPr="00625A04">
                    <w:rPr>
                      <w:sz w:val="16"/>
                      <w:szCs w:val="16"/>
                    </w:rPr>
                    <w:t>22,0</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bottom w:val="nil"/>
                    <w:right w:val="nil"/>
                  </w:tcBorders>
                </w:tcPr>
                <w:p w:rsidR="00E077CA" w:rsidRPr="00625A04" w:rsidP="00E077CA">
                  <w:pPr>
                    <w:rPr>
                      <w:sz w:val="16"/>
                      <w:szCs w:val="16"/>
                    </w:rPr>
                  </w:pPr>
                  <w:r w:rsidRPr="00625A04">
                    <w:rPr>
                      <w:sz w:val="16"/>
                      <w:szCs w:val="16"/>
                    </w:rPr>
                    <w:t>Iné kyslíkaté zlúčeniny</w:t>
                  </w:r>
                  <w:r w:rsidRPr="00625A04">
                    <w:rPr>
                      <w:sz w:val="16"/>
                      <w:szCs w:val="16"/>
                      <w:vertAlign w:val="superscript"/>
                    </w:rPr>
                    <w:t>d</w:t>
                  </w:r>
                  <w:r w:rsidRPr="00625A04">
                    <w:rPr>
                      <w:sz w:val="16"/>
                      <w:szCs w:val="16"/>
                    </w:rPr>
                    <w:t>)</w:t>
                  </w:r>
                </w:p>
              </w:tc>
              <w:tc>
                <w:tcPr>
                  <w:tcW w:w="655" w:type="pct"/>
                  <w:tcBorders>
                    <w:right w:val="nil"/>
                  </w:tcBorders>
                  <w:vAlign w:val="center"/>
                </w:tcPr>
                <w:p w:rsidR="00E077CA" w:rsidRPr="00625A04" w:rsidP="00E077CA">
                  <w:pPr>
                    <w:jc w:val="center"/>
                    <w:rPr>
                      <w:sz w:val="16"/>
                      <w:szCs w:val="16"/>
                    </w:rPr>
                  </w:pPr>
                  <w:r w:rsidRPr="00625A04">
                    <w:rPr>
                      <w:sz w:val="16"/>
                      <w:szCs w:val="16"/>
                    </w:rPr>
                    <w:t>% objemu</w:t>
                  </w:r>
                </w:p>
              </w:tc>
              <w:tc>
                <w:tcPr>
                  <w:tcW w:w="772" w:type="pct"/>
                  <w:tcBorders>
                    <w:left w:val="single" w:sz="4" w:space="0" w:color="auto"/>
                    <w:right w:val="nil"/>
                  </w:tcBorders>
                  <w:vAlign w:val="center"/>
                </w:tcPr>
                <w:p w:rsidR="00E077CA" w:rsidRPr="00625A04" w:rsidP="00E077CA">
                  <w:pPr>
                    <w:jc w:val="center"/>
                    <w:rPr>
                      <w:sz w:val="16"/>
                      <w:szCs w:val="16"/>
                    </w:rPr>
                  </w:pPr>
                  <w:r w:rsidRPr="00625A04">
                    <w:rPr>
                      <w:sz w:val="16"/>
                      <w:szCs w:val="16"/>
                    </w:rPr>
                    <w:t> </w:t>
                  </w:r>
                </w:p>
              </w:tc>
              <w:tc>
                <w:tcPr>
                  <w:tcW w:w="941" w:type="pct"/>
                  <w:tcBorders>
                    <w:right w:val="single" w:sz="2" w:space="0" w:color="auto"/>
                  </w:tcBorders>
                  <w:vAlign w:val="center"/>
                </w:tcPr>
                <w:p w:rsidR="00E077CA" w:rsidRPr="00625A04" w:rsidP="00E077CA">
                  <w:pPr>
                    <w:jc w:val="center"/>
                    <w:rPr>
                      <w:sz w:val="16"/>
                      <w:szCs w:val="16"/>
                    </w:rPr>
                  </w:pPr>
                  <w:r w:rsidRPr="00625A04">
                    <w:rPr>
                      <w:sz w:val="16"/>
                      <w:szCs w:val="16"/>
                    </w:rPr>
                    <w:t>15,0</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bottom w:val="nil"/>
                    <w:right w:val="nil"/>
                  </w:tcBorders>
                </w:tcPr>
                <w:p w:rsidR="00E077CA" w:rsidRPr="00625A04" w:rsidP="00E077CA">
                  <w:pPr>
                    <w:rPr>
                      <w:sz w:val="16"/>
                      <w:szCs w:val="16"/>
                    </w:rPr>
                  </w:pPr>
                  <w:r w:rsidRPr="00625A04">
                    <w:rPr>
                      <w:sz w:val="16"/>
                      <w:szCs w:val="16"/>
                    </w:rPr>
                    <w:t>Obsah síry</w:t>
                  </w:r>
                </w:p>
              </w:tc>
              <w:tc>
                <w:tcPr>
                  <w:tcW w:w="655" w:type="pct"/>
                  <w:tcBorders>
                    <w:right w:val="nil"/>
                  </w:tcBorders>
                  <w:vAlign w:val="center"/>
                </w:tcPr>
                <w:p w:rsidR="00E077CA" w:rsidRPr="00625A04" w:rsidP="00E077CA">
                  <w:pPr>
                    <w:jc w:val="center"/>
                    <w:rPr>
                      <w:sz w:val="16"/>
                      <w:szCs w:val="16"/>
                    </w:rPr>
                  </w:pPr>
                  <w:r w:rsidRPr="00625A04">
                    <w:rPr>
                      <w:sz w:val="16"/>
                      <w:szCs w:val="16"/>
                    </w:rPr>
                    <w:t>mg/kg</w:t>
                  </w:r>
                </w:p>
              </w:tc>
              <w:tc>
                <w:tcPr>
                  <w:tcW w:w="772" w:type="pct"/>
                  <w:tcBorders>
                    <w:right w:val="nil"/>
                  </w:tcBorders>
                  <w:vAlign w:val="center"/>
                </w:tcPr>
                <w:p w:rsidR="00E077CA" w:rsidRPr="00625A04" w:rsidP="00E077CA">
                  <w:pPr>
                    <w:jc w:val="center"/>
                    <w:rPr>
                      <w:sz w:val="16"/>
                      <w:szCs w:val="16"/>
                    </w:rPr>
                  </w:pPr>
                  <w:r w:rsidRPr="00625A04">
                    <w:rPr>
                      <w:sz w:val="16"/>
                      <w:szCs w:val="16"/>
                    </w:rPr>
                    <w:t> </w:t>
                  </w:r>
                </w:p>
              </w:tc>
              <w:tc>
                <w:tcPr>
                  <w:tcW w:w="941" w:type="pct"/>
                  <w:tcBorders>
                    <w:right w:val="single" w:sz="2" w:space="0" w:color="auto"/>
                  </w:tcBorders>
                  <w:vAlign w:val="center"/>
                </w:tcPr>
                <w:p w:rsidR="00E077CA" w:rsidRPr="00625A04" w:rsidP="00E077CA">
                  <w:pPr>
                    <w:jc w:val="center"/>
                    <w:rPr>
                      <w:sz w:val="16"/>
                      <w:szCs w:val="16"/>
                    </w:rPr>
                  </w:pPr>
                  <w:r w:rsidRPr="00625A04">
                    <w:rPr>
                      <w:sz w:val="16"/>
                      <w:szCs w:val="16"/>
                    </w:rPr>
                    <w:t>10,0</w:t>
                  </w:r>
                </w:p>
              </w:tc>
            </w:tr>
            <w:tr w:rsidTr="00C3333F">
              <w:tblPrEx>
                <w:tblW w:w="4006" w:type="pct"/>
                <w:jc w:val="center"/>
                <w:tblCellSpacing w:w="0" w:type="dxa"/>
                <w:tblLayout w:type="fixed"/>
                <w:tblCellMar>
                  <w:left w:w="0" w:type="dxa"/>
                  <w:right w:w="0" w:type="dxa"/>
                </w:tblCellMar>
                <w:tblLook w:val="0000"/>
              </w:tblPrEx>
              <w:trPr>
                <w:tblCellSpacing w:w="0" w:type="dxa"/>
                <w:jc w:val="center"/>
              </w:trPr>
              <w:tc>
                <w:tcPr>
                  <w:tcW w:w="2632" w:type="pct"/>
                  <w:tcBorders>
                    <w:left w:val="nil"/>
                    <w:right w:val="nil"/>
                  </w:tcBorders>
                </w:tcPr>
                <w:p w:rsidR="00E077CA" w:rsidRPr="00625A04" w:rsidP="00E077CA">
                  <w:pPr>
                    <w:rPr>
                      <w:sz w:val="16"/>
                      <w:szCs w:val="16"/>
                    </w:rPr>
                  </w:pPr>
                  <w:r w:rsidRPr="00625A04">
                    <w:rPr>
                      <w:sz w:val="16"/>
                      <w:szCs w:val="16"/>
                    </w:rPr>
                    <w:t>Obsah olova</w:t>
                  </w:r>
                </w:p>
              </w:tc>
              <w:tc>
                <w:tcPr>
                  <w:tcW w:w="655" w:type="pct"/>
                  <w:tcBorders>
                    <w:right w:val="nil"/>
                  </w:tcBorders>
                  <w:vAlign w:val="center"/>
                </w:tcPr>
                <w:p w:rsidR="00E077CA" w:rsidRPr="00625A04" w:rsidP="00E077CA">
                  <w:pPr>
                    <w:jc w:val="center"/>
                    <w:rPr>
                      <w:sz w:val="16"/>
                      <w:szCs w:val="16"/>
                    </w:rPr>
                  </w:pPr>
                  <w:r w:rsidRPr="00625A04">
                    <w:rPr>
                      <w:sz w:val="16"/>
                      <w:szCs w:val="16"/>
                    </w:rPr>
                    <w:t>g/l</w:t>
                  </w:r>
                </w:p>
              </w:tc>
              <w:tc>
                <w:tcPr>
                  <w:tcW w:w="772" w:type="pct"/>
                  <w:tcBorders>
                    <w:bottom w:val="single" w:sz="2" w:space="0" w:color="auto"/>
                    <w:right w:val="nil"/>
                  </w:tcBorders>
                  <w:vAlign w:val="center"/>
                </w:tcPr>
                <w:p w:rsidR="00E077CA" w:rsidRPr="00625A04" w:rsidP="00E077CA">
                  <w:pPr>
                    <w:jc w:val="center"/>
                    <w:rPr>
                      <w:sz w:val="16"/>
                      <w:szCs w:val="16"/>
                    </w:rPr>
                  </w:pPr>
                  <w:r w:rsidRPr="00625A04">
                    <w:rPr>
                      <w:sz w:val="16"/>
                      <w:szCs w:val="16"/>
                    </w:rPr>
                    <w:t> </w:t>
                  </w:r>
                </w:p>
              </w:tc>
              <w:tc>
                <w:tcPr>
                  <w:tcW w:w="941" w:type="pct"/>
                  <w:tcBorders>
                    <w:bottom w:val="single" w:sz="2" w:space="0" w:color="auto"/>
                    <w:right w:val="single" w:sz="2" w:space="0" w:color="auto"/>
                  </w:tcBorders>
                  <w:vAlign w:val="center"/>
                </w:tcPr>
                <w:p w:rsidR="00E077CA" w:rsidRPr="00625A04" w:rsidP="00E077CA">
                  <w:pPr>
                    <w:jc w:val="center"/>
                    <w:rPr>
                      <w:sz w:val="16"/>
                      <w:szCs w:val="16"/>
                    </w:rPr>
                  </w:pPr>
                  <w:r w:rsidRPr="00625A04">
                    <w:rPr>
                      <w:sz w:val="16"/>
                      <w:szCs w:val="16"/>
                    </w:rPr>
                    <w:t>0,005</w:t>
                  </w:r>
                </w:p>
              </w:tc>
            </w:tr>
          </w:tbl>
          <w:p w:rsidR="00E077CA" w:rsidRPr="00625A04" w:rsidP="00E077CA">
            <w:pPr>
              <w:ind w:left="-180"/>
              <w:rPr>
                <w:sz w:val="16"/>
                <w:szCs w:val="16"/>
              </w:rPr>
            </w:pPr>
            <w:r w:rsidRPr="00625A04">
              <w:rPr>
                <w:sz w:val="16"/>
                <w:szCs w:val="16"/>
              </w:rPr>
              <w:t xml:space="preserve">    Poznámky:</w:t>
            </w:r>
          </w:p>
          <w:p w:rsidR="00E077CA" w:rsidRPr="00625A04" w:rsidP="001B596A">
            <w:pPr>
              <w:keepNext/>
              <w:numPr>
                <w:ilvl w:val="1"/>
                <w:numId w:val="16"/>
              </w:numPr>
              <w:tabs>
                <w:tab w:val="clear" w:pos="1440"/>
              </w:tabs>
              <w:spacing w:before="60" w:after="60"/>
              <w:ind w:left="357" w:hanging="357"/>
              <w:jc w:val="both"/>
              <w:rPr>
                <w:sz w:val="16"/>
                <w:szCs w:val="16"/>
              </w:rPr>
            </w:pPr>
            <w:r w:rsidRPr="00625A04">
              <w:rPr>
                <w:sz w:val="16"/>
                <w:szCs w:val="16"/>
              </w:rPr>
              <w:t>Skúšobné metódy sú špecifikované v technickej norme.</w:t>
            </w:r>
            <w:r>
              <w:rPr>
                <w:sz w:val="16"/>
                <w:szCs w:val="16"/>
                <w:vertAlign w:val="superscript"/>
              </w:rPr>
              <w:t>40</w:t>
            </w:r>
            <w:r w:rsidRPr="00625A04">
              <w:rPr>
                <w:sz w:val="16"/>
                <w:szCs w:val="16"/>
              </w:rPr>
              <w:t>)</w:t>
            </w:r>
          </w:p>
          <w:p w:rsidR="00E077CA" w:rsidRPr="00625A04" w:rsidP="001B596A">
            <w:pPr>
              <w:keepNext/>
              <w:numPr>
                <w:ilvl w:val="1"/>
                <w:numId w:val="16"/>
              </w:numPr>
              <w:tabs>
                <w:tab w:val="clear" w:pos="1440"/>
              </w:tabs>
              <w:spacing w:before="60" w:after="60"/>
              <w:ind w:left="357" w:hanging="357"/>
              <w:jc w:val="both"/>
              <w:rPr>
                <w:sz w:val="16"/>
                <w:szCs w:val="16"/>
              </w:rPr>
            </w:pPr>
            <w:r w:rsidRPr="00625A04">
              <w:rPr>
                <w:sz w:val="16"/>
                <w:szCs w:val="16"/>
              </w:rPr>
              <w:t>Hodnoty uvedené v špecifikácii sú „skutočné hodnoty“. Pri stanovení ich limitných hodnôt sa použili podmienky technickej normy.</w:t>
            </w:r>
            <w:r>
              <w:rPr>
                <w:sz w:val="16"/>
                <w:szCs w:val="16"/>
                <w:vertAlign w:val="superscript"/>
              </w:rPr>
              <w:footnoteReference w:id="16"/>
            </w:r>
            <w:r w:rsidRPr="00625A04">
              <w:rPr>
                <w:sz w:val="16"/>
                <w:szCs w:val="16"/>
              </w:rPr>
              <w:t>) Pri stanovení najnižšej hodnoty sa zohľadnil najmenší rozdiel 2R nad nulou (R = reprodukovateľnosť). Výsledky jednotlivých meraní sa interpretujú na základe kritérií uvedených v technickej norme.</w:t>
            </w:r>
            <w:r w:rsidRPr="00625A04">
              <w:rPr>
                <w:sz w:val="16"/>
                <w:szCs w:val="16"/>
                <w:vertAlign w:val="superscript"/>
              </w:rPr>
              <w:t>5</w:t>
            </w:r>
            <w:r>
              <w:rPr>
                <w:sz w:val="16"/>
                <w:szCs w:val="16"/>
                <w:vertAlign w:val="superscript"/>
              </w:rPr>
              <w:t>6</w:t>
            </w:r>
            <w:r w:rsidRPr="00625A04">
              <w:rPr>
                <w:sz w:val="16"/>
                <w:szCs w:val="16"/>
              </w:rPr>
              <w:t>)</w:t>
            </w:r>
          </w:p>
          <w:p w:rsidR="00E077CA" w:rsidRPr="00625A04" w:rsidP="001B596A">
            <w:pPr>
              <w:keepNext/>
              <w:numPr>
                <w:ilvl w:val="1"/>
                <w:numId w:val="16"/>
              </w:numPr>
              <w:tabs>
                <w:tab w:val="clear" w:pos="1440"/>
              </w:tabs>
              <w:spacing w:before="60" w:after="60"/>
              <w:ind w:left="357" w:hanging="357"/>
              <w:jc w:val="both"/>
              <w:rPr>
                <w:sz w:val="16"/>
                <w:szCs w:val="16"/>
              </w:rPr>
            </w:pPr>
            <w:r w:rsidRPr="00625A04">
              <w:rPr>
                <w:sz w:val="16"/>
                <w:szCs w:val="16"/>
              </w:rPr>
              <w:t>Letné obdobie začína najneskôr 1. mája a končí najskôr 30. septembra.</w:t>
            </w:r>
          </w:p>
          <w:p w:rsidR="00E077CA" w:rsidRPr="00625A04" w:rsidP="001B596A">
            <w:pPr>
              <w:keepNext/>
              <w:numPr>
                <w:ilvl w:val="1"/>
                <w:numId w:val="16"/>
              </w:numPr>
              <w:tabs>
                <w:tab w:val="clear" w:pos="1440"/>
              </w:tabs>
              <w:spacing w:before="60" w:after="60"/>
              <w:ind w:left="357" w:hanging="357"/>
              <w:jc w:val="both"/>
              <w:rPr>
                <w:sz w:val="16"/>
                <w:szCs w:val="16"/>
              </w:rPr>
            </w:pPr>
            <w:r w:rsidRPr="00625A04">
              <w:rPr>
                <w:sz w:val="16"/>
                <w:szCs w:val="16"/>
              </w:rPr>
              <w:t>Ďalšie monoalkoholy a étery s koncovým destilačným bodom nie vyšším ako destilačný bod podľa technickej normy.</w:t>
            </w:r>
            <w:r>
              <w:rPr>
                <w:sz w:val="16"/>
                <w:szCs w:val="16"/>
                <w:vertAlign w:val="superscript"/>
              </w:rPr>
              <w:t>40</w:t>
            </w:r>
            <w:r w:rsidRPr="00625A04">
              <w:rPr>
                <w:sz w:val="16"/>
                <w:szCs w:val="16"/>
              </w:rPr>
              <w:t>)</w:t>
            </w:r>
          </w:p>
          <w:p w:rsidR="00E077CA" w:rsidRPr="00625A04" w:rsidP="00E077CA">
            <w:pPr>
              <w:jc w:val="both"/>
              <w:rPr>
                <w:sz w:val="20"/>
              </w:rPr>
            </w:pPr>
          </w:p>
        </w:tc>
        <w:tc>
          <w:tcPr>
            <w:tcW w:w="709" w:type="dxa"/>
            <w:tcBorders>
              <w:top w:val="single" w:sz="4" w:space="0" w:color="auto"/>
              <w:bottom w:val="single" w:sz="4" w:space="0" w:color="auto"/>
            </w:tcBorders>
          </w:tcPr>
          <w:p w:rsidR="00E077CA" w:rsidRPr="00F74B61" w:rsidP="00E077CA">
            <w:pPr>
              <w:jc w:val="both"/>
              <w:rPr>
                <w:sz w:val="20"/>
              </w:rPr>
            </w:pPr>
            <w:r w:rsidRPr="00F74B61">
              <w:rPr>
                <w:sz w:val="20"/>
              </w:rPr>
              <w:t>Ú</w:t>
            </w:r>
          </w:p>
        </w:tc>
        <w:tc>
          <w:tcPr>
            <w:tcW w:w="1701" w:type="dxa"/>
            <w:tcBorders>
              <w:top w:val="single" w:sz="4" w:space="0" w:color="auto"/>
              <w:bottom w:val="single" w:sz="4" w:space="0" w:color="auto"/>
            </w:tcBorders>
          </w:tcPr>
          <w:p w:rsidR="00E077CA" w:rsidRPr="00F74B61" w:rsidP="00E077CA">
            <w:pPr>
              <w:rPr>
                <w:sz w:val="20"/>
              </w:rPr>
            </w:pPr>
          </w:p>
        </w:tc>
      </w:tr>
      <w:tr w:rsidTr="002E524C">
        <w:tblPrEx>
          <w:tblW w:w="14954" w:type="dxa"/>
          <w:tblLayout w:type="fixed"/>
          <w:tblCellMar>
            <w:left w:w="70" w:type="dxa"/>
            <w:right w:w="70" w:type="dxa"/>
          </w:tblCellMar>
          <w:tblLook w:val="0000"/>
        </w:tblPrEx>
        <w:trPr>
          <w:trHeight w:val="835"/>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Príl.</w:t>
            </w:r>
          </w:p>
          <w:p w:rsidR="00E077CA" w:rsidRPr="00F74B61" w:rsidP="00E077CA">
            <w:pPr>
              <w:jc w:val="both"/>
              <w:rPr>
                <w:sz w:val="20"/>
              </w:rPr>
            </w:pPr>
            <w:r w:rsidRPr="00F74B61">
              <w:rPr>
                <w:sz w:val="20"/>
              </w:rPr>
              <w:t>II</w:t>
            </w:r>
          </w:p>
        </w:tc>
        <w:tc>
          <w:tcPr>
            <w:tcW w:w="5245" w:type="dxa"/>
            <w:tcBorders>
              <w:top w:val="single" w:sz="4" w:space="0" w:color="auto"/>
              <w:bottom w:val="single" w:sz="4" w:space="0" w:color="auto"/>
            </w:tcBorders>
          </w:tcPr>
          <w:p w:rsidR="00E077CA" w:rsidRPr="00F74B61" w:rsidP="00E077CA">
            <w:pPr>
              <w:pStyle w:val="BodyTextIndent"/>
              <w:ind w:left="1701" w:hanging="1701"/>
              <w:rPr>
                <w:rFonts w:ascii="TimesNewRoman" w:hAnsi="TimesNewRoman" w:cs="TimesNewRoman"/>
                <w:color w:val="auto"/>
                <w:lang w:eastAsia="sk-SK"/>
              </w:rPr>
            </w:pPr>
            <w:r w:rsidRPr="00F74B61">
              <w:rPr>
                <w:rFonts w:ascii="TimesNewRoman" w:hAnsi="TimesNewRoman" w:cs="TimesNewRoman"/>
                <w:color w:val="auto"/>
                <w:lang w:eastAsia="sk-SK"/>
              </w:rPr>
              <w:t>Príloha II</w:t>
            </w:r>
          </w:p>
          <w:p w:rsidR="00E077CA" w:rsidRPr="00F74B61" w:rsidP="00E077CA">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Environmentálne špecifikácie predávaných palív na</w:t>
            </w:r>
          </w:p>
          <w:p w:rsidR="00E077CA" w:rsidRPr="00F74B61" w:rsidP="00E077CA">
            <w:pPr>
              <w:pStyle w:val="BodyText"/>
              <w:rPr>
                <w:rFonts w:ascii="TimesNewRoman" w:hAnsi="TimesNewRoman" w:cs="TimesNewRoman"/>
                <w:sz w:val="20"/>
                <w:lang w:eastAsia="sk-SK"/>
              </w:rPr>
            </w:pPr>
            <w:r>
              <w:rPr>
                <w:rFonts w:ascii="TimesNewRoman" w:hAnsi="TimesNewRoman" w:cs="TimesNewRoman"/>
                <w:sz w:val="20"/>
                <w:lang w:eastAsia="sk-SK"/>
              </w:rPr>
              <w:t>p</w:t>
            </w:r>
            <w:r w:rsidRPr="00F74B61">
              <w:rPr>
                <w:rFonts w:ascii="TimesNewRoman" w:hAnsi="TimesNewRoman" w:cs="TimesNewRoman"/>
                <w:sz w:val="20"/>
                <w:lang w:eastAsia="sk-SK"/>
              </w:rPr>
              <w:t>ohon vozidiel so vznetovými motormi</w:t>
            </w:r>
          </w:p>
        </w:tc>
        <w:tc>
          <w:tcPr>
            <w:tcW w:w="567" w:type="dxa"/>
            <w:tcBorders>
              <w:top w:val="single" w:sz="4" w:space="0" w:color="auto"/>
              <w:bottom w:val="single" w:sz="4" w:space="0" w:color="auto"/>
            </w:tcBorders>
          </w:tcPr>
          <w:p w:rsidR="00E077CA" w:rsidRPr="00F74B61" w:rsidP="00E077CA">
            <w:pPr>
              <w:jc w:val="both"/>
              <w:rPr>
                <w:sz w:val="20"/>
              </w:rPr>
            </w:pPr>
            <w:r w:rsidRPr="00F74B61">
              <w:rPr>
                <w:sz w:val="20"/>
              </w:rPr>
              <w:t>N</w:t>
            </w:r>
          </w:p>
        </w:tc>
        <w:tc>
          <w:tcPr>
            <w:tcW w:w="1276" w:type="dxa"/>
            <w:tcBorders>
              <w:top w:val="single" w:sz="4" w:space="0" w:color="auto"/>
              <w:bottom w:val="single" w:sz="4" w:space="0" w:color="auto"/>
            </w:tcBorders>
          </w:tcPr>
          <w:p w:rsidR="00E077CA" w:rsidRPr="00E02262" w:rsidP="00E077CA">
            <w:pPr>
              <w:jc w:val="center"/>
              <w:rPr>
                <w:sz w:val="20"/>
              </w:rPr>
            </w:pPr>
            <w:r>
              <w:rPr>
                <w:sz w:val="20"/>
              </w:rPr>
              <w:t>NV</w:t>
            </w:r>
          </w:p>
          <w:p w:rsidR="00E077CA" w:rsidRPr="00F74B61" w:rsidP="00E077CA">
            <w:pPr>
              <w:jc w:val="center"/>
              <w:rPr>
                <w:sz w:val="20"/>
              </w:rPr>
            </w:pPr>
          </w:p>
        </w:tc>
        <w:tc>
          <w:tcPr>
            <w:tcW w:w="709" w:type="dxa"/>
            <w:tcBorders>
              <w:top w:val="single" w:sz="4" w:space="0" w:color="auto"/>
              <w:bottom w:val="single" w:sz="4" w:space="0" w:color="auto"/>
            </w:tcBorders>
          </w:tcPr>
          <w:p w:rsidR="00E077CA" w:rsidRPr="00F74B61" w:rsidP="00E077CA">
            <w:pPr>
              <w:pStyle w:val="BodyText21"/>
              <w:spacing w:before="0"/>
            </w:pPr>
            <w:r w:rsidRPr="00F74B61">
              <w:t xml:space="preserve">Príloha </w:t>
            </w:r>
            <w:r>
              <w:t xml:space="preserve">č. </w:t>
            </w:r>
            <w:r w:rsidRPr="00F74B61">
              <w:t>2</w:t>
            </w:r>
          </w:p>
        </w:tc>
        <w:tc>
          <w:tcPr>
            <w:tcW w:w="4110" w:type="dxa"/>
            <w:tcBorders>
              <w:top w:val="single" w:sz="4" w:space="0" w:color="auto"/>
              <w:bottom w:val="single" w:sz="4" w:space="0" w:color="auto"/>
            </w:tcBorders>
          </w:tcPr>
          <w:p w:rsidR="00E077CA" w:rsidRPr="00625A04" w:rsidP="00E077CA">
            <w:pPr>
              <w:jc w:val="both"/>
              <w:rPr>
                <w:sz w:val="20"/>
                <w:lang w:eastAsia="sk-SK"/>
              </w:rPr>
            </w:pPr>
            <w:r w:rsidRPr="00625A04">
              <w:rPr>
                <w:sz w:val="20"/>
                <w:lang w:eastAsia="sk-SK"/>
              </w:rPr>
              <w:t>Príloha č. 2</w:t>
            </w:r>
          </w:p>
          <w:p w:rsidR="00E077CA" w:rsidRPr="00625A04" w:rsidP="00E077CA">
            <w:pPr>
              <w:jc w:val="both"/>
              <w:rPr>
                <w:sz w:val="20"/>
                <w:lang w:eastAsia="sk-SK"/>
              </w:rPr>
            </w:pPr>
            <w:r w:rsidRPr="00625A04">
              <w:rPr>
                <w:sz w:val="20"/>
                <w:lang w:eastAsia="sk-SK"/>
              </w:rPr>
              <w:t>Požiadavky na kvalitu motorovej nafty</w:t>
            </w:r>
          </w:p>
          <w:p w:rsidR="00E077CA" w:rsidRPr="00625A04" w:rsidP="00E077CA">
            <w:pPr>
              <w:jc w:val="both"/>
              <w:rPr>
                <w:sz w:val="20"/>
                <w:lang w:eastAsia="sk-SK"/>
              </w:rPr>
            </w:pPr>
          </w:p>
          <w:p w:rsidR="00E077CA" w:rsidRPr="00625A04" w:rsidP="00E077CA">
            <w:pPr>
              <w:ind w:left="-180"/>
              <w:rPr>
                <w:sz w:val="16"/>
                <w:szCs w:val="16"/>
              </w:rPr>
            </w:pPr>
            <w:r w:rsidRPr="00625A04">
              <w:rPr>
                <w:sz w:val="16"/>
                <w:szCs w:val="16"/>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9"/>
              <w:gridCol w:w="1060"/>
              <w:gridCol w:w="1060"/>
              <w:gridCol w:w="1060"/>
            </w:tblGrid>
            <w:tr w:rsidTr="00D8387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59" w:type="dxa"/>
                  <w:vMerge w:val="restart"/>
                </w:tcPr>
                <w:p w:rsidR="00E077CA" w:rsidRPr="00625A04" w:rsidP="00E077CA">
                  <w:pPr>
                    <w:jc w:val="center"/>
                    <w:rPr>
                      <w:sz w:val="16"/>
                      <w:szCs w:val="16"/>
                    </w:rPr>
                  </w:pPr>
                  <w:r w:rsidRPr="00625A04">
                    <w:rPr>
                      <w:b/>
                      <w:bCs/>
                      <w:sz w:val="16"/>
                      <w:szCs w:val="16"/>
                    </w:rPr>
                    <w:t>Parameter</w:t>
                  </w:r>
                  <w:r w:rsidRPr="00625A04">
                    <w:rPr>
                      <w:b/>
                      <w:bCs/>
                      <w:sz w:val="16"/>
                      <w:szCs w:val="16"/>
                      <w:vertAlign w:val="superscript"/>
                    </w:rPr>
                    <w:t>a</w:t>
                  </w:r>
                  <w:r w:rsidRPr="00625A04">
                    <w:rPr>
                      <w:b/>
                      <w:bCs/>
                      <w:sz w:val="16"/>
                      <w:szCs w:val="16"/>
                    </w:rPr>
                    <w:t>)</w:t>
                  </w:r>
                </w:p>
              </w:tc>
              <w:tc>
                <w:tcPr>
                  <w:tcW w:w="1060" w:type="dxa"/>
                  <w:vMerge w:val="restart"/>
                </w:tcPr>
                <w:p w:rsidR="00E077CA" w:rsidRPr="00625A04" w:rsidP="00E077CA">
                  <w:pPr>
                    <w:jc w:val="center"/>
                    <w:rPr>
                      <w:sz w:val="16"/>
                      <w:szCs w:val="16"/>
                    </w:rPr>
                  </w:pPr>
                  <w:r w:rsidRPr="00625A04">
                    <w:rPr>
                      <w:b/>
                      <w:bCs/>
                      <w:sz w:val="16"/>
                      <w:szCs w:val="16"/>
                    </w:rPr>
                    <w:t>Jednotka</w:t>
                  </w:r>
                </w:p>
              </w:tc>
              <w:tc>
                <w:tcPr>
                  <w:tcW w:w="2120" w:type="dxa"/>
                  <w:gridSpan w:val="2"/>
                </w:tcPr>
                <w:p w:rsidR="00E077CA" w:rsidRPr="00625A04" w:rsidP="00E077CA">
                  <w:pPr>
                    <w:jc w:val="center"/>
                    <w:rPr>
                      <w:sz w:val="16"/>
                      <w:szCs w:val="16"/>
                    </w:rPr>
                  </w:pPr>
                  <w:r w:rsidRPr="00625A04">
                    <w:rPr>
                      <w:b/>
                      <w:bCs/>
                      <w:sz w:val="16"/>
                      <w:szCs w:val="16"/>
                    </w:rPr>
                    <w:t>Limity</w:t>
                  </w:r>
                  <w:r w:rsidRPr="00625A04">
                    <w:rPr>
                      <w:b/>
                      <w:bCs/>
                      <w:sz w:val="16"/>
                      <w:szCs w:val="16"/>
                      <w:vertAlign w:val="superscript"/>
                    </w:rPr>
                    <w:t>b</w:t>
                  </w:r>
                  <w:r w:rsidRPr="00625A04">
                    <w:rPr>
                      <w:b/>
                      <w:bCs/>
                      <w:sz w:val="16"/>
                      <w:szCs w:val="16"/>
                    </w:rPr>
                    <w:t>)</w:t>
                  </w:r>
                </w:p>
              </w:tc>
            </w:tr>
            <w:tr w:rsidTr="00D8387F">
              <w:tblPrEx>
                <w:tblW w:w="0" w:type="auto"/>
                <w:tblLayout w:type="fixed"/>
                <w:tblLook w:val="04A0"/>
              </w:tblPrEx>
              <w:tc>
                <w:tcPr>
                  <w:tcW w:w="1059" w:type="dxa"/>
                  <w:vMerge/>
                </w:tcPr>
                <w:p w:rsidR="00E077CA" w:rsidRPr="00625A04" w:rsidP="00E077CA">
                  <w:pPr>
                    <w:jc w:val="center"/>
                    <w:rPr>
                      <w:sz w:val="16"/>
                      <w:szCs w:val="16"/>
                    </w:rPr>
                  </w:pPr>
                </w:p>
              </w:tc>
              <w:tc>
                <w:tcPr>
                  <w:tcW w:w="1060" w:type="dxa"/>
                  <w:vMerge/>
                </w:tcPr>
                <w:p w:rsidR="00E077CA" w:rsidRPr="00625A04" w:rsidP="00E077CA">
                  <w:pPr>
                    <w:jc w:val="center"/>
                    <w:rPr>
                      <w:sz w:val="16"/>
                      <w:szCs w:val="16"/>
                    </w:rPr>
                  </w:pPr>
                </w:p>
              </w:tc>
              <w:tc>
                <w:tcPr>
                  <w:tcW w:w="1060" w:type="dxa"/>
                </w:tcPr>
                <w:p w:rsidR="00E077CA" w:rsidRPr="00625A04" w:rsidP="00E077CA">
                  <w:pPr>
                    <w:jc w:val="center"/>
                    <w:rPr>
                      <w:sz w:val="16"/>
                      <w:szCs w:val="16"/>
                    </w:rPr>
                  </w:pPr>
                  <w:r w:rsidRPr="00625A04">
                    <w:rPr>
                      <w:b/>
                      <w:bCs/>
                      <w:sz w:val="16"/>
                      <w:szCs w:val="16"/>
                    </w:rPr>
                    <w:t>Najmenej</w:t>
                  </w:r>
                </w:p>
              </w:tc>
              <w:tc>
                <w:tcPr>
                  <w:tcW w:w="1060" w:type="dxa"/>
                </w:tcPr>
                <w:p w:rsidR="00E077CA" w:rsidRPr="00625A04" w:rsidP="00E077CA">
                  <w:pPr>
                    <w:jc w:val="center"/>
                    <w:rPr>
                      <w:sz w:val="16"/>
                      <w:szCs w:val="16"/>
                    </w:rPr>
                  </w:pPr>
                  <w:r w:rsidRPr="00625A04">
                    <w:rPr>
                      <w:b/>
                      <w:bCs/>
                      <w:sz w:val="16"/>
                      <w:szCs w:val="16"/>
                    </w:rPr>
                    <w:t>Najviac</w:t>
                  </w:r>
                </w:p>
              </w:tc>
            </w:tr>
            <w:tr w:rsidTr="00D8387F">
              <w:tblPrEx>
                <w:tblW w:w="0" w:type="auto"/>
                <w:tblLayout w:type="fixed"/>
                <w:tblLook w:val="04A0"/>
              </w:tblPrEx>
              <w:tc>
                <w:tcPr>
                  <w:tcW w:w="4239" w:type="dxa"/>
                  <w:gridSpan w:val="4"/>
                </w:tcPr>
                <w:p w:rsidR="00E077CA" w:rsidRPr="00625A04" w:rsidP="00E077CA">
                  <w:pPr>
                    <w:rPr>
                      <w:sz w:val="16"/>
                      <w:szCs w:val="16"/>
                    </w:rPr>
                  </w:pPr>
                  <w:r w:rsidRPr="00625A04">
                    <w:rPr>
                      <w:b/>
                      <w:sz w:val="16"/>
                      <w:szCs w:val="16"/>
                    </w:rPr>
                    <w:t>MOTOROVÁ NAFTA</w:t>
                  </w: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Cetánové číslo</w:t>
                  </w:r>
                </w:p>
              </w:tc>
              <w:tc>
                <w:tcPr>
                  <w:tcW w:w="1060" w:type="dxa"/>
                </w:tcPr>
                <w:p w:rsidR="00E077CA" w:rsidRPr="00625A04" w:rsidP="00E077CA">
                  <w:pPr>
                    <w:jc w:val="center"/>
                    <w:rPr>
                      <w:sz w:val="16"/>
                      <w:szCs w:val="16"/>
                    </w:rPr>
                  </w:pPr>
                </w:p>
              </w:tc>
              <w:tc>
                <w:tcPr>
                  <w:tcW w:w="1060" w:type="dxa"/>
                </w:tcPr>
                <w:p w:rsidR="00E077CA" w:rsidRPr="00625A04" w:rsidP="00E077CA">
                  <w:pPr>
                    <w:jc w:val="center"/>
                    <w:rPr>
                      <w:sz w:val="16"/>
                      <w:szCs w:val="16"/>
                    </w:rPr>
                  </w:pPr>
                  <w:r w:rsidRPr="00625A04">
                    <w:rPr>
                      <w:sz w:val="16"/>
                      <w:szCs w:val="16"/>
                    </w:rPr>
                    <w:t>51,0</w:t>
                  </w:r>
                </w:p>
              </w:tc>
              <w:tc>
                <w:tcPr>
                  <w:tcW w:w="1060" w:type="dxa"/>
                </w:tcPr>
                <w:p w:rsidR="00E077CA" w:rsidRPr="00625A04" w:rsidP="00E077CA">
                  <w:pPr>
                    <w:jc w:val="center"/>
                    <w:rPr>
                      <w:sz w:val="16"/>
                      <w:szCs w:val="16"/>
                    </w:rPr>
                  </w:pP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Hustota pri 15 °C</w:t>
                  </w:r>
                </w:p>
              </w:tc>
              <w:tc>
                <w:tcPr>
                  <w:tcW w:w="1060" w:type="dxa"/>
                </w:tcPr>
                <w:p w:rsidR="00E077CA" w:rsidRPr="00625A04" w:rsidP="00E077CA">
                  <w:pPr>
                    <w:jc w:val="center"/>
                    <w:rPr>
                      <w:sz w:val="16"/>
                      <w:szCs w:val="16"/>
                    </w:rPr>
                  </w:pPr>
                  <w:r w:rsidRPr="00625A04">
                    <w:rPr>
                      <w:sz w:val="16"/>
                      <w:szCs w:val="16"/>
                    </w:rPr>
                    <w:t>kg/m</w:t>
                  </w:r>
                  <w:r w:rsidRPr="00625A04">
                    <w:rPr>
                      <w:sz w:val="16"/>
                      <w:szCs w:val="16"/>
                      <w:vertAlign w:val="superscript"/>
                    </w:rPr>
                    <w:t>3</w:t>
                  </w:r>
                </w:p>
              </w:tc>
              <w:tc>
                <w:tcPr>
                  <w:tcW w:w="1060" w:type="dxa"/>
                </w:tcPr>
                <w:p w:rsidR="00E077CA" w:rsidRPr="00625A04" w:rsidP="00E077CA">
                  <w:pPr>
                    <w:jc w:val="center"/>
                    <w:rPr>
                      <w:sz w:val="16"/>
                      <w:szCs w:val="16"/>
                    </w:rPr>
                  </w:pPr>
                </w:p>
              </w:tc>
              <w:tc>
                <w:tcPr>
                  <w:tcW w:w="1060" w:type="dxa"/>
                  <w:vAlign w:val="center"/>
                </w:tcPr>
                <w:p w:rsidR="00E077CA" w:rsidRPr="00625A04" w:rsidP="00E077CA">
                  <w:pPr>
                    <w:jc w:val="center"/>
                    <w:rPr>
                      <w:sz w:val="16"/>
                      <w:szCs w:val="16"/>
                    </w:rPr>
                  </w:pPr>
                  <w:r w:rsidRPr="00625A04">
                    <w:rPr>
                      <w:sz w:val="16"/>
                      <w:szCs w:val="16"/>
                    </w:rPr>
                    <w:t>845,0</w:t>
                  </w: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Destilácia - 95 % získanej pri</w:t>
                  </w:r>
                </w:p>
              </w:tc>
              <w:tc>
                <w:tcPr>
                  <w:tcW w:w="1060" w:type="dxa"/>
                </w:tcPr>
                <w:p w:rsidR="00E077CA" w:rsidRPr="00625A04" w:rsidP="00E077CA">
                  <w:pPr>
                    <w:jc w:val="center"/>
                    <w:rPr>
                      <w:sz w:val="16"/>
                      <w:szCs w:val="16"/>
                    </w:rPr>
                  </w:pPr>
                  <w:r w:rsidRPr="00625A04">
                    <w:rPr>
                      <w:sz w:val="16"/>
                      <w:szCs w:val="16"/>
                    </w:rPr>
                    <w:t>°C</w:t>
                  </w:r>
                </w:p>
              </w:tc>
              <w:tc>
                <w:tcPr>
                  <w:tcW w:w="1060" w:type="dxa"/>
                </w:tcPr>
                <w:p w:rsidR="00E077CA" w:rsidRPr="00625A04" w:rsidP="00E077CA">
                  <w:pPr>
                    <w:jc w:val="center"/>
                    <w:rPr>
                      <w:sz w:val="16"/>
                      <w:szCs w:val="16"/>
                    </w:rPr>
                  </w:pPr>
                </w:p>
              </w:tc>
              <w:tc>
                <w:tcPr>
                  <w:tcW w:w="1060" w:type="dxa"/>
                  <w:vAlign w:val="center"/>
                </w:tcPr>
                <w:p w:rsidR="00E077CA" w:rsidRPr="00625A04" w:rsidP="00E077CA">
                  <w:pPr>
                    <w:jc w:val="center"/>
                    <w:rPr>
                      <w:sz w:val="16"/>
                      <w:szCs w:val="16"/>
                    </w:rPr>
                  </w:pPr>
                  <w:r w:rsidRPr="00625A04">
                    <w:rPr>
                      <w:sz w:val="16"/>
                      <w:szCs w:val="16"/>
                    </w:rPr>
                    <w:t>360,0</w:t>
                  </w: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Polycyklické aromatické uhľovodíky</w:t>
                  </w:r>
                </w:p>
              </w:tc>
              <w:tc>
                <w:tcPr>
                  <w:tcW w:w="1060" w:type="dxa"/>
                </w:tcPr>
                <w:p w:rsidR="00E077CA" w:rsidRPr="00625A04" w:rsidP="00E077CA">
                  <w:pPr>
                    <w:jc w:val="center"/>
                    <w:rPr>
                      <w:sz w:val="16"/>
                      <w:szCs w:val="16"/>
                    </w:rPr>
                  </w:pPr>
                  <w:r w:rsidRPr="00625A04">
                    <w:rPr>
                      <w:sz w:val="16"/>
                      <w:szCs w:val="16"/>
                    </w:rPr>
                    <w:t>% hmotnosti</w:t>
                  </w:r>
                </w:p>
              </w:tc>
              <w:tc>
                <w:tcPr>
                  <w:tcW w:w="1060" w:type="dxa"/>
                </w:tcPr>
                <w:p w:rsidR="00E077CA" w:rsidRPr="00625A04" w:rsidP="00E077CA">
                  <w:pPr>
                    <w:jc w:val="center"/>
                    <w:rPr>
                      <w:sz w:val="16"/>
                      <w:szCs w:val="16"/>
                    </w:rPr>
                  </w:pPr>
                </w:p>
              </w:tc>
              <w:tc>
                <w:tcPr>
                  <w:tcW w:w="1060" w:type="dxa"/>
                  <w:vAlign w:val="center"/>
                </w:tcPr>
                <w:p w:rsidR="00E077CA" w:rsidRPr="00625A04" w:rsidP="00E077CA">
                  <w:pPr>
                    <w:jc w:val="center"/>
                    <w:rPr>
                      <w:sz w:val="16"/>
                      <w:szCs w:val="16"/>
                    </w:rPr>
                  </w:pPr>
                  <w:r w:rsidRPr="00625A04">
                    <w:rPr>
                      <w:sz w:val="16"/>
                      <w:szCs w:val="16"/>
                    </w:rPr>
                    <w:t>8,0</w:t>
                  </w: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Obsah síry</w:t>
                  </w:r>
                </w:p>
              </w:tc>
              <w:tc>
                <w:tcPr>
                  <w:tcW w:w="1060" w:type="dxa"/>
                </w:tcPr>
                <w:p w:rsidR="00E077CA" w:rsidRPr="00625A04" w:rsidP="00E077CA">
                  <w:pPr>
                    <w:jc w:val="center"/>
                    <w:rPr>
                      <w:sz w:val="16"/>
                      <w:szCs w:val="16"/>
                    </w:rPr>
                  </w:pPr>
                  <w:r w:rsidRPr="00625A04">
                    <w:rPr>
                      <w:sz w:val="16"/>
                      <w:szCs w:val="16"/>
                    </w:rPr>
                    <w:t>mg/kg</w:t>
                  </w:r>
                </w:p>
              </w:tc>
              <w:tc>
                <w:tcPr>
                  <w:tcW w:w="1060" w:type="dxa"/>
                </w:tcPr>
                <w:p w:rsidR="00E077CA" w:rsidRPr="00625A04" w:rsidP="00E077CA">
                  <w:pPr>
                    <w:jc w:val="center"/>
                    <w:rPr>
                      <w:sz w:val="16"/>
                      <w:szCs w:val="16"/>
                    </w:rPr>
                  </w:pPr>
                </w:p>
              </w:tc>
              <w:tc>
                <w:tcPr>
                  <w:tcW w:w="1060" w:type="dxa"/>
                </w:tcPr>
                <w:p w:rsidR="00E077CA" w:rsidRPr="00625A04" w:rsidP="00E077CA">
                  <w:pPr>
                    <w:jc w:val="center"/>
                    <w:rPr>
                      <w:sz w:val="16"/>
                      <w:szCs w:val="16"/>
                    </w:rPr>
                  </w:pPr>
                  <w:r w:rsidRPr="00625A04">
                    <w:rPr>
                      <w:sz w:val="16"/>
                      <w:szCs w:val="16"/>
                    </w:rPr>
                    <w:t>10,0</w:t>
                  </w:r>
                </w:p>
              </w:tc>
            </w:tr>
            <w:tr w:rsidTr="00D8387F">
              <w:tblPrEx>
                <w:tblW w:w="0" w:type="auto"/>
                <w:tblLayout w:type="fixed"/>
                <w:tblLook w:val="04A0"/>
              </w:tblPrEx>
              <w:tc>
                <w:tcPr>
                  <w:tcW w:w="1059" w:type="dxa"/>
                </w:tcPr>
                <w:p w:rsidR="00E077CA" w:rsidRPr="00625A04" w:rsidP="00E077CA">
                  <w:pPr>
                    <w:rPr>
                      <w:sz w:val="16"/>
                      <w:szCs w:val="16"/>
                    </w:rPr>
                  </w:pPr>
                  <w:r w:rsidRPr="00625A04">
                    <w:rPr>
                      <w:sz w:val="16"/>
                      <w:szCs w:val="16"/>
                    </w:rPr>
                    <w:t>Obsah metylesterov mastných kyselín</w:t>
                  </w:r>
                </w:p>
              </w:tc>
              <w:tc>
                <w:tcPr>
                  <w:tcW w:w="1060" w:type="dxa"/>
                </w:tcPr>
                <w:p w:rsidR="00E077CA" w:rsidRPr="00625A04" w:rsidP="00E077CA">
                  <w:pPr>
                    <w:jc w:val="center"/>
                    <w:rPr>
                      <w:sz w:val="16"/>
                      <w:szCs w:val="16"/>
                    </w:rPr>
                  </w:pPr>
                  <w:r w:rsidRPr="00625A04">
                    <w:rPr>
                      <w:sz w:val="16"/>
                      <w:szCs w:val="16"/>
                    </w:rPr>
                    <w:t>%</w:t>
                  </w:r>
                </w:p>
              </w:tc>
              <w:tc>
                <w:tcPr>
                  <w:tcW w:w="1060" w:type="dxa"/>
                </w:tcPr>
                <w:p w:rsidR="00E077CA" w:rsidRPr="00625A04" w:rsidP="00E077CA">
                  <w:pPr>
                    <w:jc w:val="center"/>
                    <w:rPr>
                      <w:sz w:val="16"/>
                      <w:szCs w:val="16"/>
                    </w:rPr>
                  </w:pPr>
                </w:p>
              </w:tc>
              <w:tc>
                <w:tcPr>
                  <w:tcW w:w="1060" w:type="dxa"/>
                </w:tcPr>
                <w:p w:rsidR="00E077CA" w:rsidRPr="00625A04" w:rsidP="00E077CA">
                  <w:pPr>
                    <w:jc w:val="center"/>
                    <w:rPr>
                      <w:sz w:val="16"/>
                      <w:szCs w:val="16"/>
                    </w:rPr>
                  </w:pPr>
                  <w:r w:rsidRPr="00625A04">
                    <w:rPr>
                      <w:sz w:val="16"/>
                      <w:szCs w:val="16"/>
                    </w:rPr>
                    <w:t>7,0</w:t>
                  </w:r>
                  <w:r w:rsidRPr="00625A04">
                    <w:rPr>
                      <w:sz w:val="16"/>
                      <w:szCs w:val="16"/>
                      <w:vertAlign w:val="superscript"/>
                    </w:rPr>
                    <w:t>c</w:t>
                  </w:r>
                  <w:r w:rsidRPr="00625A04">
                    <w:rPr>
                      <w:sz w:val="16"/>
                      <w:szCs w:val="16"/>
                    </w:rPr>
                    <w:t>)</w:t>
                  </w:r>
                </w:p>
              </w:tc>
            </w:tr>
          </w:tbl>
          <w:p w:rsidR="00E077CA" w:rsidRPr="00625A04" w:rsidP="00E077CA">
            <w:pPr>
              <w:ind w:left="-180"/>
              <w:rPr>
                <w:sz w:val="16"/>
                <w:szCs w:val="16"/>
              </w:rPr>
            </w:pPr>
          </w:p>
          <w:p w:rsidR="00E077CA" w:rsidRPr="00625A04" w:rsidP="00E077CA">
            <w:pPr>
              <w:ind w:left="-180"/>
              <w:rPr>
                <w:sz w:val="16"/>
                <w:szCs w:val="16"/>
              </w:rPr>
            </w:pPr>
          </w:p>
          <w:p w:rsidR="00E077CA" w:rsidRPr="00625A04" w:rsidP="00E077CA">
            <w:pPr>
              <w:ind w:left="-180"/>
              <w:rPr>
                <w:sz w:val="16"/>
                <w:szCs w:val="16"/>
              </w:rPr>
            </w:pPr>
            <w:r w:rsidRPr="00625A04">
              <w:rPr>
                <w:sz w:val="16"/>
                <w:szCs w:val="16"/>
              </w:rPr>
              <w:t xml:space="preserve">    Poznámky:   </w:t>
            </w:r>
          </w:p>
          <w:p w:rsidR="00E077CA" w:rsidRPr="00625A04" w:rsidP="001B596A">
            <w:pPr>
              <w:keepNext/>
              <w:numPr>
                <w:ilvl w:val="0"/>
                <w:numId w:val="17"/>
              </w:numPr>
              <w:spacing w:before="60" w:after="60"/>
              <w:jc w:val="both"/>
              <w:rPr>
                <w:sz w:val="16"/>
                <w:szCs w:val="16"/>
              </w:rPr>
            </w:pPr>
            <w:r w:rsidRPr="00625A04">
              <w:rPr>
                <w:sz w:val="16"/>
                <w:szCs w:val="16"/>
              </w:rPr>
              <w:t>Skúšobné metódy sú špecifikované v technickej norme.</w:t>
            </w:r>
            <w:r w:rsidRPr="00625A04">
              <w:rPr>
                <w:sz w:val="16"/>
                <w:szCs w:val="16"/>
                <w:vertAlign w:val="superscript"/>
              </w:rPr>
              <w:t>41</w:t>
            </w:r>
            <w:r w:rsidRPr="00625A04">
              <w:rPr>
                <w:sz w:val="16"/>
                <w:szCs w:val="16"/>
              </w:rPr>
              <w:t>)</w:t>
            </w:r>
          </w:p>
          <w:p w:rsidR="00E077CA" w:rsidRPr="00625A04" w:rsidP="001B596A">
            <w:pPr>
              <w:keepNext/>
              <w:numPr>
                <w:ilvl w:val="0"/>
                <w:numId w:val="17"/>
              </w:numPr>
              <w:spacing w:before="60" w:after="60"/>
              <w:jc w:val="both"/>
              <w:rPr>
                <w:sz w:val="16"/>
                <w:szCs w:val="16"/>
              </w:rPr>
            </w:pPr>
            <w:r w:rsidRPr="00625A04">
              <w:rPr>
                <w:sz w:val="16"/>
                <w:szCs w:val="16"/>
              </w:rPr>
              <w:t>Hodnoty uvedené v špecifikácii sú „skutočné hodnoty“. Pri stanovení ich limitných hodnôt sa použili podmienky technickej normy.</w:t>
            </w:r>
            <w:r w:rsidRPr="00625A04">
              <w:rPr>
                <w:sz w:val="16"/>
                <w:szCs w:val="16"/>
                <w:vertAlign w:val="superscript"/>
              </w:rPr>
              <w:t>56</w:t>
            </w:r>
            <w:r w:rsidRPr="00625A04">
              <w:rPr>
                <w:sz w:val="16"/>
                <w:szCs w:val="16"/>
              </w:rPr>
              <w:t>) Pri stanovení najnižšej hodnoty sa zohľadnil najmenší rozdiel 2R nad nulou (R = reprodukovateľnosť). Výsledky jednotlivých meraní sa interpretujú na základe kritérií uvedených v technickej norme.</w:t>
            </w:r>
            <w:r w:rsidRPr="00625A04">
              <w:rPr>
                <w:sz w:val="16"/>
                <w:szCs w:val="16"/>
                <w:vertAlign w:val="superscript"/>
              </w:rPr>
              <w:t>56</w:t>
            </w:r>
            <w:r w:rsidRPr="00625A04">
              <w:rPr>
                <w:sz w:val="16"/>
                <w:szCs w:val="16"/>
              </w:rPr>
              <w:t>)</w:t>
            </w:r>
          </w:p>
          <w:p w:rsidR="00E077CA" w:rsidRPr="00625A04" w:rsidP="001B596A">
            <w:pPr>
              <w:keepNext/>
              <w:numPr>
                <w:ilvl w:val="0"/>
                <w:numId w:val="17"/>
              </w:numPr>
              <w:spacing w:before="60" w:after="60"/>
              <w:jc w:val="both"/>
              <w:rPr>
                <w:sz w:val="20"/>
                <w:lang w:eastAsia="sk-SK"/>
              </w:rPr>
            </w:pPr>
            <w:r w:rsidRPr="00625A04">
              <w:rPr>
                <w:sz w:val="16"/>
                <w:szCs w:val="16"/>
              </w:rPr>
              <w:t>Metylestery mastných kyselín musia spĺňať technickú normu.</w:t>
            </w:r>
            <w:r>
              <w:rPr>
                <w:sz w:val="16"/>
                <w:szCs w:val="16"/>
                <w:vertAlign w:val="superscript"/>
              </w:rPr>
              <w:footnoteReference w:id="17"/>
            </w:r>
            <w:r w:rsidRPr="00625A04">
              <w:rPr>
                <w:sz w:val="16"/>
                <w:szCs w:val="16"/>
              </w:rPr>
              <w:t>)</w:t>
            </w:r>
          </w:p>
        </w:tc>
        <w:tc>
          <w:tcPr>
            <w:tcW w:w="709" w:type="dxa"/>
            <w:tcBorders>
              <w:top w:val="single" w:sz="4" w:space="0" w:color="auto"/>
              <w:bottom w:val="single" w:sz="4" w:space="0" w:color="auto"/>
            </w:tcBorders>
          </w:tcPr>
          <w:p w:rsidR="00E077CA" w:rsidRPr="00F74B61" w:rsidP="00E077CA">
            <w:pPr>
              <w:jc w:val="both"/>
              <w:rPr>
                <w:sz w:val="20"/>
              </w:rPr>
            </w:pPr>
            <w:r w:rsidRPr="00F74B61">
              <w:rPr>
                <w:sz w:val="20"/>
              </w:rPr>
              <w:t>Ú</w:t>
            </w:r>
          </w:p>
        </w:tc>
        <w:tc>
          <w:tcPr>
            <w:tcW w:w="1701" w:type="dxa"/>
            <w:tcBorders>
              <w:top w:val="single" w:sz="4" w:space="0" w:color="auto"/>
              <w:bottom w:val="single" w:sz="4" w:space="0" w:color="auto"/>
            </w:tcBorders>
          </w:tcPr>
          <w:p w:rsidR="00E077CA" w:rsidRPr="00F74B61" w:rsidP="00E077CA">
            <w:pPr>
              <w:rPr>
                <w:sz w:val="20"/>
              </w:rPr>
            </w:pPr>
          </w:p>
        </w:tc>
      </w:tr>
      <w:tr w:rsidTr="002E524C">
        <w:tblPrEx>
          <w:tblW w:w="14954" w:type="dxa"/>
          <w:tblLayout w:type="fixed"/>
          <w:tblCellMar>
            <w:left w:w="70" w:type="dxa"/>
            <w:right w:w="70" w:type="dxa"/>
          </w:tblCellMar>
          <w:tblLook w:val="0000"/>
        </w:tblPrEx>
        <w:trPr>
          <w:trHeight w:val="988"/>
        </w:trPr>
        <w:tc>
          <w:tcPr>
            <w:tcW w:w="637" w:type="dxa"/>
            <w:tcBorders>
              <w:top w:val="single" w:sz="4" w:space="0" w:color="auto"/>
              <w:bottom w:val="single" w:sz="4" w:space="0" w:color="auto"/>
            </w:tcBorders>
          </w:tcPr>
          <w:p w:rsidR="00E077CA" w:rsidRPr="00F74B61" w:rsidP="00E077CA">
            <w:pPr>
              <w:jc w:val="both"/>
              <w:rPr>
                <w:sz w:val="20"/>
              </w:rPr>
            </w:pPr>
            <w:r w:rsidRPr="00F74B61">
              <w:rPr>
                <w:sz w:val="20"/>
              </w:rPr>
              <w:t>Príl.</w:t>
            </w:r>
          </w:p>
          <w:p w:rsidR="00E077CA" w:rsidRPr="00F74B61" w:rsidP="00E077CA">
            <w:pPr>
              <w:jc w:val="both"/>
              <w:rPr>
                <w:sz w:val="20"/>
              </w:rPr>
            </w:pPr>
            <w:r w:rsidRPr="00F74B61">
              <w:rPr>
                <w:sz w:val="20"/>
              </w:rPr>
              <w:t>III</w:t>
            </w:r>
          </w:p>
        </w:tc>
        <w:tc>
          <w:tcPr>
            <w:tcW w:w="5245" w:type="dxa"/>
            <w:tcBorders>
              <w:top w:val="single" w:sz="4" w:space="0" w:color="auto"/>
              <w:bottom w:val="single" w:sz="4" w:space="0" w:color="auto"/>
            </w:tcBorders>
          </w:tcPr>
          <w:p w:rsidR="00E077CA" w:rsidRPr="00F74B61" w:rsidP="00E077CA">
            <w:pPr>
              <w:pStyle w:val="BodyTextIndent"/>
              <w:ind w:left="1701" w:hanging="1701"/>
              <w:rPr>
                <w:rFonts w:ascii="TimesNewRoman" w:hAnsi="TimesNewRoman" w:cs="TimesNewRoman"/>
                <w:color w:val="auto"/>
                <w:lang w:eastAsia="sk-SK"/>
              </w:rPr>
            </w:pPr>
            <w:r w:rsidRPr="00F74B61">
              <w:rPr>
                <w:rFonts w:ascii="TimesNewRoman" w:hAnsi="TimesNewRoman" w:cs="TimesNewRoman"/>
                <w:color w:val="auto"/>
                <w:lang w:eastAsia="sk-SK"/>
              </w:rPr>
              <w:t>Príloha III</w:t>
            </w:r>
          </w:p>
          <w:p w:rsidR="00E077CA" w:rsidRPr="00F74B61" w:rsidP="00E077CA">
            <w:pPr>
              <w:autoSpaceDE w:val="0"/>
              <w:autoSpaceDN w:val="0"/>
              <w:adjustRightInd w:val="0"/>
              <w:jc w:val="both"/>
              <w:rPr>
                <w:rFonts w:ascii="TimesNewRoman" w:hAnsi="TimesNewRoman" w:cs="TimesNewRoman"/>
                <w:sz w:val="20"/>
                <w:lang w:eastAsia="sk-SK"/>
              </w:rPr>
            </w:pPr>
            <w:r w:rsidRPr="00F74B61">
              <w:rPr>
                <w:rFonts w:ascii="TimesNewRoman" w:hAnsi="TimesNewRoman" w:cs="TimesNewRoman"/>
                <w:sz w:val="20"/>
                <w:lang w:eastAsia="sk-SK"/>
              </w:rPr>
              <w:t xml:space="preserve">Výnimka vzťahujúca sa na tlak </w:t>
            </w:r>
            <w:r>
              <w:rPr>
                <w:rFonts w:ascii="TimesNewRoman" w:hAnsi="TimesNewRoman" w:cs="TimesNewRoman"/>
                <w:sz w:val="20"/>
                <w:lang w:eastAsia="sk-SK"/>
              </w:rPr>
              <w:t>výparov</w:t>
            </w:r>
            <w:r w:rsidRPr="00F74B61">
              <w:rPr>
                <w:rFonts w:ascii="TimesNewRoman" w:hAnsi="TimesNewRoman" w:cs="TimesNewRoman"/>
                <w:sz w:val="20"/>
                <w:lang w:eastAsia="sk-SK"/>
              </w:rPr>
              <w:t xml:space="preserve"> povolená pre benzín s obsahom bioetanolu </w:t>
            </w:r>
          </w:p>
        </w:tc>
        <w:tc>
          <w:tcPr>
            <w:tcW w:w="567" w:type="dxa"/>
            <w:tcBorders>
              <w:top w:val="single" w:sz="4" w:space="0" w:color="auto"/>
              <w:bottom w:val="single" w:sz="4" w:space="0" w:color="auto"/>
            </w:tcBorders>
          </w:tcPr>
          <w:p w:rsidR="00E077CA" w:rsidRPr="00F74B61" w:rsidP="00E077CA">
            <w:pPr>
              <w:jc w:val="both"/>
              <w:rPr>
                <w:sz w:val="20"/>
              </w:rPr>
            </w:pPr>
            <w:r w:rsidRPr="00F74B61">
              <w:rPr>
                <w:sz w:val="20"/>
              </w:rPr>
              <w:t>n.a.</w:t>
            </w:r>
          </w:p>
        </w:tc>
        <w:tc>
          <w:tcPr>
            <w:tcW w:w="1276" w:type="dxa"/>
            <w:tcBorders>
              <w:top w:val="single" w:sz="4" w:space="0" w:color="auto"/>
              <w:bottom w:val="single" w:sz="4" w:space="0" w:color="auto"/>
            </w:tcBorders>
          </w:tcPr>
          <w:p w:rsidR="00E077CA" w:rsidRPr="00F74B61" w:rsidP="00E077CA">
            <w:pPr>
              <w:jc w:val="center"/>
              <w:rPr>
                <w:sz w:val="20"/>
              </w:rPr>
            </w:pPr>
          </w:p>
        </w:tc>
        <w:tc>
          <w:tcPr>
            <w:tcW w:w="709" w:type="dxa"/>
            <w:tcBorders>
              <w:top w:val="single" w:sz="4" w:space="0" w:color="auto"/>
              <w:bottom w:val="single" w:sz="4" w:space="0" w:color="auto"/>
            </w:tcBorders>
          </w:tcPr>
          <w:p w:rsidR="00E077CA" w:rsidRPr="00F74B61" w:rsidP="00E077CA">
            <w:pPr>
              <w:pStyle w:val="BodyText21"/>
            </w:pPr>
          </w:p>
        </w:tc>
        <w:tc>
          <w:tcPr>
            <w:tcW w:w="4110" w:type="dxa"/>
            <w:tcBorders>
              <w:top w:val="single" w:sz="4" w:space="0" w:color="auto"/>
              <w:bottom w:val="single" w:sz="4" w:space="0" w:color="auto"/>
            </w:tcBorders>
          </w:tcPr>
          <w:p w:rsidR="00E077CA" w:rsidRPr="00A755D5" w:rsidP="00E077CA">
            <w:pPr>
              <w:pStyle w:val="Heading6"/>
              <w:rPr>
                <w:b w:val="0"/>
                <w:sz w:val="20"/>
                <w:highlight w:val="yellow"/>
              </w:rPr>
            </w:pPr>
          </w:p>
        </w:tc>
        <w:tc>
          <w:tcPr>
            <w:tcW w:w="709" w:type="dxa"/>
            <w:tcBorders>
              <w:top w:val="single" w:sz="4" w:space="0" w:color="auto"/>
              <w:bottom w:val="single" w:sz="4" w:space="0" w:color="auto"/>
            </w:tcBorders>
          </w:tcPr>
          <w:p w:rsidR="00E077CA" w:rsidRPr="00F74B61" w:rsidP="00E077CA">
            <w:pPr>
              <w:jc w:val="both"/>
              <w:rPr>
                <w:sz w:val="20"/>
              </w:rPr>
            </w:pPr>
            <w:r w:rsidR="002E524C">
              <w:rPr>
                <w:sz w:val="20"/>
              </w:rPr>
              <w:t>n.a.</w:t>
            </w:r>
          </w:p>
        </w:tc>
        <w:tc>
          <w:tcPr>
            <w:tcW w:w="1701" w:type="dxa"/>
            <w:tcBorders>
              <w:top w:val="single" w:sz="4" w:space="0" w:color="auto"/>
              <w:bottom w:val="single" w:sz="4" w:space="0" w:color="auto"/>
            </w:tcBorders>
          </w:tcPr>
          <w:p w:rsidR="00E077CA" w:rsidRPr="00F74B61" w:rsidP="00E077CA">
            <w:pPr>
              <w:jc w:val="both"/>
              <w:rPr>
                <w:sz w:val="20"/>
              </w:rPr>
            </w:pPr>
          </w:p>
        </w:tc>
      </w:tr>
      <w:tr w:rsidTr="002E524C">
        <w:tblPrEx>
          <w:tblW w:w="14954" w:type="dxa"/>
          <w:tblLayout w:type="fixed"/>
          <w:tblCellMar>
            <w:left w:w="70" w:type="dxa"/>
            <w:right w:w="70" w:type="dxa"/>
          </w:tblCellMar>
          <w:tblLook w:val="0000"/>
        </w:tblPrEx>
        <w:trPr>
          <w:trHeight w:val="1122"/>
        </w:trPr>
        <w:tc>
          <w:tcPr>
            <w:tcW w:w="637" w:type="dxa"/>
            <w:tcBorders>
              <w:top w:val="single" w:sz="4" w:space="0" w:color="auto"/>
              <w:left w:val="single" w:sz="6" w:space="0" w:color="000000"/>
              <w:bottom w:val="single" w:sz="4" w:space="0" w:color="auto"/>
              <w:right w:val="single" w:sz="6" w:space="0" w:color="000000"/>
            </w:tcBorders>
          </w:tcPr>
          <w:p w:rsidR="00E077CA" w:rsidRPr="004C5894" w:rsidP="00E077CA">
            <w:pPr>
              <w:jc w:val="both"/>
              <w:rPr>
                <w:sz w:val="20"/>
              </w:rPr>
            </w:pPr>
            <w:r w:rsidRPr="004C5894">
              <w:rPr>
                <w:sz w:val="20"/>
              </w:rPr>
              <w:t>Príl. IV</w:t>
            </w:r>
          </w:p>
        </w:tc>
        <w:tc>
          <w:tcPr>
            <w:tcW w:w="5245" w:type="dxa"/>
            <w:tcBorders>
              <w:top w:val="single" w:sz="4" w:space="0" w:color="auto"/>
              <w:left w:val="single" w:sz="6" w:space="0" w:color="000000"/>
              <w:bottom w:val="single" w:sz="4" w:space="0" w:color="auto"/>
              <w:right w:val="single" w:sz="6" w:space="0" w:color="000000"/>
            </w:tcBorders>
          </w:tcPr>
          <w:p w:rsidR="00E077CA" w:rsidRPr="004C5894" w:rsidP="00E077CA">
            <w:pPr>
              <w:pStyle w:val="BodyTextIndent"/>
              <w:ind w:left="1701" w:hanging="1701"/>
              <w:rPr>
                <w:rFonts w:ascii="TimesNewRoman" w:hAnsi="TimesNewRoman" w:cs="TimesNewRoman"/>
                <w:color w:val="auto"/>
                <w:lang w:eastAsia="sk-SK"/>
              </w:rPr>
            </w:pPr>
            <w:r w:rsidRPr="004C5894">
              <w:rPr>
                <w:rFonts w:ascii="TimesNewRoman" w:hAnsi="TimesNewRoman" w:cs="TimesNewRoman"/>
                <w:color w:val="auto"/>
                <w:lang w:eastAsia="sk-SK"/>
              </w:rPr>
              <w:t>Príloha IV</w:t>
            </w:r>
          </w:p>
          <w:p w:rsidR="00E077CA" w:rsidRPr="004C5894" w:rsidP="00E077CA">
            <w:pPr>
              <w:pStyle w:val="BodyTextIndent"/>
              <w:rPr>
                <w:rFonts w:ascii="TimesNewRoman" w:hAnsi="TimesNewRoman" w:cs="TimesNewRoman"/>
                <w:color w:val="auto"/>
                <w:lang w:eastAsia="sk-SK"/>
              </w:rPr>
            </w:pPr>
            <w:r w:rsidRPr="004C5894">
              <w:rPr>
                <w:rFonts w:ascii="TimesNewRoman" w:hAnsi="TimesNewRoman" w:cs="TimesNewRoman"/>
                <w:color w:val="auto"/>
                <w:lang w:eastAsia="sk-SK"/>
              </w:rPr>
              <w:t>Pravidlá výpočtu emisií skleníkových plynov biopalív počas ich životného cyklu</w:t>
            </w:r>
          </w:p>
        </w:tc>
        <w:tc>
          <w:tcPr>
            <w:tcW w:w="567" w:type="dxa"/>
            <w:tcBorders>
              <w:top w:val="single" w:sz="4" w:space="0" w:color="auto"/>
              <w:left w:val="single" w:sz="6" w:space="0" w:color="000000"/>
              <w:bottom w:val="single" w:sz="4" w:space="0" w:color="auto"/>
              <w:right w:val="single" w:sz="6" w:space="0" w:color="000000"/>
            </w:tcBorders>
          </w:tcPr>
          <w:p w:rsidR="00E077CA" w:rsidRPr="004C5894" w:rsidP="00E077CA">
            <w:pPr>
              <w:jc w:val="both"/>
              <w:rPr>
                <w:sz w:val="20"/>
              </w:rPr>
            </w:pPr>
            <w:r w:rsidRPr="004C5894">
              <w:rPr>
                <w:sz w:val="20"/>
              </w:rPr>
              <w:t>N</w:t>
            </w:r>
          </w:p>
        </w:tc>
        <w:tc>
          <w:tcPr>
            <w:tcW w:w="1276" w:type="dxa"/>
            <w:tcBorders>
              <w:top w:val="single" w:sz="4" w:space="0" w:color="auto"/>
              <w:left w:val="single" w:sz="6" w:space="0" w:color="000000"/>
              <w:bottom w:val="single" w:sz="4" w:space="0" w:color="auto"/>
              <w:right w:val="single" w:sz="6" w:space="0" w:color="000000"/>
            </w:tcBorders>
          </w:tcPr>
          <w:p w:rsidR="00E077CA" w:rsidRPr="00E02262" w:rsidP="00E077CA">
            <w:pPr>
              <w:jc w:val="center"/>
              <w:rPr>
                <w:sz w:val="20"/>
              </w:rPr>
            </w:pPr>
            <w:r>
              <w:rPr>
                <w:sz w:val="20"/>
              </w:rPr>
              <w:t>V 271/2011</w:t>
            </w:r>
          </w:p>
          <w:p w:rsidR="00E077CA" w:rsidRPr="004C5894" w:rsidP="00E077CA">
            <w:pPr>
              <w:jc w:val="center"/>
              <w:rPr>
                <w:sz w:val="20"/>
              </w:rPr>
            </w:pPr>
          </w:p>
        </w:tc>
        <w:tc>
          <w:tcPr>
            <w:tcW w:w="709" w:type="dxa"/>
            <w:tcBorders>
              <w:top w:val="single" w:sz="4" w:space="0" w:color="auto"/>
              <w:left w:val="single" w:sz="6" w:space="0" w:color="000000"/>
              <w:bottom w:val="single" w:sz="4" w:space="0" w:color="auto"/>
              <w:right w:val="single" w:sz="6" w:space="0" w:color="000000"/>
            </w:tcBorders>
          </w:tcPr>
          <w:p w:rsidR="00E077CA" w:rsidRPr="004C5894" w:rsidP="00E077CA">
            <w:pPr>
              <w:pStyle w:val="BodyText21"/>
            </w:pPr>
            <w:r>
              <w:t>P</w:t>
            </w:r>
            <w:r w:rsidRPr="004C5894">
              <w:t>ríl. č.2</w:t>
            </w:r>
          </w:p>
        </w:tc>
        <w:tc>
          <w:tcPr>
            <w:tcW w:w="4110" w:type="dxa"/>
            <w:tcBorders>
              <w:top w:val="single" w:sz="4" w:space="0" w:color="auto"/>
              <w:left w:val="single" w:sz="6" w:space="0" w:color="000000"/>
              <w:bottom w:val="single" w:sz="4" w:space="0" w:color="auto"/>
              <w:right w:val="single" w:sz="6" w:space="0" w:color="000000"/>
            </w:tcBorders>
          </w:tcPr>
          <w:p w:rsidR="00F718E2" w:rsidP="00F718E2">
            <w:pPr>
              <w:jc w:val="both"/>
              <w:rPr>
                <w:b/>
                <w:sz w:val="20"/>
              </w:rPr>
            </w:pPr>
            <w:r>
              <w:rPr>
                <w:b/>
                <w:sz w:val="20"/>
              </w:rPr>
              <w:t>Príloha č. 2</w:t>
            </w:r>
          </w:p>
          <w:p w:rsidR="00E077CA" w:rsidRPr="00625A04" w:rsidP="00E077CA">
            <w:r w:rsidRPr="00625A04">
              <w:rPr>
                <w:sz w:val="20"/>
              </w:rPr>
              <w:t>Pravidlá výpočtu emisií skleníkových plynov biopalív a biokvapalín počasich životného cyklu</w:t>
            </w:r>
          </w:p>
        </w:tc>
        <w:tc>
          <w:tcPr>
            <w:tcW w:w="709" w:type="dxa"/>
            <w:tcBorders>
              <w:top w:val="single" w:sz="4" w:space="0" w:color="auto"/>
              <w:left w:val="single" w:sz="6" w:space="0" w:color="000000"/>
              <w:bottom w:val="single" w:sz="4" w:space="0" w:color="auto"/>
              <w:right w:val="single" w:sz="6" w:space="0" w:color="000000"/>
            </w:tcBorders>
          </w:tcPr>
          <w:p w:rsidR="00E077CA" w:rsidRPr="004C5894" w:rsidP="00E077CA">
            <w:pPr>
              <w:jc w:val="both"/>
              <w:rPr>
                <w:sz w:val="20"/>
              </w:rPr>
            </w:pPr>
            <w:r w:rsidRPr="004C5894">
              <w:rPr>
                <w:sz w:val="20"/>
              </w:rPr>
              <w:t>Ú</w:t>
            </w:r>
          </w:p>
          <w:p w:rsidR="00E077CA" w:rsidRPr="004C5894" w:rsidP="00E077CA">
            <w:pPr>
              <w:jc w:val="both"/>
              <w:rPr>
                <w:sz w:val="20"/>
              </w:rPr>
            </w:pPr>
          </w:p>
          <w:p w:rsidR="00E077CA" w:rsidRPr="004C5894" w:rsidP="00E077CA">
            <w:pPr>
              <w:jc w:val="both"/>
              <w:rPr>
                <w:sz w:val="20"/>
              </w:rPr>
            </w:pPr>
          </w:p>
          <w:p w:rsidR="00E077CA" w:rsidRPr="004C5894" w:rsidP="00E077CA">
            <w:pPr>
              <w:jc w:val="both"/>
              <w:rPr>
                <w:sz w:val="20"/>
              </w:rPr>
            </w:pPr>
          </w:p>
        </w:tc>
        <w:tc>
          <w:tcPr>
            <w:tcW w:w="1701" w:type="dxa"/>
            <w:tcBorders>
              <w:top w:val="single" w:sz="4" w:space="0" w:color="auto"/>
              <w:left w:val="single" w:sz="6" w:space="0" w:color="000000"/>
              <w:bottom w:val="single" w:sz="4" w:space="0" w:color="auto"/>
              <w:right w:val="single" w:sz="6" w:space="0" w:color="000000"/>
            </w:tcBorders>
          </w:tcPr>
          <w:p w:rsidR="00E077CA" w:rsidRPr="004C5894" w:rsidP="00C736E5">
            <w:pPr>
              <w:jc w:val="both"/>
              <w:rPr>
                <w:sz w:val="20"/>
              </w:rPr>
            </w:pPr>
            <w:r w:rsidR="00F718E2">
              <w:rPr>
                <w:sz w:val="20"/>
              </w:rPr>
              <w:t xml:space="preserve">Text príloh nie je uvedený z dôvodu </w:t>
            </w:r>
            <w:r w:rsidR="00C736E5">
              <w:rPr>
                <w:sz w:val="20"/>
              </w:rPr>
              <w:t xml:space="preserve">značnej </w:t>
            </w:r>
            <w:r w:rsidR="00F718E2">
              <w:rPr>
                <w:sz w:val="20"/>
              </w:rPr>
              <w:t>rozsiahl</w:t>
            </w:r>
            <w:r w:rsidR="00C736E5">
              <w:rPr>
                <w:sz w:val="20"/>
              </w:rPr>
              <w:t>osti príloh.</w:t>
            </w:r>
            <w:r w:rsidR="00F718E2">
              <w:rPr>
                <w:sz w:val="20"/>
              </w:rPr>
              <w:t xml:space="preserve"> </w:t>
            </w:r>
          </w:p>
        </w:tc>
      </w:tr>
      <w:tr w:rsidTr="002E524C">
        <w:tblPrEx>
          <w:tblW w:w="14954" w:type="dxa"/>
          <w:tblLayout w:type="fixed"/>
          <w:tblCellMar>
            <w:left w:w="70" w:type="dxa"/>
            <w:right w:w="70" w:type="dxa"/>
          </w:tblCellMar>
          <w:tblLook w:val="0000"/>
        </w:tblPrEx>
        <w:trPr>
          <w:trHeight w:val="1122"/>
        </w:trPr>
        <w:tc>
          <w:tcPr>
            <w:tcW w:w="637" w:type="dxa"/>
            <w:tcBorders>
              <w:top w:val="single" w:sz="4" w:space="0" w:color="auto"/>
              <w:left w:val="single" w:sz="6" w:space="0" w:color="000000"/>
              <w:bottom w:val="single" w:sz="4" w:space="0" w:color="auto"/>
              <w:right w:val="single" w:sz="6" w:space="0" w:color="000000"/>
            </w:tcBorders>
          </w:tcPr>
          <w:p w:rsidR="002E524C" w:rsidRPr="00503A51" w:rsidP="002E524C">
            <w:pPr>
              <w:jc w:val="both"/>
              <w:rPr>
                <w:sz w:val="20"/>
              </w:rPr>
            </w:pPr>
            <w:r w:rsidRPr="00503A51">
              <w:rPr>
                <w:sz w:val="20"/>
              </w:rPr>
              <w:t>Príl.</w:t>
            </w:r>
          </w:p>
          <w:p w:rsidR="002E524C" w:rsidRPr="00503A51" w:rsidP="002E524C">
            <w:pPr>
              <w:jc w:val="both"/>
              <w:rPr>
                <w:sz w:val="20"/>
              </w:rPr>
            </w:pPr>
            <w:r w:rsidRPr="00503A51">
              <w:rPr>
                <w:sz w:val="20"/>
              </w:rPr>
              <w:t>V</w:t>
            </w:r>
          </w:p>
        </w:tc>
        <w:tc>
          <w:tcPr>
            <w:tcW w:w="5245" w:type="dxa"/>
            <w:tcBorders>
              <w:top w:val="single" w:sz="4" w:space="0" w:color="auto"/>
              <w:left w:val="single" w:sz="6" w:space="0" w:color="000000"/>
              <w:bottom w:val="single" w:sz="4" w:space="0" w:color="auto"/>
              <w:right w:val="single" w:sz="6" w:space="0" w:color="000000"/>
            </w:tcBorders>
          </w:tcPr>
          <w:p w:rsidR="002E524C" w:rsidRPr="00FC6E9F" w:rsidP="00655061">
            <w:pPr>
              <w:pStyle w:val="BodyTextIndent"/>
              <w:jc w:val="left"/>
              <w:rPr>
                <w:rFonts w:ascii="TimesNewRoman" w:hAnsi="TimesNewRoman" w:cs="TimesNewRoman"/>
                <w:color w:val="auto"/>
                <w:lang w:eastAsia="sk-SK"/>
              </w:rPr>
            </w:pPr>
            <w:r w:rsidRPr="00FC6E9F">
              <w:rPr>
                <w:rFonts w:ascii="TimesNewRoman" w:hAnsi="TimesNewRoman" w:cs="TimesNewRoman"/>
                <w:color w:val="auto"/>
                <w:lang w:eastAsia="sk-SK"/>
              </w:rPr>
              <w:t>Príloha V</w:t>
            </w:r>
          </w:p>
          <w:p w:rsidR="00655061" w:rsidP="00655061">
            <w:pPr>
              <w:pStyle w:val="BodyTextIndent"/>
              <w:jc w:val="left"/>
              <w:rPr>
                <w:color w:val="auto"/>
              </w:rPr>
            </w:pPr>
            <w:r w:rsidRPr="00FC6E9F" w:rsidR="00FC6E9F">
              <w:rPr>
                <w:rStyle w:val="markedcontent"/>
                <w:color w:val="auto"/>
                <w:sz w:val="21"/>
                <w:szCs w:val="21"/>
              </w:rPr>
              <w:t xml:space="preserve">Časť A. Predbežné odhadované emisie z biopalív </w:t>
            </w:r>
            <w:r w:rsidR="00FC6E9F">
              <w:rPr>
                <w:rStyle w:val="markedcontent"/>
                <w:color w:val="auto"/>
                <w:sz w:val="21"/>
                <w:szCs w:val="21"/>
              </w:rPr>
              <w:t>v</w:t>
            </w:r>
            <w:r w:rsidRPr="00FC6E9F" w:rsidR="00FC6E9F">
              <w:rPr>
                <w:rStyle w:val="markedcontent"/>
                <w:color w:val="auto"/>
                <w:sz w:val="21"/>
                <w:szCs w:val="21"/>
              </w:rPr>
              <w:t>yplývajúce z nepriamej zmeny</w:t>
            </w:r>
            <w:r w:rsidRPr="00FC6E9F" w:rsidR="00FC6E9F">
              <w:rPr>
                <w:color w:val="auto"/>
              </w:rPr>
              <w:br/>
            </w:r>
            <w:r w:rsidRPr="00FC6E9F" w:rsidR="00FC6E9F">
              <w:rPr>
                <w:rStyle w:val="markedcontent"/>
                <w:color w:val="auto"/>
                <w:sz w:val="21"/>
                <w:szCs w:val="21"/>
              </w:rPr>
              <w:t xml:space="preserve">využívania pôdy (g CO </w:t>
            </w:r>
            <w:r w:rsidRPr="00FC6E9F" w:rsidR="00FC6E9F">
              <w:rPr>
                <w:rStyle w:val="markedcontent"/>
                <w:color w:val="auto"/>
                <w:sz w:val="16"/>
                <w:szCs w:val="16"/>
              </w:rPr>
              <w:t xml:space="preserve">2eq </w:t>
            </w:r>
            <w:r w:rsidRPr="00FC6E9F" w:rsidR="00FC6E9F">
              <w:rPr>
                <w:rStyle w:val="markedcontent"/>
                <w:color w:val="auto"/>
                <w:sz w:val="21"/>
                <w:szCs w:val="21"/>
              </w:rPr>
              <w:t>/MJ) (</w:t>
            </w:r>
            <w:r w:rsidRPr="00FC6E9F" w:rsidR="00FC6E9F">
              <w:rPr>
                <w:rStyle w:val="markedcontent"/>
                <w:color w:val="auto"/>
                <w:sz w:val="16"/>
                <w:szCs w:val="16"/>
              </w:rPr>
              <w:t xml:space="preserve">+ </w:t>
            </w:r>
            <w:r w:rsidRPr="00FC6E9F" w:rsidR="00FC6E9F">
              <w:rPr>
                <w:rStyle w:val="markedcontent"/>
                <w:color w:val="auto"/>
                <w:sz w:val="21"/>
                <w:szCs w:val="21"/>
              </w:rPr>
              <w:t>)</w:t>
            </w:r>
            <w:r w:rsidRPr="00FC6E9F" w:rsidR="00FC6E9F">
              <w:rPr>
                <w:color w:val="auto"/>
              </w:rPr>
              <w:br/>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697"/>
              <w:gridCol w:w="1697"/>
            </w:tblGrid>
            <w:tr w:rsidTr="009811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13"/>
              </w:trPr>
              <w:tc>
                <w:tcPr>
                  <w:tcW w:w="1696" w:type="dxa"/>
                  <w:shd w:val="clear" w:color="auto" w:fill="auto"/>
                </w:tcPr>
                <w:p w:rsidR="00655061" w:rsidRPr="009811D1" w:rsidP="009811D1">
                  <w:pPr>
                    <w:jc w:val="center"/>
                    <w:rPr>
                      <w:rStyle w:val="markedcontent"/>
                      <w:sz w:val="19"/>
                      <w:szCs w:val="19"/>
                    </w:rPr>
                  </w:pPr>
                  <w:r w:rsidRPr="009811D1">
                    <w:rPr>
                      <w:rStyle w:val="markedcontent"/>
                      <w:sz w:val="19"/>
                      <w:szCs w:val="19"/>
                    </w:rPr>
                    <w:t>Skupina surovín</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Stred (*)</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Percentilový rozsah</w:t>
                    <w:br/>
                    <w:t>odvodený od analýzy</w:t>
                    <w:br/>
                    <w:t>citlivosti (**)</w:t>
                    <w:br/>
                  </w:r>
                </w:p>
              </w:tc>
            </w:tr>
            <w:tr w:rsidTr="009811D1">
              <w:tblPrEx>
                <w:tblW w:w="0" w:type="auto"/>
                <w:tblLayout w:type="fixed"/>
                <w:tblLook w:val="04A0"/>
              </w:tblPrEx>
              <w:tc>
                <w:tcPr>
                  <w:tcW w:w="1696" w:type="dxa"/>
                  <w:shd w:val="clear" w:color="auto" w:fill="auto"/>
                </w:tcPr>
                <w:p w:rsidR="00655061" w:rsidRPr="009811D1" w:rsidP="00655061">
                  <w:pPr>
                    <w:rPr>
                      <w:rStyle w:val="markedcontent"/>
                      <w:sz w:val="19"/>
                      <w:szCs w:val="19"/>
                    </w:rPr>
                  </w:pPr>
                  <w:r w:rsidRPr="009811D1">
                    <w:rPr>
                      <w:rStyle w:val="markedcontent"/>
                      <w:sz w:val="19"/>
                      <w:szCs w:val="19"/>
                    </w:rPr>
                    <w:t>Obilniny a iné plodiny bohaté na</w:t>
                    <w:br/>
                    <w:t>škrob</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12</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8 až 16</w:t>
                  </w:r>
                </w:p>
              </w:tc>
            </w:tr>
            <w:tr w:rsidTr="009811D1">
              <w:tblPrEx>
                <w:tblW w:w="0" w:type="auto"/>
                <w:tblLayout w:type="fixed"/>
                <w:tblLook w:val="04A0"/>
              </w:tblPrEx>
              <w:tc>
                <w:tcPr>
                  <w:tcW w:w="1696" w:type="dxa"/>
                  <w:shd w:val="clear" w:color="auto" w:fill="auto"/>
                </w:tcPr>
                <w:p w:rsidR="00655061" w:rsidRPr="009811D1" w:rsidP="00655061">
                  <w:pPr>
                    <w:rPr>
                      <w:rStyle w:val="markedcontent"/>
                      <w:sz w:val="19"/>
                      <w:szCs w:val="19"/>
                    </w:rPr>
                  </w:pPr>
                  <w:r w:rsidRPr="009811D1">
                    <w:rPr>
                      <w:rStyle w:val="markedcontent"/>
                      <w:sz w:val="19"/>
                      <w:szCs w:val="19"/>
                    </w:rPr>
                    <w:t>Cukornaté plodiny</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13</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4 až 17</w:t>
                  </w:r>
                </w:p>
              </w:tc>
            </w:tr>
            <w:tr w:rsidTr="009811D1">
              <w:tblPrEx>
                <w:tblW w:w="0" w:type="auto"/>
                <w:tblLayout w:type="fixed"/>
                <w:tblLook w:val="04A0"/>
              </w:tblPrEx>
              <w:tc>
                <w:tcPr>
                  <w:tcW w:w="1696" w:type="dxa"/>
                  <w:shd w:val="clear" w:color="auto" w:fill="auto"/>
                </w:tcPr>
                <w:p w:rsidR="00655061" w:rsidRPr="009811D1" w:rsidP="00655061">
                  <w:pPr>
                    <w:rPr>
                      <w:rStyle w:val="markedcontent"/>
                      <w:sz w:val="19"/>
                      <w:szCs w:val="19"/>
                    </w:rPr>
                  </w:pPr>
                  <w:r w:rsidRPr="009811D1">
                    <w:rPr>
                      <w:rStyle w:val="markedcontent"/>
                      <w:sz w:val="19"/>
                      <w:szCs w:val="19"/>
                    </w:rPr>
                    <w:t>Olejniny</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55</w:t>
                  </w:r>
                </w:p>
              </w:tc>
              <w:tc>
                <w:tcPr>
                  <w:tcW w:w="1697" w:type="dxa"/>
                  <w:shd w:val="clear" w:color="auto" w:fill="auto"/>
                </w:tcPr>
                <w:p w:rsidR="00655061" w:rsidRPr="009811D1" w:rsidP="009811D1">
                  <w:pPr>
                    <w:jc w:val="center"/>
                    <w:rPr>
                      <w:rStyle w:val="markedcontent"/>
                      <w:sz w:val="19"/>
                      <w:szCs w:val="19"/>
                    </w:rPr>
                  </w:pPr>
                  <w:r w:rsidRPr="009811D1">
                    <w:rPr>
                      <w:rStyle w:val="markedcontent"/>
                      <w:sz w:val="19"/>
                      <w:szCs w:val="19"/>
                    </w:rPr>
                    <w:t>33 až 66</w:t>
                  </w:r>
                </w:p>
              </w:tc>
            </w:tr>
          </w:tbl>
          <w:p w:rsidR="00FC6E9F" w:rsidP="00FC6E9F">
            <w:pPr>
              <w:pStyle w:val="BodyTextIndent"/>
              <w:jc w:val="left"/>
              <w:rPr>
                <w:rStyle w:val="markedcontent"/>
                <w:color w:val="auto"/>
                <w:sz w:val="18"/>
                <w:szCs w:val="18"/>
              </w:rPr>
            </w:pPr>
            <w:r w:rsidRPr="00FC6E9F">
              <w:rPr>
                <w:color w:val="auto"/>
              </w:rPr>
              <w:br/>
            </w:r>
            <w:r w:rsidRPr="00FC6E9F">
              <w:rPr>
                <w:rStyle w:val="markedcontent"/>
                <w:color w:val="auto"/>
                <w:sz w:val="18"/>
                <w:szCs w:val="18"/>
              </w:rPr>
              <w:t>(*) Stredné hodnoty, ktoré sú tu zahrnuté, predstavujú vážený priemer individuálne modelovaných hodnôt surovín.</w:t>
            </w:r>
            <w:r w:rsidRPr="00FC6E9F">
              <w:rPr>
                <w:color w:val="auto"/>
              </w:rPr>
              <w:br/>
            </w:r>
            <w:r w:rsidRPr="00FC6E9F">
              <w:rPr>
                <w:rStyle w:val="markedcontent"/>
                <w:color w:val="auto"/>
                <w:sz w:val="18"/>
                <w:szCs w:val="18"/>
              </w:rPr>
              <w:t>(**) Rozsah, ktorý je tu zahrnutý, odráža 90 % výsledkov pri použití hodnôt piaty percentil</w:t>
            </w:r>
            <w:r>
              <w:rPr>
                <w:rStyle w:val="markedcontent"/>
                <w:color w:val="auto"/>
                <w:sz w:val="18"/>
                <w:szCs w:val="18"/>
              </w:rPr>
              <w:t xml:space="preserve"> </w:t>
            </w:r>
            <w:r w:rsidRPr="00FC6E9F">
              <w:rPr>
                <w:rStyle w:val="markedcontent"/>
                <w:color w:val="auto"/>
                <w:sz w:val="18"/>
                <w:szCs w:val="18"/>
              </w:rPr>
              <w:t>a deväťdesiaty piaty percentil vyplývajúcich z analýzy. Piaty percentil znamená</w:t>
            </w:r>
            <w:r>
              <w:rPr>
                <w:rStyle w:val="markedcontent"/>
                <w:color w:val="auto"/>
                <w:sz w:val="18"/>
                <w:szCs w:val="18"/>
              </w:rPr>
              <w:t xml:space="preserve"> </w:t>
            </w:r>
            <w:r w:rsidRPr="00FC6E9F">
              <w:rPr>
                <w:rStyle w:val="markedcontent"/>
                <w:color w:val="auto"/>
                <w:sz w:val="18"/>
                <w:szCs w:val="18"/>
              </w:rPr>
              <w:t>hodnotu, pod ktorou sa nachádzalo 5 % pozorovaní (t. j. 5 % celkových použitých</w:t>
            </w:r>
            <w:r>
              <w:rPr>
                <w:rStyle w:val="markedcontent"/>
                <w:color w:val="auto"/>
                <w:sz w:val="18"/>
                <w:szCs w:val="18"/>
              </w:rPr>
              <w:t xml:space="preserve"> </w:t>
            </w:r>
            <w:r w:rsidRPr="00FC6E9F">
              <w:rPr>
                <w:rStyle w:val="markedcontent"/>
                <w:color w:val="auto"/>
                <w:sz w:val="18"/>
                <w:szCs w:val="18"/>
              </w:rPr>
              <w:t xml:space="preserve">údajov malo výsledky pod 8, 4 a 33 g CO </w:t>
            </w:r>
            <w:r w:rsidRPr="00FC6E9F">
              <w:rPr>
                <w:rStyle w:val="markedcontent"/>
                <w:color w:val="auto"/>
                <w:sz w:val="14"/>
                <w:szCs w:val="14"/>
              </w:rPr>
              <w:t xml:space="preserve">2eq </w:t>
            </w:r>
            <w:r w:rsidRPr="00FC6E9F">
              <w:rPr>
                <w:rStyle w:val="markedcontent"/>
                <w:color w:val="auto"/>
                <w:sz w:val="18"/>
                <w:szCs w:val="18"/>
              </w:rPr>
              <w:t>/MJ). Deväťdesiaty piaty percentil</w:t>
            </w:r>
            <w:r>
              <w:rPr>
                <w:rStyle w:val="markedcontent"/>
                <w:color w:val="auto"/>
                <w:sz w:val="18"/>
                <w:szCs w:val="18"/>
              </w:rPr>
              <w:t xml:space="preserve"> </w:t>
            </w:r>
            <w:r w:rsidRPr="00FC6E9F">
              <w:rPr>
                <w:rStyle w:val="markedcontent"/>
                <w:color w:val="auto"/>
                <w:sz w:val="18"/>
                <w:szCs w:val="18"/>
              </w:rPr>
              <w:t xml:space="preserve">znamená hodnotu, pod ktorou sa nachádzalo 95 % pozorovaní (t. j. 5 % </w:t>
            </w:r>
            <w:r>
              <w:rPr>
                <w:rStyle w:val="markedcontent"/>
                <w:color w:val="auto"/>
                <w:sz w:val="18"/>
                <w:szCs w:val="18"/>
              </w:rPr>
              <w:t>c</w:t>
            </w:r>
            <w:r w:rsidRPr="00FC6E9F">
              <w:rPr>
                <w:rStyle w:val="markedcontent"/>
                <w:color w:val="auto"/>
                <w:sz w:val="18"/>
                <w:szCs w:val="18"/>
              </w:rPr>
              <w:t>elkových</w:t>
            </w:r>
            <w:r>
              <w:rPr>
                <w:rStyle w:val="markedcontent"/>
                <w:color w:val="auto"/>
                <w:sz w:val="18"/>
                <w:szCs w:val="18"/>
              </w:rPr>
              <w:t xml:space="preserve"> </w:t>
            </w:r>
            <w:r w:rsidRPr="00FC6E9F">
              <w:rPr>
                <w:rStyle w:val="markedcontent"/>
                <w:color w:val="auto"/>
                <w:sz w:val="18"/>
                <w:szCs w:val="18"/>
              </w:rPr>
              <w:t xml:space="preserve">použitých údajov malo výsledky nad 16, 17 a 66 g CO </w:t>
            </w:r>
            <w:r w:rsidRPr="00FC6E9F">
              <w:rPr>
                <w:rStyle w:val="markedcontent"/>
                <w:color w:val="auto"/>
                <w:sz w:val="14"/>
                <w:szCs w:val="14"/>
              </w:rPr>
              <w:t xml:space="preserve">2eq </w:t>
            </w:r>
            <w:r w:rsidRPr="00FC6E9F">
              <w:rPr>
                <w:rStyle w:val="markedcontent"/>
                <w:color w:val="auto"/>
                <w:sz w:val="18"/>
                <w:szCs w:val="18"/>
              </w:rPr>
              <w:t>/MJ).</w:t>
            </w:r>
          </w:p>
          <w:p w:rsidR="00FC6E9F" w:rsidP="00FC6E9F">
            <w:pPr>
              <w:pStyle w:val="BodyTextIndent"/>
              <w:jc w:val="left"/>
              <w:rPr>
                <w:rStyle w:val="markedcontent"/>
                <w:color w:val="auto"/>
                <w:sz w:val="21"/>
                <w:szCs w:val="21"/>
              </w:rPr>
            </w:pPr>
            <w:r w:rsidRPr="00FC6E9F">
              <w:rPr>
                <w:color w:val="auto"/>
              </w:rPr>
              <w:br/>
            </w:r>
            <w:r w:rsidRPr="00FC6E9F">
              <w:rPr>
                <w:rStyle w:val="markedcontent"/>
                <w:color w:val="auto"/>
                <w:sz w:val="21"/>
                <w:szCs w:val="21"/>
              </w:rPr>
              <w:t>Časť B. Biopalivá, v prípade ktorých sa odhadnuté emisie vyplývajúce</w:t>
            </w:r>
            <w:r>
              <w:rPr>
                <w:rStyle w:val="markedcontent"/>
                <w:color w:val="auto"/>
                <w:sz w:val="21"/>
                <w:szCs w:val="21"/>
              </w:rPr>
              <w:t xml:space="preserve"> </w:t>
            </w:r>
            <w:r w:rsidRPr="00FC6E9F">
              <w:rPr>
                <w:rStyle w:val="markedcontent"/>
                <w:color w:val="auto"/>
                <w:sz w:val="21"/>
                <w:szCs w:val="21"/>
              </w:rPr>
              <w:t>z nepriamej zmeny využívania pôdy považujú za nulové</w:t>
            </w:r>
            <w:r>
              <w:rPr>
                <w:rStyle w:val="markedcontent"/>
                <w:color w:val="auto"/>
                <w:sz w:val="21"/>
                <w:szCs w:val="21"/>
              </w:rPr>
              <w:t xml:space="preserve"> </w:t>
            </w:r>
          </w:p>
          <w:p w:rsidR="00FC6E9F" w:rsidP="00FC6E9F">
            <w:pPr>
              <w:pStyle w:val="BodyTextIndent"/>
              <w:jc w:val="left"/>
              <w:rPr>
                <w:rStyle w:val="markedcontent"/>
                <w:color w:val="auto"/>
                <w:sz w:val="21"/>
                <w:szCs w:val="21"/>
              </w:rPr>
            </w:pPr>
            <w:r w:rsidRPr="00FC6E9F">
              <w:rPr>
                <w:rStyle w:val="markedcontent"/>
                <w:color w:val="auto"/>
                <w:sz w:val="21"/>
                <w:szCs w:val="21"/>
              </w:rPr>
              <w:t>V prípade biopalív vyrábaných z týchto kategórií surovín sa odhad emisií vyplývajúcich z nepriamej zmeny využívania pôdy bude považovať za nulový:</w:t>
            </w:r>
            <w:r w:rsidRPr="00FC6E9F">
              <w:rPr>
                <w:color w:val="auto"/>
              </w:rPr>
              <w:br/>
            </w:r>
            <w:r w:rsidRPr="00FC6E9F">
              <w:rPr>
                <w:rStyle w:val="markedcontent"/>
                <w:color w:val="auto"/>
                <w:sz w:val="21"/>
                <w:szCs w:val="21"/>
              </w:rPr>
              <w:t>1. suroviny, ktoré nie sú uvedené v časti A tejto prílohy;</w:t>
            </w:r>
            <w:r w:rsidRPr="00FC6E9F">
              <w:rPr>
                <w:color w:val="auto"/>
              </w:rPr>
              <w:br/>
            </w:r>
            <w:r w:rsidRPr="00FC6E9F">
              <w:rPr>
                <w:rStyle w:val="markedcontent"/>
                <w:color w:val="auto"/>
                <w:sz w:val="21"/>
                <w:szCs w:val="21"/>
              </w:rPr>
              <w:t>2. suroviny, ktorých výroba viedla k priamej zmene využívania pôdy, t. j.</w:t>
            </w:r>
            <w:r>
              <w:rPr>
                <w:rStyle w:val="markedcontent"/>
                <w:color w:val="auto"/>
                <w:sz w:val="21"/>
                <w:szCs w:val="21"/>
              </w:rPr>
              <w:t xml:space="preserve"> </w:t>
            </w:r>
            <w:r w:rsidRPr="00FC6E9F">
              <w:rPr>
                <w:rStyle w:val="markedcontent"/>
                <w:color w:val="auto"/>
                <w:sz w:val="21"/>
                <w:szCs w:val="21"/>
              </w:rPr>
              <w:t>k zmene jednej z týchto kategórií pôdnej pokrývky podľa IPCC: lesná</w:t>
            </w:r>
            <w:r>
              <w:rPr>
                <w:rStyle w:val="markedcontent"/>
                <w:color w:val="auto"/>
                <w:sz w:val="21"/>
                <w:szCs w:val="21"/>
              </w:rPr>
              <w:t xml:space="preserve"> </w:t>
            </w:r>
            <w:r w:rsidRPr="00FC6E9F">
              <w:rPr>
                <w:rStyle w:val="markedcontent"/>
                <w:color w:val="auto"/>
                <w:sz w:val="21"/>
                <w:szCs w:val="21"/>
              </w:rPr>
              <w:t>pôda, trávnatý porast, mokrade, sídla alebo iná pôda na ornú pôdu alebo</w:t>
            </w:r>
            <w:r>
              <w:rPr>
                <w:rStyle w:val="markedcontent"/>
                <w:color w:val="auto"/>
                <w:sz w:val="21"/>
                <w:szCs w:val="21"/>
              </w:rPr>
              <w:t xml:space="preserve"> </w:t>
            </w:r>
            <w:r w:rsidRPr="00FC6E9F">
              <w:rPr>
                <w:rStyle w:val="markedcontent"/>
                <w:color w:val="auto"/>
                <w:sz w:val="21"/>
                <w:szCs w:val="21"/>
              </w:rPr>
              <w:t>pôdu pre trvácne plodiny (</w:t>
            </w:r>
            <w:r w:rsidRPr="00FC6E9F">
              <w:rPr>
                <w:rStyle w:val="markedcontent"/>
                <w:color w:val="auto"/>
                <w:sz w:val="16"/>
                <w:szCs w:val="16"/>
              </w:rPr>
              <w:t xml:space="preserve">++ </w:t>
            </w:r>
            <w:r w:rsidRPr="00FC6E9F">
              <w:rPr>
                <w:rStyle w:val="markedcontent"/>
                <w:color w:val="auto"/>
                <w:sz w:val="21"/>
                <w:szCs w:val="21"/>
              </w:rPr>
              <w:t>). V takomto prípade by sa hodnota emisií (e</w:t>
            </w:r>
            <w:r w:rsidRPr="00FC6E9F">
              <w:rPr>
                <w:rStyle w:val="markedcontent"/>
                <w:color w:val="auto"/>
                <w:sz w:val="16"/>
                <w:szCs w:val="16"/>
              </w:rPr>
              <w:t>l</w:t>
            </w:r>
            <w:r w:rsidRPr="00FC6E9F">
              <w:rPr>
                <w:rStyle w:val="markedcontent"/>
                <w:color w:val="auto"/>
                <w:sz w:val="21"/>
                <w:szCs w:val="21"/>
              </w:rPr>
              <w:t>)</w:t>
            </w:r>
            <w:r>
              <w:rPr>
                <w:rStyle w:val="markedcontent"/>
                <w:color w:val="auto"/>
                <w:sz w:val="21"/>
                <w:szCs w:val="21"/>
              </w:rPr>
              <w:t xml:space="preserve"> </w:t>
            </w:r>
            <w:r w:rsidRPr="00FC6E9F">
              <w:rPr>
                <w:rStyle w:val="markedcontent"/>
                <w:color w:val="auto"/>
                <w:sz w:val="21"/>
                <w:szCs w:val="21"/>
              </w:rPr>
              <w:t>vyplývajúcich z priamej zmeny využívania pôdy mala vypočítať v</w:t>
            </w:r>
            <w:r>
              <w:rPr>
                <w:rStyle w:val="markedcontent"/>
                <w:color w:val="auto"/>
                <w:sz w:val="21"/>
                <w:szCs w:val="21"/>
              </w:rPr>
              <w:t> </w:t>
            </w:r>
            <w:r w:rsidRPr="00FC6E9F">
              <w:rPr>
                <w:rStyle w:val="markedcontent"/>
                <w:color w:val="auto"/>
                <w:sz w:val="21"/>
                <w:szCs w:val="21"/>
              </w:rPr>
              <w:t>súlade</w:t>
            </w:r>
            <w:r>
              <w:rPr>
                <w:rStyle w:val="markedcontent"/>
                <w:color w:val="auto"/>
                <w:sz w:val="21"/>
                <w:szCs w:val="21"/>
              </w:rPr>
              <w:t xml:space="preserve"> </w:t>
            </w:r>
            <w:r w:rsidRPr="00FC6E9F">
              <w:rPr>
                <w:rStyle w:val="markedcontent"/>
                <w:color w:val="auto"/>
                <w:sz w:val="21"/>
                <w:szCs w:val="21"/>
              </w:rPr>
              <w:t>s prílohou IV časťou C bodom 7.</w:t>
            </w:r>
          </w:p>
          <w:p w:rsidR="00FC6E9F" w:rsidP="00FC6E9F">
            <w:pPr>
              <w:pStyle w:val="BodyTextIndent"/>
              <w:jc w:val="left"/>
              <w:rPr>
                <w:rStyle w:val="markedcontent"/>
                <w:color w:val="auto"/>
                <w:sz w:val="21"/>
                <w:szCs w:val="21"/>
              </w:rPr>
            </w:pPr>
          </w:p>
          <w:p w:rsidR="00FC6E9F" w:rsidRPr="00390F74" w:rsidP="00FC6E9F">
            <w:pPr>
              <w:spacing w:line="240" w:lineRule="atLeast"/>
              <w:ind w:left="-44" w:firstLine="44"/>
              <w:jc w:val="both"/>
            </w:pPr>
            <w:r>
              <w:rPr>
                <w:noProof/>
              </w:rPr>
              <w:pict>
                <v:shape id="_x0000_s1026" type="#_x0000_t32" style="width:58.2pt;height:0;margin-top:5.4pt;margin-left:0.1pt;position:absolute;z-index:251658240" o:connectortype="straight"/>
              </w:pict>
            </w:r>
          </w:p>
          <w:p w:rsidR="00FC6E9F" w:rsidP="00FC6E9F">
            <w:pPr>
              <w:pStyle w:val="BodyTextIndent"/>
              <w:jc w:val="left"/>
              <w:rPr>
                <w:rStyle w:val="markedcontent"/>
                <w:color w:val="auto"/>
                <w:sz w:val="18"/>
                <w:szCs w:val="18"/>
              </w:rPr>
            </w:pPr>
            <w:r w:rsidRPr="00FC6E9F">
              <w:rPr>
                <w:color w:val="auto"/>
                <w:sz w:val="18"/>
                <w:szCs w:val="18"/>
              </w:rPr>
              <w:t xml:space="preserve">(+) </w:t>
            </w:r>
            <w:r w:rsidRPr="00FC6E9F">
              <w:rPr>
                <w:rStyle w:val="markedcontent"/>
                <w:color w:val="auto"/>
                <w:sz w:val="18"/>
                <w:szCs w:val="18"/>
              </w:rPr>
              <w:t>Stredné hodnoty, ktoré sa tu uvádzajú, predstavujú vážený priemer individuálne modelovaných hodnôt surovín. Výška hodnôt v prílohe závisí od rozsahu predpokladov (ako napríklad spracovanie vedľajších produktov, vývoj výnosov, zásoby uhlíka a vytláčanie iných produktov), ktoré sa používajú v ekonomických modeloch vyvinutých na účely ich odhadovania. Aj keď z uvedeného dôvodu nie je možné v plnej miere charakterizovať rozsah neistoty spojenej s takýmito odhadmi, v súvislosti s týmito výsledkami sa na základe náhodnej variabilnosti kľúčových parametrov vykonala analýza citlivosti, tzv. analýza metódou Monte Carlo.</w:t>
            </w:r>
          </w:p>
          <w:p w:rsidR="00FC6E9F" w:rsidRPr="00FC6E9F" w:rsidP="00FC6E9F">
            <w:pPr>
              <w:pStyle w:val="BodyTextIndent"/>
              <w:jc w:val="left"/>
              <w:rPr>
                <w:rStyle w:val="markedcontent"/>
                <w:color w:val="auto"/>
                <w:sz w:val="18"/>
                <w:szCs w:val="18"/>
              </w:rPr>
            </w:pPr>
          </w:p>
          <w:p w:rsidR="00FC6E9F" w:rsidRPr="00FC6E9F" w:rsidP="00FC6E9F">
            <w:pPr>
              <w:pStyle w:val="BodyTextIndent"/>
              <w:jc w:val="left"/>
              <w:rPr>
                <w:rFonts w:ascii="TimesNewRoman" w:hAnsi="TimesNewRoman" w:cs="TimesNewRoman"/>
                <w:color w:val="auto"/>
                <w:lang w:eastAsia="sk-SK"/>
              </w:rPr>
            </w:pPr>
            <w:r w:rsidRPr="00FC6E9F">
              <w:rPr>
                <w:rStyle w:val="markedcontent"/>
                <w:color w:val="auto"/>
                <w:sz w:val="18"/>
                <w:szCs w:val="18"/>
              </w:rPr>
              <w:t>(++) Trvácne plodiny sa vymedzujú ako viacročné plodiny, ktorých kmene sa väčšinou každoročne nezberajú, ako napríklad rýchlo rastúce výmladkové porasty a palma olejná.</w:t>
            </w:r>
          </w:p>
        </w:tc>
        <w:tc>
          <w:tcPr>
            <w:tcW w:w="567" w:type="dxa"/>
            <w:tcBorders>
              <w:top w:val="single" w:sz="4" w:space="0" w:color="auto"/>
              <w:left w:val="single" w:sz="6" w:space="0" w:color="000000"/>
              <w:bottom w:val="single" w:sz="4" w:space="0" w:color="auto"/>
              <w:right w:val="single" w:sz="6" w:space="0" w:color="000000"/>
            </w:tcBorders>
          </w:tcPr>
          <w:p w:rsidR="002E524C" w:rsidRPr="004C5894" w:rsidP="002E524C">
            <w:pPr>
              <w:jc w:val="both"/>
              <w:rPr>
                <w:sz w:val="20"/>
              </w:rPr>
            </w:pPr>
            <w:r w:rsidRPr="004C5894">
              <w:rPr>
                <w:sz w:val="20"/>
              </w:rPr>
              <w:t>N</w:t>
            </w:r>
          </w:p>
        </w:tc>
        <w:tc>
          <w:tcPr>
            <w:tcW w:w="1276" w:type="dxa"/>
            <w:tcBorders>
              <w:top w:val="single" w:sz="4" w:space="0" w:color="auto"/>
              <w:left w:val="single" w:sz="6" w:space="0" w:color="000000"/>
              <w:bottom w:val="single" w:sz="4" w:space="0" w:color="auto"/>
              <w:right w:val="single" w:sz="6" w:space="0" w:color="000000"/>
            </w:tcBorders>
          </w:tcPr>
          <w:p w:rsidR="002E524C" w:rsidRPr="00E02262" w:rsidP="002E524C">
            <w:pPr>
              <w:jc w:val="center"/>
              <w:rPr>
                <w:sz w:val="20"/>
              </w:rPr>
            </w:pPr>
            <w:r>
              <w:rPr>
                <w:sz w:val="20"/>
              </w:rPr>
              <w:t>V 271/2011</w:t>
            </w:r>
          </w:p>
          <w:p w:rsidR="002E524C" w:rsidRPr="004C5894" w:rsidP="002E524C">
            <w:pPr>
              <w:jc w:val="center"/>
              <w:rPr>
                <w:sz w:val="20"/>
              </w:rPr>
            </w:pPr>
          </w:p>
        </w:tc>
        <w:tc>
          <w:tcPr>
            <w:tcW w:w="709" w:type="dxa"/>
            <w:tcBorders>
              <w:top w:val="single" w:sz="4" w:space="0" w:color="auto"/>
              <w:left w:val="single" w:sz="6" w:space="0" w:color="000000"/>
              <w:bottom w:val="single" w:sz="4" w:space="0" w:color="auto"/>
              <w:right w:val="single" w:sz="6" w:space="0" w:color="000000"/>
            </w:tcBorders>
          </w:tcPr>
          <w:p w:rsidR="002E524C" w:rsidRPr="004C5894" w:rsidP="002E524C">
            <w:pPr>
              <w:pStyle w:val="BodyText21"/>
            </w:pPr>
            <w:r>
              <w:t>Príl. č.5</w:t>
            </w:r>
          </w:p>
        </w:tc>
        <w:tc>
          <w:tcPr>
            <w:tcW w:w="4110" w:type="dxa"/>
            <w:tcBorders>
              <w:top w:val="single" w:sz="4" w:space="0" w:color="auto"/>
              <w:left w:val="single" w:sz="6" w:space="0" w:color="000000"/>
              <w:bottom w:val="single" w:sz="4" w:space="0" w:color="auto"/>
              <w:right w:val="single" w:sz="6" w:space="0" w:color="000000"/>
            </w:tcBorders>
          </w:tcPr>
          <w:p w:rsidR="00F718E2" w:rsidP="00655061">
            <w:pPr>
              <w:jc w:val="both"/>
              <w:rPr>
                <w:b/>
                <w:sz w:val="20"/>
              </w:rPr>
            </w:pPr>
            <w:r>
              <w:rPr>
                <w:b/>
                <w:sz w:val="20"/>
              </w:rPr>
              <w:t>Príloha č. 5</w:t>
            </w:r>
          </w:p>
          <w:p w:rsidR="00F718E2" w:rsidRPr="00F718E2" w:rsidP="00655061">
            <w:pPr>
              <w:jc w:val="both"/>
              <w:rPr>
                <w:sz w:val="20"/>
              </w:rPr>
            </w:pPr>
            <w:r w:rsidRPr="00F718E2">
              <w:rPr>
                <w:sz w:val="20"/>
              </w:rPr>
              <w:t>Časť A.</w:t>
            </w:r>
          </w:p>
          <w:p w:rsidR="00F718E2" w:rsidP="00655061">
            <w:pPr>
              <w:jc w:val="both"/>
              <w:rPr>
                <w:sz w:val="20"/>
              </w:rPr>
            </w:pPr>
            <w:r w:rsidRPr="00F718E2">
              <w:rPr>
                <w:sz w:val="20"/>
              </w:rPr>
              <w:t>Predbežné odhadované emisie zo surovín na výrobu biopaliva, biokvapaliny a paliva z biomasy vyplývajúce z nepriamej zmeny využívania pôdy (g CO2ekv/NJ)</w:t>
            </w:r>
            <w:r>
              <w:rPr>
                <w:sz w:val="20"/>
              </w:rPr>
              <w:t xml:space="preserve"> (*)</w:t>
            </w:r>
          </w:p>
          <w:p w:rsidR="00F718E2" w:rsidP="00655061">
            <w:pPr>
              <w:jc w:val="both"/>
              <w:rPr>
                <w:sz w:val="20"/>
              </w:rPr>
            </w:pPr>
          </w:p>
          <w:p w:rsidR="00F718E2" w:rsidP="00655061">
            <w:pPr>
              <w:jc w:val="both"/>
              <w:rPr>
                <w:sz w:val="20"/>
              </w:rPr>
            </w:pPr>
          </w:p>
          <w:p w:rsidR="00F718E2" w:rsidP="00655061">
            <w:pPr>
              <w:jc w:val="both"/>
              <w:rPr>
                <w:sz w:val="20"/>
              </w:rPr>
            </w:pPr>
            <w:r>
              <w:rPr>
                <w:sz w:val="20"/>
              </w:rPr>
              <w:t>Časť B.</w:t>
            </w:r>
          </w:p>
          <w:p w:rsidR="00F718E2" w:rsidP="00655061">
            <w:pPr>
              <w:jc w:val="both"/>
              <w:rPr>
                <w:sz w:val="20"/>
              </w:rPr>
            </w:pPr>
            <w:r>
              <w:rPr>
                <w:sz w:val="20"/>
              </w:rPr>
              <w:t>Biopalivá, biokvapaliny a palivá z biomasy, pri ktorých sa odhadované emisie vyplývajúce z nepriamej zmeny využívania pôdy považujú za nulové</w:t>
            </w:r>
          </w:p>
          <w:p w:rsidR="00F718E2" w:rsidP="00655061">
            <w:pPr>
              <w:jc w:val="both"/>
              <w:rPr>
                <w:sz w:val="20"/>
              </w:rPr>
            </w:pPr>
          </w:p>
          <w:p w:rsidR="00655061" w:rsidP="00655061">
            <w:pPr>
              <w:shd w:val="clear" w:color="auto" w:fill="FFFFFF"/>
              <w:spacing w:after="120"/>
              <w:jc w:val="both"/>
              <w:rPr>
                <w:sz w:val="20"/>
              </w:rPr>
            </w:pPr>
            <w:r w:rsidRPr="00655061">
              <w:rPr>
                <w:sz w:val="20"/>
              </w:rPr>
              <w:t>V prípade biopalív, biokvapalín a palív z biomasy vyrábaných z týchto kategórií surovín sa odhadované emisie vyplývajúce z nepriamej zmeny využívania pôdy považujú za nulové:</w:t>
            </w:r>
          </w:p>
          <w:p w:rsidR="00655061" w:rsidRPr="00655061" w:rsidP="00655061">
            <w:pPr>
              <w:shd w:val="clear" w:color="auto" w:fill="FFFFFF"/>
              <w:spacing w:after="120"/>
              <w:jc w:val="both"/>
              <w:rPr>
                <w:sz w:val="20"/>
              </w:rPr>
            </w:pPr>
            <w:r>
              <w:rPr>
                <w:sz w:val="20"/>
              </w:rPr>
              <w:t xml:space="preserve">1. suroviny, ktoré nie sú uvedené </w:t>
            </w:r>
            <w:r w:rsidRPr="00655061">
              <w:rPr>
                <w:sz w:val="20"/>
              </w:rPr>
              <w:t>v časti A tejto prílohy;</w:t>
            </w:r>
          </w:p>
          <w:p w:rsidR="00655061" w:rsidRPr="00655061" w:rsidP="00655061">
            <w:pPr>
              <w:shd w:val="clear" w:color="auto" w:fill="FFFFFF"/>
              <w:spacing w:after="120"/>
              <w:jc w:val="both"/>
              <w:rPr>
                <w:sz w:val="20"/>
              </w:rPr>
            </w:pPr>
            <w:r>
              <w:rPr>
                <w:sz w:val="20"/>
              </w:rPr>
              <w:t xml:space="preserve">2. suroviny, ktorých </w:t>
            </w:r>
            <w:r w:rsidRPr="00655061">
              <w:rPr>
                <w:sz w:val="20"/>
              </w:rPr>
              <w:t>výroba viedla k priamej zmene využívania pôdy, čo je zmena jednej z týchto kategórií pôdneho krytu podľa IPCC: lesná pôda, trávny porast, mokrade, sídla alebo iná pôda na ornú pôdu alebo pôdu, na ktorej sa pestujú trvalé plodiny. Trvalé plodiny sa vymedzujú ako viacročné plodiny, ktorých stonky sa spravidla nezberajú každý rok, ako napríklad rýchlo rastúce dreviny a palma olejná. V takomto prípade by sa hodnota emisií, el, vyplývajúcich z priamej zmeny využívania pôdy mala vypočítať podľa bodu 7 časti C prílohy č. 2.</w:t>
            </w:r>
          </w:p>
          <w:p w:rsidR="00655061" w:rsidRPr="00F718E2" w:rsidP="00655061">
            <w:pPr>
              <w:jc w:val="both"/>
              <w:rPr>
                <w:sz w:val="20"/>
              </w:rPr>
            </w:pPr>
          </w:p>
          <w:p w:rsidR="002E524C" w:rsidRPr="002E524C" w:rsidP="00655061">
            <w:pPr>
              <w:shd w:val="clear" w:color="auto" w:fill="FFFFFF"/>
              <w:jc w:val="both"/>
              <w:rPr>
                <w:sz w:val="20"/>
              </w:rPr>
            </w:pPr>
          </w:p>
        </w:tc>
        <w:tc>
          <w:tcPr>
            <w:tcW w:w="709" w:type="dxa"/>
            <w:tcBorders>
              <w:top w:val="single" w:sz="4" w:space="0" w:color="auto"/>
              <w:left w:val="single" w:sz="6" w:space="0" w:color="000000"/>
              <w:bottom w:val="single" w:sz="4" w:space="0" w:color="auto"/>
              <w:right w:val="single" w:sz="6" w:space="0" w:color="000000"/>
            </w:tcBorders>
          </w:tcPr>
          <w:p w:rsidR="002E524C" w:rsidRPr="004C5894" w:rsidP="002E524C">
            <w:pPr>
              <w:jc w:val="both"/>
              <w:rPr>
                <w:sz w:val="20"/>
              </w:rPr>
            </w:pPr>
            <w:r w:rsidRPr="004C5894">
              <w:rPr>
                <w:sz w:val="20"/>
              </w:rPr>
              <w:t>Ú</w:t>
            </w:r>
          </w:p>
          <w:p w:rsidR="002E524C" w:rsidRPr="004C5894" w:rsidP="002E524C">
            <w:pPr>
              <w:jc w:val="both"/>
              <w:rPr>
                <w:sz w:val="20"/>
              </w:rPr>
            </w:pPr>
          </w:p>
          <w:p w:rsidR="002E524C" w:rsidRPr="004C5894" w:rsidP="002E524C">
            <w:pPr>
              <w:jc w:val="both"/>
              <w:rPr>
                <w:sz w:val="20"/>
              </w:rPr>
            </w:pPr>
          </w:p>
          <w:p w:rsidR="002E524C" w:rsidRPr="004C5894" w:rsidP="002E524C">
            <w:pPr>
              <w:jc w:val="both"/>
              <w:rPr>
                <w:sz w:val="20"/>
              </w:rPr>
            </w:pPr>
          </w:p>
        </w:tc>
        <w:tc>
          <w:tcPr>
            <w:tcW w:w="1701" w:type="dxa"/>
            <w:tcBorders>
              <w:top w:val="single" w:sz="4" w:space="0" w:color="auto"/>
              <w:left w:val="single" w:sz="6" w:space="0" w:color="000000"/>
              <w:bottom w:val="single" w:sz="4" w:space="0" w:color="auto"/>
              <w:right w:val="single" w:sz="6" w:space="0" w:color="000000"/>
            </w:tcBorders>
          </w:tcPr>
          <w:p w:rsidR="002E524C" w:rsidRPr="004C5894" w:rsidP="002E524C">
            <w:pPr>
              <w:jc w:val="both"/>
              <w:rPr>
                <w:sz w:val="20"/>
              </w:rPr>
            </w:pPr>
          </w:p>
        </w:tc>
      </w:tr>
    </w:tbl>
    <w:p w:rsidR="000E6117" w:rsidRPr="00F74B61">
      <w:pPr>
        <w:pStyle w:val="BodyText21"/>
        <w:spacing w:before="0" w:line="240" w:lineRule="auto"/>
      </w:pPr>
    </w:p>
    <w:sectPr>
      <w:footerReference w:type="default" r:id="rId8"/>
      <w:pgSz w:w="16840" w:h="11907" w:orient="landscape"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auto"/>
    <w:pitch w:val="variable"/>
    <w:sig w:usb0="00000001" w:usb1="1000E0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auto"/>
    <w:pitch w:val="default"/>
    <w:sig w:usb0="00000000" w:usb1="00000000" w:usb2="00000000" w:usb3="00000000" w:csb0="00000000" w:csb1="00000000"/>
  </w:font>
  <w:font w:name="TimesNewRoman+01">
    <w:altName w:val="Times New Roman"/>
    <w:panose1 w:val="00000000000000000000"/>
    <w:charset w:val="EE"/>
    <w:family w:val="auto"/>
    <w:notTrueType/>
    <w:pitch w:val="default"/>
    <w:sig w:usb0="00000005" w:usb1="08070000" w:usb2="00000010" w:usb3="00000000" w:csb0="00020002"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20">
    <w:altName w:val="Arial"/>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imesNewRomanItalic+01">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87">
    <w:pPr>
      <w:pStyle w:val="Footer"/>
      <w:framePr w:w="331" w:vAnchor="text" w:hAnchor="page" w:x="8296" w:y="3"/>
      <w:rPr>
        <w:rStyle w:val="PageNumber"/>
      </w:rPr>
    </w:pPr>
    <w:r>
      <w:rPr>
        <w:rStyle w:val="PageNumber"/>
      </w:rPr>
      <w:fldChar w:fldCharType="begin"/>
    </w:r>
    <w:r>
      <w:rPr>
        <w:rStyle w:val="PageNumber"/>
      </w:rPr>
      <w:instrText xml:space="preserve">PAGE  </w:instrText>
    </w:r>
    <w:r>
      <w:rPr>
        <w:rStyle w:val="PageNumber"/>
      </w:rPr>
      <w:fldChar w:fldCharType="separate"/>
    </w:r>
    <w:r w:rsidR="00503A51">
      <w:rPr>
        <w:rStyle w:val="PageNumber"/>
        <w:noProof/>
      </w:rPr>
      <w:t>57</w:t>
    </w:r>
    <w:r>
      <w:rPr>
        <w:rStyle w:val="PageNumber"/>
      </w:rPr>
      <w:fldChar w:fldCharType="end"/>
    </w:r>
  </w:p>
  <w:p w:rsidR="00FA6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944">
      <w:r>
        <w:separator/>
      </w:r>
    </w:p>
  </w:footnote>
  <w:footnote w:type="continuationSeparator" w:id="1">
    <w:p w:rsidR="001C0944">
      <w:r>
        <w:continuationSeparator/>
      </w:r>
    </w:p>
  </w:footnote>
  <w:footnote w:id="2">
    <w:p w:rsidR="00325D9E" w:rsidRPr="00F12625" w:rsidP="00325D9E">
      <w:pPr>
        <w:pStyle w:val="FootnoteText"/>
        <w:rPr>
          <w:sz w:val="20"/>
          <w:bdr w:val="single" w:sz="4" w:space="0" w:color="auto"/>
          <w:shd w:val="clear" w:color="auto" w:fill="EAF1DD"/>
        </w:rPr>
      </w:pPr>
      <w:r w:rsidRPr="00F12625">
        <w:rPr>
          <w:rStyle w:val="FootnoteReference"/>
          <w:sz w:val="20"/>
        </w:rPr>
        <w:footnoteRef/>
      </w:r>
      <w:r w:rsidRPr="00F12625">
        <w:rPr>
          <w:sz w:val="20"/>
        </w:rPr>
        <w:t xml:space="preserve">)  Vyhláška Ministerstva životného prostredia Slovenskej republiky č. ... /2022 Z. z. o požiadavkách na stacionárne zdroje.  </w:t>
      </w:r>
    </w:p>
  </w:footnote>
  <w:footnote w:id="3">
    <w:p w:rsidR="00C02946" w:rsidRPr="00F30700" w:rsidP="0052125E">
      <w:pPr>
        <w:pStyle w:val="FootnoteText"/>
        <w:rPr>
          <w:sz w:val="20"/>
        </w:rPr>
      </w:pPr>
      <w:r w:rsidRPr="00F30700">
        <w:rPr>
          <w:rStyle w:val="FootnoteReference"/>
          <w:sz w:val="20"/>
        </w:rPr>
        <w:footnoteRef/>
      </w:r>
      <w:r w:rsidRPr="00F30700">
        <w:rPr>
          <w:sz w:val="20"/>
        </w:rPr>
        <w:t>) Čl. 3 bod 1 nariadenia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p>
  </w:footnote>
  <w:footnote w:id="4">
    <w:p w:rsidR="00C02946" w:rsidRPr="00F30700" w:rsidP="0052125E">
      <w:pPr>
        <w:pStyle w:val="FootnoteText"/>
        <w:rPr>
          <w:sz w:val="20"/>
        </w:rPr>
      </w:pPr>
      <w:r w:rsidRPr="00F30700">
        <w:rPr>
          <w:rStyle w:val="FootnoteReference"/>
          <w:sz w:val="20"/>
        </w:rPr>
        <w:footnoteRef/>
      </w:r>
      <w:r w:rsidRPr="00F30700">
        <w:rPr>
          <w:sz w:val="20"/>
        </w:rPr>
        <w:t xml:space="preserve">) Čl. 3 bod 34 nariadenia (EÚ) 2016/1628 v platnom znení.  </w:t>
      </w:r>
    </w:p>
  </w:footnote>
  <w:footnote w:id="5">
    <w:p w:rsidR="00C02946" w:rsidRPr="00F30700" w:rsidP="0052125E">
      <w:pPr>
        <w:pStyle w:val="FootnoteText"/>
        <w:rPr>
          <w:color w:val="FF0000"/>
          <w:sz w:val="20"/>
        </w:rPr>
      </w:pPr>
      <w:r w:rsidRPr="00F30700">
        <w:rPr>
          <w:rStyle w:val="FootnoteReference"/>
          <w:sz w:val="20"/>
        </w:rPr>
        <w:footnoteRef/>
      </w:r>
      <w:r w:rsidRPr="00F30700">
        <w:rPr>
          <w:sz w:val="20"/>
        </w:rPr>
        <w:t>) Čl. 3 bod 8 nariadenia Európskeho parlamentu a Rady (EÚ) č. 167/2013 z 5. februára 2013 o schvaľovaní poľnohospodárskych a lesných vozidiel a o dohľade nad trhom s týmito vozidlami (Ú. v. EÚ L 60, 2. 3. 2013) v platnom znení</w:t>
      </w:r>
      <w:r w:rsidRPr="00F30700">
        <w:rPr>
          <w:color w:val="FF0000"/>
          <w:sz w:val="20"/>
        </w:rPr>
        <w:t>.</w:t>
      </w:r>
    </w:p>
  </w:footnote>
  <w:footnote w:id="6">
    <w:p w:rsidR="00C02946" w:rsidRPr="00F30700" w:rsidP="0052125E">
      <w:pPr>
        <w:pStyle w:val="FootnoteText"/>
        <w:rPr>
          <w:strike/>
          <w:color w:val="FF0000"/>
          <w:sz w:val="20"/>
        </w:rPr>
      </w:pPr>
      <w:r w:rsidRPr="00F30700">
        <w:rPr>
          <w:rStyle w:val="FootnoteReference"/>
          <w:sz w:val="20"/>
        </w:rPr>
        <w:footnoteRef/>
      </w:r>
      <w:r w:rsidRPr="00F30700">
        <w:rPr>
          <w:sz w:val="20"/>
        </w:rPr>
        <w:t xml:space="preserve">) § 1 ods. 3 písm. a) nariadenia vlády Slovenskej republiky č. 417/2004 Z. z., ktorým sa ustanovujú podrobnosti o technických požiadavkách a postupoch posudzovania zhody na plavidlá určené na rekreačné účely. </w:t>
      </w:r>
    </w:p>
  </w:footnote>
  <w:footnote w:id="7">
    <w:p w:rsidR="00F30700" w:rsidRPr="00F30700" w:rsidP="00F30700">
      <w:pPr>
        <w:pStyle w:val="FootnoteText"/>
        <w:rPr>
          <w:sz w:val="20"/>
        </w:rPr>
      </w:pPr>
      <w:r w:rsidRPr="00F30700">
        <w:rPr>
          <w:rStyle w:val="FootnoteReference"/>
          <w:sz w:val="20"/>
        </w:rPr>
        <w:footnoteRef/>
      </w:r>
      <w:r w:rsidRPr="00F30700">
        <w:rPr>
          <w:sz w:val="20"/>
        </w:rPr>
        <w:t xml:space="preserve">) </w:t>
      </w:r>
      <w:r w:rsidRPr="00F30700">
        <w:rPr>
          <w:rFonts w:cs="Calibri"/>
          <w:sz w:val="20"/>
        </w:rPr>
        <w:t>STN EN 16942 +A1 Palivá. Označovanie kompatibility vozidiel. Grafické označenie informácií pre spotrebiteľa (65 6500).</w:t>
      </w:r>
    </w:p>
  </w:footnote>
  <w:footnote w:id="8">
    <w:p w:rsidR="00687DFC" w:rsidRPr="00582A50" w:rsidP="00687DFC">
      <w:pPr>
        <w:pStyle w:val="FootnoteText"/>
        <w:rPr>
          <w:sz w:val="20"/>
        </w:rPr>
      </w:pPr>
      <w:r w:rsidRPr="00582A50">
        <w:rPr>
          <w:rStyle w:val="FootnoteReference"/>
          <w:sz w:val="20"/>
        </w:rPr>
        <w:footnoteRef/>
      </w:r>
      <w:r w:rsidRPr="00582A50">
        <w:rPr>
          <w:sz w:val="20"/>
        </w:rPr>
        <w:t xml:space="preserve">) STN EN 228 + A1/Z1 Automobilové palivá. Bezolovnatý benzín. Požiadavky a skúšobné metódy (65 6505).   </w:t>
      </w:r>
    </w:p>
  </w:footnote>
  <w:footnote w:id="9">
    <w:p w:rsidR="00687DFC" w:rsidRPr="008248CC" w:rsidP="00687DFC">
      <w:pPr>
        <w:pStyle w:val="FootnoteText"/>
      </w:pPr>
      <w:r w:rsidRPr="007538AB">
        <w:rPr>
          <w:rStyle w:val="FootnoteReference"/>
        </w:rPr>
        <w:footnoteRef/>
      </w:r>
      <w:r w:rsidRPr="007538AB">
        <w:t xml:space="preserve">) </w:t>
      </w:r>
      <w:r w:rsidRPr="007538AB">
        <w:rPr>
          <w:rFonts w:cs="Calibri"/>
          <w:sz w:val="20"/>
        </w:rPr>
        <w:t>STN EN 590 + A1/Z1 Automobilové</w:t>
      </w:r>
      <w:r w:rsidRPr="009A1604">
        <w:rPr>
          <w:rFonts w:cs="Calibri"/>
          <w:sz w:val="20"/>
        </w:rPr>
        <w:t xml:space="preserve"> palivá. Motorová nafta. Požiadavky a skúšobné metódy (65 6506).</w:t>
      </w:r>
      <w:r>
        <w:t xml:space="preserve">  </w:t>
      </w:r>
    </w:p>
  </w:footnote>
  <w:footnote w:id="10">
    <w:p w:rsidR="00884D9F" w:rsidRPr="00884D9F" w:rsidP="00884D9F">
      <w:pPr>
        <w:pStyle w:val="FootnoteText"/>
        <w:rPr>
          <w:sz w:val="20"/>
        </w:rPr>
      </w:pPr>
      <w:r w:rsidRPr="00884D9F">
        <w:rPr>
          <w:rStyle w:val="FootnoteReference"/>
          <w:sz w:val="20"/>
        </w:rPr>
        <w:footnoteRef/>
      </w:r>
      <w:r w:rsidRPr="00884D9F">
        <w:rPr>
          <w:sz w:val="20"/>
        </w:rPr>
        <w:t>) Napríklad STN 44 1307</w:t>
      </w:r>
      <w:hyperlink r:id="rId1" w:history="1">
        <w:r w:rsidRPr="00884D9F">
          <w:rPr>
            <w:sz w:val="20"/>
          </w:rPr>
          <w:t xml:space="preserve"> Tuhé palivá. Postup prípravy zosypových vzoriek (44 1307)</w:t>
        </w:r>
      </w:hyperlink>
      <w:r w:rsidRPr="00884D9F">
        <w:rPr>
          <w:sz w:val="20"/>
        </w:rPr>
        <w:t xml:space="preserve">, </w:t>
      </w:r>
      <w:hyperlink r:id="rId2" w:history="1">
        <w:r w:rsidRPr="00884D9F">
          <w:rPr>
            <w:sz w:val="20"/>
          </w:rPr>
          <w:t xml:space="preserve">STN ISO 5069-1 </w:t>
        </w:r>
      </w:hyperlink>
      <w:r w:rsidRPr="00884D9F">
        <w:rPr>
          <w:sz w:val="20"/>
        </w:rPr>
        <w:t xml:space="preserve">Hnedé uhlie a lignity. Zásady odberu vzoriek. Časť 1: Odber vzoriek na stanovenie obsahu vody a na všeobecný rozbor (44 1314), STN EN ISO 3170 Ropné kvapaliny. Ručný odber vzoriek (ISO 3170) (65 6005), STN EN ISO 3171 Ropa a kvapalné ropné výrobky. Automatický odber vzoriek z potrubných rozvodov (ISO 3171) (65 6006), STN EN ISO 4257 Skvapalnené ropné plyny. Odber vzoriek (ISO 4257) (65 6486), </w:t>
      </w:r>
      <w:r w:rsidRPr="00884D9F">
        <w:rPr>
          <w:rFonts w:cs="Calibri"/>
          <w:sz w:val="20"/>
        </w:rPr>
        <w:t>STN EN 14274 Automobilové palivá. Určovanie kvality benzínu a motorovej nafty. Monitorovací systém kvality palív (FQMS) (65 6193)</w:t>
      </w:r>
      <w:r w:rsidRPr="00884D9F">
        <w:rPr>
          <w:sz w:val="20"/>
        </w:rPr>
        <w:t xml:space="preserve">, </w:t>
      </w:r>
      <w:r w:rsidRPr="00884D9F">
        <w:rPr>
          <w:rFonts w:cs="Calibri"/>
          <w:sz w:val="20"/>
        </w:rPr>
        <w:t>STN EN 14275 Automobilové palivá. Určovanie kvality benzínu a motorovej nafty. Odber vzoriek z výdajných stojanov na maloobchodných a komerčných miestach (65 6194)</w:t>
      </w:r>
      <w:r w:rsidRPr="00884D9F">
        <w:rPr>
          <w:sz w:val="20"/>
        </w:rPr>
        <w:t xml:space="preserve">, STN EN ISO 10715 Zemný plyn. Postupy na odber vzoriek (ISO 10715) (38 5519).  </w:t>
      </w:r>
    </w:p>
  </w:footnote>
  <w:footnote w:id="11">
    <w:p w:rsidR="00884D9F" w:rsidRPr="00582A50" w:rsidP="00884D9F">
      <w:pPr>
        <w:pStyle w:val="FootnoteText"/>
        <w:rPr>
          <w:sz w:val="20"/>
        </w:rPr>
      </w:pPr>
      <w:r w:rsidRPr="00582A50">
        <w:rPr>
          <w:rStyle w:val="FootnoteReference"/>
          <w:sz w:val="20"/>
        </w:rPr>
        <w:footnoteRef/>
      </w:r>
      <w:r w:rsidRPr="00582A50">
        <w:rPr>
          <w:sz w:val="20"/>
        </w:rPr>
        <w:t xml:space="preserve">) STN EN 228 + A1/Z1 Automobilové palivá. Bezolovnatý benzín. Požiadavky a skúšobné metódy (65 6505).   </w:t>
      </w:r>
    </w:p>
  </w:footnote>
  <w:footnote w:id="12">
    <w:p w:rsidR="00884D9F" w:rsidRPr="008248CC" w:rsidP="00884D9F">
      <w:pPr>
        <w:pStyle w:val="FootnoteText"/>
      </w:pPr>
      <w:r w:rsidRPr="007538AB">
        <w:rPr>
          <w:rStyle w:val="FootnoteReference"/>
        </w:rPr>
        <w:footnoteRef/>
      </w:r>
      <w:r w:rsidRPr="007538AB">
        <w:t xml:space="preserve">) </w:t>
      </w:r>
      <w:r w:rsidRPr="007538AB">
        <w:rPr>
          <w:rFonts w:cs="Calibri"/>
          <w:sz w:val="20"/>
        </w:rPr>
        <w:t>STN EN 590 + A1/Z1 Automobilové</w:t>
      </w:r>
      <w:r w:rsidRPr="009A1604">
        <w:rPr>
          <w:rFonts w:cs="Calibri"/>
          <w:sz w:val="20"/>
        </w:rPr>
        <w:t xml:space="preserve"> palivá. Motorová nafta. Požiadavky a skúšobné metódy (65 6506).</w:t>
      </w:r>
      <w:r>
        <w:t xml:space="preserve">  </w:t>
      </w:r>
    </w:p>
  </w:footnote>
  <w:footnote w:id="13">
    <w:p w:rsidR="00884D9F" w:rsidRPr="003901F9" w:rsidP="00884D9F">
      <w:pPr>
        <w:pStyle w:val="FootnoteText"/>
        <w:rPr>
          <w:sz w:val="20"/>
        </w:rPr>
      </w:pPr>
      <w:r w:rsidRPr="003901F9">
        <w:rPr>
          <w:rStyle w:val="FootnoteReference"/>
          <w:sz w:val="20"/>
        </w:rPr>
        <w:footnoteRef/>
      </w:r>
      <w:r w:rsidRPr="003901F9">
        <w:rPr>
          <w:sz w:val="20"/>
        </w:rPr>
        <w:t xml:space="preserve">) Napríklad </w:t>
      </w:r>
      <w:r w:rsidRPr="003901F9">
        <w:rPr>
          <w:rFonts w:cs="Calibri"/>
          <w:sz w:val="20"/>
        </w:rPr>
        <w:t xml:space="preserve">STN EN ISO/IEC 17025 Všeobecné požiadavky na kompetentnosť skúšobných a kalibračných laboratórií </w:t>
      </w:r>
      <w:r w:rsidRPr="003901F9">
        <w:rPr>
          <w:rStyle w:val="formtitle"/>
          <w:bCs/>
          <w:sz w:val="20"/>
        </w:rPr>
        <w:t>(ISO/IEC 17025)</w:t>
      </w:r>
      <w:r w:rsidRPr="003901F9">
        <w:rPr>
          <w:sz w:val="20"/>
          <w:u w:color="008000"/>
        </w:rPr>
        <w:t xml:space="preserve"> </w:t>
      </w:r>
      <w:r w:rsidRPr="003901F9">
        <w:rPr>
          <w:rFonts w:cs="Calibri"/>
          <w:sz w:val="20"/>
        </w:rPr>
        <w:t xml:space="preserve">(01 5253), </w:t>
      </w:r>
      <w:r w:rsidRPr="003901F9">
        <w:rPr>
          <w:sz w:val="20"/>
        </w:rPr>
        <w:t xml:space="preserve">STN EN ISO/IEC 17020 Posudzovanie zhody. Požiadavky na činnosť rôznych typov orgánov vykonávajúcich inšpekciu </w:t>
      </w:r>
      <w:r w:rsidRPr="003901F9">
        <w:rPr>
          <w:rStyle w:val="formtitle"/>
          <w:bCs/>
          <w:sz w:val="20"/>
        </w:rPr>
        <w:t>(ISO/IEC 17020)</w:t>
      </w:r>
      <w:r w:rsidRPr="003901F9">
        <w:rPr>
          <w:sz w:val="20"/>
          <w:u w:color="008000"/>
        </w:rPr>
        <w:t xml:space="preserve"> </w:t>
      </w:r>
      <w:r w:rsidRPr="003901F9">
        <w:rPr>
          <w:sz w:val="20"/>
        </w:rPr>
        <w:t xml:space="preserve">(01 5260).  </w:t>
      </w:r>
    </w:p>
  </w:footnote>
  <w:footnote w:id="14">
    <w:p w:rsidR="00E10CBC" w:rsidRPr="007538AB" w:rsidP="00E10CBC">
      <w:pPr>
        <w:pStyle w:val="FootnoteText"/>
        <w:rPr>
          <w:sz w:val="20"/>
        </w:rPr>
      </w:pPr>
      <w:r w:rsidRPr="003901F9">
        <w:rPr>
          <w:rStyle w:val="FootnoteReference"/>
          <w:sz w:val="20"/>
        </w:rPr>
        <w:footnoteRef/>
      </w:r>
      <w:r w:rsidRPr="003901F9">
        <w:rPr>
          <w:sz w:val="20"/>
        </w:rPr>
        <w:t xml:space="preserve">) Napríklad STN EN ISO/IEC 17025 Všeobecné požiadavky na kompetentnosť skúšobných a kalibračných laboratórií </w:t>
      </w:r>
      <w:r w:rsidRPr="003901F9">
        <w:rPr>
          <w:rStyle w:val="formtitle"/>
          <w:bCs/>
          <w:sz w:val="20"/>
        </w:rPr>
        <w:t>(ISO/IEC 17025)</w:t>
      </w:r>
      <w:r w:rsidRPr="003901F9">
        <w:rPr>
          <w:sz w:val="20"/>
          <w:u w:color="008000"/>
        </w:rPr>
        <w:t xml:space="preserve"> </w:t>
      </w:r>
      <w:r w:rsidRPr="003901F9">
        <w:rPr>
          <w:sz w:val="20"/>
        </w:rPr>
        <w:t xml:space="preserve">(01 5253), súbor STN EN ISO 9001 </w:t>
      </w:r>
      <w:r w:rsidRPr="003901F9">
        <w:rPr>
          <w:rStyle w:val="formtext"/>
          <w:sz w:val="20"/>
        </w:rPr>
        <w:t>Systémy manažérstva kvality. Požiadavky (ISO 9001) (01 0320), STN EN ISO/IEC 17065 Posudzovanie zhody. Požiadavky na orgány vykonávajúce certifikáciu</w:t>
      </w:r>
      <w:r w:rsidRPr="007538AB">
        <w:rPr>
          <w:rStyle w:val="formtext"/>
          <w:sz w:val="20"/>
        </w:rPr>
        <w:t xml:space="preserve"> výrobkov, procesov a služieb </w:t>
      </w:r>
      <w:r w:rsidRPr="007538AB">
        <w:rPr>
          <w:rStyle w:val="formtitle"/>
          <w:bCs/>
          <w:sz w:val="20"/>
        </w:rPr>
        <w:t>(ISO/IEC 17065)</w:t>
      </w:r>
      <w:r w:rsidRPr="007538AB">
        <w:rPr>
          <w:sz w:val="20"/>
          <w:u w:color="008000"/>
        </w:rPr>
        <w:t xml:space="preserve"> </w:t>
      </w:r>
      <w:r w:rsidRPr="007538AB">
        <w:rPr>
          <w:rStyle w:val="formtext"/>
          <w:sz w:val="20"/>
        </w:rPr>
        <w:t xml:space="preserve">(01 5256), STN EN </w:t>
      </w:r>
      <w:r w:rsidRPr="007538AB">
        <w:rPr>
          <w:sz w:val="20"/>
        </w:rPr>
        <w:t xml:space="preserve">ISO </w:t>
      </w:r>
      <w:r w:rsidRPr="007538AB">
        <w:rPr>
          <w:rStyle w:val="formtext"/>
          <w:sz w:val="20"/>
        </w:rPr>
        <w:t>14001 Systémy manažérstva environmentu. Požiadavky s pokynmi na použitie (ISO 14001) (83 9001).</w:t>
      </w:r>
      <w:r w:rsidRPr="007538AB">
        <w:rPr>
          <w:sz w:val="20"/>
        </w:rPr>
        <w:t xml:space="preserve">  </w:t>
      </w:r>
    </w:p>
  </w:footnote>
  <w:footnote w:id="15">
    <w:p w:rsidR="00E10CBC" w:rsidRPr="009A1604" w:rsidP="00E10CBC">
      <w:pPr>
        <w:pStyle w:val="FootnoteText"/>
        <w:rPr>
          <w:sz w:val="20"/>
        </w:rPr>
      </w:pPr>
      <w:r w:rsidRPr="007538AB">
        <w:rPr>
          <w:rStyle w:val="FootnoteReference"/>
          <w:sz w:val="20"/>
        </w:rPr>
        <w:footnoteRef/>
      </w:r>
      <w:r w:rsidRPr="007538AB">
        <w:rPr>
          <w:sz w:val="20"/>
        </w:rPr>
        <w:t xml:space="preserve">) </w:t>
      </w:r>
      <w:r w:rsidRPr="007538AB">
        <w:rPr>
          <w:rFonts w:cs="Calibri"/>
          <w:sz w:val="20"/>
        </w:rPr>
        <w:t>Zákon č. 351/2012 Z. z. o environmentálnom</w:t>
      </w:r>
      <w:r w:rsidRPr="009A1604">
        <w:rPr>
          <w:rFonts w:cs="Calibri"/>
          <w:sz w:val="20"/>
        </w:rPr>
        <w:t xml:space="preserve"> overovaní a registrácii organizácií v schéme Európskej únie pre environmentálne manažérstvo a audit a o zmene a doplnení niektorých zákonov.</w:t>
      </w:r>
      <w:r w:rsidRPr="009A1604">
        <w:rPr>
          <w:sz w:val="20"/>
        </w:rPr>
        <w:t xml:space="preserve"> </w:t>
      </w:r>
    </w:p>
    <w:p w:rsidR="00E10CBC" w:rsidRPr="008248CC" w:rsidP="00E10CBC">
      <w:pPr>
        <w:pStyle w:val="FootnoteText"/>
      </w:pPr>
    </w:p>
  </w:footnote>
  <w:footnote w:id="16">
    <w:p w:rsidR="00E077CA" w:rsidRPr="007538AB" w:rsidP="008202DF">
      <w:pPr>
        <w:pStyle w:val="FootnoteText"/>
        <w:rPr>
          <w:strike/>
        </w:rPr>
      </w:pPr>
      <w:r>
        <w:rPr>
          <w:rStyle w:val="FootnoteReference"/>
        </w:rPr>
        <w:footnoteRef/>
      </w:r>
      <w:r>
        <w:t xml:space="preserve">) </w:t>
      </w:r>
      <w:r w:rsidRPr="007538AB">
        <w:rPr>
          <w:rFonts w:cs="Calibri"/>
          <w:sz w:val="20"/>
        </w:rPr>
        <w:t>STN EN ISO 4259-1/A1 Ropné výrobky a príbuzné výrobky. Zhodnosť metód merania a výsledkov merania. Časť 1: Určovanie údajov zhodnosti vo vzťahu k skúšobným metódam (ISO 4259-1) (65 6004), STN EN ISO 4259-2/A1 Ropné výrobky a príbuzné výrobky. Zhodnosť metód merania a výsledkov merania. Časť 2: Interpretácia a používanie údajov zhodnosti vo vzťahu k skúšobným metódam (ISO 4259-2) (65 6004) a STN EN ISO 4259-3 Ropné výrobky a príbuzné výrobky. Zhodnosť metód merania a výsledkov merania. Časť 3: Monitorovanie a overovanie publikovaných údajov zhodnosti vo vzťahu k skúšobným metódam (ISO 4259-3) (65 6004).</w:t>
      </w:r>
    </w:p>
    <w:p w:rsidR="00E077CA" w:rsidRPr="00203B0C" w:rsidP="008202DF">
      <w:pPr>
        <w:pStyle w:val="FootnoteText"/>
      </w:pPr>
      <w:r>
        <w:t xml:space="preserve">  </w:t>
      </w:r>
    </w:p>
  </w:footnote>
  <w:footnote w:id="17">
    <w:p w:rsidR="00E077CA" w:rsidRPr="005117C6" w:rsidP="008202DF">
      <w:pPr>
        <w:pStyle w:val="FootnoteText"/>
      </w:pPr>
      <w:r>
        <w:rPr>
          <w:rStyle w:val="FootnoteReference"/>
        </w:rPr>
        <w:footnoteRef/>
      </w:r>
      <w:r>
        <w:t xml:space="preserve">) </w:t>
      </w:r>
      <w:r w:rsidRPr="008D1B7B">
        <w:rPr>
          <w:rFonts w:cs="Calibri"/>
          <w:sz w:val="20"/>
        </w:rPr>
        <w:t xml:space="preserve">STN EN </w:t>
      </w:r>
      <w:r w:rsidRPr="007538AB">
        <w:rPr>
          <w:rFonts w:cs="Calibri"/>
          <w:sz w:val="20"/>
        </w:rPr>
        <w:t>14214+A2/Oa Kvapalné ropné výrobky</w:t>
      </w:r>
      <w:r w:rsidRPr="008D1B7B">
        <w:rPr>
          <w:rFonts w:cs="Calibri"/>
          <w:sz w:val="20"/>
        </w:rPr>
        <w:t>. Metylestery mastných kyselín (FAME) pre vznetové motory a na vykurovanie. Požiadavky a skúšobné metódy (65 6531).</w:t>
      </w:r>
      <w:r>
        <w:t xml:space="preserve"> </w:t>
      </w:r>
    </w:p>
    <w:p w:rsidR="00E077CA" w:rsidRPr="001E3B1F" w:rsidP="008202DF">
      <w:pPr>
        <w:pStyle w:val="FootnoteText"/>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0F2"/>
    <w:multiLevelType w:val="hybridMultilevel"/>
    <w:tmpl w:val="4266CE24"/>
    <w:lvl w:ilvl="0">
      <w:start w:val="1"/>
      <w:numFmt w:val="lowerLetter"/>
      <w:lvlText w:val="%1)"/>
      <w:lvlJc w:val="left"/>
      <w:pPr>
        <w:tabs>
          <w:tab w:val="num" w:pos="357"/>
        </w:tabs>
        <w:ind w:left="357" w:hanging="357"/>
      </w:pPr>
      <w:rPr>
        <w:rFonts w:hint="default"/>
        <w:b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DE7BD7"/>
    <w:multiLevelType w:val="singleLevel"/>
    <w:tmpl w:val="54D295B4"/>
    <w:lvl w:ilvl="0">
      <w:start w:val="1"/>
      <w:numFmt w:val="lowerLetter"/>
      <w:pStyle w:val="pismeno"/>
      <w:lvlText w:val="%1)"/>
      <w:lvlJc w:val="left"/>
      <w:pPr>
        <w:tabs>
          <w:tab w:val="num" w:pos="360"/>
        </w:tabs>
        <w:ind w:left="340" w:hanging="340"/>
      </w:pPr>
      <w:rPr>
        <w:caps w:val="0"/>
        <w:strike w:val="0"/>
        <w:dstrike w:val="0"/>
        <w:shadow w:val="0"/>
        <w:emboss w:val="0"/>
        <w:imprint w:val="0"/>
        <w:vanish w:val="0"/>
        <w:color w:val="auto"/>
        <w:vertAlign w:val="baseline"/>
      </w:rPr>
    </w:lvl>
  </w:abstractNum>
  <w:abstractNum w:abstractNumId="2">
    <w:nsid w:val="08567E0C"/>
    <w:multiLevelType w:val="hybridMultilevel"/>
    <w:tmpl w:val="ED462F8E"/>
    <w:lvl w:ilvl="0">
      <w:start w:val="1"/>
      <w:numFmt w:val="bullet"/>
      <w:pStyle w:val="ListBullet"/>
      <w:lvlText w:val=""/>
      <w:lvlJc w:val="left"/>
      <w:pPr>
        <w:tabs>
          <w:tab w:val="num" w:pos="585"/>
        </w:tabs>
        <w:ind w:left="565" w:hanging="340"/>
      </w:pPr>
      <w:rPr>
        <w:rFonts w:ascii="Symbol" w:hAnsi="Symbol" w:hint="default"/>
        <w:color w:val="auto"/>
      </w:rPr>
    </w:lvl>
    <w:lvl w:ilvl="1" w:tentative="1">
      <w:start w:val="1"/>
      <w:numFmt w:val="bullet"/>
      <w:lvlText w:val="o"/>
      <w:lvlJc w:val="left"/>
      <w:pPr>
        <w:tabs>
          <w:tab w:val="num" w:pos="945"/>
        </w:tabs>
        <w:ind w:left="945" w:hanging="360"/>
      </w:pPr>
      <w:rPr>
        <w:rFonts w:ascii="Courier New" w:hAnsi="Courier New" w:hint="default"/>
      </w:rPr>
    </w:lvl>
    <w:lvl w:ilvl="2" w:tentative="1">
      <w:start w:val="1"/>
      <w:numFmt w:val="bullet"/>
      <w:lvlText w:val=""/>
      <w:lvlJc w:val="left"/>
      <w:pPr>
        <w:tabs>
          <w:tab w:val="num" w:pos="1665"/>
        </w:tabs>
        <w:ind w:left="1665" w:hanging="360"/>
      </w:pPr>
      <w:rPr>
        <w:rFonts w:ascii="Wingdings" w:hAnsi="Wingdings" w:hint="default"/>
      </w:rPr>
    </w:lvl>
    <w:lvl w:ilvl="3" w:tentative="1">
      <w:start w:val="1"/>
      <w:numFmt w:val="bullet"/>
      <w:lvlText w:val=""/>
      <w:lvlJc w:val="left"/>
      <w:pPr>
        <w:tabs>
          <w:tab w:val="num" w:pos="2385"/>
        </w:tabs>
        <w:ind w:left="2385" w:hanging="360"/>
      </w:pPr>
      <w:rPr>
        <w:rFonts w:ascii="Symbol" w:hAnsi="Symbol" w:hint="default"/>
      </w:rPr>
    </w:lvl>
    <w:lvl w:ilvl="4" w:tentative="1">
      <w:start w:val="1"/>
      <w:numFmt w:val="bullet"/>
      <w:lvlText w:val="o"/>
      <w:lvlJc w:val="left"/>
      <w:pPr>
        <w:tabs>
          <w:tab w:val="num" w:pos="3105"/>
        </w:tabs>
        <w:ind w:left="3105" w:hanging="360"/>
      </w:pPr>
      <w:rPr>
        <w:rFonts w:ascii="Courier New" w:hAnsi="Courier New" w:hint="default"/>
      </w:rPr>
    </w:lvl>
    <w:lvl w:ilvl="5" w:tentative="1">
      <w:start w:val="1"/>
      <w:numFmt w:val="bullet"/>
      <w:lvlText w:val=""/>
      <w:lvlJc w:val="left"/>
      <w:pPr>
        <w:tabs>
          <w:tab w:val="num" w:pos="3825"/>
        </w:tabs>
        <w:ind w:left="3825" w:hanging="360"/>
      </w:pPr>
      <w:rPr>
        <w:rFonts w:ascii="Wingdings" w:hAnsi="Wingdings" w:hint="default"/>
      </w:rPr>
    </w:lvl>
    <w:lvl w:ilvl="6" w:tentative="1">
      <w:start w:val="1"/>
      <w:numFmt w:val="bullet"/>
      <w:lvlText w:val=""/>
      <w:lvlJc w:val="left"/>
      <w:pPr>
        <w:tabs>
          <w:tab w:val="num" w:pos="4545"/>
        </w:tabs>
        <w:ind w:left="4545" w:hanging="360"/>
      </w:pPr>
      <w:rPr>
        <w:rFonts w:ascii="Symbol" w:hAnsi="Symbol" w:hint="default"/>
      </w:rPr>
    </w:lvl>
    <w:lvl w:ilvl="7" w:tentative="1">
      <w:start w:val="1"/>
      <w:numFmt w:val="bullet"/>
      <w:lvlText w:val="o"/>
      <w:lvlJc w:val="left"/>
      <w:pPr>
        <w:tabs>
          <w:tab w:val="num" w:pos="5265"/>
        </w:tabs>
        <w:ind w:left="5265" w:hanging="360"/>
      </w:pPr>
      <w:rPr>
        <w:rFonts w:ascii="Courier New" w:hAnsi="Courier New" w:hint="default"/>
      </w:rPr>
    </w:lvl>
    <w:lvl w:ilvl="8" w:tentative="1">
      <w:start w:val="1"/>
      <w:numFmt w:val="bullet"/>
      <w:lvlText w:val=""/>
      <w:lvlJc w:val="left"/>
      <w:pPr>
        <w:tabs>
          <w:tab w:val="num" w:pos="5985"/>
        </w:tabs>
        <w:ind w:left="5985" w:hanging="360"/>
      </w:pPr>
      <w:rPr>
        <w:rFonts w:ascii="Wingdings" w:hAnsi="Wingdings" w:hint="default"/>
      </w:rPr>
    </w:lvl>
  </w:abstractNum>
  <w:abstractNum w:abstractNumId="3">
    <w:nsid w:val="0B654D90"/>
    <w:multiLevelType w:val="hybridMultilevel"/>
    <w:tmpl w:val="9A2ACF68"/>
    <w:lvl w:ilvl="0">
      <w:start w:val="1"/>
      <w:numFmt w:val="lowerLetter"/>
      <w:lvlText w:val="%1)"/>
      <w:lvlJc w:val="left"/>
      <w:pPr>
        <w:ind w:left="720" w:hanging="360"/>
      </w:pPr>
      <w:rPr>
        <w:rFonts w:hint="default"/>
        <w:vertAlign w:val="superscrip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C468E"/>
    <w:multiLevelType w:val="hybridMultilevel"/>
    <w:tmpl w:val="5FE2D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4445CE"/>
    <w:multiLevelType w:val="hybridMultilevel"/>
    <w:tmpl w:val="C414D0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BB1716"/>
    <w:multiLevelType w:val="hybridMultilevel"/>
    <w:tmpl w:val="C388E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4A7FA2"/>
    <w:multiLevelType w:val="hybridMultilevel"/>
    <w:tmpl w:val="C19AA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B22A08"/>
    <w:multiLevelType w:val="hybridMultilevel"/>
    <w:tmpl w:val="54DE2F44"/>
    <w:lvl w:ilvl="0">
      <w:start w:val="1"/>
      <w:numFmt w:val="lowerLetter"/>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9D3613F"/>
    <w:multiLevelType w:val="singleLevel"/>
    <w:tmpl w:val="ACF2636C"/>
    <w:lvl w:ilvl="0">
      <w:start w:val="1"/>
      <w:numFmt w:val="lowerLetter"/>
      <w:pStyle w:val="Textpsmene"/>
      <w:lvlText w:val="%1)"/>
      <w:lvlJc w:val="left"/>
      <w:pPr>
        <w:tabs>
          <w:tab w:val="num" w:pos="360"/>
        </w:tabs>
        <w:ind w:left="360" w:hanging="360"/>
      </w:pPr>
    </w:lvl>
  </w:abstractNum>
  <w:abstractNum w:abstractNumId="10">
    <w:nsid w:val="2792445F"/>
    <w:multiLevelType w:val="hybridMultilevel"/>
    <w:tmpl w:val="F8381F38"/>
    <w:lvl w:ilvl="0">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2AF121B6"/>
    <w:multiLevelType w:val="hybridMultilevel"/>
    <w:tmpl w:val="E62489A0"/>
    <w:lvl w:ilvl="0">
      <w:start w:val="1"/>
      <w:numFmt w:val="lowerLetter"/>
      <w:lvlText w:val="%1)"/>
      <w:lvlJc w:val="left"/>
      <w:pPr>
        <w:tabs>
          <w:tab w:val="num" w:pos="520"/>
        </w:tabs>
        <w:ind w:left="52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F172A1"/>
    <w:multiLevelType w:val="hybridMultilevel"/>
    <w:tmpl w:val="E21626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92BF1"/>
    <w:multiLevelType w:val="hybridMultilevel"/>
    <w:tmpl w:val="2EB2BD6E"/>
    <w:lvl w:ilvl="0">
      <w:start w:val="1"/>
      <w:numFmt w:val="decimal"/>
      <w:lvlText w:val="(%1)"/>
      <w:lvlJc w:val="left"/>
      <w:pPr>
        <w:ind w:left="720" w:hanging="360"/>
      </w:pPr>
      <w:rPr>
        <w:rFonts w:cs="Times New Roman"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5907066"/>
    <w:multiLevelType w:val="hybridMultilevel"/>
    <w:tmpl w:val="95DED1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D94C30"/>
    <w:multiLevelType w:val="hybridMultilevel"/>
    <w:tmpl w:val="07D49164"/>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360"/>
        </w:tabs>
        <w:ind w:left="360" w:hanging="360"/>
      </w:pPr>
      <w:rPr>
        <w:rFonts w:hint="default"/>
        <w:vertAlign w:val="base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2F8355B"/>
    <w:multiLevelType w:val="hybridMultilevel"/>
    <w:tmpl w:val="FD2E7E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785036"/>
    <w:multiLevelType w:val="hybridMultilevel"/>
    <w:tmpl w:val="8D54504C"/>
    <w:lvl w:ilvl="0">
      <w:start w:val="10"/>
      <w:numFmt w:val="lowerLetter"/>
      <w:lvlText w:val="%1)"/>
      <w:lvlJc w:val="left"/>
      <w:pPr>
        <w:ind w:left="720" w:hanging="360"/>
      </w:pPr>
      <w:rPr>
        <w:rFonts w:ascii="Times New Roman" w:hAnsi="Times New Roman" w:hint="default"/>
        <w:b w:val="0"/>
        <w:color w:val="FF000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F56B41"/>
    <w:multiLevelType w:val="hybridMultilevel"/>
    <w:tmpl w:val="A2B68EBC"/>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9">
    <w:nsid w:val="66440D5B"/>
    <w:multiLevelType w:val="hybridMultilevel"/>
    <w:tmpl w:val="893648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DD55653"/>
    <w:multiLevelType w:val="hybridMultilevel"/>
    <w:tmpl w:val="DF1CC94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7BA67C7"/>
    <w:multiLevelType w:val="hybridMultilevel"/>
    <w:tmpl w:val="2F461BC2"/>
    <w:lvl w:ilvl="0">
      <w:start w:val="1"/>
      <w:numFmt w:val="lowerLetter"/>
      <w:lvlText w:val="%1)"/>
      <w:lvlJc w:val="left"/>
      <w:pPr>
        <w:ind w:left="720" w:hanging="360"/>
      </w:pPr>
      <w:rPr>
        <w:rFonts w:hint="default"/>
        <w:vertAlign w:val="superscrip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0D4B4D"/>
    <w:multiLevelType w:val="hybridMultilevel"/>
    <w:tmpl w:val="302EA83C"/>
    <w:lvl w:ilvl="0">
      <w:start w:val="1"/>
      <w:numFmt w:val="lowerLetter"/>
      <w:lvlText w:val="%1)"/>
      <w:lvlJc w:val="left"/>
      <w:pPr>
        <w:tabs>
          <w:tab w:val="num" w:pos="360"/>
        </w:tabs>
        <w:ind w:left="360" w:hanging="360"/>
      </w:pPr>
      <w:rPr>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D0554C"/>
    <w:multiLevelType w:val="multilevel"/>
    <w:tmpl w:val="7AD055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
  </w:num>
  <w:num w:numId="4">
    <w:abstractNumId w:val="15"/>
  </w:num>
  <w:num w:numId="5">
    <w:abstractNumId w:val="0"/>
  </w:num>
  <w:num w:numId="6">
    <w:abstractNumId w:val="18"/>
  </w:num>
  <w:num w:numId="7">
    <w:abstractNumId w:val="13"/>
  </w:num>
  <w:num w:numId="8">
    <w:abstractNumId w:val="10"/>
  </w:num>
  <w:num w:numId="9">
    <w:abstractNumId w:val="20"/>
  </w:num>
  <w:num w:numId="10">
    <w:abstractNumId w:val="8"/>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3"/>
  </w:num>
  <w:num w:numId="16">
    <w:abstractNumId w:val="5"/>
  </w:num>
  <w:num w:numId="17">
    <w:abstractNumId w:val="22"/>
  </w:num>
  <w:num w:numId="18">
    <w:abstractNumId w:val="17"/>
  </w:num>
  <w:num w:numId="19">
    <w:abstractNumId w:val="16"/>
  </w:num>
  <w:num w:numId="20">
    <w:abstractNumId w:val="6"/>
  </w:num>
  <w:num w:numId="21">
    <w:abstractNumId w:val="14"/>
  </w:num>
  <w:num w:numId="22">
    <w:abstractNumId w:val="12"/>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556"/>
    <w:rsid w:val="0000084E"/>
    <w:rsid w:val="0001066B"/>
    <w:rsid w:val="00011013"/>
    <w:rsid w:val="00033633"/>
    <w:rsid w:val="00034549"/>
    <w:rsid w:val="00040137"/>
    <w:rsid w:val="000410EF"/>
    <w:rsid w:val="00045978"/>
    <w:rsid w:val="00066FFB"/>
    <w:rsid w:val="00067B98"/>
    <w:rsid w:val="00075A1A"/>
    <w:rsid w:val="000760F9"/>
    <w:rsid w:val="00077D49"/>
    <w:rsid w:val="00082D13"/>
    <w:rsid w:val="00085617"/>
    <w:rsid w:val="00086AEC"/>
    <w:rsid w:val="000879BE"/>
    <w:rsid w:val="00090BF4"/>
    <w:rsid w:val="000974E6"/>
    <w:rsid w:val="000A47A1"/>
    <w:rsid w:val="000A559F"/>
    <w:rsid w:val="000A6020"/>
    <w:rsid w:val="000B28EB"/>
    <w:rsid w:val="000B2C18"/>
    <w:rsid w:val="000B63FA"/>
    <w:rsid w:val="000B7AC3"/>
    <w:rsid w:val="000C7FA1"/>
    <w:rsid w:val="000D399C"/>
    <w:rsid w:val="000E6117"/>
    <w:rsid w:val="000F148F"/>
    <w:rsid w:val="000F22B9"/>
    <w:rsid w:val="000F7836"/>
    <w:rsid w:val="001012B3"/>
    <w:rsid w:val="00105A20"/>
    <w:rsid w:val="00110CE0"/>
    <w:rsid w:val="00110F52"/>
    <w:rsid w:val="00111BC2"/>
    <w:rsid w:val="00115229"/>
    <w:rsid w:val="0012676B"/>
    <w:rsid w:val="00127BCE"/>
    <w:rsid w:val="001358C3"/>
    <w:rsid w:val="0014063C"/>
    <w:rsid w:val="00142EDA"/>
    <w:rsid w:val="00145AB8"/>
    <w:rsid w:val="001525D5"/>
    <w:rsid w:val="00166CAE"/>
    <w:rsid w:val="00166F35"/>
    <w:rsid w:val="001672C4"/>
    <w:rsid w:val="00167D64"/>
    <w:rsid w:val="001713CA"/>
    <w:rsid w:val="00176DB2"/>
    <w:rsid w:val="00181B77"/>
    <w:rsid w:val="001825BA"/>
    <w:rsid w:val="001A1E08"/>
    <w:rsid w:val="001A529A"/>
    <w:rsid w:val="001B596A"/>
    <w:rsid w:val="001B7FC7"/>
    <w:rsid w:val="001C0944"/>
    <w:rsid w:val="001C41D2"/>
    <w:rsid w:val="001E3B1F"/>
    <w:rsid w:val="001E40B6"/>
    <w:rsid w:val="001F2860"/>
    <w:rsid w:val="001F2CFF"/>
    <w:rsid w:val="001F6025"/>
    <w:rsid w:val="002003C4"/>
    <w:rsid w:val="00203B0C"/>
    <w:rsid w:val="002102F9"/>
    <w:rsid w:val="00225FBA"/>
    <w:rsid w:val="002263B8"/>
    <w:rsid w:val="002307A3"/>
    <w:rsid w:val="002365B4"/>
    <w:rsid w:val="002375F3"/>
    <w:rsid w:val="002376A1"/>
    <w:rsid w:val="00241B8C"/>
    <w:rsid w:val="0024309C"/>
    <w:rsid w:val="002458F9"/>
    <w:rsid w:val="002479F2"/>
    <w:rsid w:val="002544F9"/>
    <w:rsid w:val="00274F15"/>
    <w:rsid w:val="00282AAD"/>
    <w:rsid w:val="00287E3F"/>
    <w:rsid w:val="002A270F"/>
    <w:rsid w:val="002C08AC"/>
    <w:rsid w:val="002C0BC1"/>
    <w:rsid w:val="002E10E4"/>
    <w:rsid w:val="002E524C"/>
    <w:rsid w:val="002E6D92"/>
    <w:rsid w:val="002F565D"/>
    <w:rsid w:val="002F6A74"/>
    <w:rsid w:val="002F7E97"/>
    <w:rsid w:val="0030000F"/>
    <w:rsid w:val="00300620"/>
    <w:rsid w:val="00305996"/>
    <w:rsid w:val="00305C2D"/>
    <w:rsid w:val="0030692B"/>
    <w:rsid w:val="00315943"/>
    <w:rsid w:val="00320DFC"/>
    <w:rsid w:val="00325D9E"/>
    <w:rsid w:val="00341B43"/>
    <w:rsid w:val="00345300"/>
    <w:rsid w:val="00367E01"/>
    <w:rsid w:val="003901F9"/>
    <w:rsid w:val="00390F74"/>
    <w:rsid w:val="003A560F"/>
    <w:rsid w:val="003A651C"/>
    <w:rsid w:val="003B001F"/>
    <w:rsid w:val="003C3979"/>
    <w:rsid w:val="003D20FB"/>
    <w:rsid w:val="003D4427"/>
    <w:rsid w:val="003E406E"/>
    <w:rsid w:val="003E61AF"/>
    <w:rsid w:val="003F359E"/>
    <w:rsid w:val="003F508A"/>
    <w:rsid w:val="004001A0"/>
    <w:rsid w:val="00404D23"/>
    <w:rsid w:val="00407309"/>
    <w:rsid w:val="004133B6"/>
    <w:rsid w:val="00416A11"/>
    <w:rsid w:val="00427ED1"/>
    <w:rsid w:val="0043304A"/>
    <w:rsid w:val="0043579C"/>
    <w:rsid w:val="004412F9"/>
    <w:rsid w:val="00454A83"/>
    <w:rsid w:val="00457315"/>
    <w:rsid w:val="00460886"/>
    <w:rsid w:val="00470E27"/>
    <w:rsid w:val="0048275D"/>
    <w:rsid w:val="0049123B"/>
    <w:rsid w:val="00491C21"/>
    <w:rsid w:val="00492D79"/>
    <w:rsid w:val="004A17B7"/>
    <w:rsid w:val="004A2119"/>
    <w:rsid w:val="004A69FD"/>
    <w:rsid w:val="004B3966"/>
    <w:rsid w:val="004B4D9C"/>
    <w:rsid w:val="004B7FFE"/>
    <w:rsid w:val="004C50A1"/>
    <w:rsid w:val="004C5894"/>
    <w:rsid w:val="004D1DCA"/>
    <w:rsid w:val="004D7206"/>
    <w:rsid w:val="004E5933"/>
    <w:rsid w:val="004F2084"/>
    <w:rsid w:val="004F703F"/>
    <w:rsid w:val="004F79D5"/>
    <w:rsid w:val="0050048F"/>
    <w:rsid w:val="00500C1E"/>
    <w:rsid w:val="0050391B"/>
    <w:rsid w:val="00503A51"/>
    <w:rsid w:val="00505C06"/>
    <w:rsid w:val="005117C6"/>
    <w:rsid w:val="00511C81"/>
    <w:rsid w:val="005131F4"/>
    <w:rsid w:val="00513924"/>
    <w:rsid w:val="00514034"/>
    <w:rsid w:val="0052125E"/>
    <w:rsid w:val="00527E1D"/>
    <w:rsid w:val="0053077F"/>
    <w:rsid w:val="00534DAA"/>
    <w:rsid w:val="00537AC6"/>
    <w:rsid w:val="005438C9"/>
    <w:rsid w:val="00546BE2"/>
    <w:rsid w:val="005511F6"/>
    <w:rsid w:val="00554F00"/>
    <w:rsid w:val="00555AE2"/>
    <w:rsid w:val="00561B5A"/>
    <w:rsid w:val="00562895"/>
    <w:rsid w:val="005631CE"/>
    <w:rsid w:val="00573532"/>
    <w:rsid w:val="0058076F"/>
    <w:rsid w:val="00582A50"/>
    <w:rsid w:val="00593031"/>
    <w:rsid w:val="005A2958"/>
    <w:rsid w:val="005C0BC5"/>
    <w:rsid w:val="005C606C"/>
    <w:rsid w:val="005D1EFB"/>
    <w:rsid w:val="005D4A2B"/>
    <w:rsid w:val="005D71FB"/>
    <w:rsid w:val="005E4685"/>
    <w:rsid w:val="00605411"/>
    <w:rsid w:val="00607556"/>
    <w:rsid w:val="006144E5"/>
    <w:rsid w:val="00625A04"/>
    <w:rsid w:val="00625C90"/>
    <w:rsid w:val="00625DE2"/>
    <w:rsid w:val="0062781F"/>
    <w:rsid w:val="00630E66"/>
    <w:rsid w:val="00637BD1"/>
    <w:rsid w:val="00655061"/>
    <w:rsid w:val="00670567"/>
    <w:rsid w:val="0067245C"/>
    <w:rsid w:val="00675C3B"/>
    <w:rsid w:val="00676AEB"/>
    <w:rsid w:val="00681E56"/>
    <w:rsid w:val="006827A2"/>
    <w:rsid w:val="00685BFF"/>
    <w:rsid w:val="006862AE"/>
    <w:rsid w:val="00687DFC"/>
    <w:rsid w:val="006A2940"/>
    <w:rsid w:val="006A3CD6"/>
    <w:rsid w:val="006B12AA"/>
    <w:rsid w:val="006B6DE8"/>
    <w:rsid w:val="006C019A"/>
    <w:rsid w:val="006C40D8"/>
    <w:rsid w:val="006E3E3B"/>
    <w:rsid w:val="006E77B9"/>
    <w:rsid w:val="006F168A"/>
    <w:rsid w:val="007000B7"/>
    <w:rsid w:val="0070165E"/>
    <w:rsid w:val="007019A3"/>
    <w:rsid w:val="0071034D"/>
    <w:rsid w:val="007211AA"/>
    <w:rsid w:val="00740FAE"/>
    <w:rsid w:val="007415F4"/>
    <w:rsid w:val="00745568"/>
    <w:rsid w:val="0075009F"/>
    <w:rsid w:val="007538AB"/>
    <w:rsid w:val="00753E96"/>
    <w:rsid w:val="00754D7C"/>
    <w:rsid w:val="00760930"/>
    <w:rsid w:val="00764125"/>
    <w:rsid w:val="0076501B"/>
    <w:rsid w:val="00770898"/>
    <w:rsid w:val="00770DF7"/>
    <w:rsid w:val="00783153"/>
    <w:rsid w:val="00790851"/>
    <w:rsid w:val="007919F1"/>
    <w:rsid w:val="00795D6C"/>
    <w:rsid w:val="007A0109"/>
    <w:rsid w:val="007A20FF"/>
    <w:rsid w:val="007A3F37"/>
    <w:rsid w:val="007A4EAE"/>
    <w:rsid w:val="007B24F3"/>
    <w:rsid w:val="007B726F"/>
    <w:rsid w:val="007B7611"/>
    <w:rsid w:val="007C4D86"/>
    <w:rsid w:val="007C4FB9"/>
    <w:rsid w:val="007E0B77"/>
    <w:rsid w:val="007F329E"/>
    <w:rsid w:val="008003D5"/>
    <w:rsid w:val="00801D4E"/>
    <w:rsid w:val="0080579E"/>
    <w:rsid w:val="00806CD7"/>
    <w:rsid w:val="00814FB5"/>
    <w:rsid w:val="008202DF"/>
    <w:rsid w:val="008204A0"/>
    <w:rsid w:val="00820D24"/>
    <w:rsid w:val="00822E53"/>
    <w:rsid w:val="008248CC"/>
    <w:rsid w:val="00824A06"/>
    <w:rsid w:val="008273A7"/>
    <w:rsid w:val="00830141"/>
    <w:rsid w:val="0084076D"/>
    <w:rsid w:val="0084120B"/>
    <w:rsid w:val="00851CC5"/>
    <w:rsid w:val="00856C47"/>
    <w:rsid w:val="00881592"/>
    <w:rsid w:val="00884D9F"/>
    <w:rsid w:val="0088761F"/>
    <w:rsid w:val="008A381F"/>
    <w:rsid w:val="008A7155"/>
    <w:rsid w:val="008B00E8"/>
    <w:rsid w:val="008B0B3C"/>
    <w:rsid w:val="008B3C88"/>
    <w:rsid w:val="008D1B7B"/>
    <w:rsid w:val="008D3255"/>
    <w:rsid w:val="008D4E5C"/>
    <w:rsid w:val="008D4EE4"/>
    <w:rsid w:val="008D59B0"/>
    <w:rsid w:val="008E10F5"/>
    <w:rsid w:val="008F4AC7"/>
    <w:rsid w:val="008F5C24"/>
    <w:rsid w:val="00911CF9"/>
    <w:rsid w:val="0092117F"/>
    <w:rsid w:val="00925060"/>
    <w:rsid w:val="00926842"/>
    <w:rsid w:val="00935637"/>
    <w:rsid w:val="00935F64"/>
    <w:rsid w:val="00946571"/>
    <w:rsid w:val="009478B3"/>
    <w:rsid w:val="00955B30"/>
    <w:rsid w:val="00971B92"/>
    <w:rsid w:val="0097796B"/>
    <w:rsid w:val="009811D1"/>
    <w:rsid w:val="009832B8"/>
    <w:rsid w:val="00996225"/>
    <w:rsid w:val="009A1604"/>
    <w:rsid w:val="009A7637"/>
    <w:rsid w:val="009B2050"/>
    <w:rsid w:val="009B2987"/>
    <w:rsid w:val="009B349C"/>
    <w:rsid w:val="009B6AAE"/>
    <w:rsid w:val="009B7442"/>
    <w:rsid w:val="009C00AD"/>
    <w:rsid w:val="009C2406"/>
    <w:rsid w:val="009C28F7"/>
    <w:rsid w:val="009D0C71"/>
    <w:rsid w:val="009D4B31"/>
    <w:rsid w:val="009D51D0"/>
    <w:rsid w:val="009D6BAC"/>
    <w:rsid w:val="009E0DD4"/>
    <w:rsid w:val="009F7739"/>
    <w:rsid w:val="00A1301D"/>
    <w:rsid w:val="00A263BE"/>
    <w:rsid w:val="00A315AC"/>
    <w:rsid w:val="00A32BFB"/>
    <w:rsid w:val="00A3455F"/>
    <w:rsid w:val="00A368FE"/>
    <w:rsid w:val="00A36FBB"/>
    <w:rsid w:val="00A400FC"/>
    <w:rsid w:val="00A408E9"/>
    <w:rsid w:val="00A4385B"/>
    <w:rsid w:val="00A56871"/>
    <w:rsid w:val="00A60B53"/>
    <w:rsid w:val="00A651D9"/>
    <w:rsid w:val="00A6581F"/>
    <w:rsid w:val="00A72AC7"/>
    <w:rsid w:val="00A755D5"/>
    <w:rsid w:val="00A821A1"/>
    <w:rsid w:val="00A82DCB"/>
    <w:rsid w:val="00A873DD"/>
    <w:rsid w:val="00A91CBF"/>
    <w:rsid w:val="00A9738A"/>
    <w:rsid w:val="00AA4060"/>
    <w:rsid w:val="00AA64F1"/>
    <w:rsid w:val="00AA6D36"/>
    <w:rsid w:val="00AB26A0"/>
    <w:rsid w:val="00AC06B5"/>
    <w:rsid w:val="00AC182C"/>
    <w:rsid w:val="00AD7337"/>
    <w:rsid w:val="00AD7951"/>
    <w:rsid w:val="00AE1C72"/>
    <w:rsid w:val="00AF5923"/>
    <w:rsid w:val="00B16EB9"/>
    <w:rsid w:val="00B16F3D"/>
    <w:rsid w:val="00B31196"/>
    <w:rsid w:val="00B35ED1"/>
    <w:rsid w:val="00B42B34"/>
    <w:rsid w:val="00B567CB"/>
    <w:rsid w:val="00B611A2"/>
    <w:rsid w:val="00B654EF"/>
    <w:rsid w:val="00B679EF"/>
    <w:rsid w:val="00B96909"/>
    <w:rsid w:val="00BA0D1D"/>
    <w:rsid w:val="00BA1483"/>
    <w:rsid w:val="00BA363C"/>
    <w:rsid w:val="00BB1D29"/>
    <w:rsid w:val="00BB3AEE"/>
    <w:rsid w:val="00BB6B7A"/>
    <w:rsid w:val="00BC3F4B"/>
    <w:rsid w:val="00BC4365"/>
    <w:rsid w:val="00BD1BEB"/>
    <w:rsid w:val="00BE2144"/>
    <w:rsid w:val="00BE2D34"/>
    <w:rsid w:val="00BE6394"/>
    <w:rsid w:val="00BF05AB"/>
    <w:rsid w:val="00C02946"/>
    <w:rsid w:val="00C02D74"/>
    <w:rsid w:val="00C03E1C"/>
    <w:rsid w:val="00C06DE0"/>
    <w:rsid w:val="00C11710"/>
    <w:rsid w:val="00C11B31"/>
    <w:rsid w:val="00C17886"/>
    <w:rsid w:val="00C214D8"/>
    <w:rsid w:val="00C3027B"/>
    <w:rsid w:val="00C31D54"/>
    <w:rsid w:val="00C3333F"/>
    <w:rsid w:val="00C35DDB"/>
    <w:rsid w:val="00C37E47"/>
    <w:rsid w:val="00C43681"/>
    <w:rsid w:val="00C43A1B"/>
    <w:rsid w:val="00C52271"/>
    <w:rsid w:val="00C53098"/>
    <w:rsid w:val="00C5347A"/>
    <w:rsid w:val="00C54FAF"/>
    <w:rsid w:val="00C56909"/>
    <w:rsid w:val="00C56E23"/>
    <w:rsid w:val="00C57416"/>
    <w:rsid w:val="00C6628B"/>
    <w:rsid w:val="00C7052C"/>
    <w:rsid w:val="00C72961"/>
    <w:rsid w:val="00C72D3A"/>
    <w:rsid w:val="00C736E5"/>
    <w:rsid w:val="00C74A5D"/>
    <w:rsid w:val="00C751EE"/>
    <w:rsid w:val="00C86EE7"/>
    <w:rsid w:val="00C904F4"/>
    <w:rsid w:val="00C9241F"/>
    <w:rsid w:val="00C949F5"/>
    <w:rsid w:val="00CA1A99"/>
    <w:rsid w:val="00CA3E77"/>
    <w:rsid w:val="00CB7B59"/>
    <w:rsid w:val="00CD0BDB"/>
    <w:rsid w:val="00CD73B4"/>
    <w:rsid w:val="00CE05C7"/>
    <w:rsid w:val="00CE098A"/>
    <w:rsid w:val="00CF3507"/>
    <w:rsid w:val="00D00836"/>
    <w:rsid w:val="00D03B3A"/>
    <w:rsid w:val="00D047F5"/>
    <w:rsid w:val="00D139B9"/>
    <w:rsid w:val="00D141BC"/>
    <w:rsid w:val="00D16549"/>
    <w:rsid w:val="00D24C4F"/>
    <w:rsid w:val="00D269EA"/>
    <w:rsid w:val="00D52C0C"/>
    <w:rsid w:val="00D54ECD"/>
    <w:rsid w:val="00D615E5"/>
    <w:rsid w:val="00D74678"/>
    <w:rsid w:val="00D8387F"/>
    <w:rsid w:val="00D84B89"/>
    <w:rsid w:val="00D87230"/>
    <w:rsid w:val="00D90D77"/>
    <w:rsid w:val="00D91D2E"/>
    <w:rsid w:val="00D9544D"/>
    <w:rsid w:val="00D96EC3"/>
    <w:rsid w:val="00DA00E1"/>
    <w:rsid w:val="00DB0A32"/>
    <w:rsid w:val="00DB3EC7"/>
    <w:rsid w:val="00DB53D2"/>
    <w:rsid w:val="00DB723E"/>
    <w:rsid w:val="00DD0133"/>
    <w:rsid w:val="00DD02C4"/>
    <w:rsid w:val="00DD6E7C"/>
    <w:rsid w:val="00DE59B3"/>
    <w:rsid w:val="00DF4FEC"/>
    <w:rsid w:val="00DF66FB"/>
    <w:rsid w:val="00E02262"/>
    <w:rsid w:val="00E077CA"/>
    <w:rsid w:val="00E10CBC"/>
    <w:rsid w:val="00E14A25"/>
    <w:rsid w:val="00E2692E"/>
    <w:rsid w:val="00E279BD"/>
    <w:rsid w:val="00E30103"/>
    <w:rsid w:val="00E31864"/>
    <w:rsid w:val="00E440FA"/>
    <w:rsid w:val="00E4667C"/>
    <w:rsid w:val="00E466AC"/>
    <w:rsid w:val="00E4781D"/>
    <w:rsid w:val="00E66D95"/>
    <w:rsid w:val="00E7202E"/>
    <w:rsid w:val="00E759E6"/>
    <w:rsid w:val="00E85020"/>
    <w:rsid w:val="00E91A72"/>
    <w:rsid w:val="00E92FA8"/>
    <w:rsid w:val="00E957D9"/>
    <w:rsid w:val="00E96CD8"/>
    <w:rsid w:val="00E97C1E"/>
    <w:rsid w:val="00EA43EB"/>
    <w:rsid w:val="00EA5C97"/>
    <w:rsid w:val="00EA68A4"/>
    <w:rsid w:val="00EA73A1"/>
    <w:rsid w:val="00EB3CA2"/>
    <w:rsid w:val="00EB653D"/>
    <w:rsid w:val="00EB6E33"/>
    <w:rsid w:val="00EC55B4"/>
    <w:rsid w:val="00EE164C"/>
    <w:rsid w:val="00EE31C1"/>
    <w:rsid w:val="00EF255D"/>
    <w:rsid w:val="00EF2D89"/>
    <w:rsid w:val="00EF2E5D"/>
    <w:rsid w:val="00F05544"/>
    <w:rsid w:val="00F12625"/>
    <w:rsid w:val="00F24CE5"/>
    <w:rsid w:val="00F30700"/>
    <w:rsid w:val="00F30738"/>
    <w:rsid w:val="00F30796"/>
    <w:rsid w:val="00F327A9"/>
    <w:rsid w:val="00F34F71"/>
    <w:rsid w:val="00F42E94"/>
    <w:rsid w:val="00F42F02"/>
    <w:rsid w:val="00F44F56"/>
    <w:rsid w:val="00F5258A"/>
    <w:rsid w:val="00F552AB"/>
    <w:rsid w:val="00F57992"/>
    <w:rsid w:val="00F61B0F"/>
    <w:rsid w:val="00F642C1"/>
    <w:rsid w:val="00F664AC"/>
    <w:rsid w:val="00F718E2"/>
    <w:rsid w:val="00F74907"/>
    <w:rsid w:val="00F74B61"/>
    <w:rsid w:val="00F777E2"/>
    <w:rsid w:val="00F8296D"/>
    <w:rsid w:val="00F95FA8"/>
    <w:rsid w:val="00F965BD"/>
    <w:rsid w:val="00FA00D3"/>
    <w:rsid w:val="00FA6D87"/>
    <w:rsid w:val="00FB4402"/>
    <w:rsid w:val="00FC0F2F"/>
    <w:rsid w:val="00FC2D96"/>
    <w:rsid w:val="00FC58B1"/>
    <w:rsid w:val="00FC6E9F"/>
    <w:rsid w:val="00FD26C3"/>
    <w:rsid w:val="00FD61A2"/>
    <w:rsid w:val="00FE6073"/>
    <w:rsid w:val="00FF785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qFormat="1"/>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66D95"/>
    <w:rPr>
      <w:sz w:val="24"/>
      <w:lang w:val="sk-SK" w:eastAsia="cs-CZ" w:bidi="ar-SA"/>
    </w:rPr>
  </w:style>
  <w:style w:type="paragraph" w:styleId="Heading1">
    <w:name w:val="heading 1"/>
    <w:basedOn w:val="Normal"/>
    <w:next w:val="Normal"/>
    <w:qFormat/>
    <w:pPr>
      <w:keepNext/>
      <w:spacing w:before="240"/>
      <w:jc w:val="center"/>
      <w:outlineLvl w:val="0"/>
    </w:pPr>
    <w:rPr>
      <w:b/>
      <w:noProof w:val="0"/>
      <w:kern w:val="28"/>
    </w:rPr>
  </w:style>
  <w:style w:type="paragraph" w:styleId="Heading2">
    <w:name w:val="heading 2"/>
    <w:basedOn w:val="Normal"/>
    <w:next w:val="Normal"/>
    <w:qFormat/>
    <w:pPr>
      <w:keepNext/>
      <w:widowControl w:val="0"/>
      <w:ind w:left="705" w:hanging="705"/>
      <w:jc w:val="center"/>
      <w:outlineLvl w:val="1"/>
    </w:pPr>
    <w:rPr>
      <w:rFonts w:ascii="Bookman Old Style" w:hAnsi="Bookman Old Style"/>
      <w:b/>
      <w:spacing w:val="-5"/>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link w:val="Nadpis6Char"/>
    <w:qFormat/>
    <w:pPr>
      <w:keepNext/>
      <w:jc w:val="both"/>
      <w:outlineLvl w:val="5"/>
    </w:pPr>
    <w:rPr>
      <w:b/>
      <w:sz w:val="16"/>
    </w:rPr>
  </w:style>
  <w:style w:type="paragraph" w:styleId="Heading7">
    <w:name w:val="heading 7"/>
    <w:basedOn w:val="Normal"/>
    <w:next w:val="Normal"/>
    <w:qFormat/>
    <w:pPr>
      <w:keepNext/>
      <w:ind w:left="567"/>
      <w:jc w:val="both"/>
      <w:outlineLvl w:val="6"/>
    </w:pPr>
    <w:rPr>
      <w:b/>
      <w:bCs/>
      <w:i/>
      <w:iCs/>
    </w:rPr>
  </w:style>
  <w:style w:type="paragraph" w:styleId="Heading8">
    <w:name w:val="heading 8"/>
    <w:basedOn w:val="Normal"/>
    <w:next w:val="Normal"/>
    <w:qFormat/>
    <w:pPr>
      <w:keepNext/>
      <w:jc w:val="center"/>
      <w:outlineLvl w:val="7"/>
    </w:pPr>
    <w:rPr>
      <w:i/>
      <w:iCs/>
      <w:sz w:val="20"/>
    </w:rPr>
  </w:style>
  <w:style w:type="paragraph" w:styleId="Heading9">
    <w:name w:val="heading 9"/>
    <w:basedOn w:val="Normal"/>
    <w:next w:val="Normal"/>
    <w:qFormat/>
    <w:pPr>
      <w:keepNext/>
      <w:ind w:left="567"/>
      <w:jc w:val="both"/>
      <w:outlineLvl w:val="8"/>
    </w:pPr>
    <w:rPr>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customStyle="1" w:styleId="BodyText21">
    <w:name w:val="Body Text 21"/>
    <w:basedOn w:val="Normal"/>
    <w:pPr>
      <w:spacing w:before="120" w:line="240" w:lineRule="atLeast"/>
      <w:jc w:val="both"/>
    </w:pPr>
    <w:rPr>
      <w:sz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jc w:val="both"/>
    </w:pPr>
    <w:rPr>
      <w:color w:val="FF0000"/>
      <w:sz w:val="20"/>
    </w:rPr>
  </w:style>
  <w:style w:type="paragraph" w:styleId="BodyTextIndent2">
    <w:name w:val="Body Text Indent 2"/>
    <w:basedOn w:val="Normal"/>
    <w:pPr>
      <w:ind w:left="-44"/>
    </w:pPr>
    <w:rPr>
      <w:sz w:val="20"/>
    </w:rPr>
  </w:style>
  <w:style w:type="paragraph" w:styleId="BodyTextIndent3">
    <w:name w:val="Body Text Indent 3"/>
    <w:basedOn w:val="Normal"/>
    <w:pPr>
      <w:ind w:left="426" w:hanging="426"/>
      <w:jc w:val="both"/>
    </w:pPr>
  </w:style>
  <w:style w:type="paragraph" w:customStyle="1" w:styleId="odsek">
    <w:name w:val="odsek"/>
    <w:basedOn w:val="Normal"/>
    <w:pPr>
      <w:spacing w:before="240"/>
      <w:jc w:val="both"/>
    </w:pPr>
    <w:rPr>
      <w:noProof w:val="0"/>
      <w:color w:val="000000"/>
    </w:rPr>
  </w:style>
  <w:style w:type="character" w:styleId="FootnoteReference">
    <w:name w:val="footnote reference"/>
    <w:uiPriority w:val="99"/>
    <w:qFormat/>
    <w:rPr>
      <w:vertAlign w:val="superscript"/>
    </w:rPr>
  </w:style>
  <w:style w:type="paragraph" w:styleId="FootnoteText">
    <w:name w:val="footnote text"/>
    <w:basedOn w:val="Normal"/>
    <w:link w:val="TextpoznmkypodiarouChar"/>
    <w:uiPriority w:val="99"/>
    <w:semiHidden/>
    <w:qFormat/>
    <w:rPr>
      <w:noProof w:val="0"/>
    </w:rPr>
  </w:style>
  <w:style w:type="paragraph" w:customStyle="1" w:styleId="pismeno">
    <w:name w:val="pismeno"/>
    <w:basedOn w:val="Normal"/>
    <w:pPr>
      <w:numPr>
        <w:ilvl w:val="0"/>
        <w:numId w:val="1"/>
      </w:numPr>
      <w:tabs>
        <w:tab w:val="left" w:pos="426"/>
      </w:tabs>
      <w:spacing w:before="60"/>
      <w:jc w:val="both"/>
    </w:pPr>
    <w:rPr>
      <w:noProof w:val="0"/>
    </w:rPr>
  </w:style>
  <w:style w:type="character" w:styleId="CommentReference">
    <w:name w:val="annotation reference"/>
    <w:semiHidden/>
    <w:rPr>
      <w:sz w:val="16"/>
    </w:rPr>
  </w:style>
  <w:style w:type="paragraph" w:styleId="CommentText">
    <w:name w:val="annotation text"/>
    <w:basedOn w:val="Normal"/>
    <w:semiHidden/>
    <w:rPr>
      <w:noProof w:val="0"/>
    </w:rPr>
  </w:style>
  <w:style w:type="paragraph" w:customStyle="1" w:styleId="zaklad">
    <w:name w:val="zaklad"/>
    <w:basedOn w:val="BodyText"/>
    <w:pPr>
      <w:widowControl w:val="0"/>
      <w:jc w:val="left"/>
    </w:pPr>
    <w:rPr>
      <w:noProof w:val="0"/>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color w:val="339966"/>
    </w:rPr>
  </w:style>
  <w:style w:type="paragraph" w:styleId="BodyText3">
    <w:name w:val="Body Text 3"/>
    <w:basedOn w:val="Normal"/>
    <w:pPr>
      <w:jc w:val="both"/>
    </w:pPr>
    <w:rPr>
      <w:color w:val="339966"/>
    </w:rPr>
  </w:style>
  <w:style w:type="paragraph" w:customStyle="1" w:styleId="Textpsmene">
    <w:name w:val="Text písmene"/>
    <w:basedOn w:val="Normal"/>
    <w:pPr>
      <w:numPr>
        <w:ilvl w:val="0"/>
        <w:numId w:val="2"/>
      </w:numPr>
      <w:jc w:val="both"/>
    </w:pPr>
    <w:rPr>
      <w:noProof w:val="0"/>
      <w:lang w:val="cs-CZ"/>
    </w:rPr>
  </w:style>
  <w:style w:type="paragraph" w:styleId="ListBullet">
    <w:name w:val="List Bullet"/>
    <w:basedOn w:val="Normal"/>
    <w:autoRedefine/>
    <w:pPr>
      <w:numPr>
        <w:ilvl w:val="0"/>
        <w:numId w:val="3"/>
      </w:numPr>
    </w:pPr>
  </w:style>
  <w:style w:type="paragraph" w:styleId="Header">
    <w:name w:val="header"/>
    <w:basedOn w:val="Normal"/>
    <w:pPr>
      <w:tabs>
        <w:tab w:val="center" w:pos="4536"/>
        <w:tab w:val="right" w:pos="9072"/>
      </w:tabs>
    </w:pPr>
    <w:rPr>
      <w:sz w:val="20"/>
      <w:lang w:eastAsia="sk-SK"/>
    </w:rPr>
  </w:style>
  <w:style w:type="paragraph" w:styleId="BodyTextFirstIndent">
    <w:name w:val="Body Text First Indent"/>
    <w:basedOn w:val="BodyText"/>
    <w:pPr>
      <w:spacing w:after="120"/>
      <w:ind w:firstLine="210"/>
      <w:jc w:val="left"/>
    </w:pPr>
    <w:rPr>
      <w:lang w:eastAsia="sk-SK"/>
    </w:rPr>
  </w:style>
  <w:style w:type="paragraph" w:customStyle="1" w:styleId="Zkladntext">
    <w:name w:val="Z‡kladn’ text"/>
    <w:basedOn w:val="Normal"/>
    <w:rPr>
      <w:b/>
      <w:noProof w:val="0"/>
      <w:lang w:val="cs-CZ"/>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J-formtdokumentu">
    <w:name w:val="J-formát dokumentu"/>
    <w:basedOn w:val="Normal"/>
    <w:pPr>
      <w:spacing w:before="120"/>
      <w:jc w:val="both"/>
    </w:pPr>
    <w:rPr>
      <w:rFonts w:ascii="Arial" w:hAnsi="Arial"/>
      <w:sz w:val="22"/>
      <w:lang w:eastAsia="en-US"/>
    </w:rPr>
  </w:style>
  <w:style w:type="paragraph" w:customStyle="1" w:styleId="BodyText20">
    <w:name w:val="Body Text 2"/>
    <w:basedOn w:val="Normal"/>
    <w:pPr>
      <w:ind w:left="426" w:hanging="426"/>
      <w:jc w:val="both"/>
    </w:pPr>
  </w:style>
  <w:style w:type="paragraph" w:styleId="Salutation">
    <w:name w:val="Salutation"/>
    <w:basedOn w:val="Normal"/>
    <w:next w:val="Normal"/>
    <w:rsid w:val="00D96EC3"/>
  </w:style>
  <w:style w:type="paragraph" w:styleId="List2">
    <w:name w:val="List 2"/>
    <w:basedOn w:val="Normal"/>
    <w:rsid w:val="00F61B0F"/>
    <w:pPr>
      <w:ind w:left="566" w:hanging="283"/>
    </w:pPr>
  </w:style>
  <w:style w:type="paragraph" w:styleId="List">
    <w:name w:val="List"/>
    <w:basedOn w:val="Normal"/>
    <w:rsid w:val="005C0BC5"/>
    <w:pPr>
      <w:ind w:left="283" w:hanging="283"/>
    </w:pPr>
  </w:style>
  <w:style w:type="paragraph" w:customStyle="1" w:styleId="titulok">
    <w:name w:val="titulok"/>
    <w:basedOn w:val="Normal"/>
    <w:rsid w:val="0067245C"/>
    <w:pPr>
      <w:spacing w:before="100" w:beforeAutospacing="1" w:after="100" w:afterAutospacing="1"/>
      <w:jc w:val="center"/>
    </w:pPr>
    <w:rPr>
      <w:rFonts w:ascii="Arial" w:hAnsi="Arial" w:cs="Arial"/>
      <w:b/>
      <w:bCs/>
      <w:color w:val="000000"/>
      <w:szCs w:val="24"/>
      <w:lang w:val="cs-CZ"/>
    </w:rPr>
  </w:style>
  <w:style w:type="paragraph" w:customStyle="1" w:styleId="ListParagraph">
    <w:name w:val="List Paragraph"/>
    <w:basedOn w:val="Normal"/>
    <w:rsid w:val="007000B7"/>
    <w:pPr>
      <w:ind w:left="708"/>
    </w:pPr>
    <w:rPr>
      <w:noProof/>
      <w:szCs w:val="24"/>
      <w:lang w:eastAsia="sk-SK"/>
    </w:rPr>
  </w:style>
  <w:style w:type="character" w:customStyle="1" w:styleId="TextpoznmkypodiarouChar">
    <w:name w:val="Text poznámky pod čiarou Char"/>
    <w:link w:val="FootnoteText"/>
    <w:uiPriority w:val="99"/>
    <w:semiHidden/>
    <w:rsid w:val="00BB3AEE"/>
    <w:rPr>
      <w:sz w:val="24"/>
      <w:lang w:eastAsia="cs-CZ"/>
    </w:rPr>
  </w:style>
  <w:style w:type="paragraph" w:customStyle="1" w:styleId="odsek1">
    <w:name w:val="odsek1"/>
    <w:basedOn w:val="odsek"/>
    <w:autoRedefine/>
    <w:qFormat/>
    <w:rsid w:val="00F552AB"/>
    <w:pPr>
      <w:keepNext/>
      <w:numPr>
        <w:ilvl w:val="0"/>
        <w:numId w:val="8"/>
      </w:numPr>
      <w:spacing w:before="60" w:after="60"/>
      <w:ind w:left="0" w:firstLine="709"/>
    </w:pPr>
    <w:rPr>
      <w:rFonts w:eastAsia="Calibri"/>
      <w:color w:val="auto"/>
      <w:szCs w:val="22"/>
      <w:lang w:eastAsia="en-US"/>
    </w:rPr>
  </w:style>
  <w:style w:type="paragraph" w:styleId="EnvelopeReturn">
    <w:name w:val="envelope return"/>
    <w:basedOn w:val="Normal"/>
    <w:rsid w:val="00FD26C3"/>
    <w:rPr>
      <w:rFonts w:ascii="Arial" w:hAnsi="Arial" w:cs="Arial"/>
      <w:szCs w:val="24"/>
    </w:rPr>
  </w:style>
  <w:style w:type="character" w:customStyle="1" w:styleId="Nadpis6Char">
    <w:name w:val="Nadpis 6 Char"/>
    <w:link w:val="Heading6"/>
    <w:rsid w:val="00DF4FEC"/>
    <w:rPr>
      <w:b/>
      <w:sz w:val="16"/>
      <w:lang w:eastAsia="cs-CZ"/>
    </w:rPr>
  </w:style>
  <w:style w:type="character" w:customStyle="1" w:styleId="formtext">
    <w:name w:val="formtext"/>
    <w:basedOn w:val="DefaultParagraphFont"/>
    <w:rsid w:val="00DF4FEC"/>
  </w:style>
  <w:style w:type="table" w:styleId="TableGrid">
    <w:name w:val="Table Grid"/>
    <w:basedOn w:val="TableNormal"/>
    <w:rsid w:val="008D4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OdsekzoznamuChar"/>
    <w:uiPriority w:val="34"/>
    <w:qFormat/>
    <w:rsid w:val="00971B9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34549"/>
    <w:rPr>
      <w:color w:val="0000FF"/>
      <w:u w:val="single"/>
    </w:rPr>
  </w:style>
  <w:style w:type="paragraph" w:customStyle="1" w:styleId="norm">
    <w:name w:val="norm"/>
    <w:basedOn w:val="Normal"/>
    <w:rsid w:val="00CA3E77"/>
    <w:pPr>
      <w:spacing w:before="100" w:beforeAutospacing="1" w:after="100" w:afterAutospacing="1"/>
    </w:pPr>
    <w:rPr>
      <w:szCs w:val="24"/>
      <w:lang w:eastAsia="sk-SK"/>
    </w:rPr>
  </w:style>
  <w:style w:type="character" w:customStyle="1" w:styleId="italics">
    <w:name w:val="italics"/>
    <w:rsid w:val="004133B6"/>
  </w:style>
  <w:style w:type="character" w:customStyle="1" w:styleId="superscript">
    <w:name w:val="superscript"/>
    <w:rsid w:val="00CD0BDB"/>
  </w:style>
  <w:style w:type="character" w:customStyle="1" w:styleId="highlight">
    <w:name w:val="highlight"/>
    <w:rsid w:val="00F327A9"/>
  </w:style>
  <w:style w:type="paragraph" w:customStyle="1" w:styleId="61bTabTextZentriert">
    <w:name w:val="61b_TabTextZentriert"/>
    <w:basedOn w:val="Normal"/>
    <w:rsid w:val="00806CD7"/>
    <w:pPr>
      <w:spacing w:line="220" w:lineRule="exact"/>
      <w:jc w:val="center"/>
    </w:pPr>
    <w:rPr>
      <w:color w:val="000000"/>
      <w:sz w:val="20"/>
      <w:lang w:val="de-DE" w:eastAsia="de-DE"/>
    </w:rPr>
  </w:style>
  <w:style w:type="character" w:customStyle="1" w:styleId="formtitle">
    <w:name w:val="formtitle"/>
    <w:rsid w:val="00806CD7"/>
  </w:style>
  <w:style w:type="character" w:customStyle="1" w:styleId="OdsekzoznamuChar">
    <w:name w:val="Odsek zoznamu Char"/>
    <w:link w:val="ListParagraph0"/>
    <w:uiPriority w:val="34"/>
    <w:qFormat/>
    <w:locked/>
    <w:rsid w:val="00325D9E"/>
    <w:rPr>
      <w:rFonts w:ascii="Calibri" w:eastAsia="Calibri" w:hAnsi="Calibri"/>
      <w:sz w:val="22"/>
      <w:szCs w:val="22"/>
      <w:lang w:eastAsia="en-US"/>
    </w:rPr>
  </w:style>
  <w:style w:type="paragraph" w:customStyle="1" w:styleId="Import2">
    <w:name w:val="Import 2"/>
    <w:basedOn w:val="Normal"/>
    <w:rsid w:val="00DB3E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textAlignment w:val="baseline"/>
    </w:pPr>
    <w:rPr>
      <w:rFonts w:ascii="Courier New" w:hAnsi="Courier New"/>
      <w:lang w:val="cs-CZ" w:eastAsia="sk-SK"/>
    </w:rPr>
  </w:style>
  <w:style w:type="character" w:customStyle="1" w:styleId="markedcontent">
    <w:name w:val="markedcontent"/>
    <w:rsid w:val="00FC6E9F"/>
  </w:style>
  <w:style w:type="character" w:customStyle="1" w:styleId="rphighlightallclass">
    <w:name w:val="rphighlightallclass"/>
    <w:rsid w:val="006F168A"/>
  </w:style>
  <w:style w:type="character" w:customStyle="1" w:styleId="currenthithighlight">
    <w:name w:val="currenthithighlight"/>
    <w:rsid w:val="006F168A"/>
  </w:style>
  <w:style w:type="paragraph" w:styleId="EndnoteText">
    <w:name w:val="endnote text"/>
    <w:aliases w:val="Text koncovej poznámky"/>
    <w:basedOn w:val="Normal"/>
    <w:link w:val="TextkoncovejpoznmkyChar"/>
    <w:rsid w:val="004F79D5"/>
    <w:rPr>
      <w:sz w:val="20"/>
    </w:rPr>
  </w:style>
  <w:style w:type="character" w:customStyle="1" w:styleId="TextvysvetlivkyChar">
    <w:name w:val="Text vysvetlivky Char"/>
    <w:rsid w:val="004F79D5"/>
    <w:rPr>
      <w:lang w:eastAsia="cs-CZ"/>
    </w:rPr>
  </w:style>
  <w:style w:type="character" w:customStyle="1" w:styleId="TextkoncovejpoznmkyChar">
    <w:name w:val="Text koncovej poznámky Char"/>
    <w:link w:val="EndnoteText"/>
    <w:rsid w:val="004F79D5"/>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9/309/20210101" TargetMode="External" /><Relationship Id="rId7" Type="http://schemas.openxmlformats.org/officeDocument/2006/relationships/hyperlink" Target="https://eur-lex.europa.eu/legal-content/SK/TXT/?uri=CELEX%3A01998L0070-20181224&amp;qid=1616073206491" TargetMode="External" /><Relationship Id="rId8" Type="http://schemas.openxmlformats.org/officeDocument/2006/relationships/footer" Target="footer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www.sutn.sk/eshop/public/standard_detail.aspx?id=63077" TargetMode="External" /><Relationship Id="rId2" Type="http://schemas.openxmlformats.org/officeDocument/2006/relationships/hyperlink" Target="http://www.sutn.sk/eshop/public/standard_detail.aspx?id=90248"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CF89-B2BD-437B-A4B3-D9E988C1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16127</Words>
  <Characters>91926</Characters>
  <Application>Microsoft Office Word</Application>
  <DocSecurity>0</DocSecurity>
  <Lines>766</Lines>
  <Paragraphs>215</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107838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Andrea</cp:lastModifiedBy>
  <cp:revision>4</cp:revision>
  <cp:lastPrinted>2010-07-02T08:26:00Z</cp:lastPrinted>
  <dcterms:created xsi:type="dcterms:W3CDTF">2022-09-30T07:58:00Z</dcterms:created>
  <dcterms:modified xsi:type="dcterms:W3CDTF">2022-09-30T08:16:00Z</dcterms:modified>
</cp:coreProperties>
</file>