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00F18" w:rsidRPr="00FB241E" w:rsidP="00D00F18">
      <w:pPr>
        <w:pStyle w:val="Title"/>
        <w:jc w:val="left"/>
        <w:rPr>
          <w:sz w:val="22"/>
          <w:szCs w:val="22"/>
        </w:rPr>
      </w:pPr>
      <w:r w:rsidRPr="00FB241E">
        <w:rPr>
          <w:sz w:val="22"/>
          <w:szCs w:val="22"/>
        </w:rPr>
        <w:t>Dôvodová správa</w:t>
      </w:r>
    </w:p>
    <w:p w:rsidR="00D00F18" w:rsidRPr="00FB241E" w:rsidP="00D00F18">
      <w:pPr>
        <w:jc w:val="both"/>
        <w:rPr>
          <w:rFonts w:ascii="Times New Roman" w:hAnsi="Times New Roman"/>
          <w:b/>
          <w:i/>
        </w:rPr>
      </w:pPr>
    </w:p>
    <w:p w:rsidR="00D00F18" w:rsidRPr="00FB241E" w:rsidP="00D00F18">
      <w:pPr>
        <w:jc w:val="both"/>
        <w:rPr>
          <w:rFonts w:ascii="Times New Roman" w:hAnsi="Times New Roman"/>
          <w:b/>
          <w:i/>
          <w:strike/>
        </w:rPr>
      </w:pPr>
      <w:r w:rsidRPr="00FB241E">
        <w:rPr>
          <w:rFonts w:ascii="Times New Roman" w:hAnsi="Times New Roman"/>
          <w:b/>
          <w:i/>
        </w:rPr>
        <w:t>Všeobecná časť</w:t>
      </w:r>
    </w:p>
    <w:p w:rsidR="00D00F18" w:rsidRPr="00FB241E" w:rsidP="00D00F18">
      <w:pPr>
        <w:spacing w:after="120"/>
        <w:ind w:firstLine="708"/>
        <w:jc w:val="both"/>
        <w:rPr>
          <w:rFonts w:ascii="Times New Roman" w:hAnsi="Times New Roman"/>
        </w:rPr>
      </w:pPr>
      <w:r w:rsidRPr="00FB241E">
        <w:rPr>
          <w:rFonts w:ascii="Times New Roman" w:hAnsi="Times New Roman"/>
        </w:rPr>
        <w:t>Návrh zákona, ktorým sa mení a dopĺňa zákon č. 355/2007 Z. z. o ochrane, podpore a rozvoji verejného zdravia a o zmene a doplnení niektorých zákonov v znení neskorších predpisov a ktorým sa  menia a dopĺňajú niektoré zákony (ďalej len „návrh zákona“) predkladá Ministerstvo zdravotníctva Slovenskej republiky.</w:t>
      </w:r>
    </w:p>
    <w:p w:rsidR="00D00F18" w:rsidRPr="00FB241E" w:rsidP="00D00F18">
      <w:pPr>
        <w:spacing w:after="120"/>
        <w:ind w:firstLine="708"/>
        <w:jc w:val="both"/>
        <w:rPr>
          <w:rFonts w:ascii="Times New Roman" w:hAnsi="Times New Roman"/>
        </w:rPr>
      </w:pPr>
      <w:r w:rsidRPr="00FB241E">
        <w:rPr>
          <w:rFonts w:ascii="Times New Roman" w:hAnsi="Times New Roman"/>
        </w:rPr>
        <w:t>Návrhom zákona sa transponujú požiadavky smernice Európskeho parlamentu a Rady (EÚ) 2020/2184 zo 16. decembra 2020 o kvalite vody určenej na ľudskú spotrebu (prepracované znenie) (ďalej len „smernica (EÚ) 2020/2184“), ktorá rozširuje oblasť pôsobenia pôvodnej smernice Rady 98/83/ES z 3. novembra 1998 o kvalite vody určenej na ľudskú spotrebu (Ú. v. ES L 330, 5.12.1998; Mimoriadne vydanie Ú. v. EÚ, kap. 15/zv. 4) v platnom znení a prepája jej požiadavky s požiadavkami a ustanoveniami iných záväzných európskych predpisov s cieľom vzájomného dopĺňania a využívania poznatkov získaných podľa týchto predpisov. Základnými prioritami smernice (EÚ) 2020/2184 je v súlade s medzinárodnými dokumentmi, dohovormi a iniciatívami ochrana ľudského zdravia pred účinkami kontaminovanej pitnej vody a zlepšenie prístupu k vode, pričom dôraz sa kladie najmä na vybrané skupiny obyvateľstva, ktoré nemajú prístup k vode.</w:t>
      </w:r>
    </w:p>
    <w:p w:rsidR="00D00F18" w:rsidRPr="00FB241E" w:rsidP="00D00F18">
      <w:pPr>
        <w:spacing w:after="120"/>
        <w:ind w:firstLine="708"/>
        <w:jc w:val="both"/>
        <w:rPr>
          <w:rFonts w:ascii="Times New Roman" w:hAnsi="Times New Roman"/>
        </w:rPr>
      </w:pPr>
      <w:r w:rsidRPr="00FB241E">
        <w:rPr>
          <w:rFonts w:ascii="Times New Roman" w:hAnsi="Times New Roman"/>
        </w:rPr>
        <w:t xml:space="preserve">V návrhu zákona sa  dopĺňajú kompetencie Úradu verejného zdravotníctva Slovenskej republiky a regionálnych úradov verejného zdravotníctva v oblastiach súvisiacich so zabezpečením zásobovania kvalitnou a zdravotne bezpečnou pitnou vodou. V súlade s požiadavkami Smernice sa dopĺňa nová kompetencia pre Regionálny úrad verejného zdravotníctva so sídlom v Poprade ako národnej inštitúcie pre hodnotenie zdravotnej bezpečnosti chemických látok na úpravu vody a filtračných médií, ktoré sú určené na styk s pitnou vodou. </w:t>
      </w:r>
    </w:p>
    <w:p w:rsidR="00D00F18" w:rsidRPr="00FB241E" w:rsidP="00D00F18">
      <w:pPr>
        <w:spacing w:after="120"/>
        <w:ind w:firstLine="708"/>
        <w:jc w:val="both"/>
        <w:rPr>
          <w:rFonts w:ascii="Times New Roman" w:hAnsi="Times New Roman"/>
        </w:rPr>
      </w:pPr>
      <w:r w:rsidRPr="00FB241E">
        <w:rPr>
          <w:rFonts w:ascii="Times New Roman" w:hAnsi="Times New Roman"/>
        </w:rPr>
        <w:t xml:space="preserve">Dopĺňa sa kompetencia Úradu verejného zdravotníctva Slovenskej republiky, ktorá je  v súlade s ustanoveniami zákona č. 7/2010 Z. z. o ochrane pred povodňami v znení neskorších predpisov. Odborní pracovníci Úradu verejného zdravotníctva Slovenskej republiky sa zúčastňujú rokovaní povodňových komisií, krízových štábov a vyhodnocujú povodňové škody a doplnením ďalšej kompetencie Úradu verejného zdravotníctva Slovenskej republiky sa umožní ustanoviť limit pre ukazovatele a látky, ktoré nemajú vzhľadom na ich ojedinelý výskyt alebo z dôvodu, že ide o nové látky, určené limitné hodnoty, ktorá je  v súlade s ustanoveniami zákona č. 7/2010 Z. z. o ochrane pred povodňami v znení neskorších predpisov. </w:t>
      </w:r>
    </w:p>
    <w:p w:rsidR="00D00F18" w:rsidRPr="00FB241E" w:rsidP="00D00F18">
      <w:pPr>
        <w:spacing w:after="120"/>
        <w:ind w:firstLine="708"/>
        <w:jc w:val="both"/>
        <w:rPr>
          <w:rFonts w:ascii="Times New Roman" w:hAnsi="Times New Roman"/>
        </w:rPr>
      </w:pPr>
      <w:r w:rsidRPr="00FB241E">
        <w:rPr>
          <w:rFonts w:ascii="Times New Roman" w:hAnsi="Times New Roman"/>
        </w:rPr>
        <w:t>V oblasti vody sa upravujú kompetencie a povinnosti pre Ministerstvo životného prostredia</w:t>
      </w:r>
      <w:r w:rsidRPr="00FB241E">
        <w:rPr>
          <w:rFonts w:ascii="Times New Roman" w:hAnsi="Times New Roman"/>
        </w:rPr>
        <w:t xml:space="preserve"> Slovenskej republiky, Výskumného ústavu vodného hospodárstva a orgánov štátnej vodnej správy.</w:t>
      </w:r>
    </w:p>
    <w:p w:rsidR="00D00F18" w:rsidRPr="00FB241E" w:rsidP="00D00F18">
      <w:pPr>
        <w:spacing w:after="120"/>
        <w:ind w:firstLine="708"/>
        <w:jc w:val="both"/>
        <w:rPr>
          <w:rFonts w:ascii="Times New Roman" w:hAnsi="Times New Roman"/>
        </w:rPr>
      </w:pPr>
      <w:r w:rsidRPr="00FB241E">
        <w:rPr>
          <w:rFonts w:ascii="Times New Roman" w:hAnsi="Times New Roman"/>
        </w:rPr>
        <w:t>Návrhom zákona sa ustanovujú nové povinnosti a princípy v oblasti uplatňovania prístupu, ktorý je založený na manažmente rizík vo všetkých častiach dodávateľského systému, nové požiadavky na zdravotnú bezpečnosť materiálov, výrobkov a filtračných médií určených na styk s pitnou vodou a chemických látok na úpravu vody a na vykonávanie opatrení na ochranu zdravia. Dopĺňajú sa nové kritériá na kvalitu a zdravotnú bezpečnosť pitnej vody a spôsob jej preukazovania. Upravuje sa problematika vydávania výnimiek na použitie pitnej vody, ktorá nespĺňa požiadavky ukazovateľov kvality pitnej vody. Zavádzajú sa nové povinnosti v oblasti poskytovania údajov o miere strát pri zás</w:t>
      </w:r>
      <w:r w:rsidRPr="00FB241E">
        <w:rPr>
          <w:rFonts w:ascii="Times New Roman" w:hAnsi="Times New Roman"/>
        </w:rPr>
        <w:t xml:space="preserve">obovaní, pri poskytovaní informácií verejnosti, ale aj v oblasti dostupnosti údajov pre Európsku komisiu, Európsku environmentálnu agentúru a Európske centrum pre prevenciu a kontrolu chorôb. </w:t>
      </w:r>
    </w:p>
    <w:p w:rsidR="00D00F18" w:rsidRPr="00FB241E" w:rsidP="00D00F18">
      <w:pPr>
        <w:spacing w:after="120"/>
        <w:ind w:firstLine="708"/>
        <w:jc w:val="both"/>
        <w:rPr>
          <w:rFonts w:ascii="Times New Roman" w:hAnsi="Times New Roman"/>
        </w:rPr>
      </w:pPr>
      <w:r w:rsidRPr="00FB241E">
        <w:rPr>
          <w:rFonts w:ascii="Times New Roman" w:hAnsi="Times New Roman"/>
        </w:rPr>
        <w:t>V návrhu zákona sa niektoré povinnosti s ohľadom na požiadavky smernice (EÚ) 2020/2184 rozdelili do samostatných ustanovení z dôvodu lepšej prehľadnosti a lepšej aplikácie do praxe.</w:t>
      </w:r>
    </w:p>
    <w:p w:rsidR="00D00F18" w:rsidRPr="00FB241E" w:rsidP="00D00F18">
      <w:pPr>
        <w:spacing w:after="120"/>
        <w:ind w:firstLine="708"/>
        <w:jc w:val="both"/>
        <w:rPr>
          <w:rFonts w:ascii="Times New Roman" w:hAnsi="Times New Roman"/>
        </w:rPr>
      </w:pPr>
      <w:r w:rsidRPr="00FB241E">
        <w:rPr>
          <w:rFonts w:ascii="Times New Roman" w:hAnsi="Times New Roman"/>
        </w:rPr>
        <w:t xml:space="preserve">V návrhu zákona v novom § 17e sú zohľadnené požiadavky z aplikačnej praxe a zvyšovanie výskytu legionelóz ako aj požiadavky smernice (EÚ) 2020/2184 na znižovanie výskytu ochorení súvisiacich s batériami rodu </w:t>
      </w:r>
      <w:r w:rsidRPr="00FB241E">
        <w:rPr>
          <w:rFonts w:ascii="Times New Roman" w:hAnsi="Times New Roman"/>
          <w:i/>
        </w:rPr>
        <w:t>Legionella</w:t>
      </w:r>
      <w:r w:rsidRPr="00FB241E">
        <w:rPr>
          <w:rFonts w:ascii="Times New Roman" w:hAnsi="Times New Roman"/>
        </w:rPr>
        <w:t>, preto sa v tomto ustanovení upravujú požiadavky na teplú vodu.</w:t>
      </w:r>
    </w:p>
    <w:p w:rsidR="00D00F18" w:rsidRPr="00FB241E" w:rsidP="00D00F18">
      <w:pPr>
        <w:spacing w:after="120"/>
        <w:ind w:firstLine="708"/>
        <w:jc w:val="both"/>
        <w:rPr>
          <w:rFonts w:ascii="Times New Roman" w:hAnsi="Times New Roman"/>
        </w:rPr>
      </w:pPr>
      <w:r w:rsidRPr="00FB241E">
        <w:rPr>
          <w:rFonts w:ascii="Times New Roman" w:hAnsi="Times New Roman"/>
        </w:rPr>
        <w:t>Návrh zákona</w:t>
      </w:r>
      <w:r w:rsidRPr="00FB241E">
        <w:rPr>
          <w:rFonts w:ascii="Times New Roman" w:hAnsi="Times New Roman"/>
          <w:bCs/>
        </w:rPr>
        <w:t xml:space="preserve"> ide nad rámec minimálnych požiadaviek EÚ stanovených v smernici (EÚ) 2020/2184 a ustanovuje vybrané požiadavky, ktoré sú v nej ustanovené ako dobrovoľné  ako povinné. Ide o povinnosti, ktoré boli národnými predpisy ustanovené doteraz alebo sú zo zdravotného hľadiska pre oblasť pitnej vody významné. Smernica (EÚ) 2020/2184 úpravu požiadaviek v oblasti zásobovania na národnej úrovni v súvislosti s miestnymi podmienkami (napr. čl. 5 odsek 3 smernice (EÚ) 2020/2184) vo viacerých článkoch pripúšťa. </w:t>
      </w:r>
    </w:p>
    <w:p w:rsidR="00D00F18" w:rsidRPr="00FB241E" w:rsidP="00D00F18">
      <w:pPr>
        <w:autoSpaceDE w:val="0"/>
        <w:autoSpaceDN w:val="0"/>
        <w:spacing w:after="120"/>
        <w:ind w:firstLine="708"/>
        <w:jc w:val="both"/>
        <w:rPr>
          <w:rFonts w:ascii="Times New Roman" w:hAnsi="Times New Roman"/>
          <w:bCs/>
        </w:rPr>
      </w:pPr>
      <w:r w:rsidRPr="00FB241E">
        <w:rPr>
          <w:rFonts w:ascii="Times New Roman" w:hAnsi="Times New Roman"/>
        </w:rPr>
        <w:t xml:space="preserve">Návrhom zákona sa upravuje povinnosť zamestnávateľov zabezpečiť </w:t>
      </w:r>
      <w:r w:rsidRPr="00FB241E">
        <w:rPr>
          <w:rFonts w:ascii="Times New Roman" w:hAnsi="Times New Roman"/>
          <w:bCs/>
        </w:rPr>
        <w:t>odbornú prípravu všetkých zamestnancov, ktorí sú pri práci exponovaní diizokyanátom,  ako aj  povinnosť fyzických osôb - podnikateľov, ktoré nezamestnávajú iné fyzické osoby a sú pri práci exponované diizokyanátom.</w:t>
      </w:r>
    </w:p>
    <w:p w:rsidR="00D00F18" w:rsidRPr="00D00F18" w:rsidP="00D00F18">
      <w:pPr>
        <w:ind w:firstLine="708"/>
        <w:jc w:val="both"/>
      </w:pPr>
      <w:r w:rsidRPr="00FB241E">
        <w:rPr>
          <w:rFonts w:ascii="Times New Roman" w:hAnsi="Times New Roman"/>
        </w:rPr>
        <w:t>Z dôvodu poskytnutia dostatočného času na zabezpečenie odbornej prípravy pre všetky os</w:t>
      </w:r>
      <w:r w:rsidRPr="00FB241E">
        <w:rPr>
          <w:rFonts w:ascii="Times New Roman" w:hAnsi="Times New Roman"/>
        </w:rPr>
        <w:t xml:space="preserve">oby, ktoré sú pri práci exponované diizokyanátom, sa v zmysle </w:t>
      </w:r>
      <w:r w:rsidRPr="00FB241E">
        <w:rPr>
          <w:rFonts w:ascii="Times New Roman" w:hAnsi="Times New Roman"/>
          <w:shd w:val="clear" w:color="auto" w:fill="FAFAFA"/>
        </w:rPr>
        <w:t xml:space="preserve">nariadenia Komisie (EÚ) 2020/1149 z 3. augusta 2020, ktorým sa mení príloha XVII k nariadeniu Európskeho parlamentu a Rady (ES) č. 1907/2006 o registrácii, hodnotení, autorizácii a obmedzovaní chemikálií (REACH), pokiaľ ide o diizokyanáty (Ú. v. EÚ L 252, 4.8.2020) </w:t>
      </w:r>
      <w:r w:rsidRPr="00FB241E">
        <w:rPr>
          <w:rFonts w:ascii="Times New Roman" w:hAnsi="Times New Roman"/>
        </w:rPr>
        <w:t>uplatňuje povinnosť zamestnávateľov a fyzických osôb–podnikateľov, ktorí nezamestnávajú iné fyzické osoby a ktorí vykonávajú prácu s diizokyanátmi samostatne od 24. augusta 2023 zabezpečiť odbornú prípravu na prácu s diizokyanátmi.</w:t>
      </w:r>
    </w:p>
    <w:p w:rsidR="00D00F18" w:rsidRPr="00FB241E" w:rsidP="00D00F18">
      <w:pPr>
        <w:spacing w:after="120"/>
        <w:ind w:firstLine="708"/>
        <w:jc w:val="both"/>
        <w:rPr>
          <w:rStyle w:val="awspanawtext3"/>
          <w:rFonts w:ascii="Times New Roman" w:hAnsi="Times New Roman"/>
        </w:rPr>
      </w:pPr>
      <w:r w:rsidRPr="00FB241E">
        <w:rPr>
          <w:rStyle w:val="awspanawtext3"/>
          <w:rFonts w:ascii="Times New Roman" w:hAnsi="Times New Roman"/>
        </w:rPr>
        <w:t>Umožňuje sa</w:t>
      </w:r>
      <w:r w:rsidRPr="00FB241E">
        <w:rPr>
          <w:rStyle w:val="awspanawtext3"/>
          <w:rFonts w:ascii="Times New Roman" w:hAnsi="Times New Roman"/>
          <w:spacing w:val="45"/>
        </w:rPr>
        <w:t xml:space="preserve"> </w:t>
      </w:r>
      <w:r w:rsidRPr="00FB241E">
        <w:rPr>
          <w:rFonts w:ascii="Times New Roman" w:hAnsi="Times New Roman"/>
        </w:rPr>
        <w:t>vstup so zvieraťom na prírodné a umelé kúpalisko pre osoby so zdravotným postihnutím, ktoré môžu vstúpiť  v sprievode psa so špeciálnym výcvikom.</w:t>
      </w:r>
    </w:p>
    <w:p w:rsidR="00D00F18" w:rsidRPr="00FB241E" w:rsidP="00D00F18">
      <w:pPr>
        <w:spacing w:after="120"/>
        <w:ind w:firstLine="708"/>
        <w:jc w:val="both"/>
        <w:rPr>
          <w:rFonts w:ascii="Times New Roman" w:hAnsi="Times New Roman"/>
        </w:rPr>
      </w:pPr>
      <w:r w:rsidRPr="00FB241E">
        <w:rPr>
          <w:rStyle w:val="awspanawtext3"/>
          <w:rFonts w:ascii="Times New Roman" w:hAnsi="Times New Roman"/>
        </w:rPr>
        <w:t>Návrhom</w:t>
      </w:r>
      <w:r w:rsidRPr="00FB241E">
        <w:rPr>
          <w:rStyle w:val="awspanawtext3"/>
          <w:rFonts w:ascii="Times New Roman" w:hAnsi="Times New Roman"/>
          <w:spacing w:val="16"/>
        </w:rPr>
        <w:t xml:space="preserve"> </w:t>
      </w:r>
      <w:r w:rsidRPr="00FB241E">
        <w:rPr>
          <w:rStyle w:val="awspanawtext3"/>
          <w:rFonts w:ascii="Times New Roman" w:hAnsi="Times New Roman"/>
        </w:rPr>
        <w:t>zákona</w:t>
      </w:r>
      <w:r w:rsidRPr="00FB241E">
        <w:rPr>
          <w:rStyle w:val="awspanawtext3"/>
          <w:rFonts w:ascii="Times New Roman" w:hAnsi="Times New Roman"/>
          <w:spacing w:val="16"/>
        </w:rPr>
        <w:t xml:space="preserve"> </w:t>
      </w:r>
      <w:r w:rsidRPr="00FB241E">
        <w:rPr>
          <w:rStyle w:val="awspanawtext3"/>
          <w:rFonts w:ascii="Times New Roman" w:hAnsi="Times New Roman"/>
        </w:rPr>
        <w:t>sa</w:t>
      </w:r>
      <w:r w:rsidRPr="00FB241E">
        <w:rPr>
          <w:rStyle w:val="awspanawtext3"/>
          <w:rFonts w:ascii="Times New Roman" w:hAnsi="Times New Roman"/>
          <w:spacing w:val="16"/>
        </w:rPr>
        <w:t xml:space="preserve"> </w:t>
      </w:r>
      <w:r w:rsidRPr="00FB241E">
        <w:rPr>
          <w:rStyle w:val="awspanawtext3"/>
          <w:rFonts w:ascii="Times New Roman" w:hAnsi="Times New Roman"/>
        </w:rPr>
        <w:t>ďalej</w:t>
      </w:r>
      <w:r w:rsidRPr="00FB241E">
        <w:rPr>
          <w:rStyle w:val="awspanawtext3"/>
          <w:rFonts w:ascii="Times New Roman" w:hAnsi="Times New Roman"/>
          <w:spacing w:val="16"/>
        </w:rPr>
        <w:t xml:space="preserve"> </w:t>
      </w:r>
      <w:r w:rsidRPr="00FB241E">
        <w:rPr>
          <w:rStyle w:val="awspanawtext3"/>
          <w:rFonts w:ascii="Times New Roman" w:hAnsi="Times New Roman"/>
        </w:rPr>
        <w:t>stanovujú</w:t>
      </w:r>
      <w:r w:rsidRPr="00FB241E">
        <w:rPr>
          <w:rStyle w:val="awspanawtext3"/>
          <w:rFonts w:ascii="Times New Roman" w:hAnsi="Times New Roman"/>
          <w:spacing w:val="16"/>
        </w:rPr>
        <w:t xml:space="preserve"> </w:t>
      </w:r>
      <w:r w:rsidRPr="00FB241E">
        <w:rPr>
          <w:rStyle w:val="awspanawtext3"/>
          <w:rFonts w:ascii="Times New Roman" w:hAnsi="Times New Roman"/>
        </w:rPr>
        <w:t>podmienky</w:t>
      </w:r>
      <w:r w:rsidRPr="00FB241E">
        <w:rPr>
          <w:rStyle w:val="awspanawtext3"/>
          <w:rFonts w:ascii="Times New Roman" w:hAnsi="Times New Roman"/>
          <w:spacing w:val="16"/>
        </w:rPr>
        <w:t xml:space="preserve"> </w:t>
      </w:r>
      <w:r w:rsidRPr="00FB241E">
        <w:rPr>
          <w:rStyle w:val="awspanawtext3"/>
          <w:rFonts w:ascii="Times New Roman" w:hAnsi="Times New Roman"/>
        </w:rPr>
        <w:t>pre</w:t>
      </w:r>
      <w:r w:rsidRPr="00FB241E">
        <w:rPr>
          <w:rStyle w:val="awspanawtext3"/>
          <w:rFonts w:ascii="Times New Roman" w:hAnsi="Times New Roman"/>
          <w:spacing w:val="16"/>
        </w:rPr>
        <w:t xml:space="preserve"> </w:t>
      </w:r>
      <w:r w:rsidRPr="00FB241E">
        <w:rPr>
          <w:rStyle w:val="awspanawtext3"/>
          <w:rFonts w:ascii="Times New Roman" w:hAnsi="Times New Roman"/>
        </w:rPr>
        <w:t>vý</w:t>
      </w:r>
      <w:r w:rsidRPr="00FB241E">
        <w:rPr>
          <w:rStyle w:val="awspanawtext3"/>
          <w:rFonts w:ascii="Times New Roman" w:hAnsi="Times New Roman"/>
        </w:rPr>
        <w:t>kon</w:t>
      </w:r>
      <w:r w:rsidRPr="00FB241E">
        <w:rPr>
          <w:rStyle w:val="awspanawtext3"/>
          <w:rFonts w:ascii="Times New Roman" w:hAnsi="Times New Roman"/>
          <w:spacing w:val="16"/>
        </w:rPr>
        <w:t xml:space="preserve"> </w:t>
      </w:r>
      <w:r w:rsidRPr="00FB241E">
        <w:rPr>
          <w:rStyle w:val="awspanawtext3"/>
          <w:rFonts w:ascii="Times New Roman" w:hAnsi="Times New Roman"/>
        </w:rPr>
        <w:t>činnosti</w:t>
      </w:r>
      <w:r w:rsidRPr="00FB241E">
        <w:rPr>
          <w:rStyle w:val="awspanawtext3"/>
          <w:rFonts w:ascii="Times New Roman" w:hAnsi="Times New Roman"/>
          <w:spacing w:val="16"/>
        </w:rPr>
        <w:t xml:space="preserve"> </w:t>
      </w:r>
      <w:r w:rsidRPr="00FB241E">
        <w:rPr>
          <w:rStyle w:val="awspanawtext3"/>
          <w:rFonts w:ascii="Times New Roman" w:hAnsi="Times New Roman"/>
        </w:rPr>
        <w:t>plavčíka,</w:t>
      </w:r>
      <w:r w:rsidRPr="00FB241E">
        <w:rPr>
          <w:rStyle w:val="awspanawtext3"/>
          <w:rFonts w:ascii="Times New Roman" w:hAnsi="Times New Roman"/>
          <w:spacing w:val="16"/>
        </w:rPr>
        <w:t xml:space="preserve"> </w:t>
      </w:r>
      <w:r w:rsidRPr="00FB241E">
        <w:rPr>
          <w:rStyle w:val="awspanawtext3"/>
          <w:rFonts w:ascii="Times New Roman" w:hAnsi="Times New Roman"/>
        </w:rPr>
        <w:t>ktorými sú vek minimálne 18 rokov a povinnosť absolvovať akreditovaný kurz prvej pomoci.</w:t>
      </w:r>
    </w:p>
    <w:p w:rsidR="00D00F18" w:rsidRPr="00FB241E" w:rsidP="00D00F18">
      <w:pPr>
        <w:spacing w:after="120"/>
        <w:ind w:firstLine="708"/>
        <w:jc w:val="both"/>
        <w:rPr>
          <w:rFonts w:ascii="Times New Roman" w:hAnsi="Times New Roman"/>
        </w:rPr>
      </w:pPr>
      <w:r w:rsidRPr="00FB241E">
        <w:rPr>
          <w:rFonts w:ascii="Times New Roman" w:hAnsi="Times New Roman"/>
        </w:rPr>
        <w:t>Transpozícia smernice (EÚ) 2020/2184 si vyžaduje okrem zákona č. 355/2007 Z. z. o ochrane, podpore a rozvoji verejného zdravia a o zmene a doplnení niektorých zákonov v znení neskorších predpisov novelizovanie zákona č. 364/2004 Z. z. o vodách a o zmene a doplnení zákona Slovenskej národnej rady č. 372/1990 Zb. o priestupkoch (vodný zákon) v znení neskorších zákonov a zákon č. 442/2002 Z. z. o verejných vodovodoch a verejných kanalizáciách a o zmene a doplnení zákona č. 276/2001 Z. z. o regulácii v sieťových odvetviach v znení neskorších zákonov, ktoré sú v pôsobnosti rezortu životného prostredia ako spolugestora transpozície predmetnej smernice (E</w:t>
      </w:r>
      <w:r w:rsidRPr="00FB241E">
        <w:rPr>
          <w:rFonts w:ascii="Times New Roman" w:hAnsi="Times New Roman"/>
        </w:rPr>
        <w:t xml:space="preserve">Ú) 2020/2184. </w:t>
      </w:r>
    </w:p>
    <w:p w:rsidR="00D00F18" w:rsidRPr="00FB241E" w:rsidP="00D00F18">
      <w:pPr>
        <w:spacing w:after="120"/>
        <w:ind w:firstLine="708"/>
        <w:jc w:val="both"/>
        <w:rPr>
          <w:rFonts w:ascii="Times New Roman" w:hAnsi="Times New Roman"/>
        </w:rPr>
      </w:pPr>
      <w:r w:rsidRPr="00FB241E">
        <w:rPr>
          <w:rFonts w:ascii="Times New Roman" w:hAnsi="Times New Roman"/>
        </w:rPr>
        <w:t>Účinnosť zákona sa navrhuje od 12. januára 2023.</w:t>
      </w:r>
    </w:p>
    <w:p w:rsidR="00D00F18" w:rsidRPr="00FB241E" w:rsidP="00D00F18">
      <w:pPr>
        <w:spacing w:after="120"/>
        <w:ind w:firstLine="708"/>
        <w:jc w:val="both"/>
        <w:rPr>
          <w:rFonts w:ascii="Times New Roman" w:hAnsi="Times New Roman"/>
        </w:rPr>
      </w:pPr>
      <w:r w:rsidRPr="00FB241E">
        <w:rPr>
          <w:rFonts w:ascii="Times New Roman" w:hAnsi="Times New Roman"/>
        </w:rPr>
        <w:t>Návrh zákona má negatívny vplyv na rozpočet verejnej správy a pozitívny vplyv na informatizáciu spoločnosti. Predpokladá sa negatívny a pozitívny vplyv na podnikateľské prostredie, na služby verejnej správy pre občana a na sociálne vplyvy. Návrh zákona nemá vplyv na manželstvo, rodičovstvo a rodiny ani vplyv na životné prostredie.</w:t>
      </w:r>
    </w:p>
    <w:p w:rsidR="00D00F18" w:rsidP="00D00F18">
      <w:pPr>
        <w:spacing w:after="120"/>
        <w:ind w:firstLine="708"/>
        <w:jc w:val="both"/>
        <w:rPr>
          <w:rFonts w:ascii="Times New Roman" w:hAnsi="Times New Roman"/>
        </w:rPr>
      </w:pPr>
      <w:r w:rsidRPr="00FB241E">
        <w:rPr>
          <w:rFonts w:ascii="Times New Roman" w:hAnsi="Times New Roman"/>
        </w:rPr>
        <w:t>Návrh zákona je v súlade s Ústavou Slovenskej republiky, ústavnými zákonmi, nálezmi Ústavného súdu SR, ďalšími všeo</w:t>
      </w:r>
      <w:r w:rsidRPr="00FB241E">
        <w:rPr>
          <w:rFonts w:ascii="Times New Roman" w:hAnsi="Times New Roman"/>
        </w:rPr>
        <w:t>becne záväznými právnymi predpismi Slovenskej republiky, právom Európskej únie, medzinárodnými zmluvami a inými medzinárodnými dokumentmi, ktorými je Slovenská republika viazaná.</w:t>
      </w:r>
    </w:p>
    <w:p w:rsidR="00D00F18" w:rsidRPr="00D00F18" w:rsidP="00D00F18">
      <w:pPr>
        <w:spacing w:after="0" w:line="240" w:lineRule="auto"/>
        <w:jc w:val="center"/>
        <w:rPr>
          <w:rFonts w:ascii="Times New Roman" w:eastAsia="Times New Roman" w:hAnsi="Times New Roman"/>
          <w:b/>
          <w:sz w:val="28"/>
          <w:szCs w:val="28"/>
          <w:lang w:eastAsia="sk-SK"/>
        </w:rPr>
      </w:pPr>
      <w:r>
        <w:rPr>
          <w:rFonts w:ascii="Times New Roman" w:hAnsi="Times New Roman"/>
        </w:rPr>
        <w:br w:type="page"/>
      </w:r>
      <w:r w:rsidRPr="00D00F18">
        <w:rPr>
          <w:rFonts w:ascii="Times New Roman" w:eastAsia="Times New Roman" w:hAnsi="Times New Roman"/>
          <w:b/>
          <w:sz w:val="28"/>
          <w:szCs w:val="28"/>
          <w:lang w:eastAsia="sk-SK"/>
        </w:rPr>
        <w:t>Doložka vybraných vplyvov</w:t>
      </w:r>
    </w:p>
    <w:p w:rsidR="00D00F18" w:rsidRPr="00D00F18" w:rsidP="00D00F18">
      <w:pPr>
        <w:spacing w:after="0" w:line="240" w:lineRule="auto"/>
        <w:jc w:val="center"/>
        <w:rPr>
          <w:rFonts w:ascii="Times New Roman" w:eastAsia="Times New Roman" w:hAnsi="Times New Roman"/>
          <w:b/>
          <w:sz w:val="28"/>
          <w:szCs w:val="28"/>
          <w:lang w:eastAsia="sk-SK"/>
        </w:rPr>
      </w:pPr>
    </w:p>
    <w:p w:rsidR="00D00F18" w:rsidRPr="00D00F18" w:rsidP="00D00F18">
      <w:pPr>
        <w:rPr>
          <w:rFonts w:ascii="Times New Roman" w:hAnsi="Times New Roman"/>
          <w:b/>
          <w:bCs/>
          <w:sz w:val="24"/>
          <w:szCs w:val="24"/>
        </w:rPr>
      </w:pPr>
      <w:r w:rsidRPr="00D00F18">
        <w:rPr>
          <w:rFonts w:ascii="Times New Roman" w:hAnsi="Times New Roman"/>
          <w:b/>
          <w:bCs/>
          <w:sz w:val="24"/>
          <w:szCs w:val="24"/>
        </w:rPr>
        <w:t xml:space="preserve">2.1 Zhrnutie vplyvov na rozpočet verejnej správy </w:t>
      </w:r>
      <w:r w:rsidRPr="00D00F18">
        <w:rPr>
          <w:rFonts w:ascii="Times New Roman" w:hAnsi="Times New Roman"/>
          <w:b/>
          <w:bCs/>
          <w:sz w:val="24"/>
          <w:szCs w:val="24"/>
        </w:rPr>
        <w:t>v návrhu</w:t>
      </w: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400"/>
        <w:gridCol w:w="141"/>
        <w:gridCol w:w="564"/>
        <w:gridCol w:w="748"/>
        <w:gridCol w:w="284"/>
        <w:gridCol w:w="254"/>
        <w:gridCol w:w="1133"/>
        <w:gridCol w:w="284"/>
        <w:gridCol w:w="263"/>
        <w:gridCol w:w="1297"/>
      </w:tblGrid>
      <w:tr w:rsidTr="00D00F18">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80" w:type="dxa"/>
            <w:gridSpan w:val="11"/>
            <w:tcBorders>
              <w:bottom w:val="single" w:sz="4" w:space="0" w:color="FFFFFF"/>
            </w:tcBorders>
            <w:shd w:val="clear" w:color="auto" w:fill="E2E2E2"/>
          </w:tcPr>
          <w:p w:rsidR="00D00F18" w:rsidRPr="00D00F18" w:rsidP="00AC2F0E">
            <w:pPr>
              <w:numPr>
                <w:ilvl w:val="0"/>
                <w:numId w:val="20"/>
              </w:numPr>
              <w:spacing w:after="0" w:line="240" w:lineRule="auto"/>
              <w:ind w:left="426"/>
              <w:contextualSpacing/>
              <w:rPr>
                <w:rFonts w:ascii="Times New Roman" w:hAnsi="Times New Roman"/>
                <w:b/>
              </w:rPr>
            </w:pPr>
            <w:r w:rsidRPr="00D00F18">
              <w:rPr>
                <w:rFonts w:ascii="Times New Roman" w:hAnsi="Times New Roman"/>
                <w:b/>
              </w:rPr>
              <w:t>Základné údaje</w:t>
            </w:r>
          </w:p>
        </w:tc>
      </w:tr>
      <w:tr w:rsidTr="00D00F18">
        <w:tblPrEx>
          <w:tblW w:w="9180" w:type="dxa"/>
          <w:tblLayout w:type="fixed"/>
          <w:tblLook w:val="04A0"/>
        </w:tblPrEx>
        <w:tc>
          <w:tcPr>
            <w:tcW w:w="9180" w:type="dxa"/>
            <w:gridSpan w:val="11"/>
            <w:tcBorders>
              <w:bottom w:val="single" w:sz="4" w:space="0" w:color="FFFFFF"/>
            </w:tcBorders>
            <w:shd w:val="clear" w:color="auto" w:fill="E2E2E2"/>
          </w:tcPr>
          <w:p w:rsidR="00D00F18" w:rsidRPr="00D00F18" w:rsidP="00D00F18">
            <w:pPr>
              <w:ind w:left="142"/>
              <w:contextualSpacing/>
              <w:rPr>
                <w:rFonts w:ascii="Times New Roman" w:hAnsi="Times New Roman"/>
                <w:b/>
              </w:rPr>
            </w:pPr>
            <w:r w:rsidRPr="00D00F18">
              <w:rPr>
                <w:rFonts w:ascii="Times New Roman" w:hAnsi="Times New Roman"/>
                <w:b/>
              </w:rPr>
              <w:t>Názov materiálu</w:t>
            </w:r>
          </w:p>
        </w:tc>
      </w:tr>
      <w:tr w:rsidTr="00D00F18">
        <w:tblPrEx>
          <w:tblW w:w="9180" w:type="dxa"/>
          <w:tblLayout w:type="fixed"/>
          <w:tblLook w:val="04A0"/>
        </w:tblPrEx>
        <w:tc>
          <w:tcPr>
            <w:tcW w:w="9180" w:type="dxa"/>
            <w:gridSpan w:val="11"/>
            <w:tcBorders>
              <w:top w:val="single" w:sz="4" w:space="0" w:color="FFFFFF"/>
              <w:bottom w:val="single" w:sz="4" w:space="0" w:color="auto"/>
            </w:tcBorders>
            <w:shd w:val="clear" w:color="auto" w:fill="auto"/>
          </w:tcPr>
          <w:p w:rsidR="00D00F18" w:rsidRPr="00D00F18" w:rsidP="00D00F18">
            <w:pP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Návrh zákona, ktorým sa mení a dopĺňa zákon č. 355/2007 Z. z. o ochrane, podpore a rozvoji verejného zdravia a o zmene a doplnení niektorých zákonov v znení neskorších predpisov a ktorým sa  menia a dopĺňajú niektoré zákony (ďalej len „zákon č. 355/2007 Z. z.“)</w:t>
            </w:r>
          </w:p>
        </w:tc>
      </w:tr>
      <w:tr w:rsidTr="00D00F18">
        <w:tblPrEx>
          <w:tblW w:w="9180" w:type="dxa"/>
          <w:tblLayout w:type="fixed"/>
          <w:tblLook w:val="04A0"/>
        </w:tblPrEx>
        <w:tc>
          <w:tcPr>
            <w:tcW w:w="9180" w:type="dxa"/>
            <w:gridSpan w:val="11"/>
            <w:tcBorders>
              <w:top w:val="single" w:sz="4" w:space="0" w:color="auto"/>
              <w:left w:val="single" w:sz="4" w:space="0" w:color="auto"/>
              <w:bottom w:val="single" w:sz="4" w:space="0" w:color="FFFFFF"/>
            </w:tcBorders>
            <w:shd w:val="clear" w:color="auto" w:fill="E2E2E2"/>
          </w:tcPr>
          <w:p w:rsidR="00D00F18" w:rsidRPr="00D00F18" w:rsidP="00D00F18">
            <w:pPr>
              <w:ind w:left="142"/>
              <w:contextualSpacing/>
              <w:rPr>
                <w:rFonts w:ascii="Times New Roman" w:hAnsi="Times New Roman"/>
                <w:b/>
              </w:rPr>
            </w:pPr>
            <w:r w:rsidRPr="00D00F18">
              <w:rPr>
                <w:rFonts w:ascii="Times New Roman" w:hAnsi="Times New Roman"/>
                <w:b/>
              </w:rPr>
              <w:t>Predkladateľ (a spolupredkladateľ)</w:t>
            </w:r>
          </w:p>
        </w:tc>
      </w:tr>
      <w:tr w:rsidTr="00D00F18">
        <w:tblPrEx>
          <w:tblW w:w="9180" w:type="dxa"/>
          <w:tblLayout w:type="fixed"/>
          <w:tblLook w:val="04A0"/>
        </w:tblPrEx>
        <w:tc>
          <w:tcPr>
            <w:tcW w:w="9180" w:type="dxa"/>
            <w:gridSpan w:val="11"/>
            <w:tcBorders>
              <w:top w:val="single" w:sz="4" w:space="0" w:color="FFFFFF"/>
              <w:left w:val="single" w:sz="4" w:space="0" w:color="auto"/>
              <w:bottom w:val="single" w:sz="4" w:space="0" w:color="auto"/>
            </w:tcBorders>
            <w:shd w:val="clear" w:color="auto" w:fill="FFFFFF"/>
          </w:tcPr>
          <w:p w:rsidR="00D00F18" w:rsidRPr="00D00F18" w:rsidP="00D00F18">
            <w:pP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Ministerstvo zdravotníctva Slovenskej republiky</w:t>
            </w:r>
          </w:p>
        </w:tc>
      </w:tr>
      <w:tr w:rsidTr="00D00F18">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D00F18" w:rsidRPr="00D00F18" w:rsidP="00D00F18">
            <w:pPr>
              <w:ind w:left="142"/>
              <w:contextualSpacing/>
              <w:rPr>
                <w:rFonts w:ascii="Times New Roman" w:hAnsi="Times New Roman"/>
                <w:b/>
              </w:rPr>
            </w:pPr>
            <w:r w:rsidRPr="00D00F18">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4263" w:type="dxa"/>
            <w:gridSpan w:val="7"/>
            <w:tcBorders>
              <w:top w:val="single" w:sz="4" w:space="0" w:color="auto"/>
              <w:left w:val="nil"/>
              <w:bottom w:val="single" w:sz="4" w:space="0" w:color="auto"/>
              <w:right w:val="single" w:sz="4" w:space="0" w:color="auto"/>
            </w:tcBorders>
            <w:shd w:val="clear" w:color="auto" w:fill="FFFFFF"/>
          </w:tcPr>
          <w:p w:rsidR="00D00F18" w:rsidRPr="00D00F18" w:rsidP="00D00F18">
            <w:pP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Materiál nelegislatívnej povahy</w:t>
            </w:r>
          </w:p>
        </w:tc>
      </w:tr>
      <w:tr w:rsidTr="00D00F18">
        <w:tblPrEx>
          <w:tblW w:w="9180" w:type="dxa"/>
          <w:tblLayout w:type="fixed"/>
          <w:tblLook w:val="04A0"/>
        </w:tblPrEx>
        <w:tc>
          <w:tcPr>
            <w:tcW w:w="4212" w:type="dxa"/>
            <w:gridSpan w:val="2"/>
            <w:vMerge/>
            <w:tcBorders>
              <w:top w:val="nil"/>
              <w:left w:val="single" w:sz="4" w:space="0" w:color="auto"/>
              <w:bottom w:val="single" w:sz="4" w:space="0" w:color="FFFFFF"/>
            </w:tcBorders>
            <w:shd w:val="clear" w:color="auto" w:fill="E2E2E2"/>
          </w:tcPr>
          <w:p w:rsidR="00D00F18" w:rsidRPr="00D00F18" w:rsidP="00D00F18">
            <w:pPr>
              <w:rPr>
                <w:rFonts w:ascii="Times New Roman" w:eastAsia="Times New Roman" w:hAnsi="Times New Roman"/>
                <w:sz w:val="20"/>
                <w:szCs w:val="20"/>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4263" w:type="dxa"/>
            <w:gridSpan w:val="7"/>
            <w:tcBorders>
              <w:top w:val="single" w:sz="4" w:space="0" w:color="auto"/>
              <w:left w:val="nil"/>
              <w:bottom w:val="single" w:sz="4" w:space="0" w:color="auto"/>
            </w:tcBorders>
            <w:shd w:val="clear" w:color="auto" w:fill="FFFFFF"/>
          </w:tcPr>
          <w:p w:rsidR="00D00F18" w:rsidRPr="00D00F18" w:rsidP="00D00F18">
            <w:pPr>
              <w:ind w:left="175" w:hanging="175"/>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Materiál legislatívnej povahy</w:t>
            </w:r>
          </w:p>
        </w:tc>
      </w:tr>
      <w:tr w:rsidTr="00D00F18">
        <w:tblPrEx>
          <w:tblW w:w="9180" w:type="dxa"/>
          <w:tblLayout w:type="fixed"/>
          <w:tblLook w:val="04A0"/>
        </w:tblPrEx>
        <w:tc>
          <w:tcPr>
            <w:tcW w:w="4212" w:type="dxa"/>
            <w:gridSpan w:val="2"/>
            <w:vMerge/>
            <w:tcBorders>
              <w:top w:val="nil"/>
              <w:left w:val="single" w:sz="4" w:space="0" w:color="auto"/>
              <w:bottom w:val="single" w:sz="4" w:space="0" w:color="auto"/>
            </w:tcBorders>
            <w:shd w:val="clear" w:color="auto" w:fill="E2E2E2"/>
          </w:tcPr>
          <w:p w:rsidR="00D00F18" w:rsidRPr="00D00F18" w:rsidP="00D00F18">
            <w:pPr>
              <w:rPr>
                <w:rFonts w:ascii="Times New Roman" w:eastAsia="Times New Roman" w:hAnsi="Times New Roman"/>
                <w:sz w:val="20"/>
                <w:szCs w:val="20"/>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4263" w:type="dxa"/>
            <w:gridSpan w:val="7"/>
            <w:tcBorders>
              <w:top w:val="single" w:sz="4" w:space="0" w:color="auto"/>
              <w:left w:val="nil"/>
              <w:bottom w:val="single" w:sz="4" w:space="0" w:color="auto"/>
            </w:tcBorders>
            <w:shd w:val="clear" w:color="auto" w:fill="FFFFFF"/>
          </w:tcPr>
          <w:p w:rsidR="00D00F18" w:rsidRPr="00D00F18" w:rsidP="00D00F18">
            <w:pP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Transpozícia prá</w:t>
            </w:r>
            <w:r w:rsidRPr="00D00F18">
              <w:rPr>
                <w:rFonts w:ascii="Times New Roman" w:eastAsia="Times New Roman" w:hAnsi="Times New Roman"/>
                <w:sz w:val="20"/>
                <w:szCs w:val="20"/>
                <w:lang w:eastAsia="sk-SK"/>
              </w:rPr>
              <w:t>va EÚ</w:t>
            </w:r>
          </w:p>
        </w:tc>
      </w:tr>
      <w:tr w:rsidTr="00D00F18">
        <w:tblPrEx>
          <w:tblW w:w="9180" w:type="dxa"/>
          <w:tblLayout w:type="fixed"/>
          <w:tblLook w:val="04A0"/>
        </w:tblPrEx>
        <w:tc>
          <w:tcPr>
            <w:tcW w:w="9180" w:type="dxa"/>
            <w:gridSpan w:val="11"/>
            <w:tcBorders>
              <w:top w:val="single" w:sz="4" w:space="0" w:color="auto"/>
              <w:left w:val="single" w:sz="4" w:space="0" w:color="auto"/>
              <w:bottom w:val="single" w:sz="4" w:space="0" w:color="FFFFFF"/>
            </w:tcBorders>
            <w:shd w:val="clear" w:color="auto" w:fill="FFFFFF"/>
          </w:tcPr>
          <w:p w:rsidR="00D00F18" w:rsidRPr="00D00F18" w:rsidP="00D00F18">
            <w:pPr>
              <w:rPr>
                <w:rFonts w:ascii="Times New Roman" w:eastAsia="Times New Roman" w:hAnsi="Times New Roman"/>
                <w:i/>
                <w:sz w:val="20"/>
                <w:szCs w:val="20"/>
                <w:lang w:eastAsia="sk-SK"/>
              </w:rPr>
            </w:pPr>
            <w:r w:rsidRPr="00D00F18">
              <w:rPr>
                <w:rFonts w:ascii="Times New Roman" w:eastAsia="Times New Roman" w:hAnsi="Times New Roman"/>
                <w:i/>
                <w:sz w:val="20"/>
                <w:szCs w:val="20"/>
                <w:lang w:eastAsia="sk-SK"/>
              </w:rPr>
              <w:t>V prípade transpozície uveďte zoznam transponovaných predpisov:</w:t>
            </w:r>
          </w:p>
          <w:p w:rsidR="00D00F18" w:rsidRPr="00D00F18" w:rsidP="00D00F18">
            <w:pP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Smernica Európskeho parlamentu a Rady (EÚ) 2020/2184 zo 16. decembra 2020 o kvalite vody určenej na ľudskú spotrebu (prepracované znenie) (Ú. v. EÚ L 435, 23.12.2020)</w:t>
            </w:r>
          </w:p>
        </w:tc>
      </w:tr>
      <w:tr w:rsidTr="00D00F18">
        <w:tblPrEx>
          <w:tblW w:w="9180" w:type="dxa"/>
          <w:tblLayout w:type="fixed"/>
          <w:tblLook w:val="04A0"/>
        </w:tblPrEx>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D00F18" w:rsidRPr="00D00F18" w:rsidP="00D00F18">
            <w:pPr>
              <w:ind w:left="142"/>
              <w:contextualSpacing/>
              <w:rPr>
                <w:rFonts w:ascii="Times New Roman" w:hAnsi="Times New Roman"/>
                <w:b/>
              </w:rPr>
            </w:pPr>
            <w:r w:rsidRPr="00D00F18">
              <w:rPr>
                <w:rFonts w:ascii="Times New Roman"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shd w:val="clear" w:color="auto" w:fill="auto"/>
          </w:tcPr>
          <w:p w:rsidR="00D00F18" w:rsidRPr="00D00F18" w:rsidP="00D00F18">
            <w:pPr>
              <w:rPr>
                <w:rFonts w:ascii="Times New Roman" w:eastAsia="Times New Roman" w:hAnsi="Times New Roman"/>
                <w:i/>
                <w:sz w:val="20"/>
                <w:szCs w:val="20"/>
                <w:lang w:eastAsia="sk-SK"/>
              </w:rPr>
            </w:pPr>
            <w:r w:rsidRPr="00D00F18">
              <w:rPr>
                <w:rFonts w:ascii="Times New Roman" w:eastAsia="Times New Roman" w:hAnsi="Times New Roman"/>
                <w:i/>
                <w:sz w:val="20"/>
                <w:szCs w:val="20"/>
                <w:lang w:eastAsia="sk-SK"/>
              </w:rPr>
              <w:t>apríl 2022</w:t>
            </w:r>
          </w:p>
        </w:tc>
      </w:tr>
      <w:tr w:rsidTr="00D00F18">
        <w:tblPrEx>
          <w:tblW w:w="9180" w:type="dxa"/>
          <w:tblLayout w:type="fixed"/>
          <w:tblLook w:val="04A0"/>
        </w:tblPrEx>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D00F18" w:rsidRPr="00D00F18" w:rsidP="00D00F18">
            <w:pPr>
              <w:ind w:left="142"/>
              <w:contextualSpacing/>
              <w:rPr>
                <w:rFonts w:ascii="Times New Roman" w:hAnsi="Times New Roman"/>
                <w:b/>
              </w:rPr>
            </w:pPr>
            <w:r w:rsidRPr="00D00F18">
              <w:rPr>
                <w:rFonts w:ascii="Times New Roman"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D00F18" w:rsidRPr="00D00F18" w:rsidP="00D00F18">
            <w:pPr>
              <w:rPr>
                <w:rFonts w:ascii="Times New Roman" w:eastAsia="Times New Roman" w:hAnsi="Times New Roman"/>
                <w:i/>
                <w:sz w:val="20"/>
                <w:szCs w:val="20"/>
                <w:lang w:eastAsia="sk-SK"/>
              </w:rPr>
            </w:pPr>
            <w:r w:rsidRPr="00D00F18">
              <w:rPr>
                <w:rFonts w:ascii="Times New Roman" w:eastAsia="Times New Roman" w:hAnsi="Times New Roman"/>
                <w:i/>
                <w:sz w:val="20"/>
                <w:szCs w:val="20"/>
                <w:lang w:eastAsia="sk-SK"/>
              </w:rPr>
              <w:t>máj 2022</w:t>
            </w:r>
          </w:p>
        </w:tc>
      </w:tr>
      <w:tr w:rsidTr="00D00F18">
        <w:tblPrEx>
          <w:tblW w:w="9180" w:type="dxa"/>
          <w:tblLayout w:type="fixed"/>
          <w:tblLook w:val="04A0"/>
        </w:tblPrEx>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D00F18" w:rsidRPr="00D00F18" w:rsidP="00D00F18">
            <w:pPr>
              <w:ind w:left="142"/>
              <w:contextualSpacing/>
              <w:rPr>
                <w:b/>
              </w:rPr>
            </w:pPr>
            <w:r w:rsidRPr="00D00F18">
              <w:rPr>
                <w:rFonts w:ascii="Times New Roman" w:hAnsi="Times New Roman"/>
                <w:b/>
              </w:rPr>
              <w:t>Predpokladaný termín začiatku a ukončenia ZP**</w:t>
            </w:r>
            <w:r w:rsidRPr="00D00F18">
              <w:rPr>
                <w:b/>
              </w:rPr>
              <w:t xml:space="preserve"> </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D00F18" w:rsidRPr="00D00F18" w:rsidP="00D00F18">
            <w:pPr>
              <w:rPr>
                <w:rFonts w:ascii="Times New Roman" w:eastAsia="Times New Roman" w:hAnsi="Times New Roman"/>
                <w:i/>
                <w:sz w:val="20"/>
                <w:szCs w:val="20"/>
                <w:lang w:eastAsia="sk-SK"/>
              </w:rPr>
            </w:pPr>
          </w:p>
        </w:tc>
      </w:tr>
      <w:tr w:rsidTr="00D00F18">
        <w:tblPrEx>
          <w:tblW w:w="9180" w:type="dxa"/>
          <w:tblLayout w:type="fixed"/>
          <w:tblLook w:val="04A0"/>
        </w:tblPrEx>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D00F18" w:rsidRPr="00D00F18" w:rsidP="00D00F18">
            <w:pPr>
              <w:ind w:left="142"/>
              <w:contextualSpacing/>
              <w:jc w:val="both"/>
              <w:rPr>
                <w:rFonts w:ascii="Times New Roman" w:hAnsi="Times New Roman"/>
                <w:b/>
              </w:rPr>
            </w:pPr>
            <w:r w:rsidRPr="00D00F18">
              <w:rPr>
                <w:rFonts w:ascii="Times New Roman"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D00F18" w:rsidRPr="00D00F18" w:rsidP="00D00F18">
            <w:pPr>
              <w:rPr>
                <w:rFonts w:ascii="Times New Roman" w:eastAsia="Times New Roman" w:hAnsi="Times New Roman"/>
                <w:i/>
                <w:sz w:val="20"/>
                <w:szCs w:val="20"/>
                <w:lang w:eastAsia="sk-SK"/>
              </w:rPr>
            </w:pPr>
          </w:p>
        </w:tc>
      </w:tr>
      <w:tr w:rsidTr="00D00F18">
        <w:tblPrEx>
          <w:tblW w:w="9180" w:type="dxa"/>
          <w:tblLayout w:type="fixed"/>
          <w:tblLook w:val="04A0"/>
        </w:tblPrEx>
        <w:tc>
          <w:tcPr>
            <w:tcW w:w="9180" w:type="dxa"/>
            <w:gridSpan w:val="11"/>
            <w:tcBorders>
              <w:top w:val="single" w:sz="4" w:space="0" w:color="auto"/>
              <w:left w:val="nil"/>
              <w:bottom w:val="single" w:sz="4" w:space="0" w:color="auto"/>
              <w:right w:val="nil"/>
            </w:tcBorders>
            <w:shd w:val="clear" w:color="auto" w:fill="FFFFFF"/>
          </w:tcPr>
          <w:p w:rsidR="00D00F18" w:rsidRPr="00D00F18" w:rsidP="00D00F18">
            <w:pPr>
              <w:rPr>
                <w:rFonts w:ascii="Times New Roman" w:eastAsia="Times New Roman" w:hAnsi="Times New Roman"/>
                <w:sz w:val="20"/>
                <w:szCs w:val="20"/>
                <w:lang w:eastAsia="sk-SK"/>
              </w:rPr>
            </w:pPr>
          </w:p>
        </w:tc>
      </w:tr>
      <w:tr w:rsidTr="00D00F18">
        <w:tblPrEx>
          <w:tblW w:w="9180" w:type="dxa"/>
          <w:tblLayout w:type="fixed"/>
          <w:tblLook w:val="04A0"/>
        </w:tblPrEx>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D00F18" w:rsidRPr="00D00F18" w:rsidP="00AC2F0E">
            <w:pPr>
              <w:numPr>
                <w:ilvl w:val="0"/>
                <w:numId w:val="20"/>
              </w:numPr>
              <w:spacing w:after="0" w:line="240" w:lineRule="auto"/>
              <w:ind w:left="426"/>
              <w:contextualSpacing/>
              <w:rPr>
                <w:rFonts w:ascii="Times New Roman" w:hAnsi="Times New Roman"/>
                <w:b/>
              </w:rPr>
            </w:pPr>
            <w:r w:rsidRPr="00D00F18">
              <w:rPr>
                <w:rFonts w:ascii="Times New Roman" w:hAnsi="Times New Roman"/>
                <w:b/>
              </w:rPr>
              <w:t>Definovanie problému</w:t>
            </w:r>
          </w:p>
        </w:tc>
      </w:tr>
      <w:tr w:rsidTr="00D00F18">
        <w:tblPrEx>
          <w:tblW w:w="9180" w:type="dxa"/>
          <w:tblLayout w:type="fixed"/>
          <w:tblLook w:val="04A0"/>
        </w:tblPrEx>
        <w:trPr>
          <w:trHeight w:val="4077"/>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D00F18" w:rsidRPr="00D00F18" w:rsidP="00D00F18">
            <w:pPr>
              <w:jc w:val="both"/>
              <w:rPr>
                <w:rFonts w:ascii="Times New Roman" w:eastAsia="Times New Roman" w:hAnsi="Times New Roman"/>
                <w:i/>
                <w:sz w:val="20"/>
                <w:szCs w:val="20"/>
                <w:lang w:eastAsia="sk-SK"/>
              </w:rPr>
            </w:pPr>
            <w:r w:rsidRPr="00D00F18">
              <w:rPr>
                <w:rFonts w:ascii="Times New Roman" w:eastAsia="Times New Roman" w:hAnsi="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D00F18" w:rsidRPr="00D00F18" w:rsidP="00D00F18">
            <w:pPr>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Návrhom zákona sa transponuje smernica Európskeho parlamentu a Rady (EÚ) 2020/2184 zo 16. decembra 2020 o kvalite vody určenej na ľudskú spotrebu (prepracované znenie) (ďalej len „</w:t>
            </w:r>
            <w:r w:rsidRPr="00D00F18">
              <w:rPr>
                <w:rFonts w:ascii="Times New Roman" w:hAnsi="Times New Roman"/>
                <w:sz w:val="20"/>
                <w:szCs w:val="20"/>
              </w:rPr>
              <w:t>smernica (EÚ) 2020/2184</w:t>
            </w:r>
            <w:r w:rsidRPr="00D00F18">
              <w:rPr>
                <w:rFonts w:ascii="Times New Roman" w:eastAsia="Times New Roman" w:hAnsi="Times New Roman"/>
                <w:bCs/>
                <w:sz w:val="20"/>
                <w:szCs w:val="20"/>
                <w:lang w:eastAsia="sk-SK"/>
              </w:rPr>
              <w:t>“). S cieľom zníženia výskytu prenosných ochorení, ktorých faktorom prenosu je voda sa dopĺňajú národné požiadavky na zdravotnú bezpečnosť teplej vody.</w:t>
            </w:r>
          </w:p>
        </w:tc>
      </w:tr>
      <w:tr w:rsidTr="00D00F18">
        <w:tblPrEx>
          <w:tblW w:w="9180" w:type="dxa"/>
          <w:tblLayout w:type="fixed"/>
          <w:tblLook w:val="04A0"/>
        </w:tblPrEx>
        <w:tc>
          <w:tcPr>
            <w:tcW w:w="9180" w:type="dxa"/>
            <w:gridSpan w:val="11"/>
            <w:tcBorders>
              <w:top w:val="single" w:sz="4" w:space="0" w:color="auto"/>
              <w:left w:val="single" w:sz="4" w:space="0" w:color="auto"/>
              <w:bottom w:val="nil"/>
              <w:right w:val="single" w:sz="4" w:space="0" w:color="auto"/>
            </w:tcBorders>
            <w:shd w:val="clear" w:color="auto" w:fill="E2E2E2"/>
          </w:tcPr>
          <w:p w:rsidR="00D00F18" w:rsidRPr="00D00F18" w:rsidP="00AC2F0E">
            <w:pPr>
              <w:numPr>
                <w:ilvl w:val="0"/>
                <w:numId w:val="20"/>
              </w:numPr>
              <w:spacing w:after="0" w:line="240" w:lineRule="auto"/>
              <w:ind w:left="426"/>
              <w:contextualSpacing/>
              <w:rPr>
                <w:rFonts w:ascii="Times New Roman" w:hAnsi="Times New Roman"/>
                <w:b/>
              </w:rPr>
            </w:pPr>
            <w:r w:rsidRPr="00D00F18">
              <w:rPr>
                <w:rFonts w:ascii="Times New Roman" w:hAnsi="Times New Roman"/>
                <w:b/>
              </w:rPr>
              <w:t>Ci</w:t>
            </w:r>
            <w:r w:rsidRPr="00D00F18">
              <w:rPr>
                <w:rFonts w:ascii="Times New Roman" w:hAnsi="Times New Roman"/>
                <w:b/>
              </w:rPr>
              <w:t>ele a výsledný stav</w:t>
            </w:r>
          </w:p>
        </w:tc>
      </w:tr>
      <w:tr w:rsidTr="00D00F18">
        <w:tblPrEx>
          <w:tblW w:w="9180" w:type="dxa"/>
          <w:tblLayout w:type="fixed"/>
          <w:tblLook w:val="04A0"/>
        </w:tblPrEx>
        <w:trPr>
          <w:trHeight w:val="3724"/>
        </w:trPr>
        <w:tc>
          <w:tcPr>
            <w:tcW w:w="9180" w:type="dxa"/>
            <w:gridSpan w:val="11"/>
            <w:tcBorders>
              <w:top w:val="nil"/>
              <w:left w:val="single" w:sz="4" w:space="0" w:color="auto"/>
              <w:bottom w:val="single" w:sz="4" w:space="0" w:color="auto"/>
              <w:right w:val="single" w:sz="4" w:space="0" w:color="auto"/>
            </w:tcBorders>
            <w:shd w:val="clear" w:color="auto" w:fill="FFFFFF"/>
          </w:tcPr>
          <w:p w:rsidR="00D00F18" w:rsidRPr="00D00F18" w:rsidP="00D00F18">
            <w:pPr>
              <w:rPr>
                <w:rFonts w:ascii="Times New Roman" w:eastAsia="Times New Roman" w:hAnsi="Times New Roman"/>
                <w:i/>
                <w:sz w:val="20"/>
                <w:szCs w:val="20"/>
                <w:lang w:eastAsia="sk-SK"/>
              </w:rPr>
            </w:pPr>
            <w:r w:rsidRPr="00D00F18">
              <w:rPr>
                <w:rFonts w:ascii="Times New Roman" w:eastAsia="Times New Roman" w:hAnsi="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D00F18" w:rsidRPr="00D00F18" w:rsidP="00D00F18">
            <w:pP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Cieľom navrhovanej právnej úpravy je ochrana ľudského zdravia pred účinkami kontaminovanej pitnej vody a zlepšenie prístupu k vode, pričom dôraz sa kladie najmä na vybrané časti obyvateľstva, ktoré nemajú prístup k pitnej vode. Dopĺňajú sa nové požiadavky na kritéria kvality a zdravotnej bezpečnosti pitnej vody a spôsob jej preukazovania. Zavádzajú sa nové povinnosti v oblasti uplatňovania prístupu, ktorý je založený na manažmente rizík (ktorý bol doteraz na Slovensku aplikovaný ako dobrovoľný, čo viedlo prakticky k jeho nulovej aplikácií ) vo všetkých častiach vodárenského dodávateľského systému), ustanovujú sa nové požiadavky na zdravotnú bezpečnosť materiálov, výrobkov a filtračných médií určených na styk s pitnou vodou a chemických látok na úpravu vody a na vykonávania opatrení na ochranu zdravia. Upravuje sa problematika vydávania výnimiek na použitie pitnej vody, ktorá nespĺňa požiadavky ukazovateľov kvality pitnej vody. Zavádzajú sa nové povinnosti v oblasti poskytovania údajov o miere strát pri zásobovaní, pri poskytovaní informácií verejno</w:t>
            </w:r>
            <w:r w:rsidRPr="00D00F18">
              <w:rPr>
                <w:rFonts w:ascii="Times New Roman" w:eastAsia="Times New Roman" w:hAnsi="Times New Roman"/>
                <w:sz w:val="20"/>
                <w:szCs w:val="20"/>
                <w:lang w:eastAsia="sk-SK"/>
              </w:rPr>
              <w:t xml:space="preserve">sti, ale aj v oblasti dostupnosti údajov pre Európsku komisiu, Európsku environmentálnu agentúru a Európske centrum pre prevenciu a kontrolu chorôb. </w:t>
            </w:r>
          </w:p>
          <w:p w:rsidR="00D00F18" w:rsidRPr="00D00F18" w:rsidP="00D00F18">
            <w:pP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Uznesením vlády SR bol termín transpozície ustanovený na 1. november 2022. Účinnosť sa navrhuje zaviesť od</w:t>
            </w:r>
            <w:r w:rsidRPr="00D00F18">
              <w:rPr>
                <w:rFonts w:ascii="Times New Roman" w:eastAsia="Times New Roman" w:hAnsi="Times New Roman"/>
                <w:sz w:val="20"/>
                <w:szCs w:val="20"/>
                <w:lang w:eastAsia="sk-SK"/>
              </w:rPr>
              <w:t xml:space="preserve"> 12. januára 2023.</w:t>
            </w:r>
          </w:p>
        </w:tc>
      </w:tr>
      <w:tr w:rsidTr="00D00F18">
        <w:tblPrEx>
          <w:tblW w:w="9180" w:type="dxa"/>
          <w:tblLayout w:type="fixed"/>
          <w:tblLook w:val="04A0"/>
        </w:tblPrEx>
        <w:tc>
          <w:tcPr>
            <w:tcW w:w="9180" w:type="dxa"/>
            <w:gridSpan w:val="11"/>
            <w:tcBorders>
              <w:top w:val="single" w:sz="4" w:space="0" w:color="auto"/>
              <w:left w:val="single" w:sz="4" w:space="0" w:color="auto"/>
              <w:bottom w:val="nil"/>
              <w:right w:val="single" w:sz="4" w:space="0" w:color="auto"/>
            </w:tcBorders>
            <w:shd w:val="clear" w:color="auto" w:fill="E2E2E2"/>
          </w:tcPr>
          <w:p w:rsidR="00D00F18" w:rsidRPr="00D00F18" w:rsidP="00AC2F0E">
            <w:pPr>
              <w:numPr>
                <w:ilvl w:val="0"/>
                <w:numId w:val="20"/>
              </w:numPr>
              <w:spacing w:after="0" w:line="240" w:lineRule="auto"/>
              <w:ind w:left="426"/>
              <w:contextualSpacing/>
              <w:rPr>
                <w:rFonts w:ascii="Times New Roman" w:hAnsi="Times New Roman"/>
                <w:b/>
              </w:rPr>
            </w:pPr>
            <w:r w:rsidRPr="00D00F18">
              <w:rPr>
                <w:rFonts w:ascii="Times New Roman" w:hAnsi="Times New Roman"/>
                <w:b/>
              </w:rPr>
              <w:t>Dotknuté subjekty</w:t>
            </w:r>
          </w:p>
        </w:tc>
      </w:tr>
      <w:tr w:rsidTr="00D00F18">
        <w:tblPrEx>
          <w:tblW w:w="9180" w:type="dxa"/>
          <w:tblLayout w:type="fixed"/>
          <w:tblLook w:val="04A0"/>
        </w:tblPrEx>
        <w:trPr>
          <w:trHeight w:val="1852"/>
        </w:trPr>
        <w:tc>
          <w:tcPr>
            <w:tcW w:w="9180" w:type="dxa"/>
            <w:gridSpan w:val="11"/>
            <w:tcBorders>
              <w:top w:val="nil"/>
              <w:left w:val="single" w:sz="4" w:space="0" w:color="auto"/>
              <w:bottom w:val="single" w:sz="4" w:space="0" w:color="auto"/>
              <w:right w:val="single" w:sz="4" w:space="0" w:color="auto"/>
            </w:tcBorders>
            <w:shd w:val="clear" w:color="auto" w:fill="FFFFFF"/>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i/>
                <w:sz w:val="20"/>
                <w:szCs w:val="20"/>
                <w:lang w:eastAsia="sk-SK"/>
              </w:rPr>
              <w:t xml:space="preserve">Uveďte subjekty, ktorých sa zmeny predkladaného materiálu dotknú priamo aj nepriamo: </w:t>
            </w:r>
          </w:p>
          <w:p w:rsidR="00D00F18" w:rsidRPr="00D00F18" w:rsidP="00D00F18">
            <w:pPr>
              <w:rPr>
                <w:rFonts w:ascii="Times New Roman" w:eastAsia="Times New Roman" w:hAnsi="Times New Roman"/>
                <w:iCs/>
                <w:sz w:val="20"/>
                <w:szCs w:val="20"/>
                <w:lang w:eastAsia="sk-SK"/>
              </w:rPr>
            </w:pPr>
            <w:r w:rsidRPr="00D00F18">
              <w:rPr>
                <w:rFonts w:ascii="Times New Roman" w:eastAsia="Times New Roman" w:hAnsi="Times New Roman"/>
                <w:iCs/>
                <w:sz w:val="20"/>
                <w:szCs w:val="20"/>
                <w:lang w:eastAsia="sk-SK"/>
              </w:rPr>
              <w:t>Pôsobnosť navrhovanej právnej úpravy sa dotkne nasledovných rezortov: MZ SR, ÚVZ SR / 36 RÚVZ, MŽP SR, Výskumný ústav vodného hospodárstva, MV SR - orgány štátnej vodnej správy, dodávatelia pitnej vody (prevádzkovatelia verejných vodovodov, obce, majitelia prevádzok, ktoré využívajú vlastné vodné zdroje), dodávatelia teplej vody, obce, ktoré sú vlastníci domových rozvodných systémov v</w:t>
            </w:r>
            <w:r w:rsidRPr="00D00F18">
              <w:rPr>
                <w:rFonts w:ascii="Times New Roman" w:eastAsia="Times New Roman" w:hAnsi="Times New Roman"/>
                <w:iCs/>
                <w:sz w:val="20"/>
                <w:szCs w:val="20"/>
                <w:lang w:eastAsia="sk-SK"/>
              </w:rPr>
              <w:t>erejných priestorov, majitelia prioritných priestorov.</w:t>
            </w:r>
          </w:p>
        </w:tc>
      </w:tr>
      <w:tr w:rsidTr="00D00F18">
        <w:tblPrEx>
          <w:tblW w:w="9180" w:type="dxa"/>
          <w:tblLayout w:type="fixed"/>
          <w:tblLook w:val="04A0"/>
        </w:tblPrEx>
        <w:tc>
          <w:tcPr>
            <w:tcW w:w="9180" w:type="dxa"/>
            <w:gridSpan w:val="11"/>
            <w:tcBorders>
              <w:top w:val="single" w:sz="4" w:space="0" w:color="auto"/>
              <w:left w:val="single" w:sz="4" w:space="0" w:color="auto"/>
              <w:bottom w:val="nil"/>
              <w:right w:val="single" w:sz="4" w:space="0" w:color="auto"/>
            </w:tcBorders>
            <w:shd w:val="clear" w:color="auto" w:fill="E2E2E2"/>
          </w:tcPr>
          <w:p w:rsidR="00D00F18" w:rsidRPr="00D00F18" w:rsidP="00AC2F0E">
            <w:pPr>
              <w:numPr>
                <w:ilvl w:val="0"/>
                <w:numId w:val="20"/>
              </w:numPr>
              <w:spacing w:after="0" w:line="240" w:lineRule="auto"/>
              <w:ind w:left="426"/>
              <w:contextualSpacing/>
              <w:rPr>
                <w:rFonts w:ascii="Times New Roman" w:hAnsi="Times New Roman"/>
                <w:b/>
              </w:rPr>
            </w:pPr>
            <w:r w:rsidRPr="00D00F18">
              <w:rPr>
                <w:rFonts w:ascii="Times New Roman" w:hAnsi="Times New Roman"/>
                <w:b/>
              </w:rPr>
              <w:t>Alternatívne riešenia</w:t>
            </w:r>
          </w:p>
        </w:tc>
      </w:tr>
      <w:tr w:rsidTr="00D00F18">
        <w:tblPrEx>
          <w:tblW w:w="9180" w:type="dxa"/>
          <w:tblLayout w:type="fixed"/>
          <w:tblLook w:val="04A0"/>
        </w:tblPrEx>
        <w:trPr>
          <w:trHeight w:val="576"/>
        </w:trPr>
        <w:tc>
          <w:tcPr>
            <w:tcW w:w="9180" w:type="dxa"/>
            <w:gridSpan w:val="11"/>
            <w:tcBorders>
              <w:top w:val="nil"/>
              <w:left w:val="single" w:sz="4" w:space="0" w:color="auto"/>
              <w:bottom w:val="single" w:sz="4" w:space="0" w:color="auto"/>
              <w:right w:val="single" w:sz="4" w:space="0" w:color="auto"/>
            </w:tcBorders>
            <w:shd w:val="clear" w:color="auto" w:fill="FFFFFF"/>
          </w:tcPr>
          <w:p w:rsidR="00D00F18" w:rsidRPr="00D00F18" w:rsidP="00D00F18">
            <w:pPr>
              <w:jc w:val="both"/>
              <w:rPr>
                <w:rFonts w:ascii="Times New Roman" w:eastAsia="Times New Roman" w:hAnsi="Times New Roman"/>
                <w:i/>
                <w:sz w:val="20"/>
                <w:szCs w:val="20"/>
                <w:lang w:eastAsia="sk-SK"/>
              </w:rPr>
            </w:pPr>
            <w:r w:rsidRPr="00D00F18">
              <w:rPr>
                <w:rFonts w:ascii="Times New Roman" w:eastAsia="Times New Roman" w:hAnsi="Times New Roman"/>
                <w:i/>
                <w:sz w:val="20"/>
                <w:szCs w:val="20"/>
                <w:lang w:eastAsia="sk-SK"/>
              </w:rPr>
              <w:t>Aké alternatívne riešenia vedúce k stanovenému cieľu boli identifikované a posudzované pre riešenie definovaného problému?</w:t>
            </w:r>
          </w:p>
          <w:p w:rsidR="00D00F18" w:rsidRPr="00D00F18" w:rsidP="00D00F18">
            <w:pPr>
              <w:jc w:val="both"/>
              <w:rPr>
                <w:rFonts w:ascii="Times New Roman" w:eastAsia="Times New Roman" w:hAnsi="Times New Roman"/>
                <w:i/>
                <w:sz w:val="20"/>
                <w:szCs w:val="20"/>
                <w:lang w:eastAsia="sk-SK"/>
              </w:rPr>
            </w:pPr>
            <w:r w:rsidRPr="00D00F18">
              <w:rPr>
                <w:rFonts w:ascii="Times New Roman" w:eastAsia="Times New Roman" w:hAnsi="Times New Roman"/>
                <w:i/>
                <w:sz w:val="20"/>
                <w:szCs w:val="20"/>
                <w:lang w:eastAsia="sk-SK"/>
              </w:rPr>
              <w:t>Nulový variant - uveďte dôsledky, ku ktorým by došlo v prípade nevykonania úprav v predkladanom materiáli a alternatívne riešenia/spôsoby dosiahnutia cieľov uvedených v bode 3.</w:t>
            </w:r>
          </w:p>
          <w:p w:rsidR="00D00F18" w:rsidRPr="00D00F18" w:rsidP="00D00F18">
            <w:pPr>
              <w:jc w:val="both"/>
              <w:rPr>
                <w:rFonts w:ascii="Times New Roman" w:eastAsia="Times New Roman" w:hAnsi="Times New Roman"/>
                <w:iCs/>
                <w:sz w:val="20"/>
                <w:szCs w:val="20"/>
                <w:lang w:eastAsia="sk-SK"/>
              </w:rPr>
            </w:pPr>
            <w:r w:rsidRPr="00D00F18">
              <w:rPr>
                <w:rFonts w:ascii="Times New Roman" w:eastAsia="Times New Roman" w:hAnsi="Times New Roman"/>
                <w:iCs/>
                <w:sz w:val="20"/>
                <w:szCs w:val="20"/>
                <w:lang w:eastAsia="sk-SK"/>
              </w:rPr>
              <w:t>V prípade neprijatia návrhu zákona</w:t>
            </w:r>
          </w:p>
          <w:p w:rsidR="00D00F18" w:rsidRPr="00D00F18" w:rsidP="00D00F18">
            <w:pPr>
              <w:jc w:val="both"/>
              <w:rPr>
                <w:rFonts w:ascii="Times New Roman" w:eastAsia="Times New Roman" w:hAnsi="Times New Roman"/>
                <w:iCs/>
                <w:sz w:val="20"/>
                <w:szCs w:val="20"/>
                <w:lang w:eastAsia="sk-SK"/>
              </w:rPr>
            </w:pPr>
            <w:r w:rsidRPr="00D00F18">
              <w:rPr>
                <w:rFonts w:ascii="Times New Roman" w:eastAsia="Times New Roman" w:hAnsi="Times New Roman"/>
                <w:iCs/>
                <w:sz w:val="20"/>
                <w:szCs w:val="20"/>
                <w:lang w:eastAsia="sk-SK"/>
              </w:rPr>
              <w:t xml:space="preserve">- nebude zabezpečená transpozícia smernice Európskeho parlamentu a Rady (EÚ) 2020/2184 zo 16. decembra 2020 o kvalite vody určenej na ľudskú spotrebu (prepracované znenie), </w:t>
            </w:r>
          </w:p>
          <w:p w:rsidR="00D00F18" w:rsidRPr="00D00F18" w:rsidP="00D00F18">
            <w:pPr>
              <w:jc w:val="both"/>
              <w:rPr>
                <w:rFonts w:ascii="Times New Roman" w:eastAsia="Times New Roman" w:hAnsi="Times New Roman"/>
                <w:iCs/>
                <w:sz w:val="20"/>
                <w:szCs w:val="20"/>
                <w:lang w:eastAsia="sk-SK"/>
              </w:rPr>
            </w:pPr>
            <w:r w:rsidRPr="00D00F18">
              <w:rPr>
                <w:rFonts w:ascii="Times New Roman" w:eastAsia="Times New Roman" w:hAnsi="Times New Roman"/>
                <w:iCs/>
                <w:sz w:val="20"/>
                <w:szCs w:val="20"/>
                <w:lang w:eastAsia="sk-SK"/>
              </w:rPr>
              <w:t xml:space="preserve">- Slovensko ako členský štát Európskej únie nezaistí dostupnosť dát pre Európsku komisiu, Európsku environmentálnu agentúru a Európske centrum pre prevenciu a kontrolu chorôb, </w:t>
            </w:r>
          </w:p>
          <w:p w:rsidR="00D00F18" w:rsidRPr="00D00F18" w:rsidP="00D00F18">
            <w:pPr>
              <w:jc w:val="both"/>
              <w:rPr>
                <w:rFonts w:ascii="Times New Roman" w:eastAsia="Times New Roman" w:hAnsi="Times New Roman"/>
                <w:iCs/>
                <w:sz w:val="20"/>
                <w:szCs w:val="20"/>
                <w:lang w:eastAsia="sk-SK"/>
              </w:rPr>
            </w:pPr>
            <w:r w:rsidRPr="00D00F18">
              <w:rPr>
                <w:rFonts w:ascii="Times New Roman" w:eastAsia="Times New Roman" w:hAnsi="Times New Roman"/>
                <w:iCs/>
                <w:sz w:val="20"/>
                <w:szCs w:val="20"/>
                <w:lang w:eastAsia="sk-SK"/>
              </w:rPr>
              <w:t xml:space="preserve">- nebude zabezpečený dostatočný prístup k zásobovaniu pitnou vodou a uplatňovaný princíp manažmentu rizík pri dodávaní pitnej vody v celom vodárenskom dodávateľskom reťazci, </w:t>
            </w:r>
          </w:p>
          <w:p w:rsidR="00D00F18" w:rsidRPr="00D00F18" w:rsidP="00D00F18">
            <w:pPr>
              <w:jc w:val="both"/>
              <w:rPr>
                <w:rFonts w:ascii="Times New Roman" w:eastAsia="Times New Roman" w:hAnsi="Times New Roman"/>
                <w:iCs/>
                <w:sz w:val="20"/>
                <w:szCs w:val="20"/>
                <w:lang w:eastAsia="sk-SK"/>
              </w:rPr>
            </w:pPr>
            <w:r w:rsidRPr="00D00F18">
              <w:rPr>
                <w:rFonts w:ascii="Times New Roman" w:eastAsia="Times New Roman" w:hAnsi="Times New Roman"/>
                <w:iCs/>
                <w:sz w:val="20"/>
                <w:szCs w:val="20"/>
                <w:lang w:eastAsia="sk-SK"/>
              </w:rPr>
              <w:t>- nedôjde k úprave požiadaviek na zdravotnú bezpečnosť teplej vody, ktorá vznikla z poznatkov a potrieb aplikačnej praxe a ktoré sa aj v iných krajinách považujú za významný prostriedok ochrany verejného zdravia pri predchádzaní ochoreniam, ktoré sú prenášané vodou,</w:t>
            </w:r>
          </w:p>
          <w:p w:rsidR="00D00F18" w:rsidRPr="00D00F18" w:rsidP="00D00F18">
            <w:pPr>
              <w:spacing w:after="0" w:line="240" w:lineRule="auto"/>
              <w:contextualSpacing/>
              <w:jc w:val="both"/>
              <w:rPr>
                <w:rFonts w:ascii="Times New Roman" w:eastAsia="Times New Roman" w:hAnsi="Times New Roman"/>
                <w:iCs/>
                <w:sz w:val="20"/>
                <w:szCs w:val="20"/>
                <w:lang w:eastAsia="sk-SK"/>
              </w:rPr>
            </w:pPr>
            <w:r w:rsidRPr="00D00F18">
              <w:rPr>
                <w:rFonts w:ascii="Times New Roman" w:eastAsia="Times New Roman" w:hAnsi="Times New Roman"/>
                <w:iCs/>
                <w:sz w:val="20"/>
                <w:szCs w:val="20"/>
                <w:lang w:eastAsia="sk-SK"/>
              </w:rPr>
              <w:t xml:space="preserve">- nebude zabezpečené </w:t>
            </w:r>
            <w:r w:rsidRPr="00D00F18">
              <w:rPr>
                <w:rFonts w:ascii="Times New Roman" w:hAnsi="Times New Roman"/>
                <w:bCs/>
                <w:sz w:val="20"/>
                <w:szCs w:val="20"/>
              </w:rPr>
              <w:t>vykonanie posúdenia miery strát vody a potenciál zlepšenia v súvislosti so znížením strát vody,</w:t>
            </w:r>
          </w:p>
          <w:p w:rsidR="00D00F18" w:rsidRPr="00D00F18" w:rsidP="00D00F18">
            <w:pPr>
              <w:spacing w:after="0" w:line="240" w:lineRule="auto"/>
              <w:contextualSpacing/>
              <w:jc w:val="both"/>
              <w:rPr>
                <w:rFonts w:ascii="Times New Roman" w:hAnsi="Times New Roman"/>
                <w:bCs/>
                <w:sz w:val="20"/>
                <w:szCs w:val="20"/>
              </w:rPr>
            </w:pPr>
          </w:p>
          <w:p w:rsidR="00D00F18" w:rsidRPr="00D00F18" w:rsidP="00D00F18">
            <w:pPr>
              <w:jc w:val="both"/>
              <w:rPr>
                <w:rFonts w:ascii="Times New Roman" w:hAnsi="Times New Roman"/>
                <w:bCs/>
                <w:sz w:val="20"/>
                <w:szCs w:val="20"/>
              </w:rPr>
            </w:pPr>
            <w:r w:rsidRPr="00D00F18">
              <w:rPr>
                <w:rFonts w:ascii="Times New Roman" w:hAnsi="Times New Roman"/>
                <w:bCs/>
                <w:sz w:val="20"/>
                <w:szCs w:val="20"/>
              </w:rPr>
              <w:t xml:space="preserve">- nebudú poskytované informácie pre verejnosť, čo povedie k zníženiu dôvery spotrebiteľov k pitnej vode, využívaniu balenej vody a nárastu odpadov, </w:t>
            </w:r>
          </w:p>
          <w:p w:rsidR="00D00F18" w:rsidRPr="00D00F18" w:rsidP="00D00F18">
            <w:pPr>
              <w:jc w:val="both"/>
              <w:rPr>
                <w:rFonts w:ascii="Times New Roman" w:eastAsia="Times New Roman" w:hAnsi="Times New Roman"/>
                <w:iCs/>
                <w:sz w:val="20"/>
                <w:szCs w:val="20"/>
                <w:lang w:eastAsia="sk-SK"/>
              </w:rPr>
            </w:pPr>
            <w:r w:rsidRPr="00D00F18">
              <w:rPr>
                <w:rFonts w:ascii="Times New Roman" w:hAnsi="Times New Roman"/>
                <w:bCs/>
                <w:sz w:val="20"/>
                <w:szCs w:val="20"/>
              </w:rPr>
              <w:t>- nebudú zisťované ukazovatele zdravotnej bezpečnosti pitnej vody, čo môže viesť k nárastu ochorení z pitnej vody.</w:t>
            </w:r>
          </w:p>
        </w:tc>
      </w:tr>
      <w:tr w:rsidTr="00D00F18">
        <w:tblPrEx>
          <w:tblW w:w="9180" w:type="dxa"/>
          <w:tblLayout w:type="fixed"/>
          <w:tblLook w:val="04A0"/>
        </w:tblPrEx>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D00F18" w:rsidRPr="00D00F18" w:rsidP="00AC2F0E">
            <w:pPr>
              <w:numPr>
                <w:ilvl w:val="0"/>
                <w:numId w:val="20"/>
              </w:numPr>
              <w:spacing w:after="0" w:line="240" w:lineRule="auto"/>
              <w:ind w:left="426"/>
              <w:contextualSpacing/>
              <w:rPr>
                <w:rFonts w:ascii="Times New Roman" w:hAnsi="Times New Roman"/>
                <w:b/>
              </w:rPr>
            </w:pPr>
            <w:r w:rsidRPr="00D00F18">
              <w:rPr>
                <w:rFonts w:ascii="Times New Roman" w:hAnsi="Times New Roman"/>
                <w:b/>
              </w:rPr>
              <w:t>Vykonávacie predpisy</w:t>
            </w:r>
          </w:p>
        </w:tc>
      </w:tr>
      <w:tr w:rsidTr="00D00F18">
        <w:tblPrEx>
          <w:tblW w:w="9180" w:type="dxa"/>
          <w:tblLayout w:type="fixed"/>
          <w:tblLook w:val="04A0"/>
        </w:tblPrEx>
        <w:tc>
          <w:tcPr>
            <w:tcW w:w="6203" w:type="dxa"/>
            <w:gridSpan w:val="7"/>
            <w:tcBorders>
              <w:top w:val="single" w:sz="4" w:space="0" w:color="FFFFFF"/>
              <w:left w:val="single" w:sz="4" w:space="0" w:color="auto"/>
              <w:bottom w:val="nil"/>
              <w:right w:val="nil"/>
            </w:tcBorders>
            <w:shd w:val="clear" w:color="auto" w:fill="FFFFFF"/>
          </w:tcPr>
          <w:p w:rsidR="00D00F18" w:rsidRPr="00D00F18" w:rsidP="00D00F18">
            <w:pPr>
              <w:rPr>
                <w:rFonts w:ascii="Times New Roman" w:eastAsia="Times New Roman" w:hAnsi="Times New Roman"/>
                <w:i/>
                <w:sz w:val="20"/>
                <w:szCs w:val="20"/>
                <w:lang w:eastAsia="sk-SK"/>
              </w:rPr>
            </w:pPr>
            <w:r w:rsidRPr="00D00F18">
              <w:rPr>
                <w:rFonts w:ascii="Times New Roman" w:eastAsia="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r w:rsidRPr="00D00F18">
              <w:rPr>
                <w:rFonts w:ascii="Times New Roman" w:eastAsia="Times New Roman" w:hAnsi="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r w:rsidRPr="00D00F18">
              <w:rPr>
                <w:rFonts w:ascii="Times New Roman" w:eastAsia="Times New Roman" w:hAnsi="Times New Roman"/>
                <w:b/>
                <w:sz w:val="20"/>
                <w:szCs w:val="20"/>
                <w:lang w:eastAsia="sk-SK"/>
              </w:rPr>
              <w:t xml:space="preserve">  Nie</w:t>
            </w:r>
          </w:p>
        </w:tc>
      </w:tr>
      <w:tr w:rsidTr="00D00F18">
        <w:tblPrEx>
          <w:tblW w:w="9180" w:type="dxa"/>
          <w:tblLayout w:type="fixed"/>
          <w:tblLook w:val="04A0"/>
        </w:tblPrEx>
        <w:trPr>
          <w:trHeight w:val="2203"/>
        </w:trPr>
        <w:tc>
          <w:tcPr>
            <w:tcW w:w="9180" w:type="dxa"/>
            <w:gridSpan w:val="11"/>
            <w:tcBorders>
              <w:top w:val="nil"/>
              <w:left w:val="single" w:sz="4" w:space="0" w:color="auto"/>
              <w:bottom w:val="single" w:sz="4" w:space="0" w:color="auto"/>
              <w:right w:val="single" w:sz="4" w:space="0" w:color="auto"/>
            </w:tcBorders>
            <w:shd w:val="clear" w:color="auto" w:fill="FFFFFF"/>
          </w:tcPr>
          <w:p w:rsidR="00D00F18" w:rsidRPr="00D00F18" w:rsidP="00D00F18">
            <w:pPr>
              <w:rPr>
                <w:rFonts w:ascii="Times New Roman" w:eastAsia="Times New Roman" w:hAnsi="Times New Roman"/>
                <w:i/>
                <w:sz w:val="20"/>
                <w:szCs w:val="20"/>
                <w:lang w:eastAsia="sk-SK"/>
              </w:rPr>
            </w:pPr>
            <w:r w:rsidRPr="00D00F18">
              <w:rPr>
                <w:rFonts w:ascii="Times New Roman" w:eastAsia="Times New Roman" w:hAnsi="Times New Roman"/>
                <w:i/>
                <w:sz w:val="20"/>
                <w:szCs w:val="20"/>
                <w:lang w:eastAsia="sk-SK"/>
              </w:rPr>
              <w:t>Ak áno, uveďte ktoré oblasti budú nimi upravené, resp. ktorých vykonávacích predpisov sa zmena dotkne:</w:t>
            </w:r>
          </w:p>
          <w:p w:rsidR="00D00F18" w:rsidRPr="00D00F18" w:rsidP="00AC2F0E">
            <w:pPr>
              <w:numPr>
                <w:ilvl w:val="0"/>
                <w:numId w:val="21"/>
              </w:numPr>
              <w:spacing w:after="0" w:line="240" w:lineRule="auto"/>
              <w:contextualSpacing/>
              <w:rPr>
                <w:rFonts w:ascii="Times New Roman" w:eastAsia="Times New Roman" w:hAnsi="Times New Roman"/>
                <w:sz w:val="20"/>
                <w:szCs w:val="20"/>
                <w:lang w:eastAsia="sk-SK"/>
              </w:rPr>
            </w:pPr>
            <w:bookmarkStart w:id="0" w:name="_Hlk110934679"/>
            <w:r w:rsidRPr="00D00F18">
              <w:rPr>
                <w:rFonts w:ascii="Times New Roman" w:eastAsia="Times New Roman" w:hAnsi="Times New Roman"/>
                <w:sz w:val="20"/>
                <w:szCs w:val="20"/>
                <w:lang w:eastAsia="sk-SK"/>
              </w:rPr>
              <w:t xml:space="preserve">Vyhláška MZ SR č. ..../2022 Z. z., ktorou sa ustanovujú ukazovatele a limitné hodnoty kvality pitnej vody a kvality teplej vody, postup pri monitorovaní pitnej vody a manažmente rizík systému zásobovania pitnou vodou a manažmente rizík domových rozvodných systémov a rozsah informácií poskytovaných dodávateľom pitnej vody </w:t>
            </w:r>
            <w:bookmarkEnd w:id="0"/>
          </w:p>
          <w:p w:rsidR="00D00F18" w:rsidRPr="00D00F18" w:rsidP="00AC2F0E">
            <w:pPr>
              <w:numPr>
                <w:ilvl w:val="0"/>
                <w:numId w:val="21"/>
              </w:numPr>
              <w:spacing w:after="0" w:line="240" w:lineRule="auto"/>
              <w:contextualSpacing/>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Vyhláška MŽP SR č. ..../2022 Z. z. o podrobnostiach manažmentu rizík v súvislosti s plochami povodia pre miesta odberu vody určenej na ľudskú spotrebu</w:t>
            </w:r>
          </w:p>
          <w:p w:rsidR="00D00F18" w:rsidRPr="00D00F18" w:rsidP="00AC2F0E">
            <w:pPr>
              <w:numPr>
                <w:ilvl w:val="0"/>
                <w:numId w:val="21"/>
              </w:numPr>
              <w:spacing w:after="0" w:line="240" w:lineRule="auto"/>
              <w:contextualSpacing/>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Vyhláška MŽP SR č. ..../2022 Z. z. , ktorou sa mení a dopĺňa vyhláška MŽP SR č. 636/2004 Z. z., ktorou sa ustanovujú požiadavky na kvalitu surovej vody a na sledovanie kvality vody vo verejných vodovodoch</w:t>
            </w:r>
          </w:p>
        </w:tc>
      </w:tr>
      <w:tr w:rsidTr="00D00F18">
        <w:tblPrEx>
          <w:tblW w:w="9180" w:type="dxa"/>
          <w:tblLayout w:type="fixed"/>
          <w:tblLook w:val="04A0"/>
        </w:tblPrEx>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D00F18" w:rsidRPr="00D00F18" w:rsidP="00AC2F0E">
            <w:pPr>
              <w:numPr>
                <w:ilvl w:val="0"/>
                <w:numId w:val="20"/>
              </w:numPr>
              <w:spacing w:after="0" w:line="240" w:lineRule="auto"/>
              <w:ind w:left="426"/>
              <w:contextualSpacing/>
              <w:rPr>
                <w:rFonts w:ascii="Times New Roman" w:hAnsi="Times New Roman"/>
                <w:b/>
              </w:rPr>
            </w:pPr>
            <w:r w:rsidRPr="00D00F18">
              <w:rPr>
                <w:rFonts w:ascii="Times New Roman" w:hAnsi="Times New Roman"/>
                <w:b/>
              </w:rPr>
              <w:t xml:space="preserve">Transpozícia práva EÚ </w:t>
            </w:r>
          </w:p>
        </w:tc>
      </w:tr>
      <w:tr w:rsidTr="00D00F18">
        <w:tblPrEx>
          <w:tblW w:w="9180" w:type="dxa"/>
          <w:tblLayout w:type="fixed"/>
          <w:tblLook w:val="04A0"/>
        </w:tblPrEx>
        <w:trPr>
          <w:trHeight w:val="157"/>
        </w:trPr>
        <w:tc>
          <w:tcPr>
            <w:tcW w:w="9180" w:type="dxa"/>
            <w:gridSpan w:val="11"/>
            <w:tcBorders>
              <w:top w:val="nil"/>
              <w:left w:val="single" w:sz="4" w:space="0" w:color="000000"/>
              <w:bottom w:val="nil"/>
              <w:right w:val="single" w:sz="4" w:space="0" w:color="auto"/>
            </w:tcBorders>
            <w:shd w:val="clear" w:color="auto" w:fill="FFFFFF"/>
          </w:tcPr>
          <w:p w:rsidR="00D00F18" w:rsidRPr="00D00F18" w:rsidP="00D00F18">
            <w:pPr>
              <w:jc w:val="both"/>
              <w:rPr>
                <w:rFonts w:ascii="Times New Roman" w:eastAsia="Times New Roman" w:hAnsi="Times New Roman"/>
                <w:i/>
                <w:sz w:val="20"/>
                <w:szCs w:val="20"/>
                <w:lang w:eastAsia="sk-SK"/>
              </w:rPr>
            </w:pPr>
            <w:r w:rsidRPr="00D00F18">
              <w:rPr>
                <w:rFonts w:ascii="Times New Roman" w:eastAsia="Times New Roman" w:hAnsi="Times New Roman"/>
                <w:i/>
                <w:sz w:val="20"/>
                <w:szCs w:val="20"/>
                <w:lang w:eastAsia="sk-SK"/>
              </w:rPr>
              <w:t>Uveďte, v ktorých konkrétnych ustanoveniach (paragrafy, články, body, atď.) ide národná právna úprava nad rámec minimálnych požiadaviek EÚ (tzv. goldplating) spolu s odôvodnením opodstatnenosti presahu.</w:t>
            </w:r>
          </w:p>
        </w:tc>
      </w:tr>
      <w:tr w:rsidTr="00D00F18">
        <w:tblPrEx>
          <w:tblW w:w="9180" w:type="dxa"/>
          <w:tblLayout w:type="fixed"/>
          <w:tblLook w:val="04A0"/>
        </w:tblPrEx>
        <w:trPr>
          <w:trHeight w:val="1977"/>
        </w:trPr>
        <w:tc>
          <w:tcPr>
            <w:tcW w:w="9180" w:type="dxa"/>
            <w:gridSpan w:val="11"/>
            <w:tcBorders>
              <w:top w:val="nil"/>
              <w:left w:val="single" w:sz="4" w:space="0" w:color="000000"/>
              <w:bottom w:val="single" w:sz="4" w:space="0" w:color="000000"/>
              <w:right w:val="single" w:sz="4" w:space="0" w:color="000000"/>
            </w:tcBorders>
            <w:shd w:val="clear" w:color="auto" w:fill="FFFFFF"/>
          </w:tcPr>
          <w:p w:rsidR="00D00F18" w:rsidRPr="00D00F18" w:rsidP="00D00F18">
            <w:pPr>
              <w:spacing w:after="0"/>
              <w:jc w:val="both"/>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Navrhovaná národná právna úprava nad rámec minimálnych požiadaviek Európskej únie stanovených v smernici (EÚ) 2020/2184:</w:t>
            </w:r>
          </w:p>
          <w:p w:rsidR="00D00F18" w:rsidRPr="00D00F18" w:rsidP="00AC2F0E">
            <w:pPr>
              <w:numPr>
                <w:ilvl w:val="0"/>
                <w:numId w:val="29"/>
              </w:numPr>
              <w:spacing w:after="0" w:line="240" w:lineRule="auto"/>
              <w:jc w:val="both"/>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Zverejňovanie látok alebo zlúčenín, ktorých prítomnosť v pitnej vode vzbudzuje obavy – ide o kompetenciu ÚVZ SR, ktorej cieľom je uľahčiť dodávateľom pitnej vody vytváranie programov monitorovania. Zoznamy Európska Komisia zverejňuje formou vykonávacích rozhodnutí, ktoré môžu uniknúť pozornosti dodávateľov pitnej vody. (§ 5 odsek 4  písmeno ao) bod 3 zákona č. 3552007 Z. z.)</w:t>
            </w:r>
          </w:p>
          <w:p w:rsidR="00D00F18" w:rsidRPr="00D00F18" w:rsidP="00AC2F0E">
            <w:pPr>
              <w:numPr>
                <w:ilvl w:val="0"/>
                <w:numId w:val="29"/>
              </w:numPr>
              <w:spacing w:after="0" w:line="240" w:lineRule="auto"/>
              <w:jc w:val="both"/>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Aktivity na podporu používania pitnej vody z vodovodu – používanie pitnej vody z verejných vodovodov orgány verejného zdravotníctva dlhodobo podporujú vzhľadom na fakt, že ide o najspoľahlivejší spôsob dodávania zdravotne bezpečnej pitnej vody, ktorá je pod ich pravidelnou kontrolou. I naďalej plánujú v týchto aktivitách pokračovať. (§ 11 písm. u) zákona č. 3552007 Z. z.)</w:t>
            </w:r>
          </w:p>
          <w:p w:rsidR="00D00F18" w:rsidRPr="00D00F18" w:rsidP="00AC2F0E">
            <w:pPr>
              <w:numPr>
                <w:ilvl w:val="0"/>
                <w:numId w:val="29"/>
              </w:numPr>
              <w:spacing w:after="0" w:line="240" w:lineRule="auto"/>
              <w:jc w:val="both"/>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Zavedenie odporúčaných hodnôt pre vybrané ukazovatele kvality pitnej vody, ktorých prítomnosť v pitnej vode je žiaduca – viaceré zdravotnícke štúdie potvrdili význam biologickej hodnoty pitnej vody pre zdravotný stav obyvateľov a preto orgány verejného zdravotníctva podporujú prítomnosť látok, najmä horčíka a vápnika v pitnej vode ako aj tvrdosť vody. Odporúčané hodnoty uvedených ukazovateľov boli stanovené všeobecne záväzným právnym predpisom k zákonu už aj v minulosti.(vyhláška MZ SR č. .../2022 Z. z., Príloha č. 1)</w:t>
            </w:r>
          </w:p>
          <w:p w:rsidR="00D00F18" w:rsidRPr="00D00F18" w:rsidP="00AC2F0E">
            <w:pPr>
              <w:numPr>
                <w:ilvl w:val="0"/>
                <w:numId w:val="29"/>
              </w:numPr>
              <w:spacing w:after="0" w:line="240" w:lineRule="auto"/>
              <w:jc w:val="both"/>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Vykonávanie mimoriadnej kontroly kvality pitnej vody – vykonanie mimoriadnej kontroly kvality pitnej vody v jednoznačne zadefinovaných neštandardných situáciách je v našich podmienkach už  dlhodobo zaužívanou požiadavkou a jej cieľom je predísť ochoreniam, súvisiacim s vodou. (§ 17c ods. 4 písm. f) zákona č. 355/2007 Z. z.)</w:t>
            </w:r>
          </w:p>
          <w:p w:rsidR="00D00F18" w:rsidRPr="00D00F18" w:rsidP="00AC2F0E">
            <w:pPr>
              <w:numPr>
                <w:ilvl w:val="0"/>
                <w:numId w:val="29"/>
              </w:numPr>
              <w:spacing w:after="0" w:line="240" w:lineRule="auto"/>
              <w:jc w:val="both"/>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Zavedenie požiadaviek na zdravotnú bezpečnosť teplej vody. Ide o oblasť, ktorá bezprostredne súvisí s problematikou domových rozvodných systémov pitnej vody a prítomnosťou baktérií rodu</w:t>
            </w:r>
            <w:r w:rsidRPr="00D00F18">
              <w:rPr>
                <w:rFonts w:ascii="Times New Roman" w:eastAsia="Times New Roman" w:hAnsi="Times New Roman"/>
                <w:i/>
                <w:sz w:val="20"/>
                <w:szCs w:val="20"/>
                <w:lang w:eastAsia="sk-SK"/>
              </w:rPr>
              <w:t xml:space="preserve"> Legi</w:t>
            </w:r>
            <w:r w:rsidRPr="00D00F18">
              <w:rPr>
                <w:rFonts w:ascii="Times New Roman" w:eastAsia="Times New Roman" w:hAnsi="Times New Roman"/>
                <w:i/>
                <w:sz w:val="20"/>
                <w:szCs w:val="20"/>
                <w:lang w:eastAsia="sk-SK"/>
              </w:rPr>
              <w:t>onella</w:t>
            </w:r>
            <w:r w:rsidRPr="00D00F18">
              <w:rPr>
                <w:rFonts w:ascii="Times New Roman" w:eastAsia="Times New Roman" w:hAnsi="Times New Roman"/>
                <w:sz w:val="20"/>
                <w:szCs w:val="20"/>
                <w:lang w:eastAsia="sk-SK"/>
              </w:rPr>
              <w:t xml:space="preserve"> podľa požiadaviek </w:t>
            </w:r>
            <w:r w:rsidRPr="00D00F18">
              <w:rPr>
                <w:rFonts w:ascii="Times New Roman" w:eastAsia="Times New Roman" w:hAnsi="Times New Roman"/>
                <w:sz w:val="20"/>
                <w:szCs w:val="20"/>
                <w:lang w:eastAsia="cs-CZ"/>
              </w:rPr>
              <w:t>smernice (EÚ) 2020/2184</w:t>
            </w:r>
            <w:r w:rsidRPr="00D00F18">
              <w:rPr>
                <w:rFonts w:ascii="Times New Roman" w:eastAsia="Times New Roman" w:hAnsi="Times New Roman"/>
                <w:sz w:val="20"/>
                <w:szCs w:val="20"/>
                <w:lang w:eastAsia="sk-SK"/>
              </w:rPr>
              <w:t xml:space="preserve">. </w:t>
            </w:r>
            <w:r w:rsidRPr="00D00F18">
              <w:rPr>
                <w:rFonts w:ascii="Times New Roman" w:eastAsia="Times New Roman" w:hAnsi="Times New Roman"/>
                <w:i/>
                <w:sz w:val="20"/>
                <w:szCs w:val="20"/>
                <w:lang w:eastAsia="sk-SK"/>
              </w:rPr>
              <w:t xml:space="preserve">Legionelly </w:t>
            </w:r>
            <w:r w:rsidRPr="00D00F18">
              <w:rPr>
                <w:rFonts w:ascii="Times New Roman" w:eastAsia="Times New Roman" w:hAnsi="Times New Roman"/>
                <w:sz w:val="20"/>
                <w:szCs w:val="20"/>
                <w:lang w:eastAsia="sk-SK"/>
              </w:rPr>
              <w:t>patria k najvýznamnejším patogénom, prenášaným vodou, ktoré v EÚ spôsobujú najväčšiu zdravotnú záťaž. Až polovica pacientov s týmto ochorením musí byť hospitalizovaná a liečba trvá spravidla niekoľko týždňov. Primárnym faktorom prenosu baktérií je teplá voda. (§ 17e zákona č. 355/2007 Z. z.) Účinnosť sa navrhuje zaviesť od 12. januára 2023.</w:t>
            </w:r>
          </w:p>
          <w:p w:rsidR="00D00F18" w:rsidRPr="00D00F18" w:rsidP="00AC2F0E">
            <w:pPr>
              <w:numPr>
                <w:ilvl w:val="0"/>
                <w:numId w:val="29"/>
              </w:numPr>
              <w:spacing w:after="0" w:line="240" w:lineRule="auto"/>
              <w:jc w:val="both"/>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Zároveň dochádza k dobrovoľnej transpozícii ustanovení čl. 3 ods. 5 aj čl. 9 ods. 6 smernice (EÚ) 2020/2184.</w:t>
            </w:r>
          </w:p>
        </w:tc>
      </w:tr>
      <w:tr w:rsidTr="00D00F18">
        <w:tblPrEx>
          <w:tblW w:w="9180" w:type="dxa"/>
          <w:tblLayout w:type="fixed"/>
          <w:tblLook w:val="04A0"/>
        </w:tblPrEx>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D00F18" w:rsidRPr="00D00F18" w:rsidP="00AC2F0E">
            <w:pPr>
              <w:numPr>
                <w:ilvl w:val="0"/>
                <w:numId w:val="20"/>
              </w:numPr>
              <w:spacing w:after="0" w:line="240" w:lineRule="auto"/>
              <w:ind w:left="426"/>
              <w:contextualSpacing/>
              <w:rPr>
                <w:rFonts w:ascii="Times New Roman" w:hAnsi="Times New Roman"/>
                <w:b/>
              </w:rPr>
            </w:pPr>
            <w:r w:rsidRPr="00D00F18">
              <w:rPr>
                <w:rFonts w:ascii="Times New Roman" w:hAnsi="Times New Roman"/>
                <w:b/>
              </w:rPr>
              <w:t>Preskúmanie účelnosti</w:t>
            </w:r>
          </w:p>
        </w:tc>
      </w:tr>
      <w:tr w:rsidTr="00D00F18">
        <w:tblPrEx>
          <w:tblW w:w="9180" w:type="dxa"/>
          <w:tblLayout w:type="fixed"/>
          <w:tblLook w:val="04A0"/>
        </w:tblPrEx>
        <w:trPr>
          <w:trHeight w:val="1281"/>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D00F18" w:rsidRPr="00D00F18" w:rsidP="00D00F18">
            <w:pPr>
              <w:rPr>
                <w:rFonts w:ascii="Times New Roman" w:eastAsia="Times New Roman" w:hAnsi="Times New Roman"/>
                <w:i/>
                <w:sz w:val="20"/>
                <w:szCs w:val="20"/>
                <w:lang w:eastAsia="sk-SK"/>
              </w:rPr>
            </w:pPr>
            <w:r w:rsidRPr="00D00F18">
              <w:rPr>
                <w:rFonts w:ascii="Times New Roman" w:eastAsia="Times New Roman" w:hAnsi="Times New Roman"/>
                <w:i/>
                <w:sz w:val="20"/>
                <w:szCs w:val="20"/>
                <w:lang w:eastAsia="sk-SK"/>
              </w:rPr>
              <w:t>Uveďte termín, kedy by malo dôjsť k preskúmaniu účinnosti a účelnosti predkladaného materiálu.</w:t>
            </w:r>
          </w:p>
          <w:p w:rsidR="00D00F18" w:rsidRPr="00D00F18" w:rsidP="00D00F18">
            <w:pPr>
              <w:rPr>
                <w:rFonts w:ascii="Times New Roman" w:eastAsia="Times New Roman" w:hAnsi="Times New Roman"/>
                <w:i/>
                <w:sz w:val="20"/>
                <w:szCs w:val="20"/>
                <w:lang w:eastAsia="sk-SK"/>
              </w:rPr>
            </w:pPr>
            <w:r w:rsidRPr="00D00F18">
              <w:rPr>
                <w:rFonts w:ascii="Times New Roman" w:eastAsia="Times New Roman" w:hAnsi="Times New Roman"/>
                <w:i/>
                <w:sz w:val="20"/>
                <w:szCs w:val="20"/>
                <w:lang w:eastAsia="sk-SK"/>
              </w:rPr>
              <w:t>Uveďte kritériá, na základe ktorých bude preskúmanie vykonané.</w:t>
            </w:r>
          </w:p>
          <w:p w:rsidR="00D00F18" w:rsidRPr="00D00F18" w:rsidP="00D00F18">
            <w:pPr>
              <w:rPr>
                <w:rFonts w:ascii="Times New Roman" w:eastAsia="Times New Roman" w:hAnsi="Times New Roman"/>
                <w:iCs/>
                <w:sz w:val="20"/>
                <w:szCs w:val="20"/>
                <w:lang w:eastAsia="sk-SK"/>
              </w:rPr>
            </w:pPr>
            <w:r w:rsidRPr="00D00F18">
              <w:rPr>
                <w:rFonts w:ascii="Times New Roman" w:eastAsia="Times New Roman" w:hAnsi="Times New Roman"/>
                <w:iCs/>
                <w:sz w:val="20"/>
                <w:szCs w:val="20"/>
                <w:lang w:eastAsia="sk-SK"/>
              </w:rPr>
              <w:t xml:space="preserve">Nakoľko niektoré povinnosti majú termín pre splnenie v roku 2027 a 2029, jeho účelnosť bude možné preskúmať až po uvedení všetkých povinností do praxe. </w:t>
            </w:r>
          </w:p>
          <w:p w:rsidR="00D00F18" w:rsidRPr="00D00F18" w:rsidP="00D00F18">
            <w:pPr>
              <w:rPr>
                <w:rFonts w:ascii="Times New Roman" w:eastAsia="Times New Roman" w:hAnsi="Times New Roman"/>
                <w:iCs/>
                <w:sz w:val="20"/>
                <w:szCs w:val="20"/>
                <w:lang w:eastAsia="sk-SK"/>
              </w:rPr>
            </w:pPr>
            <w:r w:rsidRPr="00D00F18">
              <w:rPr>
                <w:rFonts w:ascii="Times New Roman" w:eastAsia="Times New Roman" w:hAnsi="Times New Roman"/>
                <w:iCs/>
                <w:sz w:val="20"/>
                <w:szCs w:val="20"/>
                <w:lang w:eastAsia="sk-SK"/>
              </w:rPr>
              <w:t>Kritériom na preskúmanie účelnosti bude plnenie reportingových povinností podľa čl. 18 (Informovanie o monitorovaní vykonávania) smernice (EÚ) 2020/2184.</w:t>
            </w:r>
          </w:p>
        </w:tc>
      </w:tr>
      <w:tr w:rsidTr="00D00F18">
        <w:tblPrEx>
          <w:tblW w:w="9180" w:type="dxa"/>
          <w:tblLayout w:type="fixed"/>
          <w:tblLook w:val="04A0"/>
        </w:tblPrEx>
        <w:tc>
          <w:tcPr>
            <w:tcW w:w="9180" w:type="dxa"/>
            <w:gridSpan w:val="11"/>
            <w:tcBorders>
              <w:top w:val="nil"/>
              <w:left w:val="nil"/>
              <w:bottom w:val="single" w:sz="4" w:space="0" w:color="auto"/>
              <w:right w:val="nil"/>
            </w:tcBorders>
            <w:shd w:val="clear" w:color="auto" w:fill="FFFFFF"/>
          </w:tcPr>
          <w:p w:rsidR="00D00F18" w:rsidRPr="00D00F18" w:rsidP="00D00F18">
            <w:pPr>
              <w:rPr>
                <w:rFonts w:ascii="Times New Roman" w:eastAsia="Times New Roman" w:hAnsi="Times New Roman"/>
                <w:b/>
                <w:sz w:val="20"/>
                <w:szCs w:val="20"/>
                <w:lang w:eastAsia="sk-SK"/>
              </w:rPr>
            </w:pPr>
          </w:p>
          <w:p w:rsidR="00D00F18" w:rsidRPr="00D00F18" w:rsidP="00D00F18">
            <w:pPr>
              <w:ind w:left="142" w:hanging="142"/>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vyplniť iba v príp</w:t>
            </w:r>
            <w:r w:rsidRPr="00D00F18">
              <w:rPr>
                <w:rFonts w:ascii="Times New Roman" w:eastAsia="Times New Roman" w:hAnsi="Times New Roman"/>
                <w:sz w:val="20"/>
                <w:szCs w:val="20"/>
                <w:lang w:eastAsia="sk-SK"/>
              </w:rPr>
              <w:t xml:space="preserve">ade, ak materiál nie je zahrnutý do Plánu práce vlády Slovenskej republiky alebo Plánu        legislatívnych úloh vlády Slovenskej republiky. </w:t>
            </w:r>
          </w:p>
          <w:p w:rsidR="00D00F18" w:rsidRPr="00D00F18" w:rsidP="00D00F18">
            <w:pP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vyplniť iba v prípade, ak sa záverečné posúdenie vybraných vplyvov uskutočnilo v zmysle bodu 9.1. jednotnej me</w:t>
            </w:r>
            <w:r w:rsidRPr="00D00F18">
              <w:rPr>
                <w:rFonts w:ascii="Times New Roman" w:eastAsia="Times New Roman" w:hAnsi="Times New Roman"/>
                <w:sz w:val="20"/>
                <w:szCs w:val="20"/>
                <w:lang w:eastAsia="sk-SK"/>
              </w:rPr>
              <w:t>todiky.</w:t>
            </w:r>
          </w:p>
        </w:tc>
      </w:tr>
      <w:tr w:rsidTr="00D00F18">
        <w:tblPrEx>
          <w:tblW w:w="9180" w:type="dxa"/>
          <w:tblLayout w:type="fixed"/>
          <w:tblLook w:val="04A0"/>
        </w:tblPrEx>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D00F18" w:rsidRPr="00D00F18" w:rsidP="00AC2F0E">
            <w:pPr>
              <w:numPr>
                <w:ilvl w:val="0"/>
                <w:numId w:val="20"/>
              </w:numPr>
              <w:spacing w:after="0" w:line="240" w:lineRule="auto"/>
              <w:ind w:left="426"/>
              <w:contextualSpacing/>
              <w:rPr>
                <w:rFonts w:ascii="Times New Roman" w:hAnsi="Times New Roman"/>
                <w:b/>
              </w:rPr>
            </w:pPr>
            <w:r w:rsidRPr="00D00F18">
              <w:rPr>
                <w:rFonts w:ascii="Times New Roman" w:hAnsi="Times New Roman"/>
                <w:b/>
              </w:rPr>
              <w:t>Vybrané vplyvy  materiálu</w:t>
            </w:r>
          </w:p>
        </w:tc>
      </w:tr>
      <w:tr w:rsidTr="00D00F18">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Vplyvy na rozpočet verejnej správy</w:t>
            </w:r>
          </w:p>
        </w:tc>
        <w:tc>
          <w:tcPr>
            <w:tcW w:w="541" w:type="dxa"/>
            <w:gridSpan w:val="2"/>
            <w:tcBorders>
              <w:top w:val="single" w:sz="4" w:space="0" w:color="auto"/>
              <w:left w:val="single" w:sz="4" w:space="0" w:color="auto"/>
              <w:bottom w:val="dotted" w:sz="4" w:space="0" w:color="auto"/>
              <w:right w:val="nil"/>
            </w:tcBorders>
            <w:shd w:val="clear" w:color="auto" w:fill="auto"/>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312" w:type="dxa"/>
            <w:gridSpan w:val="2"/>
            <w:tcBorders>
              <w:top w:val="single" w:sz="4" w:space="0" w:color="auto"/>
              <w:left w:val="nil"/>
              <w:bottom w:val="dotted" w:sz="4" w:space="0" w:color="auto"/>
              <w:right w:val="nil"/>
            </w:tcBorders>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Pozitívne</w:t>
            </w:r>
          </w:p>
        </w:tc>
        <w:tc>
          <w:tcPr>
            <w:tcW w:w="538" w:type="dxa"/>
            <w:gridSpan w:val="2"/>
            <w:tcBorders>
              <w:top w:val="single" w:sz="4" w:space="0" w:color="auto"/>
              <w:left w:val="nil"/>
              <w:bottom w:val="dotted" w:sz="4" w:space="0" w:color="auto"/>
              <w:right w:val="nil"/>
            </w:tcBorders>
            <w:shd w:val="clear" w:color="auto" w:fill="auto"/>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133" w:type="dxa"/>
            <w:tcBorders>
              <w:top w:val="single" w:sz="4" w:space="0" w:color="auto"/>
              <w:left w:val="nil"/>
              <w:bottom w:val="dotted" w:sz="4" w:space="0" w:color="auto"/>
              <w:right w:val="nil"/>
            </w:tcBorders>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Žiadne</w:t>
            </w:r>
          </w:p>
        </w:tc>
        <w:tc>
          <w:tcPr>
            <w:tcW w:w="547" w:type="dxa"/>
            <w:gridSpan w:val="2"/>
            <w:tcBorders>
              <w:top w:val="single" w:sz="4" w:space="0" w:color="auto"/>
              <w:left w:val="nil"/>
              <w:bottom w:val="dotted" w:sz="4" w:space="0" w:color="auto"/>
              <w:right w:val="nil"/>
            </w:tcBorders>
            <w:shd w:val="clear" w:color="auto" w:fill="auto"/>
          </w:tcPr>
          <w:p w:rsidR="00D00F18" w:rsidRPr="00D00F18" w:rsidP="00D00F18">
            <w:pPr>
              <w:ind w:left="-107" w:right="-108"/>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297" w:type="dxa"/>
            <w:tcBorders>
              <w:top w:val="single" w:sz="4" w:space="0" w:color="auto"/>
              <w:left w:val="nil"/>
              <w:bottom w:val="dotted" w:sz="4" w:space="0" w:color="auto"/>
              <w:right w:val="single" w:sz="4" w:space="0" w:color="auto"/>
            </w:tcBorders>
            <w:shd w:val="clear" w:color="auto" w:fill="auto"/>
          </w:tcPr>
          <w:p w:rsidR="00D00F18" w:rsidRPr="00D00F18" w:rsidP="00D00F18">
            <w:pPr>
              <w:ind w:left="34"/>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Negatívne</w:t>
            </w:r>
          </w:p>
        </w:tc>
      </w:tr>
      <w:tr w:rsidTr="00D00F18">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cPr>
          <w:p w:rsidR="00D00F18" w:rsidRPr="00D00F18" w:rsidP="00D00F18">
            <w:pP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z toho rozpočtovo zabezpečené vplyvy,         </w:t>
            </w:r>
          </w:p>
          <w:p w:rsidR="00D00F18" w:rsidRPr="00D00F18" w:rsidP="00D00F18">
            <w:pP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v prípade identifikovaného negatívneho </w:t>
            </w:r>
          </w:p>
          <w:p w:rsidR="00D00F18" w:rsidRPr="00D00F18" w:rsidP="00D00F18">
            <w:pP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vplyvu</w:t>
            </w:r>
          </w:p>
        </w:tc>
        <w:tc>
          <w:tcPr>
            <w:tcW w:w="541" w:type="dxa"/>
            <w:gridSpan w:val="2"/>
            <w:tcBorders>
              <w:top w:val="dotted" w:sz="4" w:space="0" w:color="auto"/>
              <w:left w:val="single" w:sz="4" w:space="0" w:color="auto"/>
              <w:bottom w:val="single" w:sz="4" w:space="0" w:color="auto"/>
              <w:right w:val="nil"/>
            </w:tcBorders>
            <w:shd w:val="clear" w:color="auto" w:fill="auto"/>
            <w:vAlign w:val="center"/>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1312" w:type="dxa"/>
            <w:gridSpan w:val="2"/>
            <w:tcBorders>
              <w:top w:val="dotted" w:sz="4" w:space="0" w:color="auto"/>
              <w:left w:val="nil"/>
              <w:bottom w:val="single" w:sz="4" w:space="0" w:color="auto"/>
              <w:right w:val="nil"/>
            </w:tcBorders>
            <w:shd w:val="clear" w:color="auto" w:fill="auto"/>
            <w:vAlign w:val="center"/>
          </w:tcPr>
          <w:p w:rsidR="00D00F18" w:rsidRPr="00D00F18" w:rsidP="00D00F18">
            <w:pP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Áno</w:t>
            </w:r>
          </w:p>
        </w:tc>
        <w:tc>
          <w:tcPr>
            <w:tcW w:w="538" w:type="dxa"/>
            <w:gridSpan w:val="2"/>
            <w:tcBorders>
              <w:top w:val="dotted" w:sz="4" w:space="0" w:color="auto"/>
              <w:left w:val="nil"/>
              <w:bottom w:val="single" w:sz="4" w:space="0" w:color="auto"/>
              <w:right w:val="nil"/>
            </w:tcBorders>
            <w:shd w:val="clear" w:color="auto" w:fill="auto"/>
            <w:vAlign w:val="center"/>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1133" w:type="dxa"/>
            <w:tcBorders>
              <w:top w:val="dotted" w:sz="4" w:space="0" w:color="auto"/>
              <w:left w:val="nil"/>
              <w:bottom w:val="single" w:sz="4" w:space="0" w:color="auto"/>
              <w:right w:val="nil"/>
            </w:tcBorders>
            <w:shd w:val="clear" w:color="auto" w:fill="auto"/>
            <w:vAlign w:val="center"/>
          </w:tcPr>
          <w:p w:rsidR="00D00F18" w:rsidRPr="00D00F18" w:rsidP="00D00F18">
            <w:pP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Nie</w:t>
            </w:r>
          </w:p>
        </w:tc>
        <w:tc>
          <w:tcPr>
            <w:tcW w:w="547" w:type="dxa"/>
            <w:gridSpan w:val="2"/>
            <w:tcBorders>
              <w:top w:val="dotted" w:sz="4" w:space="0" w:color="auto"/>
              <w:left w:val="nil"/>
              <w:bottom w:val="single" w:sz="4" w:space="0" w:color="auto"/>
              <w:right w:val="nil"/>
            </w:tcBorders>
            <w:shd w:val="clear" w:color="auto" w:fill="auto"/>
            <w:vAlign w:val="center"/>
          </w:tcPr>
          <w:p w:rsidR="00D00F18" w:rsidRPr="00D00F18" w:rsidP="00D00F18">
            <w:pPr>
              <w:ind w:left="-107" w:right="-108"/>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1297" w:type="dxa"/>
            <w:tcBorders>
              <w:top w:val="dotted" w:sz="4" w:space="0" w:color="auto"/>
              <w:left w:val="nil"/>
              <w:bottom w:val="single" w:sz="4" w:space="0" w:color="auto"/>
              <w:right w:val="single" w:sz="4" w:space="0" w:color="auto"/>
            </w:tcBorders>
            <w:shd w:val="clear" w:color="auto" w:fill="auto"/>
            <w:vAlign w:val="center"/>
          </w:tcPr>
          <w:p w:rsidR="00D00F18" w:rsidRPr="00D00F18" w:rsidP="00D00F18">
            <w:pPr>
              <w:ind w:left="34"/>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Čiastočne</w:t>
            </w:r>
          </w:p>
        </w:tc>
      </w:tr>
      <w:tr w:rsidTr="00D00F18">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Vplyvy na podnikateľ</w:t>
            </w:r>
            <w:r w:rsidRPr="00D00F18">
              <w:rPr>
                <w:rFonts w:ascii="Times New Roman" w:eastAsia="Times New Roman" w:hAnsi="Times New Roman"/>
                <w:b/>
                <w:sz w:val="20"/>
                <w:szCs w:val="20"/>
                <w:lang w:eastAsia="sk-SK"/>
              </w:rPr>
              <w:t>ské prostredie</w:t>
            </w:r>
          </w:p>
        </w:tc>
        <w:tc>
          <w:tcPr>
            <w:tcW w:w="541" w:type="dxa"/>
            <w:gridSpan w:val="2"/>
            <w:tcBorders>
              <w:top w:val="single" w:sz="4" w:space="0" w:color="auto"/>
              <w:left w:val="single" w:sz="4" w:space="0" w:color="auto"/>
              <w:bottom w:val="dotted" w:sz="4" w:space="0" w:color="auto"/>
              <w:right w:val="nil"/>
            </w:tcBorders>
            <w:shd w:val="clear" w:color="auto" w:fill="auto"/>
            <w:vAlign w:val="center"/>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312" w:type="dxa"/>
            <w:gridSpan w:val="2"/>
            <w:tcBorders>
              <w:top w:val="single" w:sz="4" w:space="0" w:color="auto"/>
              <w:left w:val="nil"/>
              <w:bottom w:val="dotted" w:sz="4" w:space="0" w:color="auto"/>
              <w:right w:val="nil"/>
            </w:tcBorders>
            <w:shd w:val="clear" w:color="auto" w:fill="auto"/>
            <w:vAlign w:val="center"/>
          </w:tcPr>
          <w:p w:rsidR="00D00F18" w:rsidRPr="00D00F18" w:rsidP="00D00F18">
            <w:pPr>
              <w:ind w:right="-108"/>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Pozitívne</w:t>
            </w:r>
          </w:p>
        </w:tc>
        <w:tc>
          <w:tcPr>
            <w:tcW w:w="538" w:type="dxa"/>
            <w:gridSpan w:val="2"/>
            <w:tcBorders>
              <w:top w:val="single" w:sz="4" w:space="0" w:color="auto"/>
              <w:left w:val="nil"/>
              <w:bottom w:val="dotted" w:sz="4" w:space="0" w:color="auto"/>
              <w:right w:val="nil"/>
            </w:tcBorders>
            <w:shd w:val="clear" w:color="auto" w:fill="auto"/>
            <w:vAlign w:val="center"/>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133" w:type="dxa"/>
            <w:tcBorders>
              <w:top w:val="single" w:sz="4" w:space="0" w:color="auto"/>
              <w:left w:val="nil"/>
              <w:bottom w:val="dotted" w:sz="4" w:space="0" w:color="auto"/>
              <w:right w:val="nil"/>
            </w:tcBorders>
            <w:shd w:val="clear" w:color="auto" w:fill="auto"/>
            <w:vAlign w:val="center"/>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Žiadne</w:t>
            </w:r>
          </w:p>
        </w:tc>
        <w:tc>
          <w:tcPr>
            <w:tcW w:w="547" w:type="dxa"/>
            <w:gridSpan w:val="2"/>
            <w:tcBorders>
              <w:top w:val="single" w:sz="4" w:space="0" w:color="auto"/>
              <w:left w:val="nil"/>
              <w:bottom w:val="dotted" w:sz="4" w:space="0" w:color="auto"/>
              <w:right w:val="nil"/>
            </w:tcBorders>
            <w:shd w:val="clear" w:color="auto" w:fill="auto"/>
            <w:vAlign w:val="center"/>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297" w:type="dxa"/>
            <w:tcBorders>
              <w:top w:val="single" w:sz="4" w:space="0" w:color="auto"/>
              <w:left w:val="nil"/>
              <w:bottom w:val="dotted" w:sz="4" w:space="0" w:color="auto"/>
              <w:right w:val="single" w:sz="4" w:space="0" w:color="auto"/>
            </w:tcBorders>
            <w:shd w:val="clear" w:color="auto" w:fill="auto"/>
            <w:vAlign w:val="center"/>
          </w:tcPr>
          <w:p w:rsidR="00D00F18" w:rsidRPr="00D00F18" w:rsidP="00D00F18">
            <w:pPr>
              <w:ind w:left="54"/>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Negatívne</w:t>
            </w:r>
          </w:p>
        </w:tc>
      </w:tr>
      <w:tr w:rsidTr="00D00F18">
        <w:tblPrEx>
          <w:tblW w:w="9180" w:type="dxa"/>
          <w:tblLayout w:type="fixed"/>
          <w:tblLook w:val="04A0"/>
        </w:tblPrEx>
        <w:tc>
          <w:tcPr>
            <w:tcW w:w="3812" w:type="dxa"/>
            <w:tcBorders>
              <w:top w:val="nil"/>
              <w:left w:val="single" w:sz="4" w:space="0" w:color="000000"/>
              <w:bottom w:val="nil"/>
              <w:right w:val="single" w:sz="4" w:space="0" w:color="000000"/>
            </w:tcBorders>
            <w:shd w:val="clear" w:color="auto" w:fill="E2E2E2"/>
          </w:tcPr>
          <w:p w:rsidR="00D00F18" w:rsidRPr="00D00F18" w:rsidP="00D00F18">
            <w:pP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z toho vplyvy na MSP</w:t>
            </w:r>
          </w:p>
          <w:p w:rsidR="00D00F18" w:rsidRPr="00D00F18" w:rsidP="00D00F18">
            <w:pPr>
              <w:rPr>
                <w:rFonts w:ascii="Times New Roman" w:eastAsia="Times New Roman" w:hAnsi="Times New Roman"/>
                <w:sz w:val="20"/>
                <w:szCs w:val="20"/>
                <w:lang w:eastAsia="sk-SK"/>
              </w:rPr>
            </w:pPr>
          </w:p>
        </w:tc>
        <w:tc>
          <w:tcPr>
            <w:tcW w:w="541" w:type="dxa"/>
            <w:gridSpan w:val="2"/>
            <w:tcBorders>
              <w:top w:val="dotted" w:sz="4" w:space="0" w:color="auto"/>
              <w:left w:val="single" w:sz="4" w:space="0" w:color="000000"/>
              <w:bottom w:val="dotted" w:sz="4" w:space="0" w:color="auto"/>
              <w:right w:val="nil"/>
            </w:tcBorders>
            <w:shd w:val="clear" w:color="auto" w:fill="auto"/>
            <w:vAlign w:val="center"/>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1312" w:type="dxa"/>
            <w:gridSpan w:val="2"/>
            <w:tcBorders>
              <w:top w:val="dotted" w:sz="4" w:space="0" w:color="auto"/>
              <w:left w:val="nil"/>
              <w:bottom w:val="dotted" w:sz="4" w:space="0" w:color="auto"/>
              <w:right w:val="nil"/>
            </w:tcBorders>
            <w:shd w:val="clear" w:color="auto" w:fill="auto"/>
            <w:vAlign w:val="center"/>
          </w:tcPr>
          <w:p w:rsidR="00D00F18" w:rsidRPr="00D00F18" w:rsidP="00D00F18">
            <w:pPr>
              <w:ind w:right="-108"/>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Pozitívne</w:t>
            </w:r>
          </w:p>
        </w:tc>
        <w:tc>
          <w:tcPr>
            <w:tcW w:w="538" w:type="dxa"/>
            <w:gridSpan w:val="2"/>
            <w:tcBorders>
              <w:top w:val="dotted" w:sz="4" w:space="0" w:color="auto"/>
              <w:left w:val="nil"/>
              <w:bottom w:val="dotted" w:sz="4" w:space="0" w:color="auto"/>
              <w:right w:val="nil"/>
            </w:tcBorders>
            <w:shd w:val="clear" w:color="auto" w:fill="auto"/>
            <w:vAlign w:val="center"/>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1133" w:type="dxa"/>
            <w:tcBorders>
              <w:top w:val="dotted" w:sz="4" w:space="0" w:color="auto"/>
              <w:left w:val="nil"/>
              <w:bottom w:val="dotted" w:sz="4" w:space="0" w:color="auto"/>
              <w:right w:val="nil"/>
            </w:tcBorders>
            <w:shd w:val="clear" w:color="auto" w:fill="auto"/>
            <w:vAlign w:val="center"/>
          </w:tcPr>
          <w:p w:rsidR="00D00F18" w:rsidRPr="00D00F18" w:rsidP="00D00F18">
            <w:pP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Žiadne</w:t>
            </w:r>
          </w:p>
        </w:tc>
        <w:tc>
          <w:tcPr>
            <w:tcW w:w="547" w:type="dxa"/>
            <w:gridSpan w:val="2"/>
            <w:tcBorders>
              <w:top w:val="dotted" w:sz="4" w:space="0" w:color="auto"/>
              <w:left w:val="nil"/>
              <w:bottom w:val="dotted" w:sz="4" w:space="0" w:color="auto"/>
              <w:right w:val="nil"/>
            </w:tcBorders>
            <w:shd w:val="clear" w:color="auto" w:fill="auto"/>
            <w:vAlign w:val="center"/>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D00F18" w:rsidRPr="00D00F18" w:rsidP="00D00F18">
            <w:pPr>
              <w:ind w:left="54"/>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Negatívne</w:t>
            </w:r>
          </w:p>
        </w:tc>
      </w:tr>
      <w:tr w:rsidTr="00D00F18">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cPr>
          <w:p w:rsidR="00D00F18" w:rsidRPr="00D00F18" w:rsidP="00D00F18">
            <w:pP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Mechanizmus znižovania byrokracie    </w:t>
            </w:r>
          </w:p>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sz w:val="20"/>
                <w:szCs w:val="20"/>
                <w:lang w:eastAsia="sk-SK"/>
              </w:rPr>
              <w:t xml:space="preserve">    a nákladov sa uplatňuje:</w:t>
            </w:r>
          </w:p>
        </w:tc>
        <w:tc>
          <w:tcPr>
            <w:tcW w:w="541" w:type="dxa"/>
            <w:gridSpan w:val="2"/>
            <w:tcBorders>
              <w:top w:val="dotted" w:sz="4" w:space="0" w:color="auto"/>
              <w:left w:val="single" w:sz="4" w:space="0" w:color="auto"/>
              <w:bottom w:val="single" w:sz="4" w:space="0" w:color="auto"/>
              <w:right w:val="nil"/>
            </w:tcBorders>
            <w:shd w:val="clear" w:color="auto" w:fill="auto"/>
            <w:vAlign w:val="center"/>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596" w:type="dxa"/>
            <w:gridSpan w:val="3"/>
            <w:tcBorders>
              <w:top w:val="dotted" w:sz="4" w:space="0" w:color="auto"/>
              <w:left w:val="nil"/>
              <w:bottom w:val="single" w:sz="4" w:space="0" w:color="auto"/>
              <w:right w:val="nil"/>
            </w:tcBorders>
            <w:shd w:val="clear" w:color="auto" w:fill="auto"/>
            <w:vAlign w:val="center"/>
          </w:tcPr>
          <w:p w:rsidR="00D00F18" w:rsidRPr="00D00F18" w:rsidP="00D00F18">
            <w:pPr>
              <w:ind w:right="-108"/>
              <w:rPr>
                <w:rFonts w:ascii="Times New Roman" w:eastAsia="Times New Roman" w:hAnsi="Times New Roman"/>
                <w:b/>
                <w:sz w:val="20"/>
                <w:szCs w:val="20"/>
                <w:lang w:eastAsia="sk-SK"/>
              </w:rPr>
            </w:pPr>
            <w:r w:rsidRPr="00D00F18">
              <w:rPr>
                <w:rFonts w:ascii="Times New Roman" w:eastAsia="Times New Roman" w:hAnsi="Times New Roman"/>
                <w:sz w:val="20"/>
                <w:szCs w:val="20"/>
                <w:lang w:eastAsia="sk-SK"/>
              </w:rPr>
              <w:t>Áno</w:t>
            </w:r>
          </w:p>
        </w:tc>
        <w:tc>
          <w:tcPr>
            <w:tcW w:w="254" w:type="dxa"/>
            <w:tcBorders>
              <w:top w:val="dotted" w:sz="4" w:space="0" w:color="auto"/>
              <w:left w:val="nil"/>
              <w:bottom w:val="single" w:sz="4" w:space="0" w:color="auto"/>
              <w:right w:val="nil"/>
            </w:tcBorders>
            <w:shd w:val="clear" w:color="auto" w:fill="auto"/>
            <w:vAlign w:val="center"/>
          </w:tcPr>
          <w:p w:rsidR="00D00F18" w:rsidRPr="00D00F18" w:rsidP="00D00F18">
            <w:pPr>
              <w:jc w:val="center"/>
              <w:rPr>
                <w:rFonts w:ascii="Times New Roman" w:eastAsia="Times New Roman" w:hAnsi="Times New Roman"/>
                <w:b/>
                <w:sz w:val="20"/>
                <w:szCs w:val="20"/>
                <w:lang w:eastAsia="sk-SK"/>
              </w:rPr>
            </w:pPr>
          </w:p>
        </w:tc>
        <w:tc>
          <w:tcPr>
            <w:tcW w:w="1133" w:type="dxa"/>
            <w:tcBorders>
              <w:top w:val="dotted" w:sz="4" w:space="0" w:color="auto"/>
              <w:left w:val="nil"/>
              <w:bottom w:val="single" w:sz="4" w:space="0" w:color="auto"/>
              <w:right w:val="nil"/>
            </w:tcBorders>
            <w:shd w:val="clear" w:color="auto" w:fill="auto"/>
            <w:vAlign w:val="center"/>
          </w:tcPr>
          <w:p w:rsidR="00D00F18" w:rsidRPr="00D00F18" w:rsidP="00D00F18">
            <w:pPr>
              <w:jc w:val="center"/>
              <w:rPr>
                <w:rFonts w:ascii="Times New Roman" w:eastAsia="Times New Roman" w:hAnsi="Times New Roman"/>
                <w:b/>
                <w:sz w:val="20"/>
                <w:szCs w:val="20"/>
                <w:lang w:eastAsia="sk-SK"/>
              </w:rPr>
            </w:pPr>
          </w:p>
        </w:tc>
        <w:tc>
          <w:tcPr>
            <w:tcW w:w="547" w:type="dxa"/>
            <w:gridSpan w:val="2"/>
            <w:tcBorders>
              <w:top w:val="dotted" w:sz="4" w:space="0" w:color="auto"/>
              <w:left w:val="nil"/>
              <w:bottom w:val="single" w:sz="4" w:space="0" w:color="auto"/>
              <w:right w:val="nil"/>
            </w:tcBorders>
            <w:shd w:val="clear" w:color="auto" w:fill="auto"/>
            <w:vAlign w:val="center"/>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297" w:type="dxa"/>
            <w:tcBorders>
              <w:top w:val="dotted" w:sz="4" w:space="0" w:color="auto"/>
              <w:left w:val="nil"/>
              <w:bottom w:val="single" w:sz="4" w:space="0" w:color="auto"/>
              <w:right w:val="single" w:sz="4" w:space="0" w:color="auto"/>
            </w:tcBorders>
            <w:shd w:val="clear" w:color="auto" w:fill="auto"/>
            <w:vAlign w:val="center"/>
          </w:tcPr>
          <w:p w:rsidR="00D00F18" w:rsidRPr="00D00F18" w:rsidP="00D00F18">
            <w:pPr>
              <w:ind w:left="54"/>
              <w:rPr>
                <w:rFonts w:ascii="Times New Roman" w:eastAsia="Times New Roman" w:hAnsi="Times New Roman"/>
                <w:b/>
                <w:sz w:val="20"/>
                <w:szCs w:val="20"/>
                <w:lang w:eastAsia="sk-SK"/>
              </w:rPr>
            </w:pPr>
            <w:r w:rsidRPr="00D00F18">
              <w:rPr>
                <w:rFonts w:ascii="Times New Roman" w:eastAsia="Times New Roman" w:hAnsi="Times New Roman"/>
                <w:sz w:val="20"/>
                <w:szCs w:val="20"/>
                <w:lang w:eastAsia="sk-SK"/>
              </w:rPr>
              <w:t>Nie</w:t>
            </w:r>
          </w:p>
        </w:tc>
      </w:tr>
      <w:tr w:rsidTr="00D00F18">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Sociálne vplyvy</w:t>
            </w:r>
          </w:p>
        </w:tc>
        <w:tc>
          <w:tcPr>
            <w:tcW w:w="541" w:type="dxa"/>
            <w:gridSpan w:val="2"/>
            <w:tcBorders>
              <w:top w:val="single" w:sz="4" w:space="0" w:color="auto"/>
              <w:left w:val="single" w:sz="4" w:space="0" w:color="auto"/>
              <w:bottom w:val="single" w:sz="4" w:space="0" w:color="auto"/>
              <w:right w:val="nil"/>
            </w:tcBorders>
            <w:shd w:val="clear" w:color="auto" w:fill="auto"/>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312" w:type="dxa"/>
            <w:gridSpan w:val="2"/>
            <w:tcBorders>
              <w:top w:val="single" w:sz="4" w:space="0" w:color="auto"/>
              <w:left w:val="nil"/>
              <w:bottom w:val="single" w:sz="4" w:space="0" w:color="auto"/>
              <w:right w:val="nil"/>
            </w:tcBorders>
            <w:shd w:val="clear" w:color="auto" w:fill="auto"/>
          </w:tcPr>
          <w:p w:rsidR="00D00F18" w:rsidRPr="00D00F18" w:rsidP="00D00F18">
            <w:pPr>
              <w:ind w:right="-108"/>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Pozitívne</w:t>
            </w:r>
          </w:p>
        </w:tc>
        <w:tc>
          <w:tcPr>
            <w:tcW w:w="538" w:type="dxa"/>
            <w:gridSpan w:val="2"/>
            <w:tcBorders>
              <w:top w:val="single" w:sz="4" w:space="0" w:color="auto"/>
              <w:left w:val="nil"/>
              <w:bottom w:val="single" w:sz="4" w:space="0" w:color="auto"/>
              <w:right w:val="nil"/>
            </w:tcBorders>
            <w:shd w:val="clear" w:color="auto" w:fill="auto"/>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133" w:type="dxa"/>
            <w:tcBorders>
              <w:top w:val="single" w:sz="4" w:space="0" w:color="auto"/>
              <w:left w:val="nil"/>
              <w:bottom w:val="single" w:sz="4" w:space="0" w:color="auto"/>
              <w:right w:val="nil"/>
            </w:tcBorders>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shd w:val="clear" w:color="auto" w:fill="auto"/>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297" w:type="dxa"/>
            <w:tcBorders>
              <w:top w:val="single" w:sz="4" w:space="0" w:color="auto"/>
              <w:left w:val="nil"/>
              <w:bottom w:val="single" w:sz="4" w:space="0" w:color="auto"/>
              <w:right w:val="single" w:sz="4" w:space="0" w:color="auto"/>
            </w:tcBorders>
            <w:shd w:val="clear" w:color="auto" w:fill="auto"/>
          </w:tcPr>
          <w:p w:rsidR="00D00F18" w:rsidRPr="00D00F18" w:rsidP="00D00F18">
            <w:pPr>
              <w:ind w:left="54"/>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Negatívne</w:t>
            </w:r>
          </w:p>
        </w:tc>
      </w:tr>
      <w:tr w:rsidTr="00D00F18">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Vplyvy na ž</w:t>
            </w:r>
            <w:r w:rsidRPr="00D00F18">
              <w:rPr>
                <w:rFonts w:ascii="Times New Roman" w:eastAsia="Times New Roman" w:hAnsi="Times New Roman"/>
                <w:b/>
                <w:sz w:val="20"/>
                <w:szCs w:val="20"/>
                <w:lang w:eastAsia="sk-SK"/>
              </w:rPr>
              <w:t>ivotné prostredie</w:t>
            </w:r>
          </w:p>
        </w:tc>
        <w:tc>
          <w:tcPr>
            <w:tcW w:w="541" w:type="dxa"/>
            <w:gridSpan w:val="2"/>
            <w:tcBorders>
              <w:top w:val="single" w:sz="4" w:space="0" w:color="auto"/>
              <w:left w:val="single" w:sz="4" w:space="0" w:color="auto"/>
              <w:bottom w:val="single" w:sz="4" w:space="0" w:color="auto"/>
              <w:right w:val="nil"/>
            </w:tcBorders>
            <w:shd w:val="clear" w:color="auto" w:fill="auto"/>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312" w:type="dxa"/>
            <w:gridSpan w:val="2"/>
            <w:tcBorders>
              <w:top w:val="single" w:sz="4" w:space="0" w:color="auto"/>
              <w:left w:val="nil"/>
              <w:bottom w:val="single" w:sz="4" w:space="0" w:color="auto"/>
              <w:right w:val="nil"/>
            </w:tcBorders>
            <w:shd w:val="clear" w:color="auto" w:fill="auto"/>
          </w:tcPr>
          <w:p w:rsidR="00D00F18" w:rsidRPr="00D00F18" w:rsidP="00D00F18">
            <w:pPr>
              <w:ind w:right="-108"/>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Pozitívne</w:t>
            </w:r>
          </w:p>
        </w:tc>
        <w:tc>
          <w:tcPr>
            <w:tcW w:w="538" w:type="dxa"/>
            <w:gridSpan w:val="2"/>
            <w:tcBorders>
              <w:top w:val="single" w:sz="4" w:space="0" w:color="auto"/>
              <w:left w:val="nil"/>
              <w:bottom w:val="single" w:sz="4" w:space="0" w:color="auto"/>
              <w:right w:val="nil"/>
            </w:tcBorders>
            <w:shd w:val="clear" w:color="auto" w:fill="auto"/>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133" w:type="dxa"/>
            <w:tcBorders>
              <w:top w:val="single" w:sz="4" w:space="0" w:color="auto"/>
              <w:left w:val="nil"/>
              <w:bottom w:val="single" w:sz="4" w:space="0" w:color="auto"/>
              <w:right w:val="nil"/>
            </w:tcBorders>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shd w:val="clear" w:color="auto" w:fill="auto"/>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297" w:type="dxa"/>
            <w:tcBorders>
              <w:top w:val="single" w:sz="4" w:space="0" w:color="auto"/>
              <w:left w:val="nil"/>
              <w:bottom w:val="single" w:sz="4" w:space="0" w:color="auto"/>
              <w:right w:val="single" w:sz="4" w:space="0" w:color="auto"/>
            </w:tcBorders>
            <w:shd w:val="clear" w:color="auto" w:fill="auto"/>
          </w:tcPr>
          <w:p w:rsidR="00D00F18" w:rsidRPr="00D00F18" w:rsidP="00D00F18">
            <w:pPr>
              <w:ind w:left="54"/>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Negatívne</w:t>
            </w:r>
          </w:p>
        </w:tc>
      </w:tr>
      <w:tr w:rsidTr="00D00F18">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Vplyvy na informatizáciu spoločnosti</w:t>
            </w:r>
          </w:p>
        </w:tc>
        <w:tc>
          <w:tcPr>
            <w:tcW w:w="541" w:type="dxa"/>
            <w:gridSpan w:val="2"/>
            <w:tcBorders>
              <w:top w:val="single" w:sz="4" w:space="0" w:color="auto"/>
              <w:left w:val="single" w:sz="4" w:space="0" w:color="auto"/>
              <w:bottom w:val="single" w:sz="4" w:space="0" w:color="auto"/>
              <w:right w:val="nil"/>
            </w:tcBorders>
            <w:shd w:val="clear" w:color="auto" w:fill="auto"/>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312" w:type="dxa"/>
            <w:gridSpan w:val="2"/>
            <w:tcBorders>
              <w:top w:val="single" w:sz="4" w:space="0" w:color="auto"/>
              <w:left w:val="nil"/>
              <w:bottom w:val="single" w:sz="4" w:space="0" w:color="auto"/>
              <w:right w:val="nil"/>
            </w:tcBorders>
            <w:shd w:val="clear" w:color="auto" w:fill="auto"/>
          </w:tcPr>
          <w:p w:rsidR="00D00F18" w:rsidRPr="00D00F18" w:rsidP="00D00F18">
            <w:pPr>
              <w:ind w:right="-108"/>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Pozitívne</w:t>
            </w:r>
          </w:p>
        </w:tc>
        <w:tc>
          <w:tcPr>
            <w:tcW w:w="538" w:type="dxa"/>
            <w:gridSpan w:val="2"/>
            <w:tcBorders>
              <w:top w:val="single" w:sz="4" w:space="0" w:color="auto"/>
              <w:left w:val="nil"/>
              <w:bottom w:val="single" w:sz="4" w:space="0" w:color="auto"/>
              <w:right w:val="nil"/>
            </w:tcBorders>
            <w:shd w:val="clear" w:color="auto" w:fill="auto"/>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133" w:type="dxa"/>
            <w:tcBorders>
              <w:top w:val="single" w:sz="4" w:space="0" w:color="auto"/>
              <w:left w:val="nil"/>
              <w:bottom w:val="single" w:sz="4" w:space="0" w:color="auto"/>
              <w:right w:val="nil"/>
            </w:tcBorders>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shd w:val="clear" w:color="auto" w:fill="auto"/>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297" w:type="dxa"/>
            <w:tcBorders>
              <w:top w:val="single" w:sz="4" w:space="0" w:color="auto"/>
              <w:left w:val="nil"/>
              <w:bottom w:val="single" w:sz="4" w:space="0" w:color="auto"/>
              <w:right w:val="single" w:sz="4" w:space="0" w:color="auto"/>
            </w:tcBorders>
            <w:shd w:val="clear" w:color="auto" w:fill="auto"/>
          </w:tcPr>
          <w:p w:rsidR="00D00F18" w:rsidRPr="00D00F18" w:rsidP="00D00F18">
            <w:pPr>
              <w:ind w:left="54"/>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Negatívne</w:t>
            </w:r>
          </w:p>
        </w:tc>
      </w:tr>
    </w:tbl>
    <w:p w:rsidR="00D00F18" w:rsidRPr="00D00F18" w:rsidP="00D00F18">
      <w:pPr>
        <w:spacing w:after="0"/>
        <w:rPr>
          <w:vanish/>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31"/>
        <w:gridCol w:w="538"/>
        <w:gridCol w:w="1133"/>
        <w:gridCol w:w="547"/>
        <w:gridCol w:w="1297"/>
      </w:tblGrid>
      <w:tr w:rsidTr="00D00F18">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cPr>
          <w:p w:rsidR="00D00F18" w:rsidRPr="00D00F18" w:rsidP="00D00F18">
            <w:pPr>
              <w:spacing w:after="0" w:line="240" w:lineRule="auto"/>
              <w:rPr>
                <w:rFonts w:ascii="Times New Roman" w:eastAsia="Times New Roman" w:hAnsi="Times New Roman"/>
                <w:b/>
                <w:sz w:val="20"/>
                <w:szCs w:val="20"/>
                <w:lang w:eastAsia="sk-SK"/>
              </w:rPr>
            </w:pPr>
            <w:r w:rsidRPr="00D00F18">
              <w:rPr>
                <w:rFonts w:ascii="Times New Roman"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D00F18" w:rsidRPr="00D00F18" w:rsidP="00D00F18">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shd w:val="clear" w:color="auto" w:fill="auto"/>
          </w:tcPr>
          <w:p w:rsidR="00D00F18" w:rsidRPr="00D00F18" w:rsidP="00D00F18">
            <w:pPr>
              <w:spacing w:after="0" w:line="240" w:lineRule="auto"/>
              <w:ind w:right="-108"/>
              <w:rPr>
                <w:rFonts w:ascii="Times New Roman" w:eastAsia="Times New Roman" w:hAnsi="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D00F18" w:rsidRPr="00D00F18" w:rsidP="00D00F18">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shd w:val="clear" w:color="auto" w:fill="auto"/>
          </w:tcPr>
          <w:p w:rsidR="00D00F18" w:rsidRPr="00D00F18" w:rsidP="00D00F18">
            <w:pPr>
              <w:spacing w:after="0" w:line="240" w:lineRule="auto"/>
              <w:rPr>
                <w:rFonts w:ascii="Times New Roman" w:eastAsia="Times New Roman" w:hAnsi="Times New Roman"/>
                <w:b/>
                <w:sz w:val="20"/>
                <w:szCs w:val="20"/>
                <w:lang w:eastAsia="sk-SK"/>
              </w:rPr>
            </w:pPr>
          </w:p>
        </w:tc>
        <w:tc>
          <w:tcPr>
            <w:tcW w:w="547" w:type="dxa"/>
            <w:tcBorders>
              <w:top w:val="single" w:sz="4" w:space="0" w:color="auto"/>
              <w:left w:val="nil"/>
              <w:bottom w:val="nil"/>
              <w:right w:val="nil"/>
            </w:tcBorders>
            <w:shd w:val="clear" w:color="auto" w:fill="auto"/>
          </w:tcPr>
          <w:p w:rsidR="00D00F18" w:rsidRPr="00D00F18" w:rsidP="00D00F18">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D00F18" w:rsidRPr="00D00F18" w:rsidP="00D00F18">
            <w:pPr>
              <w:spacing w:after="0" w:line="240" w:lineRule="auto"/>
              <w:ind w:left="54"/>
              <w:rPr>
                <w:rFonts w:ascii="Times New Roman" w:eastAsia="Times New Roman" w:hAnsi="Times New Roman"/>
                <w:b/>
                <w:sz w:val="20"/>
                <w:szCs w:val="20"/>
                <w:lang w:eastAsia="sk-SK"/>
              </w:rPr>
            </w:pPr>
          </w:p>
        </w:tc>
      </w:tr>
      <w:tr w:rsidTr="00D00F18">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D00F18" w:rsidRPr="00D00F18" w:rsidP="00D00F18">
            <w:pPr>
              <w:spacing w:after="0" w:line="240" w:lineRule="auto"/>
              <w:ind w:left="196" w:hanging="196"/>
              <w:rPr>
                <w:rFonts w:ascii="Times New Roman" w:hAnsi="Times New Roman"/>
                <w:b/>
                <w:sz w:val="20"/>
                <w:szCs w:val="20"/>
              </w:rPr>
            </w:pPr>
            <w:r w:rsidRPr="00D00F18">
              <w:rPr>
                <w:rFonts w:ascii="Times New Roman" w:hAnsi="Times New Roman"/>
                <w:b/>
                <w:sz w:val="20"/>
                <w:szCs w:val="20"/>
              </w:rPr>
              <w:t xml:space="preserve">    vplyvy služieb verejnej správy na občana</w:t>
            </w:r>
          </w:p>
        </w:tc>
        <w:tc>
          <w:tcPr>
            <w:tcW w:w="541" w:type="dxa"/>
            <w:tcBorders>
              <w:top w:val="nil"/>
              <w:left w:val="single" w:sz="4" w:space="0" w:color="auto"/>
              <w:bottom w:val="dotted" w:sz="4" w:space="0" w:color="auto"/>
              <w:right w:val="nil"/>
            </w:tcBorders>
            <w:shd w:val="clear" w:color="auto" w:fill="auto"/>
          </w:tcPr>
          <w:p w:rsidR="00D00F18" w:rsidRPr="00D00F18" w:rsidP="00D00F18">
            <w:pPr>
              <w:spacing w:after="0" w:line="240" w:lineRule="auto"/>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312" w:type="dxa"/>
            <w:gridSpan w:val="2"/>
            <w:tcBorders>
              <w:top w:val="nil"/>
              <w:left w:val="nil"/>
              <w:bottom w:val="dotted" w:sz="4" w:space="0" w:color="auto"/>
              <w:right w:val="nil"/>
            </w:tcBorders>
            <w:shd w:val="clear" w:color="auto" w:fill="auto"/>
          </w:tcPr>
          <w:p w:rsidR="00D00F18" w:rsidRPr="00D00F18" w:rsidP="00D00F18">
            <w:pPr>
              <w:spacing w:after="0" w:line="240" w:lineRule="auto"/>
              <w:ind w:right="-108"/>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Pozitívne</w:t>
            </w:r>
          </w:p>
        </w:tc>
        <w:tc>
          <w:tcPr>
            <w:tcW w:w="538" w:type="dxa"/>
            <w:tcBorders>
              <w:top w:val="nil"/>
              <w:left w:val="nil"/>
              <w:bottom w:val="dotted" w:sz="4" w:space="0" w:color="auto"/>
              <w:right w:val="nil"/>
            </w:tcBorders>
            <w:shd w:val="clear" w:color="auto" w:fill="auto"/>
          </w:tcPr>
          <w:p w:rsidR="00D00F18" w:rsidRPr="00D00F18" w:rsidP="00D00F18">
            <w:pPr>
              <w:spacing w:after="0" w:line="240" w:lineRule="auto"/>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133" w:type="dxa"/>
            <w:tcBorders>
              <w:top w:val="nil"/>
              <w:left w:val="nil"/>
              <w:bottom w:val="dotted" w:sz="4" w:space="0" w:color="auto"/>
              <w:right w:val="nil"/>
            </w:tcBorders>
            <w:shd w:val="clear" w:color="auto" w:fill="auto"/>
          </w:tcPr>
          <w:p w:rsidR="00D00F18" w:rsidRPr="00D00F18" w:rsidP="00D00F18">
            <w:pPr>
              <w:spacing w:after="0" w:line="240" w:lineRule="auto"/>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Žiadne</w:t>
            </w:r>
          </w:p>
        </w:tc>
        <w:tc>
          <w:tcPr>
            <w:tcW w:w="547" w:type="dxa"/>
            <w:tcBorders>
              <w:top w:val="nil"/>
              <w:left w:val="nil"/>
              <w:bottom w:val="dotted" w:sz="4" w:space="0" w:color="auto"/>
              <w:right w:val="nil"/>
            </w:tcBorders>
            <w:shd w:val="clear" w:color="auto" w:fill="auto"/>
          </w:tcPr>
          <w:p w:rsidR="00D00F18" w:rsidRPr="00D00F18" w:rsidP="00D00F18">
            <w:pPr>
              <w:spacing w:after="0" w:line="240" w:lineRule="auto"/>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297" w:type="dxa"/>
            <w:tcBorders>
              <w:top w:val="nil"/>
              <w:left w:val="nil"/>
              <w:bottom w:val="dotted" w:sz="4" w:space="0" w:color="auto"/>
              <w:right w:val="single" w:sz="4" w:space="0" w:color="auto"/>
            </w:tcBorders>
            <w:shd w:val="clear" w:color="auto" w:fill="auto"/>
          </w:tcPr>
          <w:p w:rsidR="00D00F18" w:rsidRPr="00D00F18" w:rsidP="00D00F18">
            <w:pPr>
              <w:spacing w:after="0" w:line="240" w:lineRule="auto"/>
              <w:ind w:left="54"/>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Negat</w:t>
            </w:r>
            <w:r w:rsidRPr="00D00F18">
              <w:rPr>
                <w:rFonts w:ascii="Times New Roman" w:eastAsia="Times New Roman" w:hAnsi="Times New Roman"/>
                <w:b/>
                <w:sz w:val="20"/>
                <w:szCs w:val="20"/>
                <w:lang w:eastAsia="sk-SK"/>
              </w:rPr>
              <w:t>ívne</w:t>
            </w:r>
          </w:p>
        </w:tc>
      </w:tr>
      <w:tr w:rsidTr="00D00F18">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D00F18" w:rsidRPr="00D00F18" w:rsidP="00D00F18">
            <w:pPr>
              <w:spacing w:after="0" w:line="240" w:lineRule="auto"/>
              <w:ind w:left="168" w:hanging="168"/>
              <w:rPr>
                <w:rFonts w:ascii="Times New Roman" w:hAnsi="Times New Roman"/>
                <w:b/>
                <w:sz w:val="20"/>
                <w:szCs w:val="20"/>
              </w:rPr>
            </w:pPr>
            <w:r w:rsidRPr="00D00F18">
              <w:rPr>
                <w:rFonts w:ascii="Times New Roman" w:hAnsi="Times New Roman"/>
                <w:b/>
                <w:sz w:val="20"/>
                <w:szCs w:val="20"/>
              </w:rPr>
              <w:t xml:space="preserve">    vplyvy na procesy služieb vo verejnej správe</w:t>
            </w:r>
          </w:p>
        </w:tc>
        <w:tc>
          <w:tcPr>
            <w:tcW w:w="541" w:type="dxa"/>
            <w:tcBorders>
              <w:top w:val="dotted" w:sz="4" w:space="0" w:color="auto"/>
              <w:left w:val="single" w:sz="4" w:space="0" w:color="auto"/>
              <w:bottom w:val="dotted" w:sz="4" w:space="0" w:color="auto"/>
              <w:right w:val="nil"/>
            </w:tcBorders>
            <w:shd w:val="clear" w:color="auto" w:fill="auto"/>
            <w:vAlign w:val="center"/>
          </w:tcPr>
          <w:p w:rsidR="00D00F18" w:rsidRPr="00D00F18" w:rsidP="00D00F18">
            <w:pPr>
              <w:spacing w:after="0" w:line="240" w:lineRule="auto"/>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312" w:type="dxa"/>
            <w:gridSpan w:val="2"/>
            <w:tcBorders>
              <w:top w:val="dotted" w:sz="4" w:space="0" w:color="auto"/>
              <w:left w:val="nil"/>
              <w:bottom w:val="dotted" w:sz="4" w:space="0" w:color="auto"/>
              <w:right w:val="nil"/>
            </w:tcBorders>
            <w:shd w:val="clear" w:color="auto" w:fill="auto"/>
            <w:vAlign w:val="center"/>
          </w:tcPr>
          <w:p w:rsidR="00D00F18" w:rsidRPr="00D00F18" w:rsidP="00D00F18">
            <w:pPr>
              <w:spacing w:after="0" w:line="240" w:lineRule="auto"/>
              <w:ind w:right="-108"/>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Pozitívne</w:t>
            </w:r>
          </w:p>
        </w:tc>
        <w:tc>
          <w:tcPr>
            <w:tcW w:w="538" w:type="dxa"/>
            <w:tcBorders>
              <w:top w:val="dotted" w:sz="4" w:space="0" w:color="auto"/>
              <w:left w:val="nil"/>
              <w:bottom w:val="dotted" w:sz="4" w:space="0" w:color="auto"/>
              <w:right w:val="nil"/>
            </w:tcBorders>
            <w:shd w:val="clear" w:color="auto" w:fill="auto"/>
            <w:vAlign w:val="center"/>
          </w:tcPr>
          <w:p w:rsidR="00D00F18" w:rsidRPr="00D00F18" w:rsidP="00D00F18">
            <w:pPr>
              <w:spacing w:after="0" w:line="240" w:lineRule="auto"/>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133" w:type="dxa"/>
            <w:tcBorders>
              <w:top w:val="dotted" w:sz="4" w:space="0" w:color="auto"/>
              <w:left w:val="nil"/>
              <w:bottom w:val="dotted" w:sz="4" w:space="0" w:color="auto"/>
              <w:right w:val="nil"/>
            </w:tcBorders>
            <w:shd w:val="clear" w:color="auto" w:fill="auto"/>
            <w:vAlign w:val="center"/>
          </w:tcPr>
          <w:p w:rsidR="00D00F18" w:rsidRPr="00D00F18" w:rsidP="00D00F18">
            <w:pPr>
              <w:spacing w:after="0" w:line="240" w:lineRule="auto"/>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Žiadne</w:t>
            </w:r>
          </w:p>
        </w:tc>
        <w:tc>
          <w:tcPr>
            <w:tcW w:w="547" w:type="dxa"/>
            <w:tcBorders>
              <w:top w:val="dotted" w:sz="4" w:space="0" w:color="auto"/>
              <w:left w:val="nil"/>
              <w:bottom w:val="dotted" w:sz="4" w:space="0" w:color="auto"/>
              <w:right w:val="nil"/>
            </w:tcBorders>
            <w:shd w:val="clear" w:color="auto" w:fill="auto"/>
            <w:vAlign w:val="center"/>
          </w:tcPr>
          <w:p w:rsidR="00D00F18" w:rsidRPr="00D00F18" w:rsidP="00D00F18">
            <w:pPr>
              <w:spacing w:after="0" w:line="240" w:lineRule="auto"/>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D00F18" w:rsidRPr="00D00F18" w:rsidP="00D00F18">
            <w:pPr>
              <w:spacing w:after="0" w:line="240" w:lineRule="auto"/>
              <w:ind w:left="54"/>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Negatívne</w:t>
            </w:r>
          </w:p>
        </w:tc>
      </w:tr>
    </w:tbl>
    <w:p w:rsidR="00D00F18" w:rsidRPr="00D00F18" w:rsidP="00D00F18">
      <w:pPr>
        <w:spacing w:after="0"/>
        <w:rPr>
          <w:vanish/>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312"/>
        <w:gridCol w:w="538"/>
        <w:gridCol w:w="1133"/>
        <w:gridCol w:w="547"/>
        <w:gridCol w:w="1297"/>
      </w:tblGrid>
      <w:tr w:rsidTr="00D00F18">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rPr>
              <w:t>Vplyvy na manželstvo, rodičovstvo a rodinu</w:t>
            </w:r>
          </w:p>
        </w:tc>
        <w:tc>
          <w:tcPr>
            <w:tcW w:w="541" w:type="dxa"/>
            <w:tcBorders>
              <w:top w:val="single" w:sz="4" w:space="0" w:color="auto"/>
              <w:left w:val="single" w:sz="4" w:space="0" w:color="auto"/>
              <w:bottom w:val="single" w:sz="4" w:space="0" w:color="auto"/>
              <w:right w:val="nil"/>
            </w:tcBorders>
            <w:shd w:val="clear" w:color="auto" w:fill="auto"/>
            <w:vAlign w:val="center"/>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312" w:type="dxa"/>
            <w:tcBorders>
              <w:top w:val="single" w:sz="4" w:space="0" w:color="auto"/>
              <w:left w:val="nil"/>
              <w:bottom w:val="single" w:sz="4" w:space="0" w:color="auto"/>
              <w:right w:val="nil"/>
            </w:tcBorders>
            <w:shd w:val="clear" w:color="auto" w:fill="auto"/>
            <w:vAlign w:val="center"/>
          </w:tcPr>
          <w:p w:rsidR="00D00F18" w:rsidRPr="00D00F18" w:rsidP="00D00F18">
            <w:pPr>
              <w:ind w:right="-108"/>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Pozitívne</w:t>
            </w:r>
          </w:p>
        </w:tc>
        <w:tc>
          <w:tcPr>
            <w:tcW w:w="538" w:type="dxa"/>
            <w:tcBorders>
              <w:top w:val="single" w:sz="4" w:space="0" w:color="auto"/>
              <w:left w:val="nil"/>
              <w:bottom w:val="single" w:sz="4" w:space="0" w:color="auto"/>
              <w:right w:val="nil"/>
            </w:tcBorders>
            <w:shd w:val="clear" w:color="auto" w:fill="auto"/>
            <w:vAlign w:val="center"/>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133" w:type="dxa"/>
            <w:tcBorders>
              <w:top w:val="single" w:sz="4" w:space="0" w:color="auto"/>
              <w:left w:val="nil"/>
              <w:bottom w:val="single" w:sz="4" w:space="0" w:color="auto"/>
              <w:right w:val="nil"/>
            </w:tcBorders>
            <w:shd w:val="clear" w:color="auto" w:fill="auto"/>
            <w:vAlign w:val="center"/>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Žiadne</w:t>
            </w:r>
          </w:p>
        </w:tc>
        <w:tc>
          <w:tcPr>
            <w:tcW w:w="547" w:type="dxa"/>
            <w:tcBorders>
              <w:top w:val="single" w:sz="4" w:space="0" w:color="auto"/>
              <w:left w:val="nil"/>
              <w:bottom w:val="single" w:sz="4" w:space="0" w:color="auto"/>
              <w:right w:val="nil"/>
            </w:tcBorders>
            <w:shd w:val="clear" w:color="auto" w:fill="auto"/>
            <w:vAlign w:val="center"/>
          </w:tcPr>
          <w:p w:rsidR="00D00F18" w:rsidRPr="00D00F18" w:rsidP="00D00F18">
            <w:pPr>
              <w:jc w:val="cente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p>
        </w:tc>
        <w:tc>
          <w:tcPr>
            <w:tcW w:w="1297" w:type="dxa"/>
            <w:tcBorders>
              <w:top w:val="single" w:sz="4" w:space="0" w:color="auto"/>
              <w:left w:val="nil"/>
              <w:bottom w:val="single" w:sz="4" w:space="0" w:color="auto"/>
              <w:right w:val="single" w:sz="4" w:space="0" w:color="auto"/>
            </w:tcBorders>
            <w:shd w:val="clear" w:color="auto" w:fill="auto"/>
            <w:vAlign w:val="center"/>
          </w:tcPr>
          <w:p w:rsidR="00D00F18" w:rsidRPr="00D00F18" w:rsidP="00D00F18">
            <w:pPr>
              <w:ind w:left="54"/>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Negatívne</w:t>
            </w:r>
          </w:p>
        </w:tc>
      </w:tr>
    </w:tbl>
    <w:p w:rsidR="00D00F18" w:rsidRPr="00D00F18" w:rsidP="00D00F18">
      <w:pPr>
        <w:spacing w:after="0" w:line="240" w:lineRule="auto"/>
        <w:ind w:right="141"/>
        <w:rPr>
          <w:rFonts w:ascii="Times New Roman" w:eastAsia="Times New Roman" w:hAnsi="Times New Roman"/>
          <w:b/>
          <w:sz w:val="20"/>
          <w:szCs w:val="20"/>
          <w:lang w:eastAsia="sk-SK"/>
        </w:rPr>
      </w:pPr>
    </w:p>
    <w:p w:rsidR="00D00F18" w:rsidP="00D00F18">
      <w:pPr>
        <w:spacing w:after="0" w:line="240" w:lineRule="auto"/>
        <w:ind w:right="141"/>
        <w:rPr>
          <w:rFonts w:ascii="Times New Roman" w:eastAsia="Times New Roman" w:hAnsi="Times New Roman"/>
          <w:b/>
          <w:sz w:val="20"/>
          <w:szCs w:val="20"/>
          <w:lang w:eastAsia="sk-SK"/>
        </w:rPr>
      </w:pPr>
    </w:p>
    <w:p w:rsidR="00D00F18" w:rsidP="00D00F18">
      <w:pPr>
        <w:spacing w:after="0" w:line="240" w:lineRule="auto"/>
        <w:ind w:right="141"/>
        <w:rPr>
          <w:rFonts w:ascii="Times New Roman" w:eastAsia="Times New Roman" w:hAnsi="Times New Roman"/>
          <w:b/>
          <w:sz w:val="20"/>
          <w:szCs w:val="20"/>
          <w:lang w:eastAsia="sk-SK"/>
        </w:rPr>
      </w:pPr>
    </w:p>
    <w:p w:rsidR="00D00F18" w:rsidP="00D00F18">
      <w:pPr>
        <w:spacing w:after="0" w:line="240" w:lineRule="auto"/>
        <w:ind w:right="141"/>
        <w:rPr>
          <w:rFonts w:ascii="Times New Roman" w:eastAsia="Times New Roman" w:hAnsi="Times New Roman"/>
          <w:b/>
          <w:sz w:val="20"/>
          <w:szCs w:val="20"/>
          <w:lang w:eastAsia="sk-SK"/>
        </w:rPr>
      </w:pPr>
    </w:p>
    <w:p w:rsidR="00D00F18" w:rsidRPr="00D00F18" w:rsidP="00D00F18">
      <w:pPr>
        <w:spacing w:after="0" w:line="240" w:lineRule="auto"/>
        <w:ind w:right="141"/>
        <w:rPr>
          <w:rFonts w:ascii="Times New Roman" w:eastAsia="Times New Roman" w:hAnsi="Times New Roman"/>
          <w:b/>
          <w:sz w:val="20"/>
          <w:szCs w:val="20"/>
          <w:lang w:eastAsia="sk-SK"/>
        </w:rPr>
      </w:pPr>
    </w:p>
    <w:p w:rsidR="00D00F18" w:rsidRPr="00D00F18" w:rsidP="00D00F18">
      <w:pPr>
        <w:spacing w:after="0" w:line="240" w:lineRule="auto"/>
        <w:ind w:right="141"/>
        <w:rPr>
          <w:rFonts w:ascii="Times New Roman" w:eastAsia="Times New Roman" w:hAnsi="Times New Roman"/>
          <w:b/>
          <w:sz w:val="20"/>
          <w:szCs w:val="20"/>
          <w:lang w:eastAsia="sk-SK"/>
        </w:rPr>
      </w:pPr>
    </w:p>
    <w:p w:rsidR="00D00F18" w:rsidRPr="00D00F18" w:rsidP="00D00F18">
      <w:pPr>
        <w:spacing w:after="0" w:line="240" w:lineRule="auto"/>
        <w:ind w:right="141"/>
        <w:rPr>
          <w:rFonts w:ascii="Times New Roman" w:eastAsia="Times New Roman" w:hAnsi="Times New Roman"/>
          <w:b/>
          <w:sz w:val="20"/>
          <w:szCs w:val="20"/>
          <w:lang w:eastAsia="sk-SK"/>
        </w:rPr>
      </w:pPr>
    </w:p>
    <w:p w:rsidR="00D00F18" w:rsidRPr="00D00F18" w:rsidP="00D00F18">
      <w:pPr>
        <w:spacing w:after="0" w:line="240" w:lineRule="auto"/>
        <w:ind w:right="141"/>
        <w:rPr>
          <w:rFonts w:ascii="Times New Roman" w:eastAsia="Times New Roman" w:hAnsi="Times New Roman"/>
          <w:b/>
          <w:sz w:val="20"/>
          <w:szCs w:val="20"/>
          <w:lang w:eastAsia="sk-SK"/>
        </w:rPr>
      </w:pPr>
    </w:p>
    <w:p w:rsidR="00D00F18" w:rsidRPr="00D00F18" w:rsidP="00D00F18">
      <w:pPr>
        <w:spacing w:after="0" w:line="240" w:lineRule="auto"/>
        <w:ind w:right="141"/>
        <w:rPr>
          <w:rFonts w:ascii="Times New Roman" w:eastAsia="Times New Roman" w:hAnsi="Times New Roman"/>
          <w:b/>
          <w:sz w:val="20"/>
          <w:szCs w:val="20"/>
          <w:lang w:eastAsia="sk-SK"/>
        </w:rPr>
      </w:pPr>
    </w:p>
    <w:p w:rsidR="00D00F18" w:rsidRPr="00D00F18" w:rsidP="00D00F18">
      <w:pPr>
        <w:spacing w:after="0" w:line="240" w:lineRule="auto"/>
        <w:ind w:right="141"/>
        <w:rPr>
          <w:rFonts w:ascii="Times New Roman" w:eastAsia="Times New Roman" w:hAnsi="Times New Roman"/>
          <w:b/>
          <w:sz w:val="20"/>
          <w:szCs w:val="20"/>
          <w:lang w:eastAsia="sk-SK"/>
        </w:rPr>
      </w:pPr>
    </w:p>
    <w:tbl>
      <w:tblPr>
        <w:tblStyle w:val="TableNormal"/>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6"/>
      </w:tblGrid>
      <w:tr w:rsidTr="00D00F18">
        <w:tblPrEx>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cPr>
          <w:p w:rsidR="00D00F18" w:rsidRPr="00D00F18" w:rsidP="00AC2F0E">
            <w:pPr>
              <w:numPr>
                <w:ilvl w:val="0"/>
                <w:numId w:val="20"/>
              </w:numPr>
              <w:spacing w:after="0" w:line="240" w:lineRule="auto"/>
              <w:ind w:left="426"/>
              <w:contextualSpacing/>
              <w:rPr>
                <w:rFonts w:ascii="Times New Roman" w:hAnsi="Times New Roman"/>
                <w:b/>
              </w:rPr>
            </w:pPr>
            <w:r w:rsidRPr="00D00F18">
              <w:rPr>
                <w:rFonts w:ascii="Times New Roman" w:hAnsi="Times New Roman"/>
                <w:b/>
              </w:rPr>
              <w:t>Poznámky</w:t>
            </w:r>
          </w:p>
        </w:tc>
      </w:tr>
      <w:tr w:rsidTr="00D00F18">
        <w:tblPrEx>
          <w:tblW w:w="9176" w:type="dxa"/>
          <w:tblLayout w:type="fixed"/>
          <w:tblLook w:val="04A0"/>
        </w:tblPrEx>
        <w:trPr>
          <w:trHeight w:val="860"/>
        </w:trPr>
        <w:tc>
          <w:tcPr>
            <w:tcW w:w="9176" w:type="dxa"/>
            <w:tcBorders>
              <w:top w:val="nil"/>
              <w:left w:val="single" w:sz="4" w:space="0" w:color="auto"/>
              <w:bottom w:val="single" w:sz="4" w:space="0" w:color="FFFFFF"/>
              <w:right w:val="single" w:sz="4" w:space="0" w:color="auto"/>
            </w:tcBorders>
            <w:shd w:val="clear" w:color="auto" w:fill="auto"/>
          </w:tcPr>
          <w:p w:rsidR="00D00F18" w:rsidRPr="00D00F18" w:rsidP="00D00F18">
            <w:pPr>
              <w:jc w:val="both"/>
              <w:rPr>
                <w:rFonts w:ascii="Times New Roman" w:eastAsia="Times New Roman" w:hAnsi="Times New Roman"/>
                <w:i/>
                <w:sz w:val="20"/>
                <w:szCs w:val="20"/>
                <w:lang w:eastAsia="sk-SK"/>
              </w:rPr>
            </w:pPr>
            <w:r w:rsidRPr="00D00F18">
              <w:rPr>
                <w:rFonts w:ascii="Times New Roman" w:eastAsia="Times New Roman" w:hAnsi="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rsidR="00D00F18" w:rsidRPr="00D00F18" w:rsidP="00D00F18">
            <w:pPr>
              <w:contextualSpacing/>
              <w:rPr>
                <w:rFonts w:ascii="Times New Roman" w:eastAsia="Times New Roman" w:hAnsi="Times New Roman"/>
                <w:sz w:val="20"/>
                <w:szCs w:val="20"/>
              </w:rPr>
            </w:pPr>
            <w:r w:rsidRPr="00D00F18">
              <w:rPr>
                <w:rFonts w:ascii="Times New Roman" w:eastAsia="Times New Roman" w:hAnsi="Times New Roman"/>
                <w:sz w:val="20"/>
                <w:szCs w:val="20"/>
              </w:rPr>
              <w:t>Jednotlivé vplyvy sú podrobnejšie vyhodnotené a popísané v ďalších častiach tejto správy.</w:t>
            </w:r>
          </w:p>
          <w:p w:rsidR="00D00F18" w:rsidRPr="00D00F18" w:rsidP="00D00F18">
            <w:pPr>
              <w:jc w:val="both"/>
              <w:rPr>
                <w:rFonts w:ascii="Times New Roman" w:eastAsia="Times New Roman" w:hAnsi="Times New Roman"/>
                <w:sz w:val="20"/>
                <w:szCs w:val="20"/>
                <w:lang w:eastAsia="sk-SK"/>
              </w:rPr>
            </w:pPr>
            <w:r w:rsidRPr="00D00F18">
              <w:rPr>
                <w:rFonts w:ascii="Times New Roman" w:eastAsia="Times New Roman" w:hAnsi="Times New Roman"/>
                <w:sz w:val="20"/>
                <w:szCs w:val="20"/>
                <w:u w:val="single"/>
              </w:rPr>
              <w:t>Vplyvy na rozpočet ver</w:t>
            </w:r>
            <w:r w:rsidRPr="00D00F18">
              <w:rPr>
                <w:rFonts w:ascii="Times New Roman" w:eastAsia="Times New Roman" w:hAnsi="Times New Roman"/>
                <w:sz w:val="20"/>
                <w:szCs w:val="20"/>
                <w:u w:val="single"/>
              </w:rPr>
              <w:t>ejnej správy</w:t>
            </w:r>
            <w:r w:rsidRPr="00D00F18">
              <w:rPr>
                <w:rFonts w:ascii="Times New Roman" w:eastAsia="Times New Roman" w:hAnsi="Times New Roman"/>
                <w:sz w:val="20"/>
                <w:szCs w:val="20"/>
              </w:rPr>
              <w:t xml:space="preserve"> – predpokladá sa negatívny vplyv na rozpočet verejnej správy z dôvodu implementácie </w:t>
            </w:r>
            <w:r w:rsidRPr="00D00F18">
              <w:rPr>
                <w:rFonts w:ascii="Times New Roman" w:hAnsi="Times New Roman"/>
                <w:sz w:val="20"/>
                <w:szCs w:val="20"/>
              </w:rPr>
              <w:t>smernice (EÚ) 2020/2184</w:t>
            </w:r>
            <w:r w:rsidRPr="00D00F18">
              <w:rPr>
                <w:rFonts w:ascii="Times New Roman" w:eastAsia="Times New Roman" w:hAnsi="Times New Roman"/>
                <w:sz w:val="20"/>
                <w:szCs w:val="20"/>
              </w:rPr>
              <w:t xml:space="preserve">. </w:t>
            </w:r>
            <w:r w:rsidRPr="00D00F18">
              <w:rPr>
                <w:rFonts w:ascii="Times New Roman" w:eastAsia="Times New Roman" w:hAnsi="Times New Roman"/>
                <w:sz w:val="20"/>
                <w:szCs w:val="20"/>
                <w:lang w:eastAsia="sk-SK"/>
              </w:rPr>
              <w:t>Pre vykonateľnosť navrhovaného zákona bude potrebné personálne posilnenie</w:t>
            </w:r>
          </w:p>
          <w:p w:rsidR="00D00F18" w:rsidRPr="00D00F18" w:rsidP="00D00F18">
            <w:pPr>
              <w:jc w:val="both"/>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w:t>
            </w:r>
            <w:r w:rsidRPr="00D00F18">
              <w:rPr>
                <w:rFonts w:ascii="Times New Roman" w:eastAsia="Times New Roman" w:hAnsi="Times New Roman"/>
                <w:sz w:val="20"/>
                <w:szCs w:val="20"/>
                <w:u w:val="single"/>
                <w:lang w:eastAsia="sk-SK"/>
              </w:rPr>
              <w:t>okresných úradov – štátnej správy vôd</w:t>
            </w:r>
            <w:r w:rsidRPr="00D00F18">
              <w:rPr>
                <w:rFonts w:ascii="Times New Roman" w:eastAsia="Times New Roman" w:hAnsi="Times New Roman"/>
                <w:sz w:val="20"/>
                <w:szCs w:val="20"/>
                <w:lang w:eastAsia="sk-SK"/>
              </w:rPr>
              <w:t xml:space="preserve">  - v súvislosti s im</w:t>
            </w:r>
            <w:r w:rsidRPr="00D00F18">
              <w:rPr>
                <w:rFonts w:ascii="Times New Roman" w:eastAsia="Times New Roman" w:hAnsi="Times New Roman"/>
                <w:sz w:val="20"/>
                <w:szCs w:val="20"/>
                <w:lang w:eastAsia="sk-SK"/>
              </w:rPr>
              <w:t xml:space="preserve">plementáciou </w:t>
            </w:r>
            <w:r w:rsidRPr="00D00F18">
              <w:rPr>
                <w:rFonts w:ascii="Times New Roman" w:hAnsi="Times New Roman"/>
                <w:sz w:val="20"/>
                <w:szCs w:val="20"/>
              </w:rPr>
              <w:t xml:space="preserve">smernice (EÚ) 2020/2184 </w:t>
            </w:r>
            <w:r w:rsidRPr="00D00F18">
              <w:rPr>
                <w:rFonts w:ascii="Times New Roman" w:eastAsia="Times New Roman" w:hAnsi="Times New Roman"/>
                <w:sz w:val="20"/>
                <w:szCs w:val="20"/>
                <w:lang w:eastAsia="sk-SK"/>
              </w:rPr>
              <w:t>bude potrebné prehodnotiť (prípadne vyhlásiť) všetky ochranné pásma vodárenských zdrojov, vydávanie stanovísk pre regionálne úrady verejného zdravotníctva v súvislosti s vydávaním rozhodnutí k manažmentu rizík pre dodávateľov pitnej vody  a vydávaním stanovísk k programu monitorovania pre dodávateľov pitnej vody</w:t>
            </w:r>
          </w:p>
          <w:p w:rsidR="00D00F18" w:rsidRPr="00D00F18" w:rsidP="00D00F18">
            <w:pPr>
              <w:jc w:val="both"/>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w:t>
            </w:r>
            <w:r w:rsidRPr="00D00F18">
              <w:rPr>
                <w:rFonts w:ascii="Times New Roman" w:eastAsia="Times New Roman" w:hAnsi="Times New Roman"/>
                <w:sz w:val="20"/>
                <w:szCs w:val="20"/>
                <w:u w:val="single"/>
                <w:lang w:eastAsia="sk-SK"/>
              </w:rPr>
              <w:t>poverenej organizácie MŽP SR v oblasti vôd</w:t>
            </w:r>
            <w:r w:rsidRPr="00D00F18">
              <w:rPr>
                <w:rFonts w:ascii="Times New Roman" w:eastAsia="Times New Roman" w:hAnsi="Times New Roman"/>
                <w:sz w:val="20"/>
                <w:szCs w:val="20"/>
                <w:lang w:eastAsia="sk-SK"/>
              </w:rPr>
              <w:t xml:space="preserve"> (povrchových a podzemných vôd), monitorovania vôd, hodnotenia a analýz vôd a v oblasti spracovania priestorových údajov, spracovanie manažmentu rizík. </w:t>
            </w:r>
          </w:p>
          <w:p w:rsidR="00D00F18" w:rsidRPr="00D00F18" w:rsidP="00D00F18">
            <w:pPr>
              <w:jc w:val="both"/>
              <w:rPr>
                <w:rFonts w:ascii="Times New Roman" w:eastAsia="Times New Roman" w:hAnsi="Times New Roman"/>
              </w:rPr>
            </w:pPr>
            <w:r w:rsidRPr="00D00F18">
              <w:rPr>
                <w:rFonts w:ascii="Times New Roman" w:eastAsia="Times New Roman" w:hAnsi="Times New Roman"/>
                <w:sz w:val="20"/>
                <w:szCs w:val="20"/>
              </w:rPr>
              <w:t xml:space="preserve">Zároveň je predpoklad negatívnych vplyvov na rozpočet obcí, sú potrebné zvýšené finančné prostriedky na zabezpečenie implementácie smernice  aj v súvislosti s určením ochranných pásiem vodárenských zdrojov </w:t>
            </w:r>
            <w:r w:rsidRPr="00D00F18">
              <w:rPr>
                <w:rFonts w:ascii="Times New Roman" w:eastAsia="Times New Roman" w:hAnsi="Times New Roman"/>
              </w:rPr>
              <w:t xml:space="preserve"> (</w:t>
            </w:r>
            <w:r w:rsidRPr="00D00F18">
              <w:rPr>
                <w:rFonts w:ascii="Times New Roman" w:eastAsia="Times New Roman" w:hAnsi="Times New Roman"/>
                <w:sz w:val="20"/>
                <w:szCs w:val="20"/>
                <w:lang w:eastAsia="sk-SK"/>
              </w:rPr>
              <w:t>prehodnotenie, prípadne vyhlásenie a všetky s tým súvisiace činnosti), ktoré sú vo vlastníctve obcí alebo ich obce prevádzkujú. Tieto finančné prostriedky, sa tohto času nedajú kvantifikovať (neboli poskytnuté údaje od jednotlivých subjektov/obcí).</w:t>
            </w:r>
          </w:p>
        </w:tc>
      </w:tr>
      <w:tr w:rsidTr="00D00F18">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cPr>
          <w:p w:rsidR="00D00F18" w:rsidRPr="00D00F18" w:rsidP="00AC2F0E">
            <w:pPr>
              <w:numPr>
                <w:ilvl w:val="0"/>
                <w:numId w:val="20"/>
              </w:numPr>
              <w:spacing w:after="0" w:line="240" w:lineRule="auto"/>
              <w:ind w:left="426"/>
              <w:contextualSpacing/>
              <w:rPr>
                <w:rFonts w:ascii="Times New Roman" w:hAnsi="Times New Roman"/>
                <w:b/>
              </w:rPr>
            </w:pPr>
            <w:r w:rsidRPr="00D00F18">
              <w:rPr>
                <w:rFonts w:ascii="Times New Roman" w:hAnsi="Times New Roman"/>
                <w:b/>
              </w:rPr>
              <w:t>Kontakt na spracovateľa</w:t>
            </w:r>
          </w:p>
        </w:tc>
      </w:tr>
      <w:tr w:rsidTr="00D00F18">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D00F18" w:rsidRPr="00D00F18" w:rsidP="00D00F18">
            <w:pPr>
              <w:rPr>
                <w:rFonts w:ascii="Times New Roman" w:eastAsia="Times New Roman" w:hAnsi="Times New Roman"/>
                <w:i/>
                <w:sz w:val="20"/>
                <w:szCs w:val="20"/>
                <w:lang w:eastAsia="sk-SK"/>
              </w:rPr>
            </w:pPr>
            <w:r w:rsidRPr="00D00F18">
              <w:rPr>
                <w:rFonts w:ascii="Times New Roman" w:eastAsia="Times New Roman" w:hAnsi="Times New Roman"/>
                <w:i/>
                <w:sz w:val="20"/>
                <w:szCs w:val="20"/>
                <w:lang w:eastAsia="sk-SK"/>
              </w:rPr>
              <w:t>Uveďte údaje na kontaktnú osobu, ktorú je možné kontaktovať v súvislosti s posúdením vybraných vplyvov.</w:t>
            </w:r>
          </w:p>
          <w:p w:rsidR="00D00F18" w:rsidRPr="00D00F18" w:rsidP="00D00F18">
            <w:pPr>
              <w:spacing w:after="60"/>
              <w:jc w:val="both"/>
              <w:rPr>
                <w:rFonts w:ascii="Times New Roman" w:eastAsia="Times New Roman" w:hAnsi="Times New Roman"/>
                <w:b/>
                <w:sz w:val="20"/>
                <w:szCs w:val="20"/>
              </w:rPr>
            </w:pPr>
            <w:r w:rsidRPr="00D00F18">
              <w:rPr>
                <w:rFonts w:ascii="Times New Roman" w:eastAsia="Times New Roman" w:hAnsi="Times New Roman"/>
                <w:b/>
                <w:sz w:val="20"/>
                <w:szCs w:val="20"/>
              </w:rPr>
              <w:t xml:space="preserve">Úrad verejného zdravotníctva SR: </w:t>
            </w:r>
          </w:p>
          <w:p w:rsidR="00D00F18" w:rsidRPr="00D00F18" w:rsidP="00D00F18">
            <w:pPr>
              <w:spacing w:after="60"/>
              <w:jc w:val="both"/>
              <w:rPr>
                <w:rFonts w:ascii="Times New Roman" w:eastAsia="Times New Roman" w:hAnsi="Times New Roman"/>
                <w:sz w:val="20"/>
                <w:szCs w:val="20"/>
              </w:rPr>
            </w:pPr>
            <w:r w:rsidRPr="00D00F18">
              <w:rPr>
                <w:rFonts w:ascii="Times New Roman" w:eastAsia="Times New Roman" w:hAnsi="Times New Roman"/>
                <w:sz w:val="20"/>
                <w:szCs w:val="20"/>
              </w:rPr>
              <w:t xml:space="preserve">Mgr. Milada Eštóková, PhD. </w:t>
            </w:r>
          </w:p>
          <w:p w:rsidR="00D00F18" w:rsidRPr="00D00F18" w:rsidP="00D00F18">
            <w:pPr>
              <w:spacing w:after="60"/>
              <w:jc w:val="both"/>
              <w:rPr>
                <w:rFonts w:ascii="Times New Roman" w:eastAsia="Times New Roman" w:hAnsi="Times New Roman"/>
                <w:sz w:val="20"/>
                <w:szCs w:val="20"/>
              </w:rPr>
            </w:pPr>
            <w:hyperlink r:id="rId5" w:history="1">
              <w:r w:rsidRPr="00D00F18">
                <w:rPr>
                  <w:rFonts w:ascii="Times New Roman" w:eastAsia="Times New Roman" w:hAnsi="Times New Roman"/>
                  <w:sz w:val="20"/>
                  <w:szCs w:val="20"/>
                  <w:u w:val="single"/>
                </w:rPr>
                <w:t>milada.estokova@uvzsr.sk</w:t>
              </w:r>
            </w:hyperlink>
            <w:r w:rsidRPr="00D00F18">
              <w:rPr>
                <w:rFonts w:ascii="Times New Roman" w:eastAsia="Times New Roman" w:hAnsi="Times New Roman"/>
                <w:sz w:val="20"/>
                <w:szCs w:val="20"/>
              </w:rPr>
              <w:t xml:space="preserve"> </w:t>
            </w:r>
          </w:p>
          <w:p w:rsidR="00D00F18" w:rsidRPr="00D00F18" w:rsidP="00D00F18">
            <w:pPr>
              <w:spacing w:after="60"/>
              <w:rPr>
                <w:rFonts w:ascii="Times New Roman" w:eastAsia="Times New Roman" w:hAnsi="Times New Roman"/>
                <w:sz w:val="20"/>
                <w:szCs w:val="20"/>
              </w:rPr>
            </w:pPr>
            <w:r w:rsidRPr="00D00F18">
              <w:rPr>
                <w:rFonts w:ascii="Times New Roman" w:eastAsia="Times New Roman" w:hAnsi="Times New Roman"/>
                <w:sz w:val="20"/>
                <w:szCs w:val="20"/>
              </w:rPr>
              <w:t xml:space="preserve">RNDr. Zuzana Valovičová, odbor hygieny životného prostredia </w:t>
            </w:r>
          </w:p>
          <w:p w:rsidR="00D00F18" w:rsidRPr="00D00F18" w:rsidP="00D00F18">
            <w:pPr>
              <w:spacing w:after="60"/>
              <w:rPr>
                <w:rFonts w:ascii="Times New Roman" w:eastAsia="Times New Roman" w:hAnsi="Times New Roman"/>
                <w:i/>
                <w:sz w:val="20"/>
                <w:szCs w:val="20"/>
                <w:lang w:eastAsia="sk-SK"/>
              </w:rPr>
            </w:pPr>
            <w:hyperlink r:id="rId6" w:history="1">
              <w:r w:rsidRPr="00D00F18">
                <w:rPr>
                  <w:rFonts w:ascii="Times New Roman" w:eastAsia="Times New Roman" w:hAnsi="Times New Roman"/>
                  <w:sz w:val="20"/>
                  <w:szCs w:val="20"/>
                  <w:u w:val="single"/>
                </w:rPr>
                <w:t>zuzana.valovicova@uvzsr.sk</w:t>
              </w:r>
            </w:hyperlink>
            <w:r w:rsidRPr="00D00F18">
              <w:rPr>
                <w:rFonts w:ascii="Times New Roman" w:eastAsia="Times New Roman" w:hAnsi="Times New Roman"/>
                <w:sz w:val="20"/>
                <w:szCs w:val="20"/>
              </w:rPr>
              <w:t xml:space="preserve">;  </w:t>
            </w:r>
          </w:p>
        </w:tc>
      </w:tr>
      <w:tr w:rsidTr="00D00F18">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cPr>
          <w:p w:rsidR="00D00F18" w:rsidRPr="00D00F18" w:rsidP="00AC2F0E">
            <w:pPr>
              <w:numPr>
                <w:ilvl w:val="0"/>
                <w:numId w:val="20"/>
              </w:numPr>
              <w:spacing w:after="0" w:line="240" w:lineRule="auto"/>
              <w:ind w:left="426"/>
              <w:contextualSpacing/>
              <w:rPr>
                <w:rFonts w:ascii="Times New Roman" w:hAnsi="Times New Roman"/>
                <w:b/>
              </w:rPr>
            </w:pPr>
            <w:r w:rsidRPr="00D00F18">
              <w:rPr>
                <w:rFonts w:ascii="Times New Roman" w:hAnsi="Times New Roman"/>
                <w:b/>
              </w:rPr>
              <w:t>Zdroje</w:t>
            </w:r>
          </w:p>
        </w:tc>
      </w:tr>
      <w:tr w:rsidTr="00D00F18">
        <w:tblPrEx>
          <w:tblW w:w="9176" w:type="dxa"/>
          <w:tblLayout w:type="fixed"/>
          <w:tblLook w:val="04A0"/>
        </w:tblPrEx>
        <w:trPr>
          <w:trHeight w:val="1634"/>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D00F18" w:rsidRPr="00D00F18" w:rsidP="00D00F18">
            <w:pPr>
              <w:jc w:val="both"/>
              <w:rPr>
                <w:rFonts w:ascii="Times New Roman" w:eastAsia="Times New Roman" w:hAnsi="Times New Roman"/>
                <w:i/>
                <w:sz w:val="20"/>
                <w:szCs w:val="20"/>
                <w:lang w:eastAsia="sk-SK"/>
              </w:rPr>
            </w:pPr>
            <w:r w:rsidRPr="00D00F18">
              <w:rPr>
                <w:rFonts w:ascii="Times New Roman" w:eastAsia="Times New Roman" w:hAnsi="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D00F18">
              <w:rPr>
                <w:rFonts w:ascii="Times New Roman" w:hAnsi="Times New Roman"/>
                <w:sz w:val="24"/>
                <w:szCs w:val="24"/>
              </w:rPr>
              <w:t xml:space="preserve"> </w:t>
            </w:r>
          </w:p>
          <w:p w:rsidR="00D00F18" w:rsidRPr="00D00F18" w:rsidP="00D00F18">
            <w:pPr>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 xml:space="preserve">Predkladateľ vychádzal z vlastného prieskumu finančných vplyvov a zo spolupráce s odborníkmi </w:t>
            </w:r>
            <w:r w:rsidRPr="00D00F18">
              <w:rPr>
                <w:rFonts w:ascii="Times New Roman" w:eastAsia="Times New Roman" w:hAnsi="Times New Roman"/>
                <w:bCs/>
                <w:sz w:val="20"/>
                <w:szCs w:val="20"/>
                <w:lang w:eastAsia="sk-SK"/>
              </w:rPr>
              <w:t xml:space="preserve">v oblasti vodného hospodárstva. </w:t>
            </w:r>
          </w:p>
          <w:p w:rsidR="00D00F18" w:rsidRPr="00D00F18" w:rsidP="00D00F18">
            <w:pPr>
              <w:spacing w:after="0"/>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 xml:space="preserve">Zdroje: </w:t>
            </w:r>
          </w:p>
          <w:p w:rsidR="00D00F18" w:rsidRPr="00D00F18" w:rsidP="00AC2F0E">
            <w:pPr>
              <w:numPr>
                <w:ilvl w:val="0"/>
                <w:numId w:val="26"/>
              </w:numPr>
              <w:spacing w:after="0" w:line="240" w:lineRule="auto"/>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Plán rozvoja verejných vodovodov a verejných kanalizácií pre roky 2021 – 2027</w:t>
            </w:r>
          </w:p>
          <w:p w:rsidR="00D00F18" w:rsidRPr="00D00F18" w:rsidP="00AC2F0E">
            <w:pPr>
              <w:numPr>
                <w:ilvl w:val="0"/>
                <w:numId w:val="26"/>
              </w:numPr>
              <w:spacing w:after="0" w:line="240" w:lineRule="auto"/>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 xml:space="preserve">Zborník konferencie „Pitná voda 2016“ – </w:t>
            </w:r>
            <w:r w:rsidRPr="00D00F18">
              <w:rPr>
                <w:rFonts w:ascii="Times New Roman" w:eastAsia="Times New Roman" w:hAnsi="Times New Roman"/>
                <w:bCs/>
                <w:sz w:val="20"/>
                <w:szCs w:val="20"/>
                <w:lang w:val="cs-CZ" w:eastAsia="sk-SK"/>
              </w:rPr>
              <w:t>Odhad nákladů na zavedení rizikové analýzy</w:t>
            </w:r>
            <w:r w:rsidRPr="00D00F18">
              <w:rPr>
                <w:rFonts w:ascii="Times New Roman" w:eastAsia="Times New Roman" w:hAnsi="Times New Roman"/>
                <w:bCs/>
                <w:sz w:val="20"/>
                <w:szCs w:val="20"/>
                <w:lang w:eastAsia="sk-SK"/>
              </w:rPr>
              <w:t xml:space="preserve"> </w:t>
            </w:r>
          </w:p>
          <w:p w:rsidR="00D00F18" w:rsidRPr="00D00F18" w:rsidP="00AC2F0E">
            <w:pPr>
              <w:numPr>
                <w:ilvl w:val="0"/>
                <w:numId w:val="26"/>
              </w:numPr>
              <w:spacing w:after="0" w:line="240" w:lineRule="auto"/>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 xml:space="preserve">Vodárenský </w:t>
            </w:r>
            <w:r w:rsidRPr="00D00F18">
              <w:rPr>
                <w:rFonts w:ascii="Times New Roman" w:eastAsia="Times New Roman" w:hAnsi="Times New Roman"/>
                <w:bCs/>
                <w:sz w:val="20"/>
                <w:szCs w:val="20"/>
                <w:lang w:val="cs-CZ" w:eastAsia="sk-SK"/>
              </w:rPr>
              <w:t>čtvrtek</w:t>
            </w:r>
            <w:r w:rsidRPr="00D00F18">
              <w:rPr>
                <w:rFonts w:ascii="Times New Roman" w:eastAsia="Times New Roman" w:hAnsi="Times New Roman"/>
                <w:bCs/>
                <w:sz w:val="20"/>
                <w:szCs w:val="20"/>
                <w:lang w:eastAsia="sk-SK"/>
              </w:rPr>
              <w:t xml:space="preserve"> CzWA – </w:t>
            </w:r>
            <w:hyperlink r:id="rId7" w:history="1">
              <w:r w:rsidRPr="00D00F18">
                <w:rPr>
                  <w:rFonts w:ascii="Times New Roman" w:eastAsia="Times New Roman" w:hAnsi="Times New Roman"/>
                  <w:bCs/>
                  <w:sz w:val="20"/>
                  <w:szCs w:val="20"/>
                  <w:u w:val="single"/>
                  <w:lang w:eastAsia="sk-SK"/>
                </w:rPr>
                <w:t>https://youtu.be/ZIfy1ggv4l4</w:t>
              </w:r>
            </w:hyperlink>
          </w:p>
          <w:p w:rsidR="00D00F18" w:rsidRPr="00D00F18" w:rsidP="00AC2F0E">
            <w:pPr>
              <w:numPr>
                <w:ilvl w:val="0"/>
                <w:numId w:val="26"/>
              </w:numPr>
              <w:spacing w:after="0" w:line="240" w:lineRule="auto"/>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Konzultácie s odborníkmi v oblasti vodného hospodárstva (VÚVH, SAVE, AVS, CzWA, SZÚ Praha)</w:t>
            </w:r>
          </w:p>
          <w:p w:rsidR="00D00F18" w:rsidRPr="00D00F18" w:rsidP="00D00F18">
            <w:pPr>
              <w:spacing w:after="0" w:line="240" w:lineRule="auto"/>
              <w:ind w:left="720"/>
              <w:rPr>
                <w:rFonts w:ascii="Times New Roman" w:eastAsia="Times New Roman" w:hAnsi="Times New Roman"/>
                <w:bCs/>
                <w:sz w:val="20"/>
                <w:szCs w:val="20"/>
                <w:lang w:eastAsia="sk-SK"/>
              </w:rPr>
            </w:pPr>
          </w:p>
        </w:tc>
      </w:tr>
      <w:tr w:rsidTr="00D00F18">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cPr>
          <w:p w:rsidR="00D00F18" w:rsidRPr="00D00F18" w:rsidP="00AC2F0E">
            <w:pPr>
              <w:numPr>
                <w:ilvl w:val="0"/>
                <w:numId w:val="20"/>
              </w:numPr>
              <w:spacing w:after="0" w:line="240" w:lineRule="auto"/>
              <w:ind w:left="447" w:hanging="425"/>
              <w:contextualSpacing/>
              <w:rPr>
                <w:rFonts w:ascii="Times New Roman" w:hAnsi="Times New Roman"/>
                <w:b/>
              </w:rPr>
            </w:pPr>
            <w:r w:rsidRPr="00D00F18">
              <w:rPr>
                <w:rFonts w:ascii="Times New Roman" w:hAnsi="Times New Roman"/>
                <w:b/>
              </w:rPr>
              <w:t xml:space="preserve">Stanovisko Komisie na posudzovanie vybraných vplyvov z PPK č. </w:t>
            </w:r>
            <w:r w:rsidRPr="00D00F18">
              <w:rPr>
                <w:rFonts w:ascii="Times New Roman" w:eastAsia="Times New Roman" w:hAnsi="Times New Roman"/>
                <w:b/>
                <w:smallCaps/>
              </w:rPr>
              <w:t>088/2022</w:t>
            </w:r>
          </w:p>
          <w:p w:rsidR="00D00F18" w:rsidRPr="00D00F18" w:rsidP="00D00F18">
            <w:pPr>
              <w:ind w:left="502"/>
              <w:rPr>
                <w:rFonts w:ascii="Times New Roman" w:eastAsia="Times New Roman" w:hAnsi="Times New Roman"/>
                <w:b/>
                <w:sz w:val="20"/>
                <w:szCs w:val="20"/>
                <w:lang w:eastAsia="sk-SK"/>
              </w:rPr>
            </w:pPr>
            <w:r w:rsidRPr="00D00F18">
              <w:rPr>
                <w:rFonts w:ascii="Times New Roman" w:hAnsi="Times New Roman"/>
              </w:rPr>
              <w:t xml:space="preserve">(v prípade, ak sa uskutočnilo v zmysle bodu </w:t>
            </w:r>
            <w:r w:rsidRPr="00D00F18">
              <w:rPr>
                <w:rFonts w:ascii="Times New Roman" w:hAnsi="Times New Roman"/>
              </w:rPr>
              <w:t>8.1 Jednotnej metodiky)</w:t>
            </w:r>
          </w:p>
        </w:tc>
      </w:tr>
      <w:tr w:rsidTr="00D00F18">
        <w:tblPrEx>
          <w:tblW w:w="9176" w:type="dxa"/>
          <w:tblLayout w:type="fixed"/>
          <w:tblLook w:val="04A0"/>
        </w:tblPrEx>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tbl>
            <w:tblPr>
              <w:tblStyle w:val="TableNormal"/>
              <w:tblW w:w="8913" w:type="dxa"/>
              <w:tblInd w:w="284" w:type="dxa"/>
              <w:tblLayout w:type="fixed"/>
              <w:tblLook w:val="04A0"/>
            </w:tblPr>
            <w:tblGrid>
              <w:gridCol w:w="2552"/>
              <w:gridCol w:w="3827"/>
              <w:gridCol w:w="2534"/>
            </w:tblGrid>
            <w:tr w:rsidTr="00D00F18">
              <w:tblPrEx>
                <w:tblW w:w="8913" w:type="dxa"/>
                <w:tblInd w:w="284" w:type="dxa"/>
                <w:tblLayout w:type="fixed"/>
                <w:tblLook w:val="04A0"/>
              </w:tblPrEx>
              <w:trPr>
                <w:trHeight w:val="396"/>
              </w:trPr>
              <w:tc>
                <w:tcPr>
                  <w:tcW w:w="2552"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r w:rsidRPr="00D00F18">
                    <w:rPr>
                      <w:rFonts w:ascii="Times New Roman" w:eastAsia="Times New Roman" w:hAnsi="Times New Roman"/>
                      <w:b/>
                      <w:sz w:val="20"/>
                      <w:szCs w:val="20"/>
                      <w:lang w:eastAsia="sk-SK"/>
                    </w:rPr>
                    <w:t xml:space="preserve">  Súhlasné </w:t>
                  </w:r>
                </w:p>
              </w:tc>
              <w:tc>
                <w:tcPr>
                  <w:tcW w:w="3827"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r w:rsidRPr="00D00F18">
                    <w:rPr>
                      <w:rFonts w:ascii="Times New Roman" w:eastAsia="Times New Roman" w:hAnsi="Times New Roman"/>
                      <w:b/>
                      <w:sz w:val="20"/>
                      <w:szCs w:val="20"/>
                      <w:lang w:eastAsia="sk-SK"/>
                    </w:rPr>
                    <w:t xml:space="preserve">  Súhlasné s návrhom na dopracovanie</w:t>
                  </w:r>
                </w:p>
              </w:tc>
              <w:tc>
                <w:tcPr>
                  <w:tcW w:w="2534" w:type="dxa"/>
                  <w:shd w:val="clear" w:color="auto" w:fill="auto"/>
                </w:tcPr>
                <w:p w:rsidR="00D00F18" w:rsidRPr="00D00F18" w:rsidP="00D00F18">
                  <w:pPr>
                    <w:ind w:right="459"/>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r w:rsidRPr="00D00F18">
                    <w:rPr>
                      <w:rFonts w:ascii="Times New Roman" w:eastAsia="Times New Roman" w:hAnsi="Times New Roman"/>
                      <w:b/>
                      <w:sz w:val="20"/>
                      <w:szCs w:val="20"/>
                      <w:lang w:eastAsia="sk-SK"/>
                    </w:rPr>
                    <w:t xml:space="preserve">  Nesúhlasné</w:t>
                  </w:r>
                </w:p>
              </w:tc>
            </w:tr>
          </w:tbl>
          <w:p w:rsidR="00D00F18" w:rsidRPr="00D00F18" w:rsidP="00D00F18">
            <w:pPr>
              <w:jc w:val="both"/>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Uveďte pripomienky zo stanoviska Komisie z časti II. spolu s Vaším vyhodnotením:</w:t>
            </w:r>
          </w:p>
          <w:p w:rsidR="00D00F18" w:rsidRPr="00D00F18" w:rsidP="00D00F18">
            <w:pPr>
              <w:jc w:val="both"/>
              <w:rPr>
                <w:rFonts w:ascii="Times New Roman" w:eastAsia="Times New Roman" w:hAnsi="Times New Roman"/>
                <w:b/>
                <w:sz w:val="20"/>
                <w:szCs w:val="20"/>
              </w:rPr>
            </w:pPr>
            <w:r w:rsidRPr="00D00F18">
              <w:rPr>
                <w:rFonts w:ascii="Times New Roman" w:eastAsia="Times New Roman" w:hAnsi="Times New Roman"/>
                <w:b/>
                <w:sz w:val="20"/>
                <w:szCs w:val="20"/>
              </w:rPr>
              <w:t>K doložke vybraných vplyvov</w:t>
            </w:r>
          </w:p>
          <w:p w:rsidR="00D00F18" w:rsidRPr="00D00F18" w:rsidP="00D00F18">
            <w:pPr>
              <w:jc w:val="both"/>
              <w:rPr>
                <w:rFonts w:ascii="Times New Roman" w:eastAsia="Times New Roman" w:hAnsi="Times New Roman"/>
                <w:sz w:val="20"/>
                <w:szCs w:val="20"/>
                <w:lang w:eastAsia="sk-SK"/>
              </w:rPr>
            </w:pPr>
            <w:r w:rsidRPr="00D00F18">
              <w:rPr>
                <w:rFonts w:ascii="Times New Roman" w:eastAsia="Times New Roman" w:hAnsi="Times New Roman"/>
                <w:sz w:val="20"/>
                <w:szCs w:val="20"/>
              </w:rPr>
              <w:t>V bode 4. Dotknuté subjekty je potrebné doplniť aj predloženým návrhom dotknutých spotrebiteľov, keďže sa návrh týka aj odberateľov pitnej vody a ďalšej verejnosti v súvislosti so zlepšením prístupu k príslušným informáciám.</w:t>
            </w:r>
          </w:p>
          <w:p w:rsidR="00D00F18" w:rsidRPr="00D00F18" w:rsidP="00D00F18">
            <w:pPr>
              <w:spacing w:after="0"/>
              <w:jc w:val="both"/>
              <w:rPr>
                <w:rFonts w:ascii="Times New Roman" w:eastAsia="Times New Roman" w:hAnsi="Times New Roman"/>
                <w:b/>
                <w:bCs/>
                <w:sz w:val="20"/>
                <w:szCs w:val="20"/>
              </w:rPr>
            </w:pPr>
            <w:r w:rsidRPr="00D00F18">
              <w:rPr>
                <w:rFonts w:ascii="Times New Roman" w:eastAsia="Times New Roman" w:hAnsi="Times New Roman"/>
                <w:b/>
                <w:bCs/>
                <w:sz w:val="20"/>
                <w:szCs w:val="20"/>
              </w:rPr>
              <w:t>Vyhodnotenie pripomienky:</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Akceptované.</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V bode 9 je potrebné označiť aj pozitívne sociál</w:t>
            </w:r>
            <w:r w:rsidRPr="00D00F18">
              <w:rPr>
                <w:rFonts w:ascii="Times New Roman" w:eastAsia="Times New Roman" w:hAnsi="Times New Roman"/>
                <w:sz w:val="20"/>
                <w:szCs w:val="20"/>
              </w:rPr>
              <w:t>ne vplyvy.  </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u w:val="single"/>
              </w:rPr>
              <w:t>Odôvodnenie: </w:t>
            </w:r>
            <w:r w:rsidRPr="00D00F18">
              <w:rPr>
                <w:rFonts w:ascii="Times New Roman" w:eastAsia="Times New Roman" w:hAnsi="Times New Roman"/>
                <w:sz w:val="20"/>
                <w:szCs w:val="20"/>
              </w:rPr>
              <w:t>Predložený návrh zákona má pozitívne aj negatívne sociálne vplyvy, čo predkladateľ uviedol aj v predloženej analýze sociálnych vplyvov, avšak nezohľadnil v bode 9. Doložky vybraných vplyvov.  </w:t>
            </w:r>
          </w:p>
          <w:p w:rsidR="00D00F18" w:rsidRPr="00D00F18" w:rsidP="00D00F18">
            <w:pPr>
              <w:spacing w:after="0"/>
              <w:jc w:val="both"/>
              <w:rPr>
                <w:rFonts w:ascii="Times New Roman" w:eastAsia="Times New Roman" w:hAnsi="Times New Roman"/>
                <w:b/>
                <w:bCs/>
                <w:sz w:val="20"/>
                <w:szCs w:val="20"/>
              </w:rPr>
            </w:pPr>
            <w:r w:rsidRPr="00D00F18">
              <w:rPr>
                <w:rFonts w:ascii="Times New Roman" w:eastAsia="Times New Roman" w:hAnsi="Times New Roman"/>
                <w:b/>
                <w:bCs/>
                <w:sz w:val="20"/>
                <w:szCs w:val="20"/>
              </w:rPr>
              <w:t>Vyhodnotenie pripomienky:</w:t>
            </w:r>
          </w:p>
          <w:p w:rsidR="00D00F18" w:rsidRPr="00D00F18" w:rsidP="00D00F18">
            <w:pPr>
              <w:spacing w:after="0"/>
              <w:jc w:val="both"/>
              <w:rPr>
                <w:rFonts w:ascii="Times New Roman" w:eastAsia="Times New Roman" w:hAnsi="Times New Roman"/>
                <w:b/>
                <w:bCs/>
                <w:sz w:val="20"/>
                <w:szCs w:val="20"/>
              </w:rPr>
            </w:pP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Akceptovan</w:t>
            </w:r>
            <w:r w:rsidRPr="00D00F18">
              <w:rPr>
                <w:rFonts w:ascii="Times New Roman" w:eastAsia="Times New Roman" w:hAnsi="Times New Roman"/>
                <w:sz w:val="20"/>
                <w:szCs w:val="20"/>
              </w:rPr>
              <w:t>é.</w:t>
            </w:r>
          </w:p>
          <w:p w:rsidR="00D00F18" w:rsidRPr="00D00F18" w:rsidP="00D00F18">
            <w:pPr>
              <w:jc w:val="both"/>
              <w:rPr>
                <w:rFonts w:ascii="Times New Roman" w:eastAsia="Times New Roman" w:hAnsi="Times New Roman"/>
                <w:bCs/>
                <w:sz w:val="20"/>
                <w:szCs w:val="20"/>
              </w:rPr>
            </w:pPr>
            <w:r w:rsidRPr="00D00F18">
              <w:rPr>
                <w:rFonts w:ascii="Times New Roman" w:eastAsia="Times New Roman" w:hAnsi="Times New Roman"/>
                <w:bCs/>
                <w:sz w:val="20"/>
                <w:szCs w:val="20"/>
              </w:rPr>
              <w:t>Komisia žiada predkladateľa o uvedenie vplyvu predkladaného materiálu aj na MSP v bode 9. Doložky vybraných vplyvov, vrátane vyznačenia skutočnosti, či sa uplatňuje mechanizmus znižovania byrokracie a nákladov.</w:t>
            </w:r>
          </w:p>
          <w:p w:rsidR="00D00F18" w:rsidRPr="00D00F18" w:rsidP="00D00F18">
            <w:pPr>
              <w:jc w:val="both"/>
              <w:rPr>
                <w:rFonts w:ascii="Times New Roman" w:eastAsia="Times New Roman" w:hAnsi="Times New Roman"/>
                <w:b/>
                <w:bCs/>
                <w:sz w:val="20"/>
                <w:szCs w:val="20"/>
              </w:rPr>
            </w:pPr>
            <w:r w:rsidRPr="00D00F18">
              <w:rPr>
                <w:rFonts w:ascii="Times New Roman" w:eastAsia="Times New Roman" w:hAnsi="Times New Roman"/>
                <w:b/>
                <w:bCs/>
                <w:sz w:val="20"/>
                <w:szCs w:val="20"/>
              </w:rPr>
              <w:t>Vyhodnotenie pripomienky:</w:t>
            </w:r>
          </w:p>
          <w:p w:rsidR="00D00F18" w:rsidRPr="00D00F18" w:rsidP="00D00F18">
            <w:pPr>
              <w:jc w:val="both"/>
              <w:rPr>
                <w:rFonts w:ascii="Times New Roman" w:eastAsia="Times New Roman" w:hAnsi="Times New Roman"/>
                <w:bCs/>
                <w:sz w:val="20"/>
                <w:szCs w:val="20"/>
              </w:rPr>
            </w:pPr>
            <w:r w:rsidRPr="00D00F18">
              <w:rPr>
                <w:rFonts w:ascii="Times New Roman" w:eastAsia="Times New Roman" w:hAnsi="Times New Roman"/>
                <w:bCs/>
                <w:sz w:val="20"/>
                <w:szCs w:val="20"/>
              </w:rPr>
              <w:t xml:space="preserve">Neakceptované. </w:t>
            </w:r>
          </w:p>
          <w:p w:rsidR="00D00F18" w:rsidRPr="00D00F18" w:rsidP="00D00F18">
            <w:pPr>
              <w:jc w:val="both"/>
              <w:rPr>
                <w:rFonts w:ascii="Times New Roman" w:eastAsia="Times New Roman" w:hAnsi="Times New Roman"/>
                <w:bCs/>
                <w:sz w:val="20"/>
                <w:szCs w:val="20"/>
              </w:rPr>
            </w:pPr>
            <w:r w:rsidRPr="00D00F18">
              <w:rPr>
                <w:rFonts w:ascii="Times New Roman" w:eastAsia="Times New Roman" w:hAnsi="Times New Roman"/>
                <w:bCs/>
                <w:sz w:val="20"/>
                <w:szCs w:val="20"/>
              </w:rPr>
              <w:t xml:space="preserve">Napriek žiadosti o vyčíslenie finančných dopadov na dodávateľov pitnej vody v súvislosti so zavedením požiadaviek novej </w:t>
            </w:r>
            <w:r w:rsidRPr="00D00F18">
              <w:rPr>
                <w:rFonts w:ascii="Times New Roman" w:hAnsi="Times New Roman"/>
                <w:sz w:val="20"/>
                <w:szCs w:val="20"/>
              </w:rPr>
              <w:t>smernice (EÚ) 2020/2184</w:t>
            </w:r>
            <w:r w:rsidRPr="00D00F18">
              <w:rPr>
                <w:rFonts w:ascii="Times New Roman" w:eastAsia="Times New Roman" w:hAnsi="Times New Roman"/>
                <w:bCs/>
                <w:sz w:val="20"/>
                <w:szCs w:val="20"/>
              </w:rPr>
              <w:t xml:space="preserve">, neboli dodané žiadne podklady na základe ktorých by sme mohli kvantifikovať dopady. </w:t>
            </w:r>
          </w:p>
          <w:p w:rsidR="00D00F18" w:rsidRPr="00D00F18" w:rsidP="00D00F18">
            <w:pPr>
              <w:jc w:val="both"/>
              <w:rPr>
                <w:rFonts w:ascii="Times New Roman" w:eastAsia="Times New Roman" w:hAnsi="Times New Roman"/>
                <w:bCs/>
                <w:sz w:val="20"/>
                <w:szCs w:val="20"/>
              </w:rPr>
            </w:pPr>
          </w:p>
          <w:p w:rsidR="00D00F18" w:rsidRPr="00D00F18" w:rsidP="00D00F18">
            <w:pPr>
              <w:jc w:val="both"/>
              <w:rPr>
                <w:rFonts w:ascii="Times New Roman" w:eastAsia="Times New Roman" w:hAnsi="Times New Roman"/>
                <w:b/>
                <w:sz w:val="20"/>
                <w:szCs w:val="20"/>
              </w:rPr>
            </w:pPr>
            <w:r w:rsidRPr="00D00F18">
              <w:rPr>
                <w:rFonts w:ascii="Times New Roman" w:eastAsia="Times New Roman" w:hAnsi="Times New Roman"/>
                <w:b/>
                <w:sz w:val="20"/>
                <w:szCs w:val="20"/>
              </w:rPr>
              <w:t>K vplyvom na rozpočet ver</w:t>
            </w:r>
            <w:r w:rsidRPr="00D00F18">
              <w:rPr>
                <w:rFonts w:ascii="Times New Roman" w:eastAsia="Times New Roman" w:hAnsi="Times New Roman"/>
                <w:b/>
                <w:sz w:val="20"/>
                <w:szCs w:val="20"/>
              </w:rPr>
              <w:t>ejnej správy</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V doložke vybraných vplyvov je označený negatívny, rozpočtovo čiastočne zabezpečený vplyv na rozpočet verejnej správy. V rámci analýzy vplyvov na rozpočet sú uvedené dve hlavné tabuľky a to za MZ SR (tabuľka č. 1) a za MŽP SR (tabuľka č. 6). V analýze vplyvov na rozpočet za kapitolu MZ SR sú v tabuľke č. 1 kvantifikované výdavky verejnej správy v sume 5,24 mil. eur na rok 2022 a v sume 0,65 mil. eur ročne v rokoch 2023 až 2025. Rozpočtovo nekrytý vplyv je vyčíslený v sume 5 mil. eur na rok 2023 a 0,26 mil. eur ročne v rokoch 2023 až 2025. Z tabuľky tiež vyplýva požiadavka na zvýšenie limitu počtu zamestnancov o 17 osôb od roku 2022. V analýze vplyvov na rozpočet za kapitolu MŽP SR sú v tabuľke č. 6 kvantifikované výdavky verejnej správy v sume 0</w:t>
            </w:r>
            <w:r w:rsidRPr="00D00F18">
              <w:rPr>
                <w:rFonts w:ascii="Times New Roman" w:eastAsia="Times New Roman" w:hAnsi="Times New Roman"/>
                <w:sz w:val="20"/>
                <w:szCs w:val="20"/>
              </w:rPr>
              <w:t xml:space="preserve">,49 mil. eur na rok 2022, v sume 0,51 mil. eur na rok 2023, v sume 0,39 mil. eur na rok 2024 a v sume 0,43 mil. eur na rok 2025. </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 xml:space="preserve">V doložke vybraných vplyvov v časti 5. Alternatívne riešenia odporúča Komisia doplniť časť o nultom variante o faktický aktuálny stav (personálne kapacity, kvalita zberu dát pre účely, kt. predvída </w:t>
            </w:r>
            <w:r w:rsidRPr="00D00F18">
              <w:rPr>
                <w:rFonts w:ascii="Times New Roman" w:hAnsi="Times New Roman"/>
                <w:sz w:val="20"/>
                <w:szCs w:val="20"/>
              </w:rPr>
              <w:t>smernica (EÚ) 2020/2184</w:t>
            </w:r>
            <w:r w:rsidRPr="00D00F18">
              <w:rPr>
                <w:rFonts w:ascii="Times New Roman" w:eastAsia="Times New Roman" w:hAnsi="Times New Roman"/>
                <w:sz w:val="20"/>
                <w:szCs w:val="20"/>
              </w:rPr>
              <w:t xml:space="preserve">). Faktický aktuálny stav odporúča Komisia okrem toho doplniť o relevantné časti správy NKÚ vo vodárenskom sektore. </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 xml:space="preserve">V zmysle Jednotnej metodiky na posudzovanie vybraných vplyvov je potrebné vypracovať súhrnnú tabuľku vplyvov č. 1 s uvedením všetkých vplyvov na rozpočet verejnej správy. Následne je potrebné vypracovať tabuľky č. 3, 4 a 5 samostatne za každý subjekt verejnej správy. </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 xml:space="preserve">Zo štatistického zisťovania za 1. štvrťrok 2022 vyplýva, že kapitola MZ SR má neplnenie k upravenému limitu  počtu zamestnancov za 1. štvrťrok 2022 o 276,8 osôb (9,16 % neplnenie), resp. v aparáte ústredného orgánu o 64,4 osôb (13,31 % neplnenie). Kapitola dlhodobo neplní limit počtu zamestnancov rozpočtových organizácií. V nadväznosti na uvedené a na vysoké neplnenie limitu počtu zamestnancov ako kapitoly, tak aj aparátu ústredného orgánu zásadne Komisia nesúhlasí s požiadavkou zvýšenia počtu zamestnancov v kapitole MZ SR. Požadované miesta žiada Komisia zabezpečiť v rámci upraveného limitu počtu zamestnancov kapitoly na roky 2022 až 2025, alebo zabezpečiť presunom počtu zamestnancov z podriadených organizácií kapitoly. </w:t>
            </w:r>
          </w:p>
          <w:p w:rsidR="00D00F18" w:rsidRPr="00D00F18" w:rsidP="00D00F18">
            <w:pPr>
              <w:jc w:val="both"/>
              <w:rPr>
                <w:rFonts w:ascii="Times New Roman" w:eastAsia="Times New Roman" w:hAnsi="Times New Roman"/>
                <w:b/>
                <w:bCs/>
                <w:sz w:val="20"/>
                <w:szCs w:val="20"/>
              </w:rPr>
            </w:pPr>
            <w:r w:rsidRPr="00D00F18">
              <w:rPr>
                <w:rFonts w:ascii="Times New Roman" w:eastAsia="Times New Roman" w:hAnsi="Times New Roman"/>
                <w:sz w:val="20"/>
                <w:szCs w:val="20"/>
              </w:rPr>
              <w:t xml:space="preserve">Z uvedeného návrhu vyplývajú negatívne vplyvy na rozpočet MŽP SR. Z vypracovanej analýzy vplyvov nie je zrejmé, či uvedené navýšenie transferu je rozpočtovo kryté, tabuľka č. 6 je vypracovaná nekorektne. Absentujú sumy  v riadkoch „Výdavky verejnej správy celkom“, ako aj „Financovanie zabezpečené v rozpočte“. Uvedené žiada Komisia upraviť a zapracovať do tabuľky č. 1. </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 xml:space="preserve">Súčet prevádzkových nákladov v tabuľke č. 2a predkladateľ uvádza v sume 257 tis. eur. Danú sumu predkladateľ zapracoval aj do tabuliek č. 1 a č. 4. Súčet jednotlivých položiek prevádzkových nákladov je však v sume 272 tis. eur. Uvedené žiada Komisia upraviť. </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 xml:space="preserve">Do analýzy vplyvov na rozpočet je potrebné doplniť vplyvy na ostatné dotknuté subjekty, keďže zo </w:t>
            </w:r>
            <w:r w:rsidRPr="00D00F18">
              <w:rPr>
                <w:rFonts w:ascii="Times New Roman" w:hAnsi="Times New Roman"/>
                <w:sz w:val="20"/>
                <w:szCs w:val="20"/>
              </w:rPr>
              <w:t xml:space="preserve">smernica (EÚ) 2020/2184 </w:t>
            </w:r>
            <w:r w:rsidRPr="00D00F18">
              <w:rPr>
                <w:rFonts w:ascii="Times New Roman" w:eastAsia="Times New Roman" w:hAnsi="Times New Roman"/>
                <w:sz w:val="20"/>
                <w:szCs w:val="20"/>
              </w:rPr>
              <w:t xml:space="preserve">vyplývajú záväzky pre členské štáty, ktoré majú prierezový charakter a predpokladajú činnosť ďalších orgánov okrem uvedených ÚVZ a RÚVZ. </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 xml:space="preserve">Návrhom sa rozširuje rozsah úloh pre obce pri zabezpečovaní pitnej vody. Komisia má za to, že predložený návrh zákona bude mať negatívny vplyv na rozpočet obcí, nakoľko sa navrhujú zmeny aj  v zákone č. 369/1990 Zb. o obecnom zriadení, ktoré rozširujú originálne kompetencie obcí v oblasti zásobovania pitnou vodou. </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Na základe uvedeného žiada Komisia dopracovať analýzu vplyvov na rozpočet a zároveň v nadväznosti na § 33 zákona č. 523/2004 Z. z. o rozpočtových pravidlách verejnej správy a o zmene a doplnení niektorých zákonov doplniť kvantifikáciu dopadov na rozpočet obcí a to nielen na bežný rok, ale aj na tri nasledujúce rozpočtové roky spolu s návrhom na úhradu zvýšených výdavkov.</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 xml:space="preserve">Analýza vplyvov na informatizáciu spoločnosti predpokladá vytvorenie informačného systému v bode 4.3 s odhadovanou cenou investície 760 tis. eur. Táto suma nie je zohľadnená v analýze vplyvov na rozpočet. Komisia žiada o špecifikáciu a zapracovanie uvedeného vplyvu v analýze vplyvov na rozpočet. </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Zároveň, v analýze vplyvov na rozpočet nie je uvedený finančný vplyv na vytvorenie IS, ktoré prepoja jednotlivé rezorty a organizácie. V časti analýza vplyvov na informatizáciu spoločnosti nie je uvedené prepojenie IS. Preto je potrebné doplnenie tohto vplyvu v analýze vplyvov na informatizáciu a jeho špecifikáciu v analýze vplyvov na rozpočet.</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 xml:space="preserve">Komisia žiada, aby všetky negatívne vplyvy na rozpočet verejnej správy vyplývajúce z predmetného návrhu zákona boli zabezpečené v rámci schválených limitov dotknutých subjektov verejnej správy, bez dodatočných požiadaviek na rozpočet verejnej správy. Komisia upozorňuje, že v rozpočte kapitoly VPS na rok 2022 a v návrhu rozpočtu na roky 2023 - 2025 nie sú na uvedený účel rozpočtované prostriedky. </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Zároveň Komisia žiada zaslať MF SR podklady na hodnotenie investičného projektu s názvom LC/MS/MS (kvapalinový chromatograf) v hodnote 1,92 mil. eur najneskôr 30 dní pred rokovaním vlády SR o predmetnom návrhu zákona.</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u w:val="single"/>
              </w:rPr>
              <w:t>Odôvodnenie:</w:t>
            </w:r>
            <w:r w:rsidRPr="00D00F18">
              <w:rPr>
                <w:rFonts w:ascii="Times New Roman" w:eastAsia="Times New Roman" w:hAnsi="Times New Roman"/>
                <w:sz w:val="20"/>
                <w:szCs w:val="20"/>
              </w:rPr>
              <w:t xml:space="preserve"> Z analýzy vplyvov na rozpočet verejnej správy vyplýva potreba zakúpenia predmetného prístroja. V zmysle Metodiky prípravy a hodnotenia investičných projektov, ktorá bola schválená uznesením vlády SR č. 181/2022, sú dotknuté subjekty verejnej správy povinné zaslať investičný projekt s hodnotou nad 1 mil. eur s DPH na hodnotenie MF SR pred jeho predložením na rokovanie vlády SR. </w:t>
            </w:r>
          </w:p>
          <w:p w:rsidR="00D00F18" w:rsidRPr="00D00F18" w:rsidP="00D00F18">
            <w:pPr>
              <w:jc w:val="both"/>
              <w:rPr>
                <w:rFonts w:ascii="Times New Roman" w:eastAsia="Times New Roman" w:hAnsi="Times New Roman"/>
                <w:b/>
                <w:bCs/>
                <w:sz w:val="20"/>
                <w:szCs w:val="20"/>
              </w:rPr>
            </w:pPr>
            <w:r w:rsidRPr="00D00F18">
              <w:rPr>
                <w:rFonts w:ascii="Times New Roman" w:eastAsia="Times New Roman" w:hAnsi="Times New Roman"/>
                <w:b/>
                <w:bCs/>
                <w:sz w:val="20"/>
                <w:szCs w:val="20"/>
              </w:rPr>
              <w:t>Vyhodnotenie pripomienky:</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 xml:space="preserve">Čiastočne akceptované. </w:t>
            </w:r>
          </w:p>
          <w:p w:rsidR="00D00F18" w:rsidRPr="00D00F18" w:rsidP="00D00F18">
            <w:pPr>
              <w:jc w:val="both"/>
              <w:rPr>
                <w:rFonts w:ascii="Times New Roman" w:eastAsia="Times New Roman" w:hAnsi="Times New Roman"/>
                <w:b/>
                <w:sz w:val="20"/>
                <w:szCs w:val="20"/>
              </w:rPr>
            </w:pPr>
            <w:r w:rsidRPr="00D00F18">
              <w:rPr>
                <w:rFonts w:ascii="Times New Roman" w:eastAsia="Times New Roman" w:hAnsi="Times New Roman"/>
                <w:sz w:val="20"/>
                <w:szCs w:val="20"/>
              </w:rPr>
              <w:t>Tvorcovia predpisu v snahe vyčísliť vplyvy nového návrhu materiálu opätovne oslovili obce ako možných dodávateľov pitnej vody a prizvali k účasti na pracovných stretnutiach aj zástupcov NKÚ aj Ministerstva financií SR. Uvedenými pripomienkami sa budú zaoberať na ďalšísh stretnutiach na základe pracovného stretnutia z 23. mája 2022 na MZ SR. Zo strany obcí neboli doručené žiadne podklady.</w:t>
            </w:r>
          </w:p>
          <w:p w:rsidR="00D00F18" w:rsidRPr="00D00F18" w:rsidP="00D00F18">
            <w:pPr>
              <w:jc w:val="both"/>
              <w:rPr>
                <w:rFonts w:ascii="Times New Roman" w:eastAsia="Times New Roman" w:hAnsi="Times New Roman"/>
                <w:b/>
                <w:sz w:val="20"/>
                <w:szCs w:val="20"/>
              </w:rPr>
            </w:pPr>
            <w:r w:rsidRPr="00D00F18">
              <w:rPr>
                <w:rFonts w:ascii="Times New Roman" w:eastAsia="Times New Roman" w:hAnsi="Times New Roman"/>
                <w:b/>
                <w:sz w:val="20"/>
                <w:szCs w:val="20"/>
              </w:rPr>
              <w:t>K vplyvom na podnikateľské prostredie</w:t>
            </w:r>
          </w:p>
          <w:p w:rsidR="00D00F18" w:rsidRPr="00D00F18" w:rsidP="00D00F18">
            <w:pPr>
              <w:autoSpaceDE w:val="0"/>
              <w:autoSpaceDN w:val="0"/>
              <w:jc w:val="both"/>
              <w:rPr>
                <w:rFonts w:ascii="Times New Roman" w:eastAsia="Times New Roman" w:hAnsi="Times New Roman"/>
                <w:sz w:val="20"/>
                <w:szCs w:val="20"/>
                <w:lang w:eastAsia="sk-SK"/>
              </w:rPr>
            </w:pPr>
            <w:r w:rsidRPr="00D00F18">
              <w:rPr>
                <w:rFonts w:ascii="Times New Roman" w:eastAsia="Times New Roman" w:hAnsi="Times New Roman"/>
                <w:bCs/>
                <w:sz w:val="20"/>
                <w:szCs w:val="20"/>
              </w:rPr>
              <w:t>Komisia žiada predkladateľa o vypracovanie Analýzy vplyvov na podnikateľské prostredie.</w:t>
            </w:r>
          </w:p>
          <w:p w:rsidR="00D00F18" w:rsidRPr="00D00F18" w:rsidP="00D00F18">
            <w:pPr>
              <w:autoSpaceDE w:val="0"/>
              <w:autoSpaceDN w:val="0"/>
              <w:jc w:val="both"/>
              <w:rPr>
                <w:rFonts w:ascii="Times New Roman" w:eastAsia="Times New Roman" w:hAnsi="Times New Roman"/>
                <w:sz w:val="20"/>
                <w:szCs w:val="20"/>
              </w:rPr>
            </w:pPr>
            <w:r w:rsidRPr="00D00F18">
              <w:rPr>
                <w:rFonts w:ascii="Times New Roman" w:eastAsia="Times New Roman" w:hAnsi="Times New Roman"/>
                <w:sz w:val="20"/>
                <w:szCs w:val="20"/>
                <w:u w:val="single"/>
              </w:rPr>
              <w:t xml:space="preserve">Odôvodnenie: </w:t>
            </w:r>
            <w:r w:rsidRPr="00D00F18">
              <w:rPr>
                <w:rFonts w:ascii="Times New Roman" w:eastAsia="Times New Roman" w:hAnsi="Times New Roman"/>
                <w:sz w:val="20"/>
                <w:szCs w:val="20"/>
              </w:rPr>
              <w:t xml:space="preserve">Materiál zakladá negatívne vplyvy na podnikateľské prostredie, čo predkladateľ aj vyznačil v Doložke vybraných vplyvov. Dotknutými subjektmi sú minimálne dodávatelia teplej vody v súvislosti s požiadavkami na teplú vodu. Ide o národnú požiadavku, ktorej vplyvy na podnikateľské prostredie je potrebné v Analýze vplyvov na podnikateľské prostredie vyčísliť a popísať. Negatívny vplyv na dodávateľov pitnej vody súvisí s viacerými požiadavkami na kvalitu, zdravotnú bezpečnosť pitnej vody a spôsob preukazovania. Zavádzajú sa nové povinnosti v oblasti uplatňovania prístupu, ktorý je založený na manažmente rizík (ktorý bol doteraz dobrovoľný) vo všetkých častiach dodávateľského systému, ustanovujú sa nové požiadavky na zdravotnú bezpečnosť materiálov, výrobkov a filtračných médií určených na styk s pitnou vodou a chemických látok na úpravu vody a na vykonávania opatrení na ochranu zdravia. Upravuje sa problematika vydávania výnimiek na použitie pitnej vody, ktorá nespĺňa požiadavky ukazovateľov kvality pitnej vody. Zavádzajú sa nové povinnosti v oblasti poskytovania údajov o miere strát pri zásobovaní, pri poskytovaní informácií verejnosti. Ide o transpozíciu EÚ legislatívy, ktorej popis je potrebné v zmysle Jednotnej metodiky na posudzovanie vybraných vplyvov v analýze iba popísať. V prípade otázok či potreby konzultácie kontaktujte MH SR na adrese </w:t>
            </w:r>
            <w:hyperlink r:id="rId8" w:history="1">
              <w:r w:rsidRPr="00D00F18">
                <w:rPr>
                  <w:rFonts w:ascii="Times New Roman" w:eastAsia="Times New Roman" w:hAnsi="Times New Roman"/>
                  <w:sz w:val="20"/>
                  <w:szCs w:val="20"/>
                  <w:u w:val="single"/>
                </w:rPr>
                <w:t>1in2out@mhsr.sk</w:t>
              </w:r>
            </w:hyperlink>
          </w:p>
          <w:p w:rsidR="00D00F18" w:rsidRPr="00D00F18" w:rsidP="00D00F18">
            <w:pPr>
              <w:jc w:val="both"/>
              <w:rPr>
                <w:rFonts w:ascii="Times New Roman" w:eastAsia="Times New Roman" w:hAnsi="Times New Roman"/>
                <w:b/>
                <w:bCs/>
                <w:sz w:val="20"/>
                <w:szCs w:val="20"/>
              </w:rPr>
            </w:pPr>
            <w:r w:rsidRPr="00D00F18">
              <w:rPr>
                <w:rFonts w:ascii="Times New Roman" w:eastAsia="Times New Roman" w:hAnsi="Times New Roman"/>
                <w:b/>
                <w:bCs/>
                <w:sz w:val="20"/>
                <w:szCs w:val="20"/>
              </w:rPr>
              <w:t>Vyhodnotenie pripomienky:</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Čiastočne akceptované.</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 xml:space="preserve">Povinnosti dodávateľov pitnej vody boli spresnené a zahŕňajú výlučne povinnosti, ktoré vyžaduje aj </w:t>
            </w:r>
            <w:r w:rsidRPr="00D00F18">
              <w:rPr>
                <w:rFonts w:ascii="Times New Roman" w:hAnsi="Times New Roman"/>
                <w:sz w:val="20"/>
                <w:szCs w:val="20"/>
              </w:rPr>
              <w:t>smernica (EÚ) 2020/2184</w:t>
            </w:r>
            <w:r w:rsidRPr="00D00F18">
              <w:rPr>
                <w:rFonts w:ascii="Times New Roman" w:eastAsia="Times New Roman" w:hAnsi="Times New Roman"/>
                <w:sz w:val="20"/>
                <w:szCs w:val="20"/>
              </w:rPr>
              <w:t>. Z dôvodu zachovania zdravotnej bezpečnosti pitnej vody nie je však možné pri zavedení novej povinnosti inú, doteraz polatnú povinnosť zo zákona odstrániť. .</w:t>
            </w:r>
          </w:p>
          <w:p w:rsidR="00D00F18" w:rsidRPr="00D00F18" w:rsidP="00D00F18">
            <w:pPr>
              <w:jc w:val="both"/>
              <w:rPr>
                <w:rFonts w:ascii="Times New Roman" w:eastAsia="Times New Roman" w:hAnsi="Times New Roman"/>
                <w:b/>
                <w:sz w:val="20"/>
                <w:szCs w:val="20"/>
              </w:rPr>
            </w:pPr>
            <w:r w:rsidRPr="00D00F18">
              <w:rPr>
                <w:rFonts w:ascii="Times New Roman" w:eastAsia="Times New Roman" w:hAnsi="Times New Roman"/>
                <w:b/>
                <w:sz w:val="20"/>
                <w:szCs w:val="20"/>
              </w:rPr>
              <w:t>K sociálnym vplyvom</w:t>
            </w:r>
          </w:p>
          <w:p w:rsidR="00D00F18" w:rsidRPr="00D00F18" w:rsidP="00D00F18">
            <w:pPr>
              <w:jc w:val="both"/>
              <w:rPr>
                <w:rFonts w:ascii="Times New Roman" w:eastAsia="Times New Roman" w:hAnsi="Times New Roman"/>
                <w:sz w:val="20"/>
                <w:szCs w:val="20"/>
                <w:lang w:eastAsia="sk-SK"/>
              </w:rPr>
            </w:pPr>
            <w:r w:rsidRPr="00D00F18">
              <w:rPr>
                <w:rFonts w:ascii="Times New Roman" w:eastAsia="Times New Roman" w:hAnsi="Times New Roman"/>
                <w:sz w:val="20"/>
                <w:szCs w:val="20"/>
              </w:rPr>
              <w:t>Body 3.1 až 3.4 predloženej analýzy sociálnych vplyvov je potrebné podľa ustanovenej šablóny pre túto analýzu označiť ako 4.1, 4.2, 4.3 a 4.4.</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 xml:space="preserve">Analýzu sociálnych vplyvov je potrebné prepracovať tak, aby boli  návrhy opatrení so sociálnym vplyvom hodnotené jednotlivo, pri každom hodnotenom návrhu opatrenia bol zrejmý jeho opis, vplyv (ktorý môže byť pozitívny alebo negatívny alebo pozitívny aj negatívny), porovnanie navrhovaného opatrenia so súčasným stavom, špecifikácia dotknutých skupín a kvalitatívne a pokiaľ možno aj kvantitatívne zhodnotenie sociálneho vplyvu. </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u w:val="single"/>
              </w:rPr>
              <w:t>Odôvodnenie:</w:t>
            </w:r>
            <w:r w:rsidRPr="00D00F18">
              <w:rPr>
                <w:rFonts w:ascii="Times New Roman" w:eastAsia="Times New Roman" w:hAnsi="Times New Roman"/>
                <w:sz w:val="20"/>
                <w:szCs w:val="20"/>
              </w:rPr>
              <w:t xml:space="preserve"> Predložená analýza sociálnych vplyvov v bode 4.2 len vo všeobecnosti konštatuje vplyvy predloženého návrhu - zvýšenie úrovne ochrany verejného zdravia, zvýšenie informovanosti  dotknutých spotrebiteľov, zlepšenie prístupu k pitnej vode, avšak okrem tohto všeobecného hodnotenia je nevyhnuté vyhodnotiť jednotlivé navrhované opatrenia, ktoré tieto vplyvy zakladajú (napr. návrhy novelizačných bodov č. 2, 6, 7, 11, 13, 22, 23, čl.II bod 2).</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 Z bodu 4.1 je potrebné vypustiť hodnotenie pozitívneho sociálneho vplyvu, ktorý má byť hodnotený len v bode 4.2 analýzy sociálnych vplyvov (a v predloženej analýze sociálnych vplyvov tento vplyv aj je hodnotený v bode 4.2).</w:t>
            </w:r>
          </w:p>
          <w:p w:rsidR="00D00F18" w:rsidRPr="00D00F18" w:rsidP="00D00F18">
            <w:pPr>
              <w:jc w:val="both"/>
              <w:rPr>
                <w:rFonts w:ascii="Times New Roman" w:eastAsia="Times New Roman" w:hAnsi="Times New Roman"/>
                <w:b/>
                <w:bCs/>
                <w:sz w:val="20"/>
                <w:szCs w:val="20"/>
              </w:rPr>
            </w:pPr>
            <w:r w:rsidRPr="00D00F18">
              <w:rPr>
                <w:rFonts w:ascii="Times New Roman" w:eastAsia="Times New Roman" w:hAnsi="Times New Roman"/>
                <w:b/>
                <w:bCs/>
                <w:sz w:val="20"/>
                <w:szCs w:val="20"/>
              </w:rPr>
              <w:t>Vyhodnotenie pripomienky:</w:t>
            </w:r>
          </w:p>
          <w:p w:rsidR="00D00F18" w:rsidRPr="00D00F18" w:rsidP="00D00F18">
            <w:pPr>
              <w:jc w:val="both"/>
              <w:rPr>
                <w:rFonts w:ascii="Times New Roman" w:eastAsia="Times New Roman" w:hAnsi="Times New Roman"/>
                <w:bCs/>
                <w:sz w:val="20"/>
                <w:szCs w:val="20"/>
              </w:rPr>
            </w:pPr>
            <w:r w:rsidRPr="00D00F18">
              <w:rPr>
                <w:rFonts w:ascii="Times New Roman" w:eastAsia="Times New Roman" w:hAnsi="Times New Roman"/>
                <w:bCs/>
                <w:sz w:val="20"/>
                <w:szCs w:val="20"/>
              </w:rPr>
              <w:t>Neakceptované.</w:t>
            </w:r>
          </w:p>
          <w:p w:rsidR="00D00F18" w:rsidRPr="00D00F18" w:rsidP="00D00F18">
            <w:pPr>
              <w:jc w:val="both"/>
              <w:rPr>
                <w:rFonts w:ascii="Times New Roman" w:eastAsia="Times New Roman" w:hAnsi="Times New Roman"/>
                <w:b/>
                <w:sz w:val="20"/>
                <w:szCs w:val="20"/>
              </w:rPr>
            </w:pPr>
            <w:r w:rsidRPr="00D00F18">
              <w:rPr>
                <w:rFonts w:ascii="Times New Roman" w:eastAsia="Times New Roman" w:hAnsi="Times New Roman"/>
                <w:bCs/>
                <w:sz w:val="20"/>
                <w:szCs w:val="20"/>
              </w:rPr>
              <w:t xml:space="preserve">V SR zatiaľ nie je evidované zásobovanie pitnou vodou pre špecifické skupiny, preto nie je možné kvantitatívne navrhované opatrenia vyčísliť. </w:t>
            </w:r>
          </w:p>
          <w:p w:rsidR="00D00F18" w:rsidRPr="00D00F18" w:rsidP="00D00F18">
            <w:pPr>
              <w:jc w:val="both"/>
              <w:rPr>
                <w:rFonts w:ascii="Times New Roman" w:eastAsia="Times New Roman" w:hAnsi="Times New Roman"/>
                <w:b/>
                <w:sz w:val="20"/>
                <w:szCs w:val="20"/>
              </w:rPr>
            </w:pPr>
            <w:r w:rsidRPr="00D00F18">
              <w:rPr>
                <w:rFonts w:ascii="Times New Roman" w:eastAsia="Times New Roman" w:hAnsi="Times New Roman"/>
                <w:b/>
                <w:sz w:val="20"/>
                <w:szCs w:val="20"/>
              </w:rPr>
              <w:t xml:space="preserve">K vplyvom na informatizáciu spoločnosti </w:t>
            </w:r>
          </w:p>
          <w:p w:rsidR="00D00F18" w:rsidRPr="00D00F18" w:rsidP="00D00F18">
            <w:pPr>
              <w:spacing w:after="0" w:line="240" w:lineRule="atLeast"/>
              <w:jc w:val="both"/>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Komisia nesúhlasí s tým, že „</w:t>
            </w:r>
            <w:r w:rsidRPr="00D00F18">
              <w:rPr>
                <w:rFonts w:ascii="Times New Roman" w:eastAsia="Times New Roman" w:hAnsi="Times New Roman"/>
                <w:bCs/>
                <w:i/>
                <w:iCs/>
                <w:sz w:val="20"/>
                <w:szCs w:val="20"/>
                <w:lang w:eastAsia="sk-SK"/>
              </w:rPr>
              <w:t>Návrh na vydanie súhlasu vlády SR so zmenou účelu použitia nevyčerpaných kapitálových výdavkov z predchádzajúcich rozpočtových rokov kapitoly Mi</w:t>
            </w:r>
            <w:r w:rsidRPr="00D00F18">
              <w:rPr>
                <w:rFonts w:ascii="Times New Roman" w:eastAsia="Times New Roman" w:hAnsi="Times New Roman"/>
                <w:bCs/>
                <w:i/>
                <w:iCs/>
                <w:sz w:val="20"/>
                <w:szCs w:val="20"/>
                <w:lang w:eastAsia="sk-SK"/>
              </w:rPr>
              <w:t>nisterstva dopravy a výstavby Slovenskej republiky</w:t>
            </w:r>
            <w:r w:rsidRPr="00D00F18">
              <w:rPr>
                <w:rFonts w:ascii="Times New Roman" w:eastAsia="Times New Roman" w:hAnsi="Times New Roman"/>
                <w:i/>
                <w:iCs/>
                <w:sz w:val="20"/>
                <w:szCs w:val="20"/>
                <w:lang w:eastAsia="sk-SK"/>
              </w:rPr>
              <w:t>.</w:t>
            </w:r>
            <w:r w:rsidRPr="00D00F18">
              <w:rPr>
                <w:rFonts w:ascii="Times New Roman" w:eastAsia="Times New Roman" w:hAnsi="Times New Roman"/>
                <w:sz w:val="20"/>
                <w:szCs w:val="20"/>
                <w:lang w:eastAsia="sk-SK"/>
              </w:rPr>
              <w:t xml:space="preserve">“ má negatívny vplyv na informatizáciu spoločnosti. Pokiaľ predkladateľ plánuje zavádzať alebo upravovať elektronické služby/informačné systémy, jedná sa o pozitívne  vplyvy na informatizáciu spoločnosti. Je nutné vypracovať analýzu vplyvov v celom jej rozsahu od bodu 6.1 (číslovanie jednotlivých bodov máta uvedené zle, nie 4.1. ale 6.1 atď..) a uviesť údaj v každej časti tabuľky, teda napr. aj príslušné kódy a časť od bodu 6.4.1. nie je doplnená vôbec. </w:t>
            </w:r>
          </w:p>
          <w:p w:rsidR="00D00F18" w:rsidRPr="00D00F18" w:rsidP="00D00F18">
            <w:pPr>
              <w:spacing w:after="120"/>
              <w:jc w:val="both"/>
              <w:rPr>
                <w:rFonts w:ascii="Times New Roman" w:eastAsia="Times New Roman" w:hAnsi="Times New Roman"/>
                <w:b/>
                <w:bCs/>
                <w:sz w:val="20"/>
                <w:szCs w:val="20"/>
              </w:rPr>
            </w:pPr>
          </w:p>
          <w:p w:rsidR="00D00F18" w:rsidRPr="00D00F18" w:rsidP="00D00F18">
            <w:pPr>
              <w:jc w:val="both"/>
              <w:rPr>
                <w:rFonts w:ascii="Times New Roman" w:eastAsia="Times New Roman" w:hAnsi="Times New Roman"/>
                <w:b/>
                <w:bCs/>
                <w:sz w:val="20"/>
                <w:szCs w:val="20"/>
              </w:rPr>
            </w:pPr>
            <w:r w:rsidRPr="00D00F18">
              <w:rPr>
                <w:rFonts w:ascii="Times New Roman" w:eastAsia="Times New Roman" w:hAnsi="Times New Roman"/>
                <w:b/>
                <w:bCs/>
                <w:sz w:val="20"/>
                <w:szCs w:val="20"/>
              </w:rPr>
              <w:t>V</w:t>
            </w:r>
            <w:r w:rsidRPr="00D00F18">
              <w:rPr>
                <w:rFonts w:ascii="Times New Roman" w:eastAsia="Times New Roman" w:hAnsi="Times New Roman"/>
                <w:b/>
                <w:bCs/>
                <w:sz w:val="20"/>
                <w:szCs w:val="20"/>
              </w:rPr>
              <w:t>yhodnotenie pripomienky:</w:t>
            </w:r>
          </w:p>
          <w:p w:rsidR="00D00F18" w:rsidRPr="00D00F18" w:rsidP="00D00F18">
            <w:pPr>
              <w:jc w:val="both"/>
              <w:rPr>
                <w:rFonts w:ascii="Times New Roman" w:eastAsia="Times New Roman" w:hAnsi="Times New Roman"/>
                <w:bCs/>
                <w:sz w:val="20"/>
                <w:szCs w:val="20"/>
              </w:rPr>
            </w:pPr>
            <w:r w:rsidRPr="00D00F18">
              <w:rPr>
                <w:rFonts w:ascii="Times New Roman" w:eastAsia="Times New Roman" w:hAnsi="Times New Roman"/>
                <w:bCs/>
                <w:sz w:val="20"/>
                <w:szCs w:val="20"/>
              </w:rPr>
              <w:t>Neakceptované.</w:t>
            </w:r>
          </w:p>
          <w:p w:rsidR="00D00F18" w:rsidRPr="00D00F18" w:rsidP="00D00F18">
            <w:pPr>
              <w:jc w:val="both"/>
              <w:rPr>
                <w:rFonts w:ascii="Times New Roman" w:eastAsia="Times New Roman" w:hAnsi="Times New Roman"/>
                <w:bCs/>
                <w:sz w:val="20"/>
                <w:szCs w:val="20"/>
              </w:rPr>
            </w:pPr>
            <w:r w:rsidRPr="00D00F18">
              <w:rPr>
                <w:rFonts w:ascii="Times New Roman" w:eastAsia="Times New Roman" w:hAnsi="Times New Roman"/>
                <w:bCs/>
                <w:sz w:val="20"/>
                <w:szCs w:val="20"/>
              </w:rPr>
              <w:t>Pripomienka sa netýka predloženého materiálu.</w:t>
            </w:r>
          </w:p>
          <w:p w:rsidR="00D00F18" w:rsidRPr="00D00F18" w:rsidP="00D00F18">
            <w:pPr>
              <w:spacing w:after="0" w:line="240" w:lineRule="atLeast"/>
              <w:jc w:val="both"/>
              <w:rPr>
                <w:rFonts w:ascii="Times New Roman" w:eastAsia="Times New Roman" w:hAnsi="Times New Roman"/>
                <w:b/>
                <w:bCs/>
                <w:sz w:val="20"/>
                <w:szCs w:val="20"/>
                <w:lang w:eastAsia="sk-SK"/>
              </w:rPr>
            </w:pPr>
          </w:p>
          <w:p w:rsidR="00D00F18" w:rsidRPr="00D00F18" w:rsidP="00D00F18">
            <w:pPr>
              <w:spacing w:after="0" w:line="240" w:lineRule="atLeast"/>
              <w:jc w:val="both"/>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K vplyvom na služby verejnej správy pre občana</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V predkladanom materiáli absentuje Analýza vplyvov na služby verejnej správy pre občana, keďže predkladateľ vyznačil v doložke vplyvov pozitívny a negatívny vplyv na služby verejnej správy pre občana.</w:t>
            </w:r>
          </w:p>
          <w:p w:rsidR="00D00F18" w:rsidRPr="00D00F18" w:rsidP="00D00F18">
            <w:pPr>
              <w:jc w:val="both"/>
              <w:rPr>
                <w:rFonts w:ascii="Times New Roman" w:eastAsia="Times New Roman" w:hAnsi="Times New Roman"/>
                <w:sz w:val="20"/>
                <w:szCs w:val="20"/>
              </w:rPr>
            </w:pPr>
            <w:r w:rsidRPr="00D00F18">
              <w:rPr>
                <w:rFonts w:ascii="Times New Roman" w:eastAsia="Times New Roman" w:hAnsi="Times New Roman"/>
                <w:sz w:val="20"/>
                <w:szCs w:val="20"/>
              </w:rPr>
              <w:t>Komisia navrhuje predkladateľovi, aby uvedenú Analýzu vplyvov na služby verejnej správy pre občana vypracoval a doplnil. Bez vypracovanej analýzy nemožno jednoznačne identifikovať vplyv predkladaného materiálu na služby verejnej správy pre občana.</w:t>
            </w:r>
          </w:p>
          <w:p w:rsidR="00D00F18" w:rsidRPr="00D00F18" w:rsidP="00D00F18">
            <w:pPr>
              <w:jc w:val="both"/>
              <w:rPr>
                <w:rFonts w:ascii="Times New Roman" w:eastAsia="Times New Roman" w:hAnsi="Times New Roman"/>
                <w:b/>
                <w:bCs/>
                <w:sz w:val="20"/>
                <w:szCs w:val="20"/>
              </w:rPr>
            </w:pPr>
            <w:r w:rsidRPr="00D00F18">
              <w:rPr>
                <w:rFonts w:ascii="Times New Roman" w:eastAsia="Times New Roman" w:hAnsi="Times New Roman"/>
                <w:b/>
                <w:bCs/>
                <w:sz w:val="20"/>
                <w:szCs w:val="20"/>
              </w:rPr>
              <w:t>Vyhodnotenie pripomienky:</w:t>
            </w:r>
          </w:p>
          <w:p w:rsidR="00D00F18" w:rsidRPr="00D00F18" w:rsidP="00D00F18">
            <w:pP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Akceptované.</w:t>
            </w:r>
          </w:p>
        </w:tc>
      </w:tr>
      <w:tr w:rsidTr="00D00F18">
        <w:tblPrEx>
          <w:tblW w:w="9176" w:type="dxa"/>
          <w:tblBorders>
            <w:insideH w:val="single" w:sz="4" w:space="0" w:color="FFFFFF"/>
            <w:insideV w:val="single" w:sz="4" w:space="0" w:color="FFFFFF"/>
          </w:tblBorders>
          <w:tblLayout w:type="fixed"/>
          <w:tblLook w:val="04A0"/>
        </w:tblPrEx>
        <w:tc>
          <w:tcPr>
            <w:tcW w:w="9176" w:type="dxa"/>
            <w:tcBorders>
              <w:top w:val="single" w:sz="4" w:space="0" w:color="auto"/>
            </w:tcBorders>
            <w:shd w:val="clear" w:color="auto" w:fill="E2E2E2"/>
          </w:tcPr>
          <w:p w:rsidR="00D00F18" w:rsidRPr="00D00F18" w:rsidP="00AC2F0E">
            <w:pPr>
              <w:numPr>
                <w:ilvl w:val="0"/>
                <w:numId w:val="20"/>
              </w:numPr>
              <w:spacing w:after="0" w:line="240" w:lineRule="auto"/>
              <w:ind w:left="450" w:hanging="425"/>
              <w:contextualSpacing/>
              <w:jc w:val="both"/>
              <w:rPr>
                <w:rFonts w:ascii="Times New Roman" w:hAnsi="Times New Roman"/>
                <w:b/>
              </w:rPr>
            </w:pPr>
            <w:r w:rsidRPr="00D00F18">
              <w:rPr>
                <w:rFonts w:ascii="Times New Roman" w:hAnsi="Times New Roman"/>
                <w:b/>
              </w:rPr>
              <w:t>Stanovisko Komisie na posudzovanie vybraných vplyvov zo záverečného posúdenia č. ..........</w:t>
            </w:r>
            <w:r w:rsidRPr="00D00F18">
              <w:rPr>
                <w:rFonts w:ascii="Times New Roman" w:hAnsi="Times New Roman"/>
              </w:rPr>
              <w:t xml:space="preserve"> (v prípade, ak sa uskutočnilo v zmysle bodu 9.1. Jedn</w:t>
            </w:r>
            <w:r w:rsidRPr="00D00F18">
              <w:rPr>
                <w:rFonts w:ascii="Times New Roman" w:hAnsi="Times New Roman"/>
              </w:rPr>
              <w:t xml:space="preserve">otnej metodiky) </w:t>
            </w:r>
          </w:p>
        </w:tc>
      </w:tr>
      <w:tr w:rsidTr="00D00F18">
        <w:tblPrEx>
          <w:tblW w:w="9176" w:type="dxa"/>
          <w:tblBorders>
            <w:insideH w:val="single" w:sz="4" w:space="0" w:color="FFFFFF"/>
            <w:insideV w:val="single" w:sz="4" w:space="0" w:color="FFFFFF"/>
          </w:tblBorders>
          <w:tblLayout w:type="fixed"/>
          <w:tblLook w:val="04A0"/>
        </w:tblPrEx>
        <w:tc>
          <w:tcPr>
            <w:tcW w:w="9176" w:type="dxa"/>
            <w:shd w:val="clear" w:color="auto" w:fill="FFFFFF"/>
          </w:tcPr>
          <w:p w:rsidR="00D00F18" w:rsidRPr="00D00F18" w:rsidP="00D00F18">
            <w:pPr>
              <w:rPr>
                <w:rFonts w:ascii="Times New Roman" w:eastAsia="Times New Roman" w:hAnsi="Times New Roman"/>
                <w:b/>
                <w:sz w:val="20"/>
                <w:szCs w:val="20"/>
                <w:lang w:eastAsia="sk-SK"/>
              </w:rPr>
            </w:pPr>
          </w:p>
          <w:tbl>
            <w:tblPr>
              <w:tblStyle w:val="TableNormal"/>
              <w:tblW w:w="8913" w:type="dxa"/>
              <w:tblInd w:w="284" w:type="dxa"/>
              <w:tblLayout w:type="fixed"/>
              <w:tblLook w:val="04A0"/>
            </w:tblPr>
            <w:tblGrid>
              <w:gridCol w:w="2552"/>
              <w:gridCol w:w="3827"/>
              <w:gridCol w:w="2534"/>
            </w:tblGrid>
            <w:tr w:rsidTr="00D00F18">
              <w:tblPrEx>
                <w:tblW w:w="8913" w:type="dxa"/>
                <w:tblInd w:w="284" w:type="dxa"/>
                <w:tblLayout w:type="fixed"/>
                <w:tblLook w:val="04A0"/>
              </w:tblPrEx>
              <w:trPr>
                <w:trHeight w:val="396"/>
              </w:trPr>
              <w:tc>
                <w:tcPr>
                  <w:tcW w:w="2552"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r w:rsidRPr="00D00F18">
                    <w:rPr>
                      <w:rFonts w:ascii="Times New Roman" w:eastAsia="Times New Roman" w:hAnsi="Times New Roman"/>
                      <w:b/>
                      <w:sz w:val="20"/>
                      <w:szCs w:val="20"/>
                      <w:lang w:eastAsia="sk-SK"/>
                    </w:rPr>
                    <w:t xml:space="preserve">   Súhlasné </w:t>
                  </w:r>
                </w:p>
              </w:tc>
              <w:tc>
                <w:tcPr>
                  <w:tcW w:w="3827"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r w:rsidRPr="00D00F18">
                    <w:rPr>
                      <w:rFonts w:ascii="Times New Roman" w:eastAsia="Times New Roman" w:hAnsi="Times New Roman"/>
                      <w:b/>
                      <w:sz w:val="20"/>
                      <w:szCs w:val="20"/>
                      <w:lang w:eastAsia="sk-SK"/>
                    </w:rPr>
                    <w:t xml:space="preserve">  Súhlasné s  návrhom na dopracovanie</w:t>
                  </w:r>
                </w:p>
              </w:tc>
              <w:tc>
                <w:tcPr>
                  <w:tcW w:w="2534" w:type="dxa"/>
                  <w:shd w:val="clear" w:color="auto" w:fill="auto"/>
                </w:tcPr>
                <w:p w:rsidR="00D00F18" w:rsidRPr="00D00F18" w:rsidP="00D00F18">
                  <w:pPr>
                    <w:ind w:right="459"/>
                    <w:rPr>
                      <w:rFonts w:ascii="Times New Roman" w:eastAsia="Times New Roman" w:hAnsi="Times New Roman"/>
                      <w:b/>
                      <w:sz w:val="20"/>
                      <w:szCs w:val="20"/>
                      <w:lang w:eastAsia="sk-SK"/>
                    </w:rPr>
                  </w:pPr>
                  <w:r w:rsidRPr="00D00F18">
                    <w:rPr>
                      <w:rFonts w:ascii="MS Gothic" w:eastAsia="MS Gothic" w:hAnsi="MS Gothic" w:hint="eastAsia"/>
                      <w:b/>
                      <w:sz w:val="20"/>
                      <w:szCs w:val="20"/>
                      <w:lang w:eastAsia="sk-SK"/>
                    </w:rPr>
                    <w:t>☐</w:t>
                  </w:r>
                  <w:r w:rsidRPr="00D00F18">
                    <w:rPr>
                      <w:rFonts w:ascii="Times New Roman" w:eastAsia="Times New Roman" w:hAnsi="Times New Roman"/>
                      <w:b/>
                      <w:sz w:val="20"/>
                      <w:szCs w:val="20"/>
                      <w:lang w:eastAsia="sk-SK"/>
                    </w:rPr>
                    <w:t xml:space="preserve">  Nesúhlasné</w:t>
                  </w:r>
                </w:p>
              </w:tc>
            </w:tr>
          </w:tbl>
          <w:p w:rsidR="00D00F18" w:rsidRPr="00D00F18" w:rsidP="00D00F18">
            <w:pPr>
              <w:jc w:val="both"/>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Uveďte pripomienky zo stanoviska Komisie z časti II. spolu s Vaším vyhodnotením:</w:t>
            </w:r>
          </w:p>
        </w:tc>
      </w:tr>
    </w:tbl>
    <w:p w:rsidR="00D00F18" w:rsidRPr="00D00F18" w:rsidP="00D00F18"/>
    <w:p w:rsidR="00D00F18" w:rsidRPr="00D00F18" w:rsidP="00D00F18"/>
    <w:p w:rsidR="00D00F18" w:rsidRPr="00D00F18" w:rsidP="00D00F18"/>
    <w:p w:rsidR="00D00F18" w:rsidRPr="00D00F18" w:rsidP="00D00F18">
      <w:pPr>
        <w:jc w:val="center"/>
        <w:rPr>
          <w:rFonts w:ascii="Times New Roman" w:eastAsia="Times New Roman" w:hAnsi="Times New Roman"/>
          <w:b/>
          <w:bCs/>
          <w:sz w:val="28"/>
          <w:szCs w:val="28"/>
          <w:lang w:eastAsia="sk-SK"/>
        </w:rPr>
      </w:pPr>
      <w:r w:rsidRPr="00D00F18">
        <w:br w:type="column"/>
      </w:r>
      <w:r w:rsidRPr="00D00F18">
        <w:rPr>
          <w:rFonts w:ascii="Times New Roman" w:eastAsia="Times New Roman" w:hAnsi="Times New Roman"/>
          <w:b/>
          <w:bCs/>
          <w:sz w:val="28"/>
          <w:szCs w:val="28"/>
          <w:lang w:eastAsia="sk-SK"/>
        </w:rPr>
        <w:t>Analýza vplyvov na rozpočet verejnej správy,</w:t>
      </w:r>
    </w:p>
    <w:p w:rsidR="00D00F18" w:rsidRPr="00D00F18" w:rsidP="00D00F18">
      <w:pPr>
        <w:spacing w:after="0" w:line="240" w:lineRule="auto"/>
        <w:jc w:val="center"/>
        <w:rPr>
          <w:rFonts w:ascii="Times New Roman" w:eastAsia="Times New Roman" w:hAnsi="Times New Roman"/>
          <w:b/>
          <w:bCs/>
          <w:sz w:val="28"/>
          <w:szCs w:val="28"/>
          <w:lang w:eastAsia="sk-SK"/>
        </w:rPr>
      </w:pPr>
      <w:r w:rsidRPr="00D00F18">
        <w:rPr>
          <w:rFonts w:ascii="Times New Roman" w:eastAsia="Times New Roman" w:hAnsi="Times New Roman"/>
          <w:b/>
          <w:bCs/>
          <w:sz w:val="28"/>
          <w:szCs w:val="28"/>
          <w:lang w:eastAsia="sk-SK"/>
        </w:rPr>
        <w:t>na zamestnanosť vo verejnej správe a f</w:t>
      </w:r>
      <w:r w:rsidRPr="00D00F18">
        <w:rPr>
          <w:rFonts w:ascii="Times New Roman" w:eastAsia="Times New Roman" w:hAnsi="Times New Roman"/>
          <w:b/>
          <w:bCs/>
          <w:sz w:val="28"/>
          <w:szCs w:val="28"/>
          <w:lang w:eastAsia="sk-SK"/>
        </w:rPr>
        <w:t>inancovanie návrhu</w:t>
      </w:r>
    </w:p>
    <w:p w:rsidR="00D00F18" w:rsidRPr="00D00F18" w:rsidP="00D00F18">
      <w:pPr>
        <w:spacing w:after="0" w:line="240" w:lineRule="auto"/>
        <w:rPr>
          <w:rFonts w:ascii="Times New Roman" w:eastAsia="Times New Roman" w:hAnsi="Times New Roman"/>
          <w:b/>
          <w:bCs/>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2.1 Zhrnutie vplyvov na rozpočet verejnej správy v návrhu</w:t>
      </w:r>
    </w:p>
    <w:p w:rsidR="00D00F18" w:rsidRPr="00D00F18" w:rsidP="00D00F18">
      <w:pPr>
        <w:spacing w:after="0" w:line="240" w:lineRule="auto"/>
        <w:jc w:val="right"/>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61"/>
        <w:gridCol w:w="1267"/>
        <w:gridCol w:w="1267"/>
        <w:gridCol w:w="1267"/>
        <w:gridCol w:w="1267"/>
      </w:tblGrid>
      <w:tr w:rsidTr="00D00F18">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Height w:val="194"/>
          <w:jc w:val="center"/>
        </w:trPr>
        <w:tc>
          <w:tcPr>
            <w:tcW w:w="4661" w:type="dxa"/>
            <w:vMerge w:val="restart"/>
            <w:shd w:val="clear" w:color="auto" w:fill="BFBFBF"/>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bookmarkStart w:id="1" w:name="OLE_LINK1"/>
            <w:r w:rsidRPr="00D00F18">
              <w:rPr>
                <w:rFonts w:ascii="Times New Roman" w:eastAsia="Times New Roman" w:hAnsi="Times New Roman"/>
                <w:b/>
                <w:bCs/>
                <w:sz w:val="24"/>
                <w:szCs w:val="24"/>
                <w:lang w:eastAsia="sk-SK"/>
              </w:rPr>
              <w:t>Vplyvy na rozpočet verejnej správy</w:t>
            </w:r>
          </w:p>
        </w:tc>
        <w:tc>
          <w:tcPr>
            <w:tcW w:w="5068" w:type="dxa"/>
            <w:gridSpan w:val="4"/>
            <w:shd w:val="clear" w:color="auto" w:fill="BFBFBF"/>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Vplyv na rozpočet verejnej správy (v eurách)</w:t>
            </w:r>
          </w:p>
        </w:tc>
      </w:tr>
      <w:tr w:rsidTr="00D00F18">
        <w:tblPrEx>
          <w:tblW w:w="9729" w:type="dxa"/>
          <w:jc w:val="center"/>
          <w:tblCellMar>
            <w:left w:w="70" w:type="dxa"/>
            <w:right w:w="70" w:type="dxa"/>
          </w:tblCellMar>
          <w:tblLook w:val="0000"/>
        </w:tblPrEx>
        <w:trPr>
          <w:cantSplit/>
          <w:trHeight w:val="70"/>
          <w:jc w:val="center"/>
        </w:trPr>
        <w:tc>
          <w:tcPr>
            <w:tcW w:w="4661" w:type="dxa"/>
            <w:vMerge/>
            <w:shd w:val="clear" w:color="auto" w:fill="BFBFBF"/>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267" w:type="dxa"/>
            <w:shd w:val="clear" w:color="auto" w:fill="BFBFBF"/>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2023</w:t>
            </w:r>
          </w:p>
        </w:tc>
        <w:tc>
          <w:tcPr>
            <w:tcW w:w="1267" w:type="dxa"/>
            <w:shd w:val="clear" w:color="auto" w:fill="BFBFBF"/>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2024</w:t>
            </w:r>
          </w:p>
        </w:tc>
        <w:tc>
          <w:tcPr>
            <w:tcW w:w="1267" w:type="dxa"/>
            <w:shd w:val="clear" w:color="auto" w:fill="BFBFBF"/>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2025</w:t>
            </w:r>
          </w:p>
        </w:tc>
        <w:tc>
          <w:tcPr>
            <w:tcW w:w="1267" w:type="dxa"/>
            <w:shd w:val="clear" w:color="auto" w:fill="BFBFBF"/>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2026</w:t>
            </w:r>
          </w:p>
        </w:tc>
      </w:tr>
      <w:tr w:rsidTr="00D00F18">
        <w:tblPrEx>
          <w:tblW w:w="9729" w:type="dxa"/>
          <w:jc w:val="center"/>
          <w:tblCellMar>
            <w:left w:w="70" w:type="dxa"/>
            <w:right w:w="70" w:type="dxa"/>
          </w:tblCellMar>
          <w:tblLook w:val="0000"/>
        </w:tblPrEx>
        <w:trPr>
          <w:trHeight w:val="70"/>
          <w:jc w:val="center"/>
        </w:trPr>
        <w:tc>
          <w:tcPr>
            <w:tcW w:w="4661" w:type="dxa"/>
            <w:shd w:val="clear" w:color="auto" w:fill="C0C0C0"/>
            <w:noWrap/>
            <w:vAlign w:val="center"/>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b/>
                <w:bCs/>
                <w:sz w:val="24"/>
                <w:szCs w:val="24"/>
                <w:lang w:eastAsia="sk-SK"/>
              </w:rPr>
              <w:t>Príjmy verejnej správy celkom</w:t>
            </w:r>
          </w:p>
        </w:tc>
        <w:tc>
          <w:tcPr>
            <w:tcW w:w="1267" w:type="dxa"/>
            <w:shd w:val="clear" w:color="auto" w:fill="C0C0C0"/>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1267" w:type="dxa"/>
            <w:shd w:val="clear" w:color="auto" w:fill="C0C0C0"/>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1267" w:type="dxa"/>
            <w:shd w:val="clear" w:color="auto" w:fill="C0C0C0"/>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1267" w:type="dxa"/>
            <w:shd w:val="clear" w:color="auto" w:fill="C0C0C0"/>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r>
      <w:tr w:rsidTr="00D00F18">
        <w:tblPrEx>
          <w:tblW w:w="9729" w:type="dxa"/>
          <w:jc w:val="center"/>
          <w:tblCellMar>
            <w:left w:w="70" w:type="dxa"/>
            <w:right w:w="70" w:type="dxa"/>
          </w:tblCellMar>
          <w:tblLook w:val="0000"/>
        </w:tblPrEx>
        <w:trPr>
          <w:trHeight w:val="132"/>
          <w:jc w:val="center"/>
        </w:trPr>
        <w:tc>
          <w:tcPr>
            <w:tcW w:w="4661" w:type="dxa"/>
            <w:noWrap/>
            <w:vAlign w:val="center"/>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v tom: za každý subjekt verejnej správy zvlášť</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r>
      <w:tr w:rsidTr="00D00F18">
        <w:tblPrEx>
          <w:tblW w:w="9729" w:type="dxa"/>
          <w:jc w:val="center"/>
          <w:tblCellMar>
            <w:left w:w="70" w:type="dxa"/>
            <w:right w:w="70" w:type="dxa"/>
          </w:tblCellMar>
          <w:tblLook w:val="0000"/>
        </w:tblPrEx>
        <w:trPr>
          <w:trHeight w:val="70"/>
          <w:jc w:val="center"/>
        </w:trPr>
        <w:tc>
          <w:tcPr>
            <w:tcW w:w="4661" w:type="dxa"/>
            <w:noWrap/>
            <w:vAlign w:val="center"/>
          </w:tcPr>
          <w:p w:rsidR="00D00F18" w:rsidRPr="00D00F18" w:rsidP="00D00F18">
            <w:pPr>
              <w:spacing w:after="0" w:line="240" w:lineRule="auto"/>
              <w:rPr>
                <w:rFonts w:ascii="Times New Roman" w:eastAsia="Times New Roman" w:hAnsi="Times New Roman"/>
                <w:b/>
                <w:bCs/>
                <w:i/>
                <w:iCs/>
                <w:sz w:val="24"/>
                <w:szCs w:val="24"/>
                <w:lang w:eastAsia="sk-SK"/>
              </w:rPr>
            </w:pPr>
            <w:r w:rsidRPr="00D00F18">
              <w:rPr>
                <w:rFonts w:ascii="Times New Roman" w:eastAsia="Times New Roman" w:hAnsi="Times New Roman"/>
                <w:b/>
                <w:bCs/>
                <w:i/>
                <w:iCs/>
                <w:sz w:val="24"/>
                <w:szCs w:val="24"/>
                <w:lang w:eastAsia="sk-SK"/>
              </w:rPr>
              <w:t xml:space="preserve">z toho:  </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p>
        </w:tc>
      </w:tr>
      <w:tr w:rsidTr="00D00F18">
        <w:tblPrEx>
          <w:tblW w:w="9729" w:type="dxa"/>
          <w:jc w:val="center"/>
          <w:tblCellMar>
            <w:left w:w="70" w:type="dxa"/>
            <w:right w:w="70" w:type="dxa"/>
          </w:tblCellMar>
          <w:tblLook w:val="0000"/>
        </w:tblPrEx>
        <w:trPr>
          <w:trHeight w:val="125"/>
          <w:jc w:val="center"/>
        </w:trPr>
        <w:tc>
          <w:tcPr>
            <w:tcW w:w="4661" w:type="dxa"/>
            <w:noWrap/>
            <w:vAlign w:val="center"/>
          </w:tcPr>
          <w:p w:rsidR="00D00F18" w:rsidRPr="00D00F18" w:rsidP="00D00F18">
            <w:pPr>
              <w:spacing w:after="0" w:line="240" w:lineRule="auto"/>
              <w:rPr>
                <w:rFonts w:ascii="Times New Roman" w:eastAsia="Times New Roman" w:hAnsi="Times New Roman"/>
                <w:b/>
                <w:bCs/>
                <w:i/>
                <w:iCs/>
                <w:sz w:val="24"/>
                <w:szCs w:val="24"/>
                <w:lang w:eastAsia="sk-SK"/>
              </w:rPr>
            </w:pPr>
            <w:r w:rsidRPr="00D00F18">
              <w:rPr>
                <w:rFonts w:ascii="Times New Roman" w:eastAsia="Times New Roman" w:hAnsi="Times New Roman"/>
                <w:b/>
                <w:bCs/>
                <w:i/>
                <w:iCs/>
                <w:sz w:val="24"/>
                <w:szCs w:val="24"/>
                <w:lang w:eastAsia="sk-SK"/>
              </w:rPr>
              <w:t>- vplyv na ŠR</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r>
      <w:tr w:rsidTr="00D00F18">
        <w:tblPrEx>
          <w:tblW w:w="9729" w:type="dxa"/>
          <w:jc w:val="center"/>
          <w:tblCellMar>
            <w:left w:w="70" w:type="dxa"/>
            <w:right w:w="70" w:type="dxa"/>
          </w:tblCellMar>
          <w:tblLook w:val="0000"/>
        </w:tblPrEx>
        <w:trPr>
          <w:trHeight w:val="125"/>
          <w:jc w:val="center"/>
        </w:trPr>
        <w:tc>
          <w:tcPr>
            <w:tcW w:w="4661" w:type="dxa"/>
            <w:noWrap/>
            <w:vAlign w:val="center"/>
          </w:tcPr>
          <w:p w:rsidR="00D00F18" w:rsidRPr="00D00F18" w:rsidP="00D00F18">
            <w:pPr>
              <w:spacing w:after="0" w:line="240" w:lineRule="auto"/>
              <w:ind w:left="259"/>
              <w:rPr>
                <w:rFonts w:ascii="Times New Roman" w:eastAsia="Times New Roman" w:hAnsi="Times New Roman"/>
                <w:b/>
                <w:bCs/>
                <w:i/>
                <w:iCs/>
                <w:sz w:val="24"/>
                <w:szCs w:val="24"/>
                <w:lang w:eastAsia="sk-SK"/>
              </w:rPr>
            </w:pPr>
            <w:r w:rsidRPr="00D00F18">
              <w:rPr>
                <w:rFonts w:ascii="Times New Roman" w:eastAsia="Times New Roman" w:hAnsi="Times New Roman"/>
                <w:bCs/>
                <w:i/>
                <w:iCs/>
                <w:sz w:val="24"/>
                <w:szCs w:val="24"/>
                <w:lang w:eastAsia="sk-SK"/>
              </w:rPr>
              <w:t>Rozpočtové prostriedky</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r>
      <w:tr w:rsidTr="00D00F18">
        <w:tblPrEx>
          <w:tblW w:w="9729" w:type="dxa"/>
          <w:jc w:val="center"/>
          <w:tblCellMar>
            <w:left w:w="70" w:type="dxa"/>
            <w:right w:w="70" w:type="dxa"/>
          </w:tblCellMar>
          <w:tblLook w:val="0000"/>
        </w:tblPrEx>
        <w:trPr>
          <w:trHeight w:val="125"/>
          <w:jc w:val="center"/>
        </w:trPr>
        <w:tc>
          <w:tcPr>
            <w:tcW w:w="4661" w:type="dxa"/>
            <w:noWrap/>
            <w:vAlign w:val="center"/>
          </w:tcPr>
          <w:p w:rsidR="00D00F18" w:rsidRPr="00D00F18" w:rsidP="00D00F18">
            <w:pPr>
              <w:spacing w:after="0" w:line="240" w:lineRule="auto"/>
              <w:ind w:left="259"/>
              <w:rPr>
                <w:rFonts w:ascii="Times New Roman" w:eastAsia="Times New Roman" w:hAnsi="Times New Roman"/>
                <w:bCs/>
                <w:i/>
                <w:iCs/>
                <w:sz w:val="24"/>
                <w:szCs w:val="24"/>
                <w:lang w:eastAsia="sk-SK"/>
              </w:rPr>
            </w:pPr>
            <w:r w:rsidRPr="00D00F18">
              <w:rPr>
                <w:rFonts w:ascii="Times New Roman" w:eastAsia="Times New Roman" w:hAnsi="Times New Roman"/>
                <w:bCs/>
                <w:i/>
                <w:iCs/>
                <w:sz w:val="24"/>
                <w:szCs w:val="24"/>
                <w:lang w:eastAsia="sk-SK"/>
              </w:rPr>
              <w:t>EÚ zdroje</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r>
      <w:tr w:rsidTr="00D00F18">
        <w:tblPrEx>
          <w:tblW w:w="9729" w:type="dxa"/>
          <w:jc w:val="center"/>
          <w:tblCellMar>
            <w:left w:w="70" w:type="dxa"/>
            <w:right w:w="70" w:type="dxa"/>
          </w:tblCellMar>
          <w:tblLook w:val="0000"/>
        </w:tblPrEx>
        <w:trPr>
          <w:trHeight w:val="125"/>
          <w:jc w:val="center"/>
        </w:trPr>
        <w:tc>
          <w:tcPr>
            <w:tcW w:w="4661" w:type="dxa"/>
            <w:noWrap/>
            <w:vAlign w:val="center"/>
          </w:tcPr>
          <w:p w:rsidR="00D00F18" w:rsidRPr="00D00F18" w:rsidP="00D00F18">
            <w:pPr>
              <w:spacing w:after="0" w:line="240" w:lineRule="auto"/>
              <w:rPr>
                <w:rFonts w:ascii="Times New Roman" w:eastAsia="Times New Roman" w:hAnsi="Times New Roman"/>
                <w:b/>
                <w:bCs/>
                <w:i/>
                <w:iCs/>
                <w:sz w:val="24"/>
                <w:szCs w:val="24"/>
                <w:lang w:eastAsia="sk-SK"/>
              </w:rPr>
            </w:pPr>
            <w:r w:rsidRPr="00D00F18">
              <w:rPr>
                <w:rFonts w:ascii="Times New Roman" w:eastAsia="Times New Roman" w:hAnsi="Times New Roman"/>
                <w:b/>
                <w:bCs/>
                <w:i/>
                <w:iCs/>
                <w:sz w:val="24"/>
                <w:szCs w:val="24"/>
                <w:lang w:eastAsia="sk-SK"/>
              </w:rPr>
              <w:t>- vplyv na obce</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r>
      <w:tr w:rsidTr="00D00F18">
        <w:tblPrEx>
          <w:tblW w:w="9729" w:type="dxa"/>
          <w:jc w:val="center"/>
          <w:tblCellMar>
            <w:left w:w="70" w:type="dxa"/>
            <w:right w:w="70" w:type="dxa"/>
          </w:tblCellMar>
          <w:tblLook w:val="0000"/>
        </w:tblPrEx>
        <w:trPr>
          <w:trHeight w:val="125"/>
          <w:jc w:val="center"/>
        </w:trPr>
        <w:tc>
          <w:tcPr>
            <w:tcW w:w="4661" w:type="dxa"/>
            <w:noWrap/>
            <w:vAlign w:val="center"/>
          </w:tcPr>
          <w:p w:rsidR="00D00F18" w:rsidRPr="00D00F18" w:rsidP="00D00F18">
            <w:pPr>
              <w:spacing w:after="0" w:line="240" w:lineRule="auto"/>
              <w:rPr>
                <w:rFonts w:ascii="Times New Roman" w:eastAsia="Times New Roman" w:hAnsi="Times New Roman"/>
                <w:b/>
                <w:bCs/>
                <w:i/>
                <w:iCs/>
                <w:sz w:val="24"/>
                <w:szCs w:val="24"/>
                <w:lang w:eastAsia="sk-SK"/>
              </w:rPr>
            </w:pPr>
            <w:r w:rsidRPr="00D00F18">
              <w:rPr>
                <w:rFonts w:ascii="Times New Roman" w:eastAsia="Times New Roman" w:hAnsi="Times New Roman"/>
                <w:b/>
                <w:bCs/>
                <w:i/>
                <w:iCs/>
                <w:sz w:val="24"/>
                <w:szCs w:val="24"/>
                <w:lang w:eastAsia="sk-SK"/>
              </w:rPr>
              <w:t>- vplyv na vyššie územné celky</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r>
      <w:tr w:rsidTr="00D00F18">
        <w:tblPrEx>
          <w:tblW w:w="9729" w:type="dxa"/>
          <w:jc w:val="center"/>
          <w:tblCellMar>
            <w:left w:w="70" w:type="dxa"/>
            <w:right w:w="70" w:type="dxa"/>
          </w:tblCellMar>
          <w:tblLook w:val="0000"/>
        </w:tblPrEx>
        <w:trPr>
          <w:trHeight w:val="125"/>
          <w:jc w:val="center"/>
        </w:trPr>
        <w:tc>
          <w:tcPr>
            <w:tcW w:w="4661" w:type="dxa"/>
            <w:noWrap/>
            <w:vAlign w:val="center"/>
          </w:tcPr>
          <w:p w:rsidR="00D00F18" w:rsidRPr="00D00F18" w:rsidP="00D00F18">
            <w:pPr>
              <w:spacing w:after="0" w:line="240" w:lineRule="auto"/>
              <w:rPr>
                <w:rFonts w:ascii="Times New Roman" w:eastAsia="Times New Roman" w:hAnsi="Times New Roman"/>
                <w:b/>
                <w:bCs/>
                <w:i/>
                <w:iCs/>
                <w:sz w:val="24"/>
                <w:szCs w:val="24"/>
                <w:lang w:eastAsia="sk-SK"/>
              </w:rPr>
            </w:pPr>
            <w:r w:rsidRPr="00D00F18">
              <w:rPr>
                <w:rFonts w:ascii="Times New Roman" w:eastAsia="Times New Roman" w:hAnsi="Times New Roman"/>
                <w:b/>
                <w:bCs/>
                <w:i/>
                <w:iCs/>
                <w:sz w:val="24"/>
                <w:szCs w:val="24"/>
                <w:lang w:eastAsia="sk-SK"/>
              </w:rPr>
              <w:t>- vplyv na ostatné subjekty verejnej správy</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r>
      <w:tr w:rsidTr="00D00F18">
        <w:tblPrEx>
          <w:tblW w:w="9729" w:type="dxa"/>
          <w:jc w:val="center"/>
          <w:tblCellMar>
            <w:left w:w="70" w:type="dxa"/>
            <w:right w:w="70" w:type="dxa"/>
          </w:tblCellMar>
          <w:tblLook w:val="0000"/>
        </w:tblPrEx>
        <w:trPr>
          <w:trHeight w:val="125"/>
          <w:jc w:val="center"/>
        </w:trPr>
        <w:tc>
          <w:tcPr>
            <w:tcW w:w="4661" w:type="dxa"/>
            <w:shd w:val="clear" w:color="auto" w:fill="C0C0C0"/>
            <w:noWrap/>
            <w:vAlign w:val="center"/>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Výdavky verejne</w:t>
            </w:r>
            <w:r w:rsidRPr="00D00F18">
              <w:rPr>
                <w:rFonts w:ascii="Times New Roman" w:eastAsia="Times New Roman" w:hAnsi="Times New Roman"/>
                <w:b/>
                <w:bCs/>
                <w:sz w:val="24"/>
                <w:szCs w:val="24"/>
                <w:lang w:eastAsia="sk-SK"/>
              </w:rPr>
              <w:t>j správy celkom</w:t>
            </w:r>
          </w:p>
        </w:tc>
        <w:tc>
          <w:tcPr>
            <w:tcW w:w="1267" w:type="dxa"/>
            <w:shd w:val="clear" w:color="auto" w:fill="C0C0C0"/>
            <w:noWrap/>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6 157 536</w:t>
            </w:r>
          </w:p>
        </w:tc>
        <w:tc>
          <w:tcPr>
            <w:tcW w:w="1267" w:type="dxa"/>
            <w:shd w:val="clear" w:color="auto" w:fill="C0C0C0"/>
            <w:noWrap/>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2 683 980</w:t>
            </w:r>
          </w:p>
        </w:tc>
        <w:tc>
          <w:tcPr>
            <w:tcW w:w="1267" w:type="dxa"/>
            <w:shd w:val="clear" w:color="auto" w:fill="C0C0C0"/>
            <w:noWrap/>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2 414 780</w:t>
            </w:r>
          </w:p>
        </w:tc>
        <w:tc>
          <w:tcPr>
            <w:tcW w:w="1267" w:type="dxa"/>
            <w:shd w:val="clear" w:color="auto" w:fill="C0C0C0"/>
            <w:noWrap/>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2 393 350</w:t>
            </w:r>
          </w:p>
        </w:tc>
      </w:tr>
      <w:tr w:rsidTr="00D00F18">
        <w:tblPrEx>
          <w:tblW w:w="9729" w:type="dxa"/>
          <w:jc w:val="center"/>
          <w:tblCellMar>
            <w:left w:w="70" w:type="dxa"/>
            <w:right w:w="70" w:type="dxa"/>
          </w:tblCellMar>
          <w:tblLook w:val="0000"/>
        </w:tblPrEx>
        <w:trPr>
          <w:trHeight w:val="70"/>
          <w:jc w:val="center"/>
        </w:trPr>
        <w:tc>
          <w:tcPr>
            <w:tcW w:w="4661" w:type="dxa"/>
            <w:noWrap/>
            <w:vAlign w:val="center"/>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v tom: za každý subjekt verejnej správy / program zvlášť 0790203 MZ SR</w:t>
            </w: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xml:space="preserve">                          075 MŽP SR</w:t>
            </w: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xml:space="preserve">                          MV SR</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5 174 726</w:t>
            </w: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802 300</w:t>
            </w: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180 510</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664 070</w:t>
            </w: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936 850</w:t>
            </w: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1 083 060</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xml:space="preserve">664 </w:t>
            </w:r>
            <w:r w:rsidRPr="00D00F18">
              <w:rPr>
                <w:rFonts w:ascii="Times New Roman" w:eastAsia="Times New Roman" w:hAnsi="Times New Roman"/>
                <w:sz w:val="24"/>
                <w:szCs w:val="24"/>
                <w:lang w:eastAsia="sk-SK"/>
              </w:rPr>
              <w:t>070</w:t>
            </w: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667 650</w:t>
            </w: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xml:space="preserve">1083 060  </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xml:space="preserve">664 070 </w:t>
            </w: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646 220</w:t>
            </w: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1 083 060</w:t>
            </w:r>
          </w:p>
        </w:tc>
      </w:tr>
      <w:tr w:rsidTr="00D00F18">
        <w:tblPrEx>
          <w:tblW w:w="9729" w:type="dxa"/>
          <w:jc w:val="center"/>
          <w:tblCellMar>
            <w:left w:w="70" w:type="dxa"/>
            <w:right w:w="70" w:type="dxa"/>
          </w:tblCellMar>
          <w:tblLook w:val="0000"/>
        </w:tblPrEx>
        <w:trPr>
          <w:trHeight w:val="70"/>
          <w:jc w:val="center"/>
        </w:trPr>
        <w:tc>
          <w:tcPr>
            <w:tcW w:w="4661" w:type="dxa"/>
            <w:noWrap/>
            <w:vAlign w:val="center"/>
          </w:tcPr>
          <w:p w:rsidR="00D00F18" w:rsidRPr="00D00F18" w:rsidP="00D00F18">
            <w:pPr>
              <w:spacing w:after="0" w:line="240" w:lineRule="auto"/>
              <w:rPr>
                <w:rFonts w:ascii="Times New Roman" w:eastAsia="Times New Roman" w:hAnsi="Times New Roman"/>
                <w:b/>
                <w:bCs/>
                <w:i/>
                <w:iCs/>
                <w:sz w:val="24"/>
                <w:szCs w:val="24"/>
                <w:lang w:eastAsia="sk-SK"/>
              </w:rPr>
            </w:pPr>
            <w:r w:rsidRPr="00D00F18">
              <w:rPr>
                <w:rFonts w:ascii="Times New Roman" w:eastAsia="Times New Roman" w:hAnsi="Times New Roman"/>
                <w:b/>
                <w:bCs/>
                <w:i/>
                <w:iCs/>
                <w:sz w:val="24"/>
                <w:szCs w:val="24"/>
                <w:lang w:eastAsia="sk-SK"/>
              </w:rPr>
              <w:t xml:space="preserve">z toho: </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p>
        </w:tc>
      </w:tr>
      <w:tr w:rsidTr="00D00F18">
        <w:tblPrEx>
          <w:tblW w:w="9729" w:type="dxa"/>
          <w:jc w:val="center"/>
          <w:tblCellMar>
            <w:left w:w="70" w:type="dxa"/>
            <w:right w:w="70" w:type="dxa"/>
          </w:tblCellMar>
          <w:tblLook w:val="0000"/>
        </w:tblPrEx>
        <w:trPr>
          <w:trHeight w:val="70"/>
          <w:jc w:val="center"/>
        </w:trPr>
        <w:tc>
          <w:tcPr>
            <w:tcW w:w="4661" w:type="dxa"/>
            <w:noWrap/>
            <w:vAlign w:val="center"/>
          </w:tcPr>
          <w:p w:rsidR="00D00F18" w:rsidRPr="00D00F18" w:rsidP="00D00F18">
            <w:pPr>
              <w:spacing w:after="0" w:line="240" w:lineRule="auto"/>
              <w:rPr>
                <w:rFonts w:ascii="Times New Roman" w:eastAsia="Times New Roman" w:hAnsi="Times New Roman"/>
                <w:b/>
                <w:bCs/>
                <w:i/>
                <w:iCs/>
                <w:sz w:val="24"/>
                <w:szCs w:val="24"/>
                <w:lang w:eastAsia="sk-SK"/>
              </w:rPr>
            </w:pPr>
            <w:r w:rsidRPr="00D00F18">
              <w:rPr>
                <w:rFonts w:ascii="Times New Roman" w:eastAsia="Times New Roman" w:hAnsi="Times New Roman"/>
                <w:b/>
                <w:bCs/>
                <w:i/>
                <w:iCs/>
                <w:sz w:val="24"/>
                <w:szCs w:val="24"/>
                <w:lang w:eastAsia="sk-SK"/>
              </w:rPr>
              <w:t>- vplyv na ŠR</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sz w:val="24"/>
                <w:szCs w:val="24"/>
                <w:lang w:eastAsia="sk-SK"/>
              </w:rPr>
              <w:t>6 157 536</w:t>
            </w:r>
          </w:p>
        </w:tc>
        <w:tc>
          <w:tcPr>
            <w:tcW w:w="1267" w:type="dxa"/>
            <w:noWrap/>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sz w:val="24"/>
                <w:szCs w:val="24"/>
                <w:lang w:eastAsia="sk-SK"/>
              </w:rPr>
              <w:t>2 683 980</w:t>
            </w:r>
          </w:p>
        </w:tc>
        <w:tc>
          <w:tcPr>
            <w:tcW w:w="1267" w:type="dxa"/>
            <w:noWrap/>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sz w:val="24"/>
                <w:szCs w:val="24"/>
                <w:lang w:eastAsia="sk-SK"/>
              </w:rPr>
              <w:t>2 414 780</w:t>
            </w:r>
          </w:p>
        </w:tc>
        <w:tc>
          <w:tcPr>
            <w:tcW w:w="1267" w:type="dxa"/>
            <w:noWrap/>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sz w:val="24"/>
                <w:szCs w:val="24"/>
                <w:lang w:eastAsia="sk-SK"/>
              </w:rPr>
              <w:t>2 393 350</w:t>
            </w:r>
          </w:p>
        </w:tc>
      </w:tr>
      <w:tr w:rsidTr="00D00F18">
        <w:tblPrEx>
          <w:tblW w:w="9729" w:type="dxa"/>
          <w:jc w:val="center"/>
          <w:tblCellMar>
            <w:left w:w="70" w:type="dxa"/>
            <w:right w:w="70" w:type="dxa"/>
          </w:tblCellMar>
          <w:tblLook w:val="0000"/>
        </w:tblPrEx>
        <w:trPr>
          <w:trHeight w:val="70"/>
          <w:jc w:val="center"/>
        </w:trPr>
        <w:tc>
          <w:tcPr>
            <w:tcW w:w="4661" w:type="dxa"/>
            <w:noWrap/>
            <w:vAlign w:val="center"/>
          </w:tcPr>
          <w:p w:rsidR="00D00F18" w:rsidRPr="00D00F18" w:rsidP="00D00F18">
            <w:pPr>
              <w:spacing w:after="0" w:line="240" w:lineRule="auto"/>
              <w:ind w:left="259"/>
              <w:rPr>
                <w:rFonts w:ascii="Times New Roman" w:eastAsia="Times New Roman" w:hAnsi="Times New Roman"/>
                <w:b/>
                <w:bCs/>
                <w:i/>
                <w:iCs/>
                <w:sz w:val="24"/>
                <w:szCs w:val="24"/>
                <w:lang w:eastAsia="sk-SK"/>
              </w:rPr>
            </w:pPr>
            <w:r w:rsidRPr="00D00F18">
              <w:rPr>
                <w:rFonts w:ascii="Times New Roman" w:eastAsia="Times New Roman" w:hAnsi="Times New Roman"/>
                <w:bCs/>
                <w:i/>
                <w:iCs/>
                <w:sz w:val="24"/>
                <w:szCs w:val="24"/>
                <w:lang w:eastAsia="sk-SK"/>
              </w:rPr>
              <w:t>Rozpočtové prostriedky</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sz w:val="24"/>
                <w:szCs w:val="24"/>
                <w:lang w:eastAsia="sk-SK"/>
              </w:rPr>
              <w:t>6 157 536</w:t>
            </w:r>
          </w:p>
        </w:tc>
        <w:tc>
          <w:tcPr>
            <w:tcW w:w="1267" w:type="dxa"/>
            <w:noWrap/>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sz w:val="24"/>
                <w:szCs w:val="24"/>
                <w:lang w:eastAsia="sk-SK"/>
              </w:rPr>
              <w:t>2 683 980</w:t>
            </w:r>
          </w:p>
        </w:tc>
        <w:tc>
          <w:tcPr>
            <w:tcW w:w="1267" w:type="dxa"/>
            <w:noWrap/>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sz w:val="24"/>
                <w:szCs w:val="24"/>
                <w:lang w:eastAsia="sk-SK"/>
              </w:rPr>
              <w:t>2 414 780</w:t>
            </w:r>
          </w:p>
        </w:tc>
        <w:tc>
          <w:tcPr>
            <w:tcW w:w="1267" w:type="dxa"/>
            <w:noWrap/>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sz w:val="24"/>
                <w:szCs w:val="24"/>
                <w:lang w:eastAsia="sk-SK"/>
              </w:rPr>
              <w:t>2 393 350</w:t>
            </w:r>
          </w:p>
        </w:tc>
      </w:tr>
      <w:tr w:rsidTr="00D00F18">
        <w:tblPrEx>
          <w:tblW w:w="9729" w:type="dxa"/>
          <w:jc w:val="center"/>
          <w:tblCellMar>
            <w:left w:w="70" w:type="dxa"/>
            <w:right w:w="70" w:type="dxa"/>
          </w:tblCellMar>
          <w:tblLook w:val="0000"/>
        </w:tblPrEx>
        <w:trPr>
          <w:trHeight w:val="70"/>
          <w:jc w:val="center"/>
        </w:trPr>
        <w:tc>
          <w:tcPr>
            <w:tcW w:w="4661" w:type="dxa"/>
            <w:noWrap/>
            <w:vAlign w:val="center"/>
          </w:tcPr>
          <w:p w:rsidR="00D00F18" w:rsidRPr="00D00F18" w:rsidP="00D00F18">
            <w:pPr>
              <w:spacing w:after="0" w:line="240" w:lineRule="auto"/>
              <w:rPr>
                <w:rFonts w:ascii="Times New Roman" w:eastAsia="Times New Roman" w:hAnsi="Times New Roman"/>
                <w:bCs/>
                <w:i/>
                <w:iCs/>
                <w:sz w:val="24"/>
                <w:szCs w:val="24"/>
                <w:lang w:eastAsia="sk-SK"/>
              </w:rPr>
            </w:pPr>
            <w:r w:rsidRPr="00D00F18">
              <w:rPr>
                <w:rFonts w:ascii="Times New Roman" w:eastAsia="Times New Roman" w:hAnsi="Times New Roman"/>
                <w:bCs/>
                <w:i/>
                <w:iCs/>
                <w:sz w:val="24"/>
                <w:szCs w:val="24"/>
                <w:lang w:eastAsia="sk-SK"/>
              </w:rPr>
              <w:t xml:space="preserve">    EÚ zdroje</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r>
      <w:tr w:rsidTr="00D00F18">
        <w:tblPrEx>
          <w:tblW w:w="9729" w:type="dxa"/>
          <w:jc w:val="center"/>
          <w:tblCellMar>
            <w:left w:w="70" w:type="dxa"/>
            <w:right w:w="70" w:type="dxa"/>
          </w:tblCellMar>
          <w:tblLook w:val="0000"/>
        </w:tblPrEx>
        <w:trPr>
          <w:trHeight w:val="70"/>
          <w:jc w:val="center"/>
        </w:trPr>
        <w:tc>
          <w:tcPr>
            <w:tcW w:w="4661" w:type="dxa"/>
            <w:noWrap/>
            <w:vAlign w:val="center"/>
          </w:tcPr>
          <w:p w:rsidR="00D00F18" w:rsidRPr="00D00F18" w:rsidP="00D00F18">
            <w:pPr>
              <w:spacing w:after="0" w:line="240" w:lineRule="auto"/>
              <w:rPr>
                <w:rFonts w:ascii="Times New Roman" w:eastAsia="Times New Roman" w:hAnsi="Times New Roman"/>
                <w:bCs/>
                <w:i/>
                <w:iCs/>
                <w:sz w:val="24"/>
                <w:szCs w:val="24"/>
                <w:lang w:eastAsia="sk-SK"/>
              </w:rPr>
            </w:pPr>
            <w:r w:rsidRPr="00D00F18">
              <w:rPr>
                <w:rFonts w:ascii="Times New Roman" w:eastAsia="Times New Roman" w:hAnsi="Times New Roman"/>
                <w:bCs/>
                <w:i/>
                <w:iCs/>
                <w:sz w:val="24"/>
                <w:szCs w:val="24"/>
                <w:lang w:eastAsia="sk-SK"/>
              </w:rPr>
              <w:t xml:space="preserve">    spolufinancovanie</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r>
      <w:tr w:rsidTr="00D00F18">
        <w:tblPrEx>
          <w:tblW w:w="9729" w:type="dxa"/>
          <w:jc w:val="center"/>
          <w:tblCellMar>
            <w:left w:w="70" w:type="dxa"/>
            <w:right w:w="70" w:type="dxa"/>
          </w:tblCellMar>
          <w:tblLook w:val="0000"/>
        </w:tblPrEx>
        <w:trPr>
          <w:trHeight w:val="125"/>
          <w:jc w:val="center"/>
        </w:trPr>
        <w:tc>
          <w:tcPr>
            <w:tcW w:w="4661" w:type="dxa"/>
            <w:noWrap/>
            <w:vAlign w:val="center"/>
          </w:tcPr>
          <w:p w:rsidR="00D00F18" w:rsidRPr="00D00F18" w:rsidP="00D00F18">
            <w:pPr>
              <w:spacing w:after="0" w:line="240" w:lineRule="auto"/>
              <w:rPr>
                <w:rFonts w:ascii="Times New Roman" w:eastAsia="Times New Roman" w:hAnsi="Times New Roman"/>
                <w:b/>
                <w:bCs/>
                <w:i/>
                <w:iCs/>
                <w:sz w:val="24"/>
                <w:szCs w:val="24"/>
                <w:lang w:eastAsia="sk-SK"/>
              </w:rPr>
            </w:pPr>
            <w:r w:rsidRPr="00D00F18">
              <w:rPr>
                <w:rFonts w:ascii="Times New Roman" w:eastAsia="Times New Roman" w:hAnsi="Times New Roman"/>
                <w:b/>
                <w:bCs/>
                <w:i/>
                <w:iCs/>
                <w:sz w:val="24"/>
                <w:szCs w:val="24"/>
                <w:lang w:eastAsia="sk-SK"/>
              </w:rPr>
              <w:t>- vplyv na obce</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r>
      <w:tr w:rsidTr="00D00F18">
        <w:tblPrEx>
          <w:tblW w:w="9729" w:type="dxa"/>
          <w:jc w:val="center"/>
          <w:tblCellMar>
            <w:left w:w="70" w:type="dxa"/>
            <w:right w:w="70" w:type="dxa"/>
          </w:tblCellMar>
          <w:tblLook w:val="0000"/>
        </w:tblPrEx>
        <w:trPr>
          <w:trHeight w:val="125"/>
          <w:jc w:val="center"/>
        </w:trPr>
        <w:tc>
          <w:tcPr>
            <w:tcW w:w="4661" w:type="dxa"/>
            <w:noWrap/>
            <w:vAlign w:val="center"/>
          </w:tcPr>
          <w:p w:rsidR="00D00F18" w:rsidRPr="00D00F18" w:rsidP="00D00F18">
            <w:pPr>
              <w:spacing w:after="0" w:line="240" w:lineRule="auto"/>
              <w:rPr>
                <w:rFonts w:ascii="Times New Roman" w:eastAsia="Times New Roman" w:hAnsi="Times New Roman"/>
                <w:b/>
                <w:bCs/>
                <w:i/>
                <w:iCs/>
                <w:sz w:val="24"/>
                <w:szCs w:val="24"/>
                <w:lang w:eastAsia="sk-SK"/>
              </w:rPr>
            </w:pPr>
            <w:r w:rsidRPr="00D00F18">
              <w:rPr>
                <w:rFonts w:ascii="Times New Roman" w:eastAsia="Times New Roman" w:hAnsi="Times New Roman"/>
                <w:b/>
                <w:bCs/>
                <w:i/>
                <w:iCs/>
                <w:sz w:val="24"/>
                <w:szCs w:val="24"/>
                <w:lang w:eastAsia="sk-SK"/>
              </w:rPr>
              <w:t>- vplyv na vyššie územné celky</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r>
      <w:tr w:rsidTr="00D00F18">
        <w:tblPrEx>
          <w:tblW w:w="9729" w:type="dxa"/>
          <w:jc w:val="center"/>
          <w:tblCellMar>
            <w:left w:w="70" w:type="dxa"/>
            <w:right w:w="70" w:type="dxa"/>
          </w:tblCellMar>
          <w:tblLook w:val="0000"/>
        </w:tblPrEx>
        <w:trPr>
          <w:trHeight w:val="70"/>
          <w:jc w:val="center"/>
        </w:trPr>
        <w:tc>
          <w:tcPr>
            <w:tcW w:w="4661" w:type="dxa"/>
            <w:noWrap/>
            <w:vAlign w:val="center"/>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i/>
                <w:iCs/>
                <w:sz w:val="24"/>
                <w:szCs w:val="24"/>
                <w:lang w:eastAsia="sk-SK"/>
              </w:rPr>
              <w:t>- vplyv na ostatné subjekty verejnej správy</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r>
      <w:tr w:rsidTr="00D00F18">
        <w:tblPrEx>
          <w:tblW w:w="9729" w:type="dxa"/>
          <w:jc w:val="center"/>
          <w:tblCellMar>
            <w:left w:w="70" w:type="dxa"/>
            <w:right w:w="70" w:type="dxa"/>
          </w:tblCellMar>
          <w:tblLook w:val="0000"/>
        </w:tblPrEx>
        <w:trPr>
          <w:trHeight w:val="70"/>
          <w:jc w:val="center"/>
        </w:trPr>
        <w:tc>
          <w:tcPr>
            <w:tcW w:w="4661" w:type="dxa"/>
            <w:shd w:val="clear" w:color="auto" w:fill="BFBFBF"/>
            <w:noWrap/>
            <w:vAlign w:val="center"/>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xml:space="preserve">Vplyv na počet zamestnancov </w:t>
            </w:r>
          </w:p>
        </w:tc>
        <w:tc>
          <w:tcPr>
            <w:tcW w:w="1267" w:type="dxa"/>
            <w:shd w:val="clear" w:color="auto" w:fill="BFBFBF"/>
            <w:noWrap/>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79</w:t>
            </w:r>
          </w:p>
        </w:tc>
        <w:tc>
          <w:tcPr>
            <w:tcW w:w="1267" w:type="dxa"/>
            <w:shd w:val="clear" w:color="auto" w:fill="BFBFBF"/>
            <w:noWrap/>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79</w:t>
            </w:r>
          </w:p>
        </w:tc>
        <w:tc>
          <w:tcPr>
            <w:tcW w:w="1267" w:type="dxa"/>
            <w:shd w:val="clear" w:color="auto" w:fill="BFBFBF"/>
            <w:noWrap/>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79</w:t>
            </w:r>
          </w:p>
        </w:tc>
        <w:tc>
          <w:tcPr>
            <w:tcW w:w="1267" w:type="dxa"/>
            <w:shd w:val="clear" w:color="auto" w:fill="BFBFBF"/>
            <w:noWrap/>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79</w:t>
            </w:r>
          </w:p>
        </w:tc>
      </w:tr>
      <w:tr w:rsidTr="00D00F18">
        <w:tblPrEx>
          <w:tblW w:w="9729" w:type="dxa"/>
          <w:jc w:val="center"/>
          <w:tblCellMar>
            <w:left w:w="70" w:type="dxa"/>
            <w:right w:w="70" w:type="dxa"/>
          </w:tblCellMar>
          <w:tblLook w:val="0000"/>
        </w:tblPrEx>
        <w:trPr>
          <w:trHeight w:val="70"/>
          <w:jc w:val="center"/>
        </w:trPr>
        <w:tc>
          <w:tcPr>
            <w:tcW w:w="4661" w:type="dxa"/>
            <w:noWrap/>
            <w:vAlign w:val="center"/>
          </w:tcPr>
          <w:p w:rsidR="00D00F18" w:rsidRPr="00D00F18" w:rsidP="00D00F18">
            <w:pPr>
              <w:spacing w:after="0" w:line="240" w:lineRule="auto"/>
              <w:rPr>
                <w:rFonts w:ascii="Times New Roman" w:eastAsia="Times New Roman" w:hAnsi="Times New Roman"/>
                <w:b/>
                <w:bCs/>
                <w:i/>
                <w:iCs/>
                <w:sz w:val="24"/>
                <w:szCs w:val="24"/>
                <w:lang w:eastAsia="sk-SK"/>
              </w:rPr>
            </w:pPr>
            <w:r w:rsidRPr="00D00F18">
              <w:rPr>
                <w:rFonts w:ascii="Times New Roman" w:eastAsia="Times New Roman" w:hAnsi="Times New Roman"/>
                <w:b/>
                <w:bCs/>
                <w:i/>
                <w:iCs/>
                <w:sz w:val="24"/>
                <w:szCs w:val="24"/>
                <w:lang w:eastAsia="sk-SK"/>
              </w:rPr>
              <w:t>- vplyv na ŠR</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79</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79</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79</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79</w:t>
            </w:r>
          </w:p>
        </w:tc>
      </w:tr>
      <w:tr w:rsidTr="00D00F18">
        <w:tblPrEx>
          <w:tblW w:w="9729" w:type="dxa"/>
          <w:jc w:val="center"/>
          <w:tblCellMar>
            <w:left w:w="70" w:type="dxa"/>
            <w:right w:w="70" w:type="dxa"/>
          </w:tblCellMar>
          <w:tblLook w:val="0000"/>
        </w:tblPrEx>
        <w:trPr>
          <w:trHeight w:val="70"/>
          <w:jc w:val="center"/>
        </w:trPr>
        <w:tc>
          <w:tcPr>
            <w:tcW w:w="4661" w:type="dxa"/>
            <w:noWrap/>
            <w:vAlign w:val="center"/>
          </w:tcPr>
          <w:p w:rsidR="00D00F18" w:rsidRPr="00D00F18" w:rsidP="00D00F18">
            <w:pPr>
              <w:spacing w:after="0" w:line="240" w:lineRule="auto"/>
              <w:rPr>
                <w:rFonts w:ascii="Times New Roman" w:eastAsia="Times New Roman" w:hAnsi="Times New Roman"/>
                <w:b/>
                <w:bCs/>
                <w:i/>
                <w:iCs/>
                <w:sz w:val="24"/>
                <w:szCs w:val="24"/>
                <w:lang w:eastAsia="sk-SK"/>
              </w:rPr>
            </w:pPr>
            <w:r w:rsidRPr="00D00F18">
              <w:rPr>
                <w:rFonts w:ascii="Times New Roman" w:eastAsia="Times New Roman" w:hAnsi="Times New Roman"/>
                <w:b/>
                <w:bCs/>
                <w:i/>
                <w:iCs/>
                <w:sz w:val="24"/>
                <w:szCs w:val="24"/>
                <w:lang w:eastAsia="sk-SK"/>
              </w:rPr>
              <w:t>- vplyv na obce</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r>
      <w:tr w:rsidTr="00D00F18">
        <w:tblPrEx>
          <w:tblW w:w="9729" w:type="dxa"/>
          <w:jc w:val="center"/>
          <w:tblCellMar>
            <w:left w:w="70" w:type="dxa"/>
            <w:right w:w="70" w:type="dxa"/>
          </w:tblCellMar>
          <w:tblLook w:val="0000"/>
        </w:tblPrEx>
        <w:trPr>
          <w:trHeight w:val="70"/>
          <w:jc w:val="center"/>
        </w:trPr>
        <w:tc>
          <w:tcPr>
            <w:tcW w:w="4661" w:type="dxa"/>
            <w:noWrap/>
            <w:vAlign w:val="center"/>
          </w:tcPr>
          <w:p w:rsidR="00D00F18" w:rsidRPr="00D00F18" w:rsidP="00D00F18">
            <w:pPr>
              <w:spacing w:after="0" w:line="240" w:lineRule="auto"/>
              <w:rPr>
                <w:rFonts w:ascii="Times New Roman" w:eastAsia="Times New Roman" w:hAnsi="Times New Roman"/>
                <w:b/>
                <w:bCs/>
                <w:i/>
                <w:iCs/>
                <w:sz w:val="24"/>
                <w:szCs w:val="24"/>
                <w:lang w:eastAsia="sk-SK"/>
              </w:rPr>
            </w:pPr>
            <w:r w:rsidRPr="00D00F18">
              <w:rPr>
                <w:rFonts w:ascii="Times New Roman" w:eastAsia="Times New Roman" w:hAnsi="Times New Roman"/>
                <w:b/>
                <w:bCs/>
                <w:i/>
                <w:iCs/>
                <w:sz w:val="24"/>
                <w:szCs w:val="24"/>
                <w:lang w:eastAsia="sk-SK"/>
              </w:rPr>
              <w:t>- vplyv na vyššie územné celky</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r>
      <w:tr w:rsidTr="00D00F18">
        <w:tblPrEx>
          <w:tblW w:w="9729" w:type="dxa"/>
          <w:jc w:val="center"/>
          <w:tblCellMar>
            <w:left w:w="70" w:type="dxa"/>
            <w:right w:w="70" w:type="dxa"/>
          </w:tblCellMar>
          <w:tblLook w:val="0000"/>
        </w:tblPrEx>
        <w:trPr>
          <w:trHeight w:val="70"/>
          <w:jc w:val="center"/>
        </w:trPr>
        <w:tc>
          <w:tcPr>
            <w:tcW w:w="4661" w:type="dxa"/>
            <w:noWrap/>
            <w:vAlign w:val="center"/>
          </w:tcPr>
          <w:p w:rsidR="00D00F18" w:rsidRPr="00D00F18" w:rsidP="00D00F18">
            <w:pPr>
              <w:spacing w:after="0" w:line="240" w:lineRule="auto"/>
              <w:rPr>
                <w:rFonts w:ascii="Times New Roman" w:eastAsia="Times New Roman" w:hAnsi="Times New Roman"/>
                <w:b/>
                <w:bCs/>
                <w:i/>
                <w:iCs/>
                <w:sz w:val="24"/>
                <w:szCs w:val="24"/>
                <w:lang w:eastAsia="sk-SK"/>
              </w:rPr>
            </w:pPr>
            <w:r w:rsidRPr="00D00F18">
              <w:rPr>
                <w:rFonts w:ascii="Times New Roman" w:eastAsia="Times New Roman" w:hAnsi="Times New Roman"/>
                <w:b/>
                <w:bCs/>
                <w:i/>
                <w:iCs/>
                <w:sz w:val="24"/>
                <w:szCs w:val="24"/>
                <w:lang w:eastAsia="sk-SK"/>
              </w:rPr>
              <w:t>- vplyv na ostatné su</w:t>
            </w:r>
            <w:r w:rsidRPr="00D00F18">
              <w:rPr>
                <w:rFonts w:ascii="Times New Roman" w:eastAsia="Times New Roman" w:hAnsi="Times New Roman"/>
                <w:b/>
                <w:bCs/>
                <w:i/>
                <w:iCs/>
                <w:sz w:val="24"/>
                <w:szCs w:val="24"/>
                <w:lang w:eastAsia="sk-SK"/>
              </w:rPr>
              <w:t>bjekty verejnej správy</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r>
      <w:tr w:rsidTr="00D00F18">
        <w:tblPrEx>
          <w:tblW w:w="9729" w:type="dxa"/>
          <w:jc w:val="center"/>
          <w:tblCellMar>
            <w:left w:w="70" w:type="dxa"/>
            <w:right w:w="70" w:type="dxa"/>
          </w:tblCellMar>
          <w:tblLook w:val="0000"/>
        </w:tblPrEx>
        <w:trPr>
          <w:trHeight w:val="70"/>
          <w:jc w:val="center"/>
        </w:trPr>
        <w:tc>
          <w:tcPr>
            <w:tcW w:w="4661" w:type="dxa"/>
            <w:shd w:val="clear" w:color="auto" w:fill="BFBFBF"/>
            <w:noWrap/>
            <w:vAlign w:val="center"/>
          </w:tcPr>
          <w:p w:rsidR="00D00F18" w:rsidRPr="00D00F18" w:rsidP="00D00F18">
            <w:pPr>
              <w:spacing w:after="0" w:line="240" w:lineRule="auto"/>
              <w:rPr>
                <w:rFonts w:ascii="Times New Roman" w:eastAsia="Times New Roman" w:hAnsi="Times New Roman"/>
                <w:b/>
                <w:sz w:val="24"/>
                <w:szCs w:val="24"/>
                <w:lang w:eastAsia="sk-SK"/>
              </w:rPr>
            </w:pPr>
            <w:r w:rsidRPr="00D00F18">
              <w:rPr>
                <w:rFonts w:ascii="Times New Roman" w:eastAsia="Times New Roman" w:hAnsi="Times New Roman"/>
                <w:b/>
                <w:sz w:val="24"/>
                <w:szCs w:val="24"/>
                <w:lang w:eastAsia="sk-SK"/>
              </w:rPr>
              <w:t>Vplyv na mzdové výdavky</w:t>
            </w:r>
          </w:p>
        </w:tc>
        <w:tc>
          <w:tcPr>
            <w:tcW w:w="1267" w:type="dxa"/>
            <w:shd w:val="clear" w:color="auto" w:fill="BFBFBF"/>
            <w:noWrap/>
            <w:vAlign w:val="center"/>
          </w:tcPr>
          <w:p w:rsidR="00D00F18" w:rsidRPr="00D00F18" w:rsidP="00D00F18">
            <w:pPr>
              <w:spacing w:after="0" w:line="240" w:lineRule="auto"/>
              <w:jc w:val="right"/>
              <w:rPr>
                <w:rFonts w:ascii="Times New Roman" w:eastAsia="Times New Roman" w:hAnsi="Times New Roman"/>
                <w:b/>
                <w:sz w:val="24"/>
                <w:szCs w:val="24"/>
                <w:lang w:eastAsia="sk-SK"/>
              </w:rPr>
            </w:pPr>
            <w:r w:rsidRPr="00D00F18">
              <w:rPr>
                <w:rFonts w:ascii="Times New Roman" w:eastAsia="Times New Roman" w:hAnsi="Times New Roman"/>
                <w:b/>
                <w:sz w:val="24"/>
                <w:szCs w:val="24"/>
                <w:lang w:eastAsia="sk-SK"/>
              </w:rPr>
              <w:t>406 130</w:t>
            </w:r>
          </w:p>
        </w:tc>
        <w:tc>
          <w:tcPr>
            <w:tcW w:w="1267" w:type="dxa"/>
            <w:shd w:val="clear" w:color="auto" w:fill="BFBFBF"/>
            <w:noWrap/>
            <w:vAlign w:val="center"/>
          </w:tcPr>
          <w:p w:rsidR="00D00F18" w:rsidRPr="00D00F18" w:rsidP="00D00F18">
            <w:pPr>
              <w:spacing w:after="0" w:line="240" w:lineRule="auto"/>
              <w:jc w:val="right"/>
              <w:rPr>
                <w:rFonts w:ascii="Times New Roman" w:eastAsia="Times New Roman" w:hAnsi="Times New Roman"/>
                <w:b/>
                <w:sz w:val="24"/>
                <w:szCs w:val="24"/>
                <w:lang w:eastAsia="sk-SK"/>
              </w:rPr>
            </w:pPr>
            <w:r w:rsidRPr="00D00F18">
              <w:rPr>
                <w:rFonts w:ascii="Times New Roman" w:eastAsia="Times New Roman" w:hAnsi="Times New Roman"/>
                <w:b/>
                <w:sz w:val="24"/>
                <w:szCs w:val="24"/>
                <w:lang w:eastAsia="sk-SK"/>
              </w:rPr>
              <w:t>1 230 133</w:t>
            </w:r>
          </w:p>
        </w:tc>
        <w:tc>
          <w:tcPr>
            <w:tcW w:w="1267" w:type="dxa"/>
            <w:shd w:val="clear" w:color="auto" w:fill="BFBFBF"/>
            <w:noWrap/>
            <w:vAlign w:val="center"/>
          </w:tcPr>
          <w:p w:rsidR="00D00F18" w:rsidRPr="00D00F18" w:rsidP="00D00F18">
            <w:pPr>
              <w:spacing w:after="0" w:line="240" w:lineRule="auto"/>
              <w:jc w:val="right"/>
              <w:rPr>
                <w:rFonts w:ascii="Times New Roman" w:eastAsia="Times New Roman" w:hAnsi="Times New Roman"/>
                <w:b/>
                <w:sz w:val="24"/>
                <w:szCs w:val="24"/>
                <w:lang w:eastAsia="sk-SK"/>
              </w:rPr>
            </w:pPr>
            <w:r w:rsidRPr="00D00F18">
              <w:rPr>
                <w:rFonts w:ascii="Times New Roman" w:eastAsia="Times New Roman" w:hAnsi="Times New Roman"/>
                <w:b/>
                <w:sz w:val="24"/>
                <w:szCs w:val="24"/>
                <w:lang w:eastAsia="sk-SK"/>
              </w:rPr>
              <w:t>1 243 615</w:t>
            </w:r>
          </w:p>
        </w:tc>
        <w:tc>
          <w:tcPr>
            <w:tcW w:w="1267" w:type="dxa"/>
            <w:shd w:val="clear" w:color="auto" w:fill="BFBFBF"/>
            <w:noWrap/>
            <w:vAlign w:val="center"/>
          </w:tcPr>
          <w:p w:rsidR="00D00F18" w:rsidRPr="00D00F18" w:rsidP="00D00F18">
            <w:pPr>
              <w:spacing w:after="0" w:line="240" w:lineRule="auto"/>
              <w:jc w:val="right"/>
              <w:rPr>
                <w:rFonts w:ascii="Times New Roman" w:eastAsia="Times New Roman" w:hAnsi="Times New Roman"/>
                <w:b/>
                <w:sz w:val="24"/>
                <w:szCs w:val="24"/>
                <w:lang w:eastAsia="sk-SK"/>
              </w:rPr>
            </w:pPr>
            <w:r w:rsidRPr="00D00F18">
              <w:rPr>
                <w:rFonts w:ascii="Times New Roman" w:eastAsia="Times New Roman" w:hAnsi="Times New Roman"/>
                <w:b/>
                <w:sz w:val="24"/>
                <w:szCs w:val="24"/>
                <w:lang w:eastAsia="sk-SK"/>
              </w:rPr>
              <w:t>1 243 615</w:t>
            </w:r>
          </w:p>
        </w:tc>
      </w:tr>
      <w:tr w:rsidTr="00D00F18">
        <w:tblPrEx>
          <w:tblW w:w="9729" w:type="dxa"/>
          <w:jc w:val="center"/>
          <w:tblCellMar>
            <w:left w:w="70" w:type="dxa"/>
            <w:right w:w="70" w:type="dxa"/>
          </w:tblCellMar>
          <w:tblLook w:val="0000"/>
        </w:tblPrEx>
        <w:trPr>
          <w:trHeight w:val="70"/>
          <w:jc w:val="center"/>
        </w:trPr>
        <w:tc>
          <w:tcPr>
            <w:tcW w:w="4661" w:type="dxa"/>
            <w:noWrap/>
            <w:vAlign w:val="center"/>
          </w:tcPr>
          <w:p w:rsidR="00D00F18" w:rsidRPr="00D00F18" w:rsidP="00D00F18">
            <w:pPr>
              <w:spacing w:after="0" w:line="240" w:lineRule="auto"/>
              <w:rPr>
                <w:rFonts w:ascii="Times New Roman" w:eastAsia="Times New Roman" w:hAnsi="Times New Roman"/>
                <w:b/>
                <w:bCs/>
                <w:i/>
                <w:iCs/>
                <w:sz w:val="24"/>
                <w:szCs w:val="24"/>
                <w:lang w:eastAsia="sk-SK"/>
              </w:rPr>
            </w:pPr>
            <w:r w:rsidRPr="00D00F18">
              <w:rPr>
                <w:rFonts w:ascii="Times New Roman" w:eastAsia="Times New Roman" w:hAnsi="Times New Roman"/>
                <w:b/>
                <w:bCs/>
                <w:i/>
                <w:iCs/>
                <w:sz w:val="24"/>
                <w:szCs w:val="24"/>
                <w:lang w:eastAsia="sk-SK"/>
              </w:rPr>
              <w:t>- vplyv na ŠR</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406 130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1 230 133</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1 243 615</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1 243 615</w:t>
            </w:r>
          </w:p>
        </w:tc>
      </w:tr>
      <w:tr w:rsidTr="00D00F18">
        <w:tblPrEx>
          <w:tblW w:w="9729" w:type="dxa"/>
          <w:jc w:val="center"/>
          <w:tblCellMar>
            <w:left w:w="70" w:type="dxa"/>
            <w:right w:w="70" w:type="dxa"/>
          </w:tblCellMar>
          <w:tblLook w:val="0000"/>
        </w:tblPrEx>
        <w:trPr>
          <w:trHeight w:val="70"/>
          <w:jc w:val="center"/>
        </w:trPr>
        <w:tc>
          <w:tcPr>
            <w:tcW w:w="4661" w:type="dxa"/>
            <w:noWrap/>
            <w:vAlign w:val="center"/>
          </w:tcPr>
          <w:p w:rsidR="00D00F18" w:rsidRPr="00D00F18" w:rsidP="00D00F18">
            <w:pPr>
              <w:spacing w:after="0" w:line="240" w:lineRule="auto"/>
              <w:rPr>
                <w:rFonts w:ascii="Times New Roman" w:eastAsia="Times New Roman" w:hAnsi="Times New Roman"/>
                <w:b/>
                <w:bCs/>
                <w:i/>
                <w:iCs/>
                <w:sz w:val="24"/>
                <w:szCs w:val="24"/>
                <w:lang w:eastAsia="sk-SK"/>
              </w:rPr>
            </w:pPr>
            <w:r w:rsidRPr="00D00F18">
              <w:rPr>
                <w:rFonts w:ascii="Times New Roman" w:eastAsia="Times New Roman" w:hAnsi="Times New Roman"/>
                <w:b/>
                <w:bCs/>
                <w:i/>
                <w:iCs/>
                <w:sz w:val="24"/>
                <w:szCs w:val="24"/>
                <w:lang w:eastAsia="sk-SK"/>
              </w:rPr>
              <w:t>- vplyv na obce</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r>
      <w:tr w:rsidTr="00D00F18">
        <w:tblPrEx>
          <w:tblW w:w="9729" w:type="dxa"/>
          <w:jc w:val="center"/>
          <w:tblCellMar>
            <w:left w:w="70" w:type="dxa"/>
            <w:right w:w="70" w:type="dxa"/>
          </w:tblCellMar>
          <w:tblLook w:val="0000"/>
        </w:tblPrEx>
        <w:trPr>
          <w:trHeight w:val="70"/>
          <w:jc w:val="center"/>
        </w:trPr>
        <w:tc>
          <w:tcPr>
            <w:tcW w:w="4661" w:type="dxa"/>
            <w:noWrap/>
            <w:vAlign w:val="center"/>
          </w:tcPr>
          <w:p w:rsidR="00D00F18" w:rsidRPr="00D00F18" w:rsidP="00D00F18">
            <w:pPr>
              <w:spacing w:after="0" w:line="240" w:lineRule="auto"/>
              <w:rPr>
                <w:rFonts w:ascii="Times New Roman" w:eastAsia="Times New Roman" w:hAnsi="Times New Roman"/>
                <w:b/>
                <w:bCs/>
                <w:i/>
                <w:iCs/>
                <w:sz w:val="24"/>
                <w:szCs w:val="24"/>
                <w:lang w:eastAsia="sk-SK"/>
              </w:rPr>
            </w:pPr>
            <w:r w:rsidRPr="00D00F18">
              <w:rPr>
                <w:rFonts w:ascii="Times New Roman" w:eastAsia="Times New Roman" w:hAnsi="Times New Roman"/>
                <w:b/>
                <w:bCs/>
                <w:i/>
                <w:iCs/>
                <w:sz w:val="24"/>
                <w:szCs w:val="24"/>
                <w:lang w:eastAsia="sk-SK"/>
              </w:rPr>
              <w:t>- vplyv na vyššie územné celky</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r>
      <w:tr w:rsidTr="00D00F18">
        <w:tblPrEx>
          <w:tblW w:w="9729" w:type="dxa"/>
          <w:jc w:val="center"/>
          <w:tblCellMar>
            <w:left w:w="70" w:type="dxa"/>
            <w:right w:w="70" w:type="dxa"/>
          </w:tblCellMar>
          <w:tblLook w:val="0000"/>
        </w:tblPrEx>
        <w:trPr>
          <w:trHeight w:val="70"/>
          <w:jc w:val="center"/>
        </w:trPr>
        <w:tc>
          <w:tcPr>
            <w:tcW w:w="4661" w:type="dxa"/>
            <w:noWrap/>
            <w:vAlign w:val="center"/>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i/>
                <w:iCs/>
                <w:sz w:val="24"/>
                <w:szCs w:val="24"/>
                <w:lang w:eastAsia="sk-SK"/>
              </w:rPr>
              <w:t>- vplyv na ostatné subjekty verejnej správy</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b/>
                <w:bCs/>
                <w:iCs/>
                <w:sz w:val="24"/>
                <w:szCs w:val="24"/>
                <w:lang w:eastAsia="sk-SK"/>
              </w:rPr>
            </w:pPr>
            <w:r w:rsidRPr="00D00F18">
              <w:rPr>
                <w:rFonts w:ascii="Times New Roman" w:eastAsia="Times New Roman" w:hAnsi="Times New Roman"/>
                <w:b/>
                <w:bCs/>
                <w:iCs/>
                <w:sz w:val="24"/>
                <w:szCs w:val="24"/>
                <w:lang w:eastAsia="sk-SK"/>
              </w:rPr>
              <w:t>0</w:t>
            </w:r>
          </w:p>
        </w:tc>
      </w:tr>
      <w:tr w:rsidTr="00D00F18">
        <w:tblPrEx>
          <w:tblW w:w="9729" w:type="dxa"/>
          <w:jc w:val="center"/>
          <w:tblCellMar>
            <w:left w:w="70" w:type="dxa"/>
            <w:right w:w="70" w:type="dxa"/>
          </w:tblCellMar>
          <w:tblLook w:val="0000"/>
        </w:tblPrEx>
        <w:trPr>
          <w:trHeight w:val="70"/>
          <w:jc w:val="center"/>
        </w:trPr>
        <w:tc>
          <w:tcPr>
            <w:tcW w:w="4661" w:type="dxa"/>
            <w:shd w:val="clear" w:color="auto" w:fill="C0C0C0"/>
            <w:noWrap/>
            <w:vAlign w:val="center"/>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Financovanie zabezpečené v rozpočte</w:t>
            </w:r>
          </w:p>
        </w:tc>
        <w:tc>
          <w:tcPr>
            <w:tcW w:w="1267" w:type="dxa"/>
            <w:shd w:val="clear" w:color="auto" w:fill="C0C0C0"/>
            <w:noWrap/>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197 526</w:t>
            </w:r>
          </w:p>
        </w:tc>
        <w:tc>
          <w:tcPr>
            <w:tcW w:w="1267" w:type="dxa"/>
            <w:shd w:val="clear" w:color="auto" w:fill="C0C0C0"/>
            <w:noWrap/>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395 070</w:t>
            </w:r>
          </w:p>
        </w:tc>
        <w:tc>
          <w:tcPr>
            <w:tcW w:w="1267" w:type="dxa"/>
            <w:shd w:val="clear" w:color="auto" w:fill="C0C0C0"/>
            <w:noWrap/>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395 070</w:t>
            </w:r>
          </w:p>
        </w:tc>
        <w:tc>
          <w:tcPr>
            <w:tcW w:w="1267" w:type="dxa"/>
            <w:shd w:val="clear" w:color="auto" w:fill="C0C0C0"/>
            <w:noWrap/>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395 070</w:t>
            </w:r>
          </w:p>
        </w:tc>
      </w:tr>
      <w:tr w:rsidTr="00D00F18">
        <w:tblPrEx>
          <w:tblW w:w="9729" w:type="dxa"/>
          <w:jc w:val="center"/>
          <w:tblCellMar>
            <w:left w:w="70" w:type="dxa"/>
            <w:right w:w="70" w:type="dxa"/>
          </w:tblCellMar>
          <w:tblLook w:val="0000"/>
        </w:tblPrEx>
        <w:trPr>
          <w:trHeight w:val="70"/>
          <w:jc w:val="center"/>
        </w:trPr>
        <w:tc>
          <w:tcPr>
            <w:tcW w:w="4661" w:type="dxa"/>
            <w:noWrap/>
            <w:vAlign w:val="center"/>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v tom: rozpočet 0790203 MZ SR</w:t>
            </w: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xml:space="preserve">                          075 MŽP SR</w:t>
            </w: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xml:space="preserve">                          MV SR</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197 526</w:t>
            </w: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395 070</w:t>
            </w: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395 070</w:t>
            </w: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c>
          <w:tcPr>
            <w:tcW w:w="1267" w:type="dxa"/>
            <w:noWrap/>
            <w:vAlign w:val="center"/>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395 070</w:t>
            </w: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0</w:t>
            </w:r>
          </w:p>
        </w:tc>
      </w:tr>
      <w:tr w:rsidTr="00D00F18">
        <w:tblPrEx>
          <w:tblW w:w="9729" w:type="dxa"/>
          <w:jc w:val="center"/>
          <w:tblCellMar>
            <w:left w:w="70" w:type="dxa"/>
            <w:right w:w="70" w:type="dxa"/>
          </w:tblCellMar>
          <w:tblLook w:val="0000"/>
        </w:tblPrEx>
        <w:trPr>
          <w:trHeight w:val="70"/>
          <w:jc w:val="center"/>
        </w:trPr>
        <w:tc>
          <w:tcPr>
            <w:tcW w:w="4661" w:type="dxa"/>
            <w:shd w:val="clear" w:color="auto" w:fill="BFBFBF"/>
            <w:noWrap/>
            <w:vAlign w:val="center"/>
          </w:tcPr>
          <w:p w:rsidR="00D00F18" w:rsidRPr="00D00F18" w:rsidP="00D00F18">
            <w:pPr>
              <w:spacing w:after="0" w:line="240" w:lineRule="auto"/>
              <w:rPr>
                <w:rFonts w:ascii="Times New Roman" w:eastAsia="Times New Roman" w:hAnsi="Times New Roman"/>
                <w:b/>
                <w:sz w:val="24"/>
                <w:szCs w:val="24"/>
                <w:lang w:eastAsia="sk-SK"/>
              </w:rPr>
            </w:pPr>
            <w:r w:rsidRPr="00D00F18">
              <w:rPr>
                <w:rFonts w:ascii="Times New Roman" w:eastAsia="Times New Roman" w:hAnsi="Times New Roman"/>
                <w:b/>
                <w:sz w:val="24"/>
                <w:szCs w:val="24"/>
                <w:lang w:eastAsia="sk-SK"/>
              </w:rPr>
              <w:t>Iné ako rozpočtové zdroje</w:t>
            </w:r>
          </w:p>
        </w:tc>
        <w:tc>
          <w:tcPr>
            <w:tcW w:w="1267" w:type="dxa"/>
            <w:shd w:val="clear" w:color="auto" w:fill="BFBFBF"/>
            <w:noWrap/>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1267" w:type="dxa"/>
            <w:shd w:val="clear" w:color="auto" w:fill="BFBFBF"/>
            <w:noWrap/>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1267" w:type="dxa"/>
            <w:shd w:val="clear" w:color="auto" w:fill="BFBFBF"/>
            <w:noWrap/>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1267" w:type="dxa"/>
            <w:shd w:val="clear" w:color="auto" w:fill="BFBFBF"/>
            <w:noWrap/>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r>
      <w:tr w:rsidTr="00D00F18">
        <w:tblPrEx>
          <w:tblW w:w="9729" w:type="dxa"/>
          <w:jc w:val="center"/>
          <w:tblCellMar>
            <w:left w:w="70" w:type="dxa"/>
            <w:right w:w="70" w:type="dxa"/>
          </w:tblCellMar>
          <w:tblLook w:val="0000"/>
        </w:tblPrEx>
        <w:trPr>
          <w:trHeight w:val="70"/>
          <w:jc w:val="center"/>
        </w:trPr>
        <w:tc>
          <w:tcPr>
            <w:tcW w:w="4661" w:type="dxa"/>
            <w:shd w:val="clear" w:color="auto" w:fill="A6A6A6"/>
            <w:noWrap/>
            <w:vAlign w:val="center"/>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Rozpočtovo nekrytý vplyv / úspora</w:t>
            </w:r>
          </w:p>
        </w:tc>
        <w:tc>
          <w:tcPr>
            <w:tcW w:w="1267" w:type="dxa"/>
            <w:shd w:val="clear" w:color="auto" w:fill="A6A6A6"/>
            <w:noWrap/>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5 960 010</w:t>
            </w:r>
          </w:p>
        </w:tc>
        <w:tc>
          <w:tcPr>
            <w:tcW w:w="1267" w:type="dxa"/>
            <w:shd w:val="clear" w:color="auto" w:fill="A6A6A6"/>
            <w:noWrap/>
            <w:vAlign w:val="center"/>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2 288 910</w:t>
            </w:r>
          </w:p>
        </w:tc>
        <w:tc>
          <w:tcPr>
            <w:tcW w:w="1267" w:type="dxa"/>
            <w:shd w:val="clear" w:color="auto" w:fill="A6A6A6"/>
            <w:noWrap/>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2 019 710</w:t>
            </w:r>
          </w:p>
        </w:tc>
        <w:tc>
          <w:tcPr>
            <w:tcW w:w="1267" w:type="dxa"/>
            <w:shd w:val="clear" w:color="auto" w:fill="A6A6A6"/>
            <w:noWrap/>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xml:space="preserve"> 1 998 280</w:t>
            </w:r>
          </w:p>
        </w:tc>
      </w:tr>
    </w:tbl>
    <w:p w:rsidR="00D00F18" w:rsidRPr="00D00F18" w:rsidP="00D00F18">
      <w:pPr>
        <w:spacing w:after="0" w:line="240" w:lineRule="auto"/>
        <w:rPr>
          <w:rFonts w:ascii="Times New Roman" w:eastAsia="Times New Roman" w:hAnsi="Times New Roman"/>
          <w:b/>
          <w:bCs/>
          <w:sz w:val="24"/>
          <w:szCs w:val="24"/>
          <w:lang w:eastAsia="sk-SK"/>
        </w:rPr>
      </w:pPr>
      <w:bookmarkEnd w:id="1"/>
    </w:p>
    <w:p w:rsidR="00D00F18" w:rsidRPr="00D00F18" w:rsidP="00D00F18">
      <w:pPr>
        <w:rPr>
          <w:rFonts w:ascii="Times New Roman" w:eastAsia="Times New Roman" w:hAnsi="Times New Roman"/>
          <w:b/>
          <w:bCs/>
          <w:sz w:val="20"/>
          <w:szCs w:val="20"/>
          <w:lang w:eastAsia="sk-SK"/>
        </w:rPr>
      </w:pPr>
      <w:r w:rsidRPr="00D00F18">
        <w:rPr>
          <w:rFonts w:ascii="Times New Roman" w:eastAsia="Times New Roman" w:hAnsi="Times New Roman"/>
          <w:b/>
          <w:bCs/>
          <w:i/>
          <w:iCs/>
          <w:sz w:val="20"/>
          <w:szCs w:val="20"/>
          <w:lang w:eastAsia="sk-SK"/>
        </w:rPr>
        <w:t xml:space="preserve">Pozn.: </w:t>
      </w:r>
      <w:r w:rsidRPr="00D00F18">
        <w:rPr>
          <w:rFonts w:ascii="Times New Roman" w:eastAsia="Times New Roman" w:hAnsi="Times New Roman"/>
          <w:i/>
          <w:iCs/>
          <w:sz w:val="20"/>
          <w:szCs w:val="20"/>
          <w:lang w:eastAsia="sk-SK"/>
        </w:rPr>
        <w:t>V roku 2022 budú nulové výdavky, nakoľko sa účinnosť posúva na rok 202; v ďalších tabuľkách preto vplyv na rozpočet verejnej správy počítame až od r. 2023.</w:t>
      </w:r>
    </w:p>
    <w:p w:rsidR="00D00F18" w:rsidRPr="00D00F18" w:rsidP="00D00F18">
      <w:pPr>
        <w:jc w:val="center"/>
        <w:rPr>
          <w:b/>
          <w:bCs/>
          <w:u w:val="single"/>
          <w:lang w:eastAsia="sk-SK"/>
        </w:rPr>
      </w:pPr>
      <w:r w:rsidRPr="00D00F18">
        <w:rPr>
          <w:rFonts w:ascii="Times New Roman" w:eastAsia="Times New Roman" w:hAnsi="Times New Roman"/>
          <w:b/>
          <w:bCs/>
          <w:sz w:val="24"/>
          <w:szCs w:val="24"/>
          <w:u w:val="single"/>
          <w:lang w:eastAsia="sk-SK"/>
        </w:rPr>
        <w:t>Ministerstvo zdravot</w:t>
      </w:r>
      <w:r w:rsidRPr="00D00F18">
        <w:rPr>
          <w:rFonts w:ascii="Times New Roman" w:eastAsia="Times New Roman" w:hAnsi="Times New Roman"/>
          <w:b/>
          <w:bCs/>
          <w:sz w:val="24"/>
          <w:szCs w:val="24"/>
          <w:u w:val="single"/>
          <w:lang w:eastAsia="sk-SK"/>
        </w:rPr>
        <w:t>níctva SR</w:t>
      </w:r>
    </w:p>
    <w:p w:rsidR="00D00F18" w:rsidRPr="00D00F18" w:rsidP="00D00F18">
      <w:pPr>
        <w:spacing w:after="0" w:line="240" w:lineRule="auto"/>
        <w:jc w:val="both"/>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D00F18" w:rsidRPr="00D00F18" w:rsidP="00D00F18">
      <w:pPr>
        <w:spacing w:after="0" w:line="240" w:lineRule="auto"/>
        <w:jc w:val="both"/>
        <w:rPr>
          <w:rFonts w:ascii="Times New Roman" w:eastAsia="Times New Roman" w:hAnsi="Times New Roman"/>
          <w:b/>
          <w:bCs/>
          <w:sz w:val="12"/>
          <w:szCs w:val="24"/>
          <w:lang w:eastAsia="sk-SK"/>
        </w:rPr>
      </w:pPr>
    </w:p>
    <w:p w:rsidR="00D00F18" w:rsidRPr="00D00F18" w:rsidP="00D00F18">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Financovanie predkladaného návrhu materiálu je len čiastočne zabezpečené v rozpočte kapitoly Ministerstva zdravotníctva SR na príslušné rozpočtové roky. Zabezpečené vplyvy predstavujú finančné prostriedky vo výške 1 382 736 eur v rokoch 2022 až 2025. Finančný dopad v roku 2022 v objeme 5 040 200 eur nie je rozpočtovo vykrytý a je nevyhnutné v uvedenom objeme navýšenie limitu výdavkov kapitoly MZ SR. V nasledujúcich rokoch rozpočtovo nekryté vplyvy predstavujú sumu 257 000 eur každoročne, a je preto potrebné navýšenie limitu výdavkov kapitoly MZ SR.</w:t>
      </w:r>
    </w:p>
    <w:p w:rsidR="00D00F18" w:rsidRPr="00D00F18" w:rsidP="00D00F18">
      <w:pPr>
        <w:spacing w:after="0" w:line="240" w:lineRule="auto"/>
        <w:rPr>
          <w:rFonts w:ascii="Times New Roman" w:eastAsia="Times New Roman" w:hAnsi="Times New Roman"/>
          <w:b/>
          <w:bCs/>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2.2. Popis a charakteristika</w:t>
      </w:r>
      <w:r w:rsidRPr="00D00F18">
        <w:rPr>
          <w:rFonts w:ascii="Times New Roman" w:eastAsia="Times New Roman" w:hAnsi="Times New Roman"/>
          <w:b/>
          <w:bCs/>
          <w:sz w:val="24"/>
          <w:szCs w:val="24"/>
          <w:lang w:eastAsia="sk-SK"/>
        </w:rPr>
        <w:t xml:space="preserve"> návrhu</w:t>
      </w:r>
    </w:p>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jc w:val="both"/>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2.2.1. Popis návrhu:</w:t>
      </w:r>
    </w:p>
    <w:p w:rsidR="00D00F18" w:rsidRPr="00D00F18" w:rsidP="00D00F18">
      <w:pPr>
        <w:spacing w:after="0" w:line="240" w:lineRule="auto"/>
        <w:jc w:val="both"/>
        <w:rPr>
          <w:rFonts w:ascii="Times New Roman" w:eastAsia="Times New Roman" w:hAnsi="Times New Roman"/>
          <w:b/>
          <w:bCs/>
          <w:sz w:val="24"/>
          <w:szCs w:val="24"/>
          <w:lang w:eastAsia="sk-SK"/>
        </w:rPr>
      </w:pPr>
    </w:p>
    <w:p w:rsidR="00D00F18" w:rsidRPr="00D00F18" w:rsidP="00D00F18">
      <w:pPr>
        <w:spacing w:after="120" w:line="240" w:lineRule="auto"/>
        <w:jc w:val="both"/>
        <w:rPr>
          <w:rFonts w:ascii="Times New Roman" w:eastAsia="Times New Roman" w:hAnsi="Times New Roman"/>
          <w:b/>
          <w:sz w:val="24"/>
          <w:szCs w:val="24"/>
          <w:lang w:eastAsia="sk-SK"/>
        </w:rPr>
      </w:pPr>
      <w:r w:rsidRPr="00D00F18">
        <w:rPr>
          <w:rFonts w:ascii="Times New Roman" w:eastAsia="Times New Roman" w:hAnsi="Times New Roman"/>
          <w:b/>
          <w:sz w:val="24"/>
          <w:szCs w:val="24"/>
          <w:lang w:eastAsia="sk-SK"/>
        </w:rPr>
        <w:t>Akú problematiku návrh rieši? Kto bude návrh implementovať? Kde sa budú služby poskytovať?</w:t>
      </w:r>
    </w:p>
    <w:p w:rsidR="00D00F18" w:rsidRPr="00D00F18" w:rsidP="00D00F18">
      <w:pPr>
        <w:spacing w:after="0" w:line="240" w:lineRule="auto"/>
        <w:jc w:val="both"/>
        <w:rPr>
          <w:rFonts w:ascii="Times New Roman" w:eastAsia="Times New Roman" w:hAnsi="Times New Roman"/>
          <w:lang w:eastAsia="sk-SK"/>
        </w:rPr>
      </w:pPr>
      <w:r w:rsidRPr="00D00F18">
        <w:rPr>
          <w:rFonts w:ascii="Times New Roman" w:eastAsia="Times New Roman" w:hAnsi="Times New Roman"/>
          <w:lang w:eastAsia="sk-SK"/>
        </w:rPr>
        <w:t>Návrhom zákona č. 355/2007 Z. z. v súlade s požiadavkami novej európskej smernice pre pitnú vodu, ktorá rozšírila pôsobnosť bývalej smernice, sa rieši problematika dodávania pitnej vody komplexne v celom vodárenskom dodávateľskom reťazci – od plôch povodia pre miesta odberu vody až po vodovodný kohútik u spotrebiteľa a zavádzajú sa nové povinnosti pre orgány štátnej správy na úseku verejného zdravotníctva ako je: posudzovanie manažmentu rizík pri zásobovaní pitnou vodou, vypracovanie národnej analýzy domových rozvodných systémov a vyčlenenie prioritných priestorov pre monitorovanie ich vplyvu na pitnú vodu, posudzovanie chemických látok na úpravu vody na pitnú, zavedenie monitorovania nových ukazovateľov kvality vody atď. Zvyšujú sa požiadavky na poskytovanie informácií pre verejnosť a aj pre Európsku komisia (EK), Európsku environmentálne agentúru (EEA) a pre Európske centrum na prevenciu prenosných ochorení (ECDC). Zároveň by mala by poskytovaná podpora pre používanie pitnej vody z vodovodu.</w:t>
      </w:r>
    </w:p>
    <w:p w:rsidR="00D00F18" w:rsidRPr="00D00F18" w:rsidP="00D00F18">
      <w:pPr>
        <w:spacing w:after="0" w:line="240" w:lineRule="auto"/>
        <w:rPr>
          <w:rFonts w:ascii="Times New Roman" w:eastAsia="Times New Roman" w:hAnsi="Times New Roman"/>
          <w:lang w:eastAsia="sk-SK"/>
        </w:rPr>
      </w:pPr>
    </w:p>
    <w:p w:rsidR="00D00F18" w:rsidRPr="00D00F18" w:rsidP="00D00F18">
      <w:pPr>
        <w:spacing w:after="0" w:line="240" w:lineRule="auto"/>
        <w:jc w:val="both"/>
        <w:rPr>
          <w:rFonts w:ascii="Times New Roman" w:eastAsia="Times New Roman" w:hAnsi="Times New Roman"/>
          <w:b/>
          <w:sz w:val="24"/>
          <w:szCs w:val="24"/>
          <w:lang w:eastAsia="sk-SK"/>
        </w:rPr>
      </w:pPr>
      <w:r w:rsidRPr="00D00F18">
        <w:rPr>
          <w:rFonts w:ascii="Times New Roman" w:eastAsia="Times New Roman" w:hAnsi="Times New Roman"/>
          <w:b/>
          <w:sz w:val="24"/>
          <w:szCs w:val="24"/>
          <w:lang w:eastAsia="sk-SK"/>
        </w:rPr>
        <w:t xml:space="preserve">Personálne kapacity </w:t>
      </w:r>
    </w:p>
    <w:p w:rsidR="00D00F18" w:rsidRPr="00D00F18" w:rsidP="00D00F18">
      <w:pPr>
        <w:spacing w:after="0" w:line="240" w:lineRule="auto"/>
        <w:jc w:val="both"/>
        <w:rPr>
          <w:rFonts w:ascii="Times New Roman" w:eastAsia="Times New Roman" w:hAnsi="Times New Roman"/>
          <w:lang w:eastAsia="sk-SK"/>
        </w:rPr>
      </w:pPr>
      <w:r w:rsidRPr="00D00F18">
        <w:rPr>
          <w:rFonts w:ascii="Times New Roman" w:eastAsia="Times New Roman" w:hAnsi="Times New Roman"/>
          <w:lang w:eastAsia="sk-SK"/>
        </w:rPr>
        <w:t>Uvedené nové povinnosti a požiadavky bude plniť  vo významnej miere Úrad verejného zdravotníctva Slovenskej republiky a 36 regionálnych úradov verejného zdravotníctva vrátane laboratórnych zložiek a národných referenčných centier. Pre v</w:t>
      </w:r>
      <w:r w:rsidRPr="00D00F18">
        <w:rPr>
          <w:rFonts w:ascii="Times New Roman" w:eastAsia="Times New Roman" w:hAnsi="Times New Roman"/>
          <w:sz w:val="24"/>
          <w:szCs w:val="24"/>
          <w:lang w:eastAsia="sk-SK"/>
        </w:rPr>
        <w:t>ykonateľnosť požiadaviek navrhovaného zákona bude potrebné posilniť personálne kapacity orgánov verejného zdravotníctva nasledovne:</w:t>
      </w:r>
    </w:p>
    <w:p w:rsidR="00D00F18" w:rsidRPr="00D00F18" w:rsidP="00D00F18">
      <w:pPr>
        <w:spacing w:after="0" w:line="240" w:lineRule="auto"/>
        <w:jc w:val="both"/>
        <w:rPr>
          <w:rFonts w:ascii="Times New Roman" w:eastAsia="Times New Roman" w:hAnsi="Times New Roman"/>
          <w:sz w:val="24"/>
          <w:szCs w:val="24"/>
          <w:lang w:eastAsia="sk-SK"/>
        </w:rPr>
      </w:pP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1. Úradu verej</w:t>
      </w:r>
      <w:r w:rsidRPr="00D00F18">
        <w:rPr>
          <w:rFonts w:ascii="Times New Roman" w:eastAsia="Times New Roman" w:hAnsi="Times New Roman"/>
          <w:sz w:val="24"/>
          <w:szCs w:val="24"/>
          <w:lang w:eastAsia="sk-SK"/>
        </w:rPr>
        <w:t xml:space="preserve">ného zdravotníctva Slovenskej republiky – </w:t>
      </w:r>
      <w:r w:rsidRPr="00D00F18">
        <w:rPr>
          <w:rFonts w:ascii="Times New Roman" w:eastAsia="Times New Roman" w:hAnsi="Times New Roman"/>
          <w:b/>
          <w:sz w:val="24"/>
          <w:szCs w:val="24"/>
          <w:lang w:eastAsia="sk-SK"/>
        </w:rPr>
        <w:t>5 pracovníkov, z toho 3 pracovníci pre laboratórne zložky</w:t>
      </w:r>
    </w:p>
    <w:p w:rsidR="00D00F18" w:rsidRPr="00D00F18" w:rsidP="00D00F18">
      <w:pPr>
        <w:spacing w:after="0" w:line="240" w:lineRule="auto"/>
        <w:jc w:val="both"/>
        <w:rPr>
          <w:rFonts w:ascii="Times New Roman" w:eastAsia="Times New Roman" w:hAnsi="Times New Roman"/>
          <w:sz w:val="24"/>
          <w:szCs w:val="24"/>
          <w:lang w:eastAsia="sk-SK"/>
        </w:rPr>
      </w:pP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xml:space="preserve">2. Regionálne úrady verejného zdravotníctva orgánov – </w:t>
      </w:r>
      <w:r w:rsidRPr="00D00F18">
        <w:rPr>
          <w:rFonts w:ascii="Times New Roman" w:eastAsia="Times New Roman" w:hAnsi="Times New Roman"/>
          <w:b/>
          <w:sz w:val="24"/>
          <w:szCs w:val="24"/>
          <w:lang w:eastAsia="sk-SK"/>
        </w:rPr>
        <w:t>10 pracovníkov, z toho 2 pracovníci pre laboratórne zložky a 8 pracovníkov na regionálne úrady verejného zdravotníctva s krajskou pôsobnosťou</w:t>
      </w:r>
    </w:p>
    <w:p w:rsidR="00D00F18" w:rsidRPr="00D00F18" w:rsidP="00D00F18">
      <w:pPr>
        <w:spacing w:after="0" w:line="240" w:lineRule="auto"/>
        <w:jc w:val="both"/>
        <w:rPr>
          <w:rFonts w:ascii="Times New Roman" w:eastAsia="Times New Roman" w:hAnsi="Times New Roman"/>
          <w:sz w:val="24"/>
          <w:szCs w:val="24"/>
          <w:lang w:eastAsia="sk-SK"/>
        </w:rPr>
      </w:pPr>
    </w:p>
    <w:p w:rsidR="00D00F18" w:rsidRPr="00D00F18" w:rsidP="00D00F18">
      <w:pPr>
        <w:spacing w:after="0" w:line="240" w:lineRule="auto"/>
        <w:jc w:val="both"/>
        <w:rPr>
          <w:rFonts w:ascii="Times New Roman" w:eastAsia="Times New Roman" w:hAnsi="Times New Roman"/>
          <w:b/>
          <w:sz w:val="24"/>
          <w:szCs w:val="24"/>
          <w:lang w:eastAsia="sk-SK"/>
        </w:rPr>
      </w:pPr>
      <w:r w:rsidRPr="00D00F18">
        <w:rPr>
          <w:rFonts w:ascii="Times New Roman" w:eastAsia="Times New Roman" w:hAnsi="Times New Roman"/>
          <w:sz w:val="24"/>
          <w:szCs w:val="24"/>
          <w:lang w:eastAsia="sk-SK"/>
        </w:rPr>
        <w:t xml:space="preserve">3. Vytvorenie nového Národného referenčného centra pre chemické látky na úpravu vody na RÚVZ so sídlom v Poprade – </w:t>
      </w:r>
      <w:r w:rsidRPr="00D00F18">
        <w:rPr>
          <w:rFonts w:ascii="Times New Roman" w:eastAsia="Times New Roman" w:hAnsi="Times New Roman"/>
          <w:b/>
          <w:sz w:val="24"/>
          <w:szCs w:val="24"/>
          <w:lang w:eastAsia="sk-SK"/>
        </w:rPr>
        <w:t>2 pracovníci</w:t>
      </w:r>
    </w:p>
    <w:p w:rsidR="00D00F18" w:rsidRPr="00D00F18" w:rsidP="00D00F18">
      <w:pPr>
        <w:spacing w:after="0" w:line="240" w:lineRule="auto"/>
        <w:jc w:val="both"/>
        <w:rPr>
          <w:rFonts w:ascii="Times New Roman" w:eastAsia="Times New Roman" w:hAnsi="Times New Roman"/>
          <w:b/>
          <w:sz w:val="24"/>
          <w:szCs w:val="24"/>
          <w:lang w:eastAsia="sk-SK"/>
        </w:rPr>
      </w:pPr>
    </w:p>
    <w:p w:rsidR="00D00F18" w:rsidRPr="00D00F18" w:rsidP="00D00F18">
      <w:pPr>
        <w:spacing w:after="0" w:line="240" w:lineRule="auto"/>
        <w:jc w:val="both"/>
        <w:rPr>
          <w:rFonts w:ascii="Times New Roman" w:eastAsia="Times New Roman" w:hAnsi="Times New Roman"/>
          <w:b/>
          <w:sz w:val="24"/>
          <w:szCs w:val="24"/>
          <w:lang w:eastAsia="sk-SK"/>
        </w:rPr>
      </w:pPr>
      <w:r w:rsidRPr="00D00F18">
        <w:rPr>
          <w:rFonts w:ascii="Times New Roman" w:eastAsia="Times New Roman" w:hAnsi="Times New Roman"/>
          <w:b/>
          <w:sz w:val="24"/>
          <w:szCs w:val="24"/>
          <w:lang w:eastAsia="sk-SK"/>
        </w:rPr>
        <w:t xml:space="preserve">Nové povinnosti orgánov verejného zdravotníctva vyplývajú z nových požiadaviek smernice (EÚ) 2020/2184, ustanovených členským štátom v: </w:t>
      </w: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bCs/>
          <w:sz w:val="24"/>
          <w:szCs w:val="24"/>
          <w:lang w:eastAsia="sk-SK"/>
        </w:rPr>
        <w:t>→ čl. 3 odsek 4, čl. 4 ods. 1 a 2, čl. 7 od.  1 b), 1c), ods. 3, 5 a 6, čl. 9, čl. 10, čl. 11 ods. 1 a 7, čl. 12 ods. 1 a 3, čl. 13 ods. 1, 3 až 5, čl. 14 ods. 3 a 5, čl. 16, 17 ods. 1 a čl. 18 ods. 1a) až 1e) a ods. 2</w:t>
      </w: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b/>
          <w:sz w:val="24"/>
          <w:szCs w:val="24"/>
          <w:u w:val="single"/>
          <w:lang w:eastAsia="sk-SK"/>
        </w:rPr>
        <w:t>Prehľad nových povinností a kompetencií pracovníkov v súvislosti s transpozíciou požiadaviek smernice (EÚ) 2020/2184</w:t>
      </w:r>
      <w:r w:rsidRPr="00D00F18">
        <w:rPr>
          <w:rFonts w:ascii="Times New Roman" w:eastAsia="Times New Roman" w:hAnsi="Times New Roman"/>
          <w:sz w:val="24"/>
          <w:szCs w:val="24"/>
          <w:lang w:eastAsia="sk-SK"/>
        </w:rPr>
        <w:t>:</w:t>
      </w:r>
    </w:p>
    <w:p w:rsidR="00D00F18" w:rsidRPr="00D00F18" w:rsidP="00D00F18">
      <w:pPr>
        <w:spacing w:after="0" w:line="240" w:lineRule="auto"/>
        <w:jc w:val="both"/>
        <w:rPr>
          <w:rFonts w:ascii="Times New Roman" w:eastAsia="Times New Roman" w:hAnsi="Times New Roman"/>
          <w:sz w:val="24"/>
          <w:szCs w:val="24"/>
          <w:lang w:eastAsia="sk-SK"/>
        </w:rPr>
      </w:pPr>
    </w:p>
    <w:p w:rsidR="00D00F18" w:rsidRPr="00D00F18" w:rsidP="00D00F18">
      <w:pPr>
        <w:spacing w:after="0" w:line="240" w:lineRule="auto"/>
        <w:jc w:val="both"/>
        <w:rPr>
          <w:rFonts w:ascii="Times New Roman" w:eastAsia="Times New Roman" w:hAnsi="Times New Roman"/>
          <w:b/>
          <w:sz w:val="24"/>
          <w:szCs w:val="24"/>
          <w:lang w:eastAsia="sk-SK"/>
        </w:rPr>
      </w:pPr>
      <w:r w:rsidRPr="00D00F18">
        <w:rPr>
          <w:rFonts w:ascii="Times New Roman" w:eastAsia="Times New Roman" w:hAnsi="Times New Roman"/>
          <w:b/>
          <w:sz w:val="24"/>
          <w:szCs w:val="24"/>
          <w:lang w:eastAsia="sk-SK"/>
        </w:rPr>
        <w:t xml:space="preserve">Úrad verejného zdravotníctva Slovenskej republiky: </w:t>
      </w:r>
    </w:p>
    <w:p w:rsidR="00D00F18" w:rsidRPr="00D00F18" w:rsidP="00AC2F0E">
      <w:pPr>
        <w:numPr>
          <w:ilvl w:val="0"/>
          <w:numId w:val="33"/>
        </w:num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zverejňovanie nových informácií o kvalite pitnej vody a postupov, ktoré môžu obyvatelia bez prístupu k zdravotne bezpečnej pitnej vode vykonať na ochranu zdravia pred nepriaznivými dôsledkami používania pitnej vody s nevyhovujúcou kvalitou (zo studní) a postupov, ktoré by mali prijať, ak pitná voda s nevyhovujúcou kvalitou predstavuje riziko ohrozenia zdravia, zverejňovanie aktuálneho zoznamu sledovaných látok alebo zlúčenín, ktorých prítomnosť v pitnej vode podľa Komisie vzbudzuje  obavy a môže predstavovať zdravotné riziko,</w:t>
      </w:r>
    </w:p>
    <w:p w:rsidR="00D00F18" w:rsidRPr="00D00F18" w:rsidP="00AC2F0E">
      <w:pPr>
        <w:numPr>
          <w:ilvl w:val="0"/>
          <w:numId w:val="33"/>
        </w:num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ustanovenie doplnkových ukazovateľov kvality pitne</w:t>
      </w:r>
      <w:r w:rsidRPr="00D00F18">
        <w:rPr>
          <w:rFonts w:ascii="Times New Roman" w:eastAsia="Times New Roman" w:hAnsi="Times New Roman"/>
          <w:sz w:val="24"/>
          <w:szCs w:val="24"/>
          <w:lang w:eastAsia="sk-SK"/>
        </w:rPr>
        <w:t xml:space="preserve">j vody a ich limitných hodnôt na území Slovenskej republiky,  </w:t>
      </w:r>
    </w:p>
    <w:p w:rsidR="00D00F18" w:rsidRPr="00D00F18" w:rsidP="00AC2F0E">
      <w:pPr>
        <w:numPr>
          <w:ilvl w:val="0"/>
          <w:numId w:val="33"/>
        </w:num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definovanie a kontrola metód chemických analýz kvality pitnej vody, kontrola metód mikrobiologických analýz kvality pitnej vody a rovnocennosť používaných alternatívnych mikrobiologických metód s referenčnými mikrobiologickými metódami,</w:t>
      </w:r>
    </w:p>
    <w:p w:rsidR="00D00F18" w:rsidRPr="00D00F18" w:rsidP="00AC2F0E">
      <w:pPr>
        <w:numPr>
          <w:ilvl w:val="0"/>
          <w:numId w:val="33"/>
        </w:num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xml:space="preserve">plnenie reportovacích povinnosti a poskytovanie prístupu pre Európsku komisiu, Európsku environmentálnu agentúru a Európske centrum pre prevenciu a kontrolu chorôb k informáciám: </w:t>
      </w:r>
    </w:p>
    <w:p w:rsidR="00D00F18" w:rsidRPr="00D00F18" w:rsidP="00AC2F0E">
      <w:pPr>
        <w:numPr>
          <w:ilvl w:val="0"/>
          <w:numId w:val="35"/>
        </w:num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u w:val="single"/>
          <w:lang w:eastAsia="sk-SK"/>
        </w:rPr>
        <w:t>v šesťročných intervaloch</w:t>
      </w:r>
      <w:r w:rsidRPr="00D00F18">
        <w:rPr>
          <w:rFonts w:ascii="Times New Roman" w:eastAsia="Times New Roman" w:hAnsi="Times New Roman"/>
          <w:sz w:val="24"/>
          <w:szCs w:val="24"/>
          <w:lang w:eastAsia="sk-SK"/>
        </w:rPr>
        <w:t xml:space="preserve"> o opatreniach prijatých na podporu používania pitnej vody, manažmente rizík z domových rozvodných systémov a o opatreniach prijatých na odstránenie a zníženie rizika z domových rozvodných systémov vrátane informácií o vykonávaní opatrení na odstránenie komponent</w:t>
      </w:r>
      <w:r w:rsidRPr="00D00F18">
        <w:rPr>
          <w:rFonts w:ascii="Times New Roman" w:eastAsia="Times New Roman" w:hAnsi="Times New Roman"/>
          <w:sz w:val="24"/>
          <w:szCs w:val="24"/>
          <w:lang w:eastAsia="sk-SK"/>
        </w:rPr>
        <w:t>ov z olova,</w:t>
      </w:r>
    </w:p>
    <w:p w:rsidR="00D00F18" w:rsidRPr="00D00F18" w:rsidP="00AC2F0E">
      <w:pPr>
        <w:numPr>
          <w:ilvl w:val="0"/>
          <w:numId w:val="35"/>
        </w:num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u w:val="single"/>
          <w:lang w:eastAsia="sk-SK"/>
        </w:rPr>
        <w:t>ročné údaje</w:t>
      </w:r>
      <w:r w:rsidRPr="00D00F18">
        <w:rPr>
          <w:rFonts w:ascii="Times New Roman" w:eastAsia="Times New Roman" w:hAnsi="Times New Roman"/>
          <w:sz w:val="24"/>
          <w:szCs w:val="24"/>
          <w:lang w:eastAsia="sk-SK"/>
        </w:rPr>
        <w:t xml:space="preserve"> o prekročení najvyšších medzných hodnôt ukazovateľov kvality pitnej vody a o povolených výnimkách, o prijatých nápravných opatreniach na obnovenie kvality pitnej vody a o incidentoch súvisiacich s pitnou vodou vrátane ich príčin a p</w:t>
      </w:r>
      <w:r w:rsidRPr="00D00F18">
        <w:rPr>
          <w:rFonts w:ascii="Times New Roman" w:eastAsia="Times New Roman" w:hAnsi="Times New Roman"/>
          <w:sz w:val="24"/>
          <w:szCs w:val="24"/>
          <w:lang w:eastAsia="sk-SK"/>
        </w:rPr>
        <w:t xml:space="preserve">rijatých nápravných opatrení,  </w:t>
      </w:r>
    </w:p>
    <w:p w:rsidR="00D00F18" w:rsidRPr="00D00F18" w:rsidP="00AC2F0E">
      <w:pPr>
        <w:numPr>
          <w:ilvl w:val="0"/>
          <w:numId w:val="33"/>
        </w:numPr>
        <w:spacing w:after="0" w:line="240" w:lineRule="auto"/>
        <w:rPr>
          <w:rFonts w:ascii="Times New Roman" w:eastAsia="Times New Roman" w:hAnsi="Times New Roman"/>
          <w:lang w:eastAsia="cs-CZ"/>
        </w:rPr>
      </w:pPr>
      <w:bookmarkStart w:id="2" w:name="_Hlk111015245"/>
      <w:r w:rsidRPr="00D00F18">
        <w:rPr>
          <w:rFonts w:ascii="Times New Roman" w:eastAsia="Times New Roman" w:hAnsi="Times New Roman"/>
          <w:lang w:eastAsia="cs-CZ"/>
        </w:rPr>
        <w:t xml:space="preserve">Technicko-analytická podpora reportingu: </w:t>
      </w:r>
    </w:p>
    <w:p w:rsidR="00D00F18" w:rsidRPr="00D00F18" w:rsidP="00AC2F0E">
      <w:pPr>
        <w:numPr>
          <w:ilvl w:val="0"/>
          <w:numId w:val="38"/>
        </w:numPr>
        <w:spacing w:after="0" w:line="240" w:lineRule="auto"/>
        <w:rPr>
          <w:rFonts w:ascii="Times New Roman" w:eastAsia="Times New Roman" w:hAnsi="Times New Roman"/>
          <w:sz w:val="24"/>
          <w:szCs w:val="24"/>
          <w:lang w:eastAsia="cs-CZ"/>
        </w:rPr>
      </w:pPr>
      <w:r w:rsidRPr="00D00F18">
        <w:rPr>
          <w:rFonts w:ascii="Times New Roman" w:eastAsia="Times New Roman" w:hAnsi="Times New Roman"/>
          <w:sz w:val="24"/>
          <w:szCs w:val="24"/>
          <w:lang w:eastAsia="cs-CZ"/>
        </w:rPr>
        <w:t xml:space="preserve">spracovanie dát pre reporting, </w:t>
      </w:r>
    </w:p>
    <w:p w:rsidR="00D00F18" w:rsidRPr="00D00F18" w:rsidP="00AC2F0E">
      <w:pPr>
        <w:numPr>
          <w:ilvl w:val="0"/>
          <w:numId w:val="38"/>
        </w:numPr>
        <w:spacing w:after="0" w:line="240" w:lineRule="auto"/>
        <w:rPr>
          <w:rFonts w:ascii="Times New Roman" w:eastAsia="Times New Roman" w:hAnsi="Times New Roman"/>
          <w:lang w:eastAsia="cs-CZ"/>
        </w:rPr>
      </w:pPr>
      <w:r w:rsidRPr="00D00F18">
        <w:rPr>
          <w:rFonts w:ascii="Times New Roman" w:eastAsia="Times New Roman" w:hAnsi="Times New Roman"/>
          <w:lang w:eastAsia="cs-CZ"/>
        </w:rPr>
        <w:t>príprava dát pre spracovanie analýz,</w:t>
      </w:r>
    </w:p>
    <w:p w:rsidR="00D00F18" w:rsidRPr="00D00F18" w:rsidP="00AC2F0E">
      <w:pPr>
        <w:numPr>
          <w:ilvl w:val="0"/>
          <w:numId w:val="38"/>
        </w:numPr>
        <w:spacing w:after="0" w:line="240" w:lineRule="auto"/>
        <w:rPr>
          <w:rFonts w:ascii="Times New Roman" w:eastAsia="Times New Roman" w:hAnsi="Times New Roman"/>
          <w:lang w:eastAsia="cs-CZ"/>
        </w:rPr>
      </w:pPr>
      <w:r w:rsidRPr="00D00F18">
        <w:rPr>
          <w:rFonts w:ascii="Times New Roman" w:eastAsia="Times New Roman" w:hAnsi="Times New Roman"/>
          <w:lang w:eastAsia="cs-CZ"/>
        </w:rPr>
        <w:t>zabezpečenie prípravy reportovaných dát,</w:t>
      </w:r>
    </w:p>
    <w:p w:rsidR="00D00F18" w:rsidRPr="00D00F18" w:rsidP="00AC2F0E">
      <w:pPr>
        <w:numPr>
          <w:ilvl w:val="0"/>
          <w:numId w:val="38"/>
        </w:numPr>
        <w:spacing w:after="0" w:line="240" w:lineRule="auto"/>
        <w:rPr>
          <w:rFonts w:ascii="Times New Roman" w:eastAsia="Times New Roman" w:hAnsi="Times New Roman"/>
          <w:lang w:eastAsia="cs-CZ"/>
        </w:rPr>
      </w:pPr>
      <w:r w:rsidRPr="00D00F18">
        <w:rPr>
          <w:rFonts w:ascii="Times New Roman" w:eastAsia="Times New Roman" w:hAnsi="Times New Roman"/>
          <w:lang w:eastAsia="cs-CZ"/>
        </w:rPr>
        <w:t>vykonávanie kontroly kvality a presnosti údajov,</w:t>
      </w:r>
    </w:p>
    <w:p w:rsidR="00D00F18" w:rsidRPr="00D00F18" w:rsidP="00AC2F0E">
      <w:pPr>
        <w:numPr>
          <w:ilvl w:val="0"/>
          <w:numId w:val="38"/>
        </w:numPr>
        <w:spacing w:after="0" w:line="240" w:lineRule="auto"/>
        <w:rPr>
          <w:rFonts w:ascii="Times New Roman" w:eastAsia="Times New Roman" w:hAnsi="Times New Roman"/>
          <w:lang w:eastAsia="cs-CZ"/>
        </w:rPr>
      </w:pPr>
      <w:r w:rsidRPr="00D00F18">
        <w:rPr>
          <w:rFonts w:ascii="Times New Roman" w:eastAsia="Times New Roman" w:hAnsi="Times New Roman"/>
          <w:lang w:eastAsia="cs-CZ"/>
        </w:rPr>
        <w:t>participácia na analyti</w:t>
      </w:r>
      <w:r w:rsidRPr="00D00F18">
        <w:rPr>
          <w:rFonts w:ascii="Times New Roman" w:eastAsia="Times New Roman" w:hAnsi="Times New Roman"/>
          <w:lang w:eastAsia="cs-CZ"/>
        </w:rPr>
        <w:t>ckých výstupoch a interpretácii dát na podporu rozhodovania,</w:t>
      </w:r>
    </w:p>
    <w:p w:rsidR="00D00F18" w:rsidRPr="00D00F18" w:rsidP="00AC2F0E">
      <w:pPr>
        <w:numPr>
          <w:ilvl w:val="0"/>
          <w:numId w:val="38"/>
        </w:numPr>
        <w:spacing w:after="0" w:line="240" w:lineRule="auto"/>
        <w:rPr>
          <w:rFonts w:ascii="Times New Roman" w:eastAsia="Times New Roman" w:hAnsi="Times New Roman"/>
          <w:lang w:eastAsia="cs-CZ"/>
        </w:rPr>
      </w:pPr>
      <w:r w:rsidRPr="00D00F18">
        <w:rPr>
          <w:rFonts w:ascii="Times New Roman" w:eastAsia="Times New Roman" w:hAnsi="Times New Roman"/>
          <w:lang w:eastAsia="cs-CZ"/>
        </w:rPr>
        <w:t>podpora pri implementácii nových požiadaviek na reporting.</w:t>
      </w:r>
    </w:p>
    <w:p w:rsidR="00D00F18" w:rsidRPr="00D00F18" w:rsidP="00AC2F0E">
      <w:pPr>
        <w:numPr>
          <w:ilvl w:val="0"/>
          <w:numId w:val="33"/>
        </w:numPr>
        <w:spacing w:after="0" w:line="240" w:lineRule="auto"/>
        <w:rPr>
          <w:rFonts w:ascii="Times New Roman" w:eastAsia="Times New Roman" w:hAnsi="Times New Roman"/>
          <w:lang w:eastAsia="cs-CZ"/>
        </w:rPr>
      </w:pPr>
      <w:r w:rsidRPr="00D00F18">
        <w:rPr>
          <w:rFonts w:ascii="Times New Roman" w:eastAsia="Times New Roman" w:hAnsi="Times New Roman"/>
          <w:lang w:eastAsia="cs-CZ"/>
        </w:rPr>
        <w:t>monitorovania novozavedených  ukazovateľov kvality pitnej vody,</w:t>
      </w:r>
    </w:p>
    <w:p w:rsidR="00D00F18" w:rsidRPr="00D00F18" w:rsidP="00AC2F0E">
      <w:pPr>
        <w:numPr>
          <w:ilvl w:val="0"/>
          <w:numId w:val="33"/>
        </w:numPr>
        <w:spacing w:after="0"/>
        <w:jc w:val="both"/>
        <w:rPr>
          <w:rFonts w:ascii="Times New Roman" w:eastAsia="Times New Roman" w:hAnsi="Times New Roman"/>
          <w:lang w:eastAsia="cs-CZ"/>
        </w:rPr>
      </w:pPr>
      <w:r w:rsidRPr="00D00F18">
        <w:rPr>
          <w:rFonts w:ascii="Times New Roman" w:eastAsia="Times New Roman" w:hAnsi="Times New Roman"/>
          <w:lang w:eastAsia="cs-CZ"/>
        </w:rPr>
        <w:t>vydávanie rozhodnutí o:</w:t>
      </w:r>
    </w:p>
    <w:p w:rsidR="00D00F18" w:rsidRPr="00D00F18" w:rsidP="00AC2F0E">
      <w:pPr>
        <w:numPr>
          <w:ilvl w:val="0"/>
          <w:numId w:val="36"/>
        </w:numPr>
        <w:spacing w:after="0" w:line="240" w:lineRule="auto"/>
        <w:jc w:val="both"/>
        <w:rPr>
          <w:rFonts w:ascii="Times New Roman" w:eastAsia="Times New Roman" w:hAnsi="Times New Roman"/>
          <w:sz w:val="24"/>
          <w:szCs w:val="24"/>
          <w:lang w:eastAsia="cs-CZ"/>
        </w:rPr>
      </w:pPr>
      <w:r w:rsidRPr="00D00F18">
        <w:rPr>
          <w:rFonts w:ascii="Times New Roman" w:eastAsia="Times New Roman" w:hAnsi="Times New Roman"/>
          <w:sz w:val="24"/>
          <w:szCs w:val="24"/>
          <w:lang w:eastAsia="cs-CZ"/>
        </w:rPr>
        <w:t xml:space="preserve">manažmente rizík systému zásobovania pitnou vodou a o jeho zmene vrátane miest odberu vzoriek pitnej vody v programe monitorovania (ak presahuje úroveň RUVZ) na základe  stanoviska okresného úradu, </w:t>
      </w:r>
    </w:p>
    <w:p w:rsidR="00D00F18" w:rsidRPr="00D00F18" w:rsidP="00AC2F0E">
      <w:pPr>
        <w:numPr>
          <w:ilvl w:val="0"/>
          <w:numId w:val="36"/>
        </w:numPr>
        <w:spacing w:after="0" w:line="240" w:lineRule="auto"/>
        <w:jc w:val="both"/>
        <w:rPr>
          <w:rFonts w:ascii="Times New Roman" w:eastAsia="Times New Roman" w:hAnsi="Times New Roman"/>
          <w:sz w:val="24"/>
          <w:szCs w:val="24"/>
          <w:lang w:eastAsia="cs-CZ"/>
        </w:rPr>
      </w:pPr>
      <w:r w:rsidRPr="00D00F18">
        <w:rPr>
          <w:rFonts w:ascii="Times New Roman" w:eastAsia="Times New Roman" w:hAnsi="Times New Roman"/>
          <w:lang w:eastAsia="cs-CZ"/>
        </w:rPr>
        <w:t>zmene v programe monitorovania (ak presahuje úroveň RUVZ) na základe stanoviska okresného úradu alebo žiadosti MŽP SR,</w:t>
      </w:r>
    </w:p>
    <w:p w:rsidR="00D00F18" w:rsidRPr="00D00F18" w:rsidP="00D00F18">
      <w:pPr>
        <w:spacing w:after="0" w:line="240" w:lineRule="auto"/>
        <w:ind w:left="1134"/>
        <w:jc w:val="both"/>
        <w:rPr>
          <w:rFonts w:ascii="Times New Roman" w:eastAsia="Times New Roman" w:hAnsi="Times New Roman"/>
          <w:i/>
          <w:sz w:val="24"/>
          <w:szCs w:val="24"/>
          <w:lang w:eastAsia="sk-SK"/>
        </w:rPr>
      </w:pPr>
      <w:r w:rsidRPr="00D00F18">
        <w:rPr>
          <w:rFonts w:ascii="Times New Roman" w:eastAsia="Times New Roman" w:hAnsi="Times New Roman"/>
          <w:i/>
          <w:sz w:val="24"/>
          <w:szCs w:val="24"/>
          <w:lang w:eastAsia="sk-SK"/>
        </w:rPr>
        <w:t xml:space="preserve">Poznámka: Vydávanie rozhodnutí pre </w:t>
      </w:r>
      <w:r w:rsidRPr="00D00F18">
        <w:rPr>
          <w:rFonts w:ascii="Times New Roman" w:eastAsia="Times New Roman" w:hAnsi="Times New Roman"/>
          <w:i/>
          <w:sz w:val="24"/>
          <w:szCs w:val="24"/>
          <w:lang w:eastAsia="cs-CZ"/>
        </w:rPr>
        <w:t xml:space="preserve">manažment rizík systému zásobovania pitnou vodou </w:t>
      </w:r>
      <w:r w:rsidRPr="00D00F18">
        <w:rPr>
          <w:rFonts w:ascii="Times New Roman" w:eastAsia="Times New Roman" w:hAnsi="Times New Roman"/>
          <w:i/>
          <w:sz w:val="24"/>
          <w:szCs w:val="24"/>
          <w:lang w:eastAsia="sk-SK"/>
        </w:rPr>
        <w:t>bolo súčasťou zákona č. 355/2007 Z. z. aj doteraz, nakoľko ho však dodávateľ nemusel aplikovať v praxi doteraz povinne (prístup bol dobrovoľný), žiaden z dodávateľov pitnej vody manažment vykonaný</w:t>
      </w:r>
      <w:r w:rsidRPr="00D00F18">
        <w:rPr>
          <w:rFonts w:eastAsia="Times New Roman" w:cs="Calibri"/>
          <w:i/>
          <w:sz w:val="24"/>
          <w:szCs w:val="24"/>
          <w:lang w:eastAsia="sk-SK"/>
        </w:rPr>
        <w:t>;</w:t>
      </w:r>
      <w:r w:rsidRPr="00D00F18">
        <w:rPr>
          <w:rFonts w:ascii="Times New Roman" w:eastAsia="Times New Roman" w:hAnsi="Times New Roman"/>
          <w:i/>
          <w:sz w:val="24"/>
          <w:szCs w:val="24"/>
          <w:lang w:eastAsia="sk-SK"/>
        </w:rPr>
        <w:t xml:space="preserve"> </w:t>
      </w:r>
      <w:r w:rsidRPr="00D00F18">
        <w:rPr>
          <w:rFonts w:ascii="Times New Roman" w:eastAsia="Times New Roman" w:hAnsi="Times New Roman"/>
          <w:i/>
          <w:sz w:val="24"/>
          <w:szCs w:val="24"/>
          <w:lang w:eastAsia="cs-CZ"/>
        </w:rPr>
        <w:t xml:space="preserve"> predpokladá sa  rozsah cca najmenej 1 000 rozhodnutí k manažmentu rizík systému zásobovania.</w:t>
      </w:r>
    </w:p>
    <w:p w:rsidR="00D00F18" w:rsidRPr="00D00F18" w:rsidP="00AC2F0E">
      <w:pPr>
        <w:numPr>
          <w:ilvl w:val="0"/>
          <w:numId w:val="33"/>
        </w:numPr>
        <w:spacing w:after="0"/>
        <w:jc w:val="both"/>
        <w:rPr>
          <w:rFonts w:ascii="Times New Roman" w:eastAsia="Times New Roman" w:hAnsi="Times New Roman"/>
          <w:bCs/>
          <w:lang w:eastAsia="cs-CZ"/>
        </w:rPr>
      </w:pPr>
      <w:bookmarkEnd w:id="2"/>
      <w:r w:rsidRPr="00D00F18">
        <w:rPr>
          <w:rFonts w:ascii="Times New Roman" w:eastAsia="Times New Roman" w:hAnsi="Times New Roman"/>
          <w:bCs/>
          <w:lang w:eastAsia="cs-CZ"/>
        </w:rPr>
        <w:t>vypracovanie podporných dokumentov pre uplatňovanie nového prístupu založeného na manažmente rizík v celom vodárenskom dodávateľskom reťazci pre jednotlivé typy dodávateľov  a vytvorenie jednotných odporúčaných postupov pre RÚVZ,</w:t>
      </w:r>
    </w:p>
    <w:p w:rsidR="00D00F18" w:rsidRPr="00D00F18" w:rsidP="00AC2F0E">
      <w:pPr>
        <w:numPr>
          <w:ilvl w:val="0"/>
          <w:numId w:val="33"/>
        </w:numPr>
        <w:spacing w:after="0"/>
        <w:jc w:val="both"/>
        <w:rPr>
          <w:rFonts w:ascii="Times New Roman" w:eastAsia="Times New Roman" w:hAnsi="Times New Roman"/>
          <w:bCs/>
          <w:lang w:eastAsia="cs-CZ"/>
        </w:rPr>
      </w:pPr>
      <w:r w:rsidRPr="00D00F18">
        <w:rPr>
          <w:rFonts w:ascii="Times New Roman" w:eastAsia="Times New Roman" w:hAnsi="Times New Roman"/>
          <w:bCs/>
          <w:lang w:eastAsia="cs-CZ"/>
        </w:rPr>
        <w:t>vytvorenie všeobecnej národnej analýzy rizík domových rozvodných systémov (v spolupráci s RÚVZ Poprad) a monitorovania vybraných typov prioritných p</w:t>
      </w:r>
      <w:r w:rsidRPr="00D00F18">
        <w:rPr>
          <w:rFonts w:ascii="Times New Roman" w:eastAsia="Times New Roman" w:hAnsi="Times New Roman"/>
          <w:bCs/>
          <w:lang w:eastAsia="cs-CZ"/>
        </w:rPr>
        <w:t>riestorov,</w:t>
      </w:r>
    </w:p>
    <w:p w:rsidR="00D00F18" w:rsidRPr="00D00F18" w:rsidP="00AC2F0E">
      <w:pPr>
        <w:numPr>
          <w:ilvl w:val="0"/>
          <w:numId w:val="33"/>
        </w:numPr>
        <w:spacing w:after="0"/>
        <w:jc w:val="both"/>
        <w:rPr>
          <w:rFonts w:ascii="Times New Roman" w:eastAsia="Times New Roman" w:hAnsi="Times New Roman"/>
          <w:bCs/>
          <w:lang w:eastAsia="cs-CZ"/>
        </w:rPr>
      </w:pPr>
      <w:r w:rsidRPr="00D00F18">
        <w:rPr>
          <w:rFonts w:ascii="Times New Roman" w:eastAsia="Times New Roman" w:hAnsi="Times New Roman"/>
          <w:lang w:eastAsia="cs-CZ"/>
        </w:rPr>
        <w:t xml:space="preserve">činnosti a aktivity na podporu používania pitnej vody z vodovodu a poskytovanie poradenstvo o používaní pitnej vody s osobitnou pozornosťou na skupiny obyvateľov vystavené vo zvýšenej miere zdravotnému riziku. </w:t>
      </w:r>
    </w:p>
    <w:p w:rsidR="00D00F18" w:rsidRPr="00D00F18" w:rsidP="00D00F18">
      <w:pPr>
        <w:spacing w:after="0" w:line="240" w:lineRule="auto"/>
        <w:jc w:val="both"/>
        <w:rPr>
          <w:rFonts w:ascii="Times New Roman" w:eastAsia="Times New Roman" w:hAnsi="Times New Roman"/>
          <w:sz w:val="24"/>
          <w:szCs w:val="24"/>
          <w:lang w:eastAsia="sk-SK"/>
        </w:rPr>
      </w:pPr>
    </w:p>
    <w:p w:rsidR="00D00F18" w:rsidRPr="00D00F18" w:rsidP="00D00F18">
      <w:pPr>
        <w:spacing w:after="0" w:line="240" w:lineRule="auto"/>
        <w:jc w:val="both"/>
        <w:rPr>
          <w:rFonts w:ascii="Times New Roman" w:eastAsia="Times New Roman" w:hAnsi="Times New Roman"/>
          <w:sz w:val="24"/>
          <w:szCs w:val="24"/>
          <w:lang w:eastAsia="sk-SK"/>
        </w:rPr>
      </w:pPr>
    </w:p>
    <w:p w:rsidR="00D00F18" w:rsidRPr="00D00F18" w:rsidP="00D00F18">
      <w:pPr>
        <w:spacing w:after="0" w:line="240" w:lineRule="auto"/>
        <w:jc w:val="both"/>
        <w:rPr>
          <w:rFonts w:ascii="Times New Roman" w:eastAsia="Times New Roman" w:hAnsi="Times New Roman"/>
          <w:b/>
          <w:sz w:val="24"/>
          <w:szCs w:val="24"/>
          <w:lang w:eastAsia="sk-SK"/>
        </w:rPr>
      </w:pPr>
      <w:r w:rsidRPr="00D00F18">
        <w:rPr>
          <w:rFonts w:ascii="Times New Roman" w:eastAsia="Times New Roman" w:hAnsi="Times New Roman"/>
          <w:b/>
          <w:sz w:val="24"/>
          <w:szCs w:val="24"/>
          <w:lang w:eastAsia="sk-SK"/>
        </w:rPr>
        <w:t>Regionálne úrady verejného zdrav</w:t>
      </w:r>
      <w:r w:rsidRPr="00D00F18">
        <w:rPr>
          <w:rFonts w:ascii="Times New Roman" w:eastAsia="Times New Roman" w:hAnsi="Times New Roman"/>
          <w:b/>
          <w:sz w:val="24"/>
          <w:szCs w:val="24"/>
          <w:lang w:eastAsia="sk-SK"/>
        </w:rPr>
        <w:t xml:space="preserve">otníctva: </w:t>
      </w:r>
    </w:p>
    <w:p w:rsidR="00D00F18" w:rsidRPr="00D00F18" w:rsidP="00AC2F0E">
      <w:pPr>
        <w:numPr>
          <w:ilvl w:val="0"/>
          <w:numId w:val="34"/>
        </w:numPr>
        <w:spacing w:after="0"/>
        <w:jc w:val="both"/>
        <w:rPr>
          <w:rFonts w:ascii="Times New Roman" w:eastAsia="Times New Roman" w:hAnsi="Times New Roman"/>
          <w:lang w:eastAsia="cs-CZ"/>
        </w:rPr>
      </w:pPr>
      <w:r w:rsidRPr="00D00F18">
        <w:rPr>
          <w:rFonts w:ascii="Times New Roman" w:eastAsia="Times New Roman" w:hAnsi="Times New Roman"/>
          <w:lang w:eastAsia="cs-CZ"/>
        </w:rPr>
        <w:t>vydávanie rozhodnutí o:</w:t>
      </w:r>
    </w:p>
    <w:p w:rsidR="00D00F18" w:rsidRPr="00D00F18" w:rsidP="00AC2F0E">
      <w:pPr>
        <w:numPr>
          <w:ilvl w:val="0"/>
          <w:numId w:val="36"/>
        </w:numPr>
        <w:spacing w:after="0" w:line="240" w:lineRule="auto"/>
        <w:jc w:val="both"/>
        <w:rPr>
          <w:rFonts w:ascii="Times New Roman" w:eastAsia="Times New Roman" w:hAnsi="Times New Roman"/>
          <w:sz w:val="24"/>
          <w:szCs w:val="24"/>
          <w:lang w:eastAsia="cs-CZ"/>
        </w:rPr>
      </w:pPr>
      <w:r w:rsidRPr="00D00F18">
        <w:rPr>
          <w:rFonts w:ascii="Times New Roman" w:eastAsia="Times New Roman" w:hAnsi="Times New Roman"/>
          <w:sz w:val="24"/>
          <w:szCs w:val="24"/>
          <w:lang w:eastAsia="cs-CZ"/>
        </w:rPr>
        <w:t xml:space="preserve">manažmente rizík systému zásobovania pitnou vodou a o jeho zmene vrátane miest odberu vzoriek pitnej vody v programe monitorovania na základe  stanoviska okresného úradu, </w:t>
      </w:r>
    </w:p>
    <w:p w:rsidR="00D00F18" w:rsidRPr="00D00F18" w:rsidP="00AC2F0E">
      <w:pPr>
        <w:numPr>
          <w:ilvl w:val="0"/>
          <w:numId w:val="36"/>
        </w:numPr>
        <w:spacing w:after="0" w:line="240" w:lineRule="auto"/>
        <w:jc w:val="both"/>
        <w:rPr>
          <w:rFonts w:ascii="Times New Roman" w:eastAsia="Times New Roman" w:hAnsi="Times New Roman"/>
          <w:sz w:val="24"/>
          <w:szCs w:val="24"/>
          <w:lang w:eastAsia="cs-CZ"/>
        </w:rPr>
      </w:pPr>
      <w:r w:rsidRPr="00D00F18">
        <w:rPr>
          <w:rFonts w:ascii="Times New Roman" w:eastAsia="Times New Roman" w:hAnsi="Times New Roman"/>
          <w:lang w:eastAsia="cs-CZ"/>
        </w:rPr>
        <w:t>zmene v programe monitorovania na základe stanovi</w:t>
      </w:r>
      <w:r w:rsidRPr="00D00F18">
        <w:rPr>
          <w:rFonts w:ascii="Times New Roman" w:eastAsia="Times New Roman" w:hAnsi="Times New Roman"/>
          <w:lang w:eastAsia="cs-CZ"/>
        </w:rPr>
        <w:t>ska okresného úradu,</w:t>
      </w:r>
    </w:p>
    <w:p w:rsidR="00D00F18" w:rsidRPr="00D00F18" w:rsidP="00D00F18">
      <w:pPr>
        <w:spacing w:after="0" w:line="240" w:lineRule="auto"/>
        <w:ind w:left="1134"/>
        <w:jc w:val="both"/>
        <w:rPr>
          <w:rFonts w:ascii="Times New Roman" w:eastAsia="Times New Roman" w:hAnsi="Times New Roman"/>
          <w:i/>
          <w:sz w:val="24"/>
          <w:szCs w:val="24"/>
          <w:lang w:eastAsia="sk-SK"/>
        </w:rPr>
      </w:pPr>
      <w:r w:rsidRPr="00D00F18">
        <w:rPr>
          <w:rFonts w:ascii="Times New Roman" w:eastAsia="Times New Roman" w:hAnsi="Times New Roman"/>
          <w:i/>
          <w:sz w:val="24"/>
          <w:szCs w:val="24"/>
          <w:lang w:eastAsia="sk-SK"/>
        </w:rPr>
        <w:t xml:space="preserve">Poznámka: Vydávanie rozhodnutí pre </w:t>
      </w:r>
      <w:r w:rsidRPr="00D00F18">
        <w:rPr>
          <w:rFonts w:ascii="Times New Roman" w:eastAsia="Times New Roman" w:hAnsi="Times New Roman"/>
          <w:i/>
          <w:sz w:val="24"/>
          <w:szCs w:val="24"/>
          <w:lang w:eastAsia="cs-CZ"/>
        </w:rPr>
        <w:t xml:space="preserve">manažment rizík systému zásobovania pitnou vodou </w:t>
      </w:r>
      <w:r w:rsidRPr="00D00F18">
        <w:rPr>
          <w:rFonts w:ascii="Times New Roman" w:eastAsia="Times New Roman" w:hAnsi="Times New Roman"/>
          <w:i/>
          <w:sz w:val="24"/>
          <w:szCs w:val="24"/>
          <w:lang w:eastAsia="sk-SK"/>
        </w:rPr>
        <w:t>bolo súčasťou zákona č. 355/2007 Z. z. aj doteraz, nakoľko ho však dodávateľ nemusel aplikovať v praxi doteraz povinne (prístup bol dobrovoľný), žiaden z dodávateľov pitnej vody manažment nevykonal</w:t>
      </w:r>
      <w:r w:rsidRPr="00D00F18">
        <w:rPr>
          <w:rFonts w:eastAsia="Times New Roman" w:cs="Calibri"/>
          <w:i/>
          <w:sz w:val="24"/>
          <w:szCs w:val="24"/>
          <w:lang w:eastAsia="sk-SK"/>
        </w:rPr>
        <w:t>;</w:t>
      </w:r>
      <w:r w:rsidRPr="00D00F18">
        <w:rPr>
          <w:rFonts w:ascii="Times New Roman" w:eastAsia="Times New Roman" w:hAnsi="Times New Roman"/>
          <w:i/>
          <w:sz w:val="24"/>
          <w:szCs w:val="24"/>
          <w:lang w:eastAsia="sk-SK"/>
        </w:rPr>
        <w:t xml:space="preserve"> </w:t>
      </w:r>
      <w:r w:rsidRPr="00D00F18">
        <w:rPr>
          <w:rFonts w:ascii="Times New Roman" w:eastAsia="Times New Roman" w:hAnsi="Times New Roman"/>
          <w:i/>
          <w:sz w:val="24"/>
          <w:szCs w:val="24"/>
          <w:lang w:eastAsia="cs-CZ"/>
        </w:rPr>
        <w:t xml:space="preserve"> predpokladá sa  rozsah najmenej 1 000 rozhodnutí k manažmentu rizík systému zásobovania.</w:t>
      </w:r>
    </w:p>
    <w:p w:rsidR="00D00F18" w:rsidRPr="00D00F18" w:rsidP="00AC2F0E">
      <w:pPr>
        <w:numPr>
          <w:ilvl w:val="0"/>
          <w:numId w:val="34"/>
        </w:numPr>
        <w:spacing w:after="0"/>
        <w:jc w:val="both"/>
        <w:rPr>
          <w:rFonts w:ascii="Times New Roman" w:eastAsia="Times New Roman" w:hAnsi="Times New Roman"/>
          <w:lang w:eastAsia="cs-CZ"/>
        </w:rPr>
      </w:pPr>
      <w:r w:rsidRPr="00D00F18">
        <w:rPr>
          <w:rFonts w:ascii="Times New Roman" w:eastAsia="Times New Roman" w:hAnsi="Times New Roman"/>
          <w:lang w:eastAsia="cs-CZ"/>
        </w:rPr>
        <w:t>činnosti a aktivity na podporu používania pitnej vody z vodovodu a poskytovanie poradenstva o používaní pitnej vody s osobitnou pozornosťou na skupiny obyvateľov vystavené vo zvýšenej miere zdravotnému riziku</w:t>
      </w:r>
      <w:r w:rsidRPr="00D00F18">
        <w:rPr>
          <w:rFonts w:ascii="Times New Roman" w:eastAsia="Times New Roman" w:hAnsi="Times New Roman"/>
          <w:i/>
          <w:sz w:val="24"/>
          <w:szCs w:val="24"/>
          <w:lang w:eastAsia="cs-CZ"/>
        </w:rPr>
        <w:t>,</w:t>
      </w:r>
    </w:p>
    <w:p w:rsidR="00D00F18" w:rsidRPr="00D00F18" w:rsidP="00AC2F0E">
      <w:pPr>
        <w:numPr>
          <w:ilvl w:val="0"/>
          <w:numId w:val="34"/>
        </w:numPr>
        <w:spacing w:after="0"/>
        <w:jc w:val="both"/>
        <w:rPr>
          <w:rFonts w:ascii="Times New Roman" w:eastAsia="Times New Roman" w:hAnsi="Times New Roman"/>
          <w:lang w:eastAsia="cs-CZ"/>
        </w:rPr>
      </w:pPr>
      <w:r w:rsidRPr="00D00F18">
        <w:rPr>
          <w:rFonts w:ascii="Times New Roman" w:eastAsia="Times New Roman" w:hAnsi="Times New Roman"/>
          <w:lang w:eastAsia="cs-CZ"/>
        </w:rPr>
        <w:t xml:space="preserve">kontrola programov monitorovania </w:t>
      </w:r>
      <w:r w:rsidRPr="00D00F18">
        <w:rPr>
          <w:rFonts w:ascii="Times New Roman" w:eastAsia="Times New Roman" w:hAnsi="Times New Roman"/>
          <w:sz w:val="24"/>
          <w:szCs w:val="24"/>
          <w:lang w:eastAsia="sk-SK"/>
        </w:rPr>
        <w:t>vrátane ich aktualizácie v prípade, ak dodávatelia pitnej vody nie sú povinní vypracovať manažment rizík systému zásobovania</w:t>
      </w:r>
    </w:p>
    <w:p w:rsidR="00D00F18" w:rsidRPr="00D00F18" w:rsidP="00D00F18">
      <w:pPr>
        <w:spacing w:after="0"/>
        <w:ind w:left="720"/>
        <w:jc w:val="both"/>
        <w:rPr>
          <w:rFonts w:ascii="Times New Roman" w:eastAsia="Times New Roman" w:hAnsi="Times New Roman"/>
          <w:lang w:eastAsia="cs-CZ"/>
        </w:rPr>
      </w:pPr>
      <w:r w:rsidRPr="00D00F18">
        <w:rPr>
          <w:rFonts w:ascii="Times New Roman" w:eastAsia="Times New Roman" w:hAnsi="Times New Roman"/>
          <w:sz w:val="24"/>
          <w:szCs w:val="24"/>
          <w:lang w:eastAsia="sk-SK"/>
        </w:rPr>
        <w:t xml:space="preserve"> </w:t>
      </w:r>
      <w:r w:rsidRPr="00D00F18">
        <w:rPr>
          <w:rFonts w:ascii="Times New Roman" w:eastAsia="Times New Roman" w:hAnsi="Times New Roman"/>
          <w:i/>
          <w:sz w:val="24"/>
          <w:szCs w:val="24"/>
          <w:lang w:eastAsia="sk-SK"/>
        </w:rPr>
        <w:t>Pozná</w:t>
      </w:r>
      <w:r w:rsidRPr="00D00F18">
        <w:rPr>
          <w:rFonts w:ascii="Times New Roman" w:eastAsia="Times New Roman" w:hAnsi="Times New Roman"/>
          <w:i/>
          <w:sz w:val="24"/>
          <w:szCs w:val="24"/>
          <w:lang w:eastAsia="sk-SK"/>
        </w:rPr>
        <w:t xml:space="preserve">mka:  </w:t>
      </w:r>
      <w:r w:rsidRPr="00D00F18">
        <w:rPr>
          <w:rFonts w:ascii="Times New Roman" w:eastAsia="Times New Roman" w:hAnsi="Times New Roman"/>
          <w:i/>
          <w:sz w:val="24"/>
          <w:szCs w:val="24"/>
          <w:lang w:eastAsia="cs-CZ"/>
        </w:rPr>
        <w:t>predpokladá sa  rozsah cca najmenej 3  000 podaní.</w:t>
      </w:r>
    </w:p>
    <w:p w:rsidR="00D00F18" w:rsidRPr="00D00F18" w:rsidP="00AC2F0E">
      <w:pPr>
        <w:numPr>
          <w:ilvl w:val="0"/>
          <w:numId w:val="34"/>
        </w:numPr>
        <w:spacing w:after="0"/>
        <w:jc w:val="both"/>
        <w:rPr>
          <w:rFonts w:ascii="Times New Roman" w:eastAsia="Times New Roman" w:hAnsi="Times New Roman"/>
          <w:bCs/>
          <w:lang w:eastAsia="cs-CZ"/>
        </w:rPr>
      </w:pPr>
      <w:r w:rsidRPr="00D00F18">
        <w:rPr>
          <w:rFonts w:ascii="Times New Roman" w:eastAsia="Times New Roman" w:hAnsi="Times New Roman"/>
          <w:sz w:val="24"/>
          <w:szCs w:val="24"/>
          <w:lang w:eastAsia="sk-SK"/>
        </w:rPr>
        <w:t>monitorovanie novozavedených ukazovateľov kvality pitnej vody,</w:t>
      </w:r>
    </w:p>
    <w:p w:rsidR="00D00F18" w:rsidRPr="00D00F18" w:rsidP="00AC2F0E">
      <w:pPr>
        <w:numPr>
          <w:ilvl w:val="0"/>
          <w:numId w:val="34"/>
        </w:num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výkon štátneho zdravotného dozoru nad novými povinnosťami podľa zákona č. 355/2007 Z. z.</w:t>
      </w:r>
    </w:p>
    <w:p w:rsidR="00D00F18" w:rsidRPr="00D00F18" w:rsidP="00AC2F0E">
      <w:pPr>
        <w:numPr>
          <w:ilvl w:val="0"/>
          <w:numId w:val="34"/>
        </w:numPr>
        <w:spacing w:after="0"/>
        <w:jc w:val="both"/>
        <w:rPr>
          <w:rFonts w:ascii="Times New Roman" w:eastAsia="Times New Roman" w:hAnsi="Times New Roman"/>
          <w:bCs/>
          <w:lang w:eastAsia="cs-CZ"/>
        </w:rPr>
      </w:pPr>
      <w:r w:rsidRPr="00D00F18">
        <w:rPr>
          <w:rFonts w:ascii="Times New Roman" w:eastAsia="Times New Roman" w:hAnsi="Times New Roman"/>
          <w:bCs/>
          <w:lang w:eastAsia="cs-CZ"/>
        </w:rPr>
        <w:t>spolupráca pri tvorbe všeobecnej národnej analý</w:t>
      </w:r>
      <w:r w:rsidRPr="00D00F18">
        <w:rPr>
          <w:rFonts w:ascii="Times New Roman" w:eastAsia="Times New Roman" w:hAnsi="Times New Roman"/>
          <w:bCs/>
          <w:lang w:eastAsia="cs-CZ"/>
        </w:rPr>
        <w:t>zy rizík domových rozvodných systémov a monitorovania vybraných typov prioritných priestorov,</w:t>
      </w:r>
    </w:p>
    <w:p w:rsidR="00D00F18" w:rsidRPr="00D00F18" w:rsidP="00AC2F0E">
      <w:pPr>
        <w:numPr>
          <w:ilvl w:val="0"/>
          <w:numId w:val="34"/>
        </w:numPr>
        <w:spacing w:after="0" w:line="240" w:lineRule="auto"/>
        <w:jc w:val="both"/>
        <w:rPr>
          <w:rFonts w:ascii="Times New Roman" w:eastAsia="Times New Roman" w:hAnsi="Times New Roman"/>
          <w:b/>
          <w:sz w:val="24"/>
          <w:szCs w:val="24"/>
          <w:lang w:eastAsia="sk-SK"/>
        </w:rPr>
      </w:pPr>
      <w:r w:rsidRPr="00D00F18">
        <w:rPr>
          <w:rFonts w:ascii="Times New Roman" w:eastAsia="Times New Roman" w:hAnsi="Times New Roman"/>
          <w:sz w:val="24"/>
          <w:szCs w:val="24"/>
          <w:lang w:eastAsia="cs-CZ"/>
        </w:rPr>
        <w:t>súčinnosť s ÚVZ SR pri plnení nových reportovacích povinností voči EK, EEA, ECDC.</w:t>
      </w:r>
    </w:p>
    <w:p w:rsidR="00D00F18" w:rsidRPr="00D00F18" w:rsidP="00D00F18">
      <w:pPr>
        <w:spacing w:after="0" w:line="240" w:lineRule="auto"/>
        <w:jc w:val="both"/>
        <w:rPr>
          <w:rFonts w:ascii="Times New Roman" w:eastAsia="Times New Roman" w:hAnsi="Times New Roman"/>
          <w:b/>
          <w:sz w:val="24"/>
          <w:szCs w:val="24"/>
          <w:lang w:eastAsia="sk-SK"/>
        </w:rPr>
      </w:pP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b/>
          <w:sz w:val="24"/>
          <w:szCs w:val="24"/>
          <w:lang w:eastAsia="sk-SK"/>
        </w:rPr>
        <w:t>Národné referenčné centrum pre chemické látky na úpravu vody</w:t>
      </w:r>
    </w:p>
    <w:p w:rsidR="00D00F18" w:rsidRPr="00D00F18" w:rsidP="00AC2F0E">
      <w:pPr>
        <w:numPr>
          <w:ilvl w:val="0"/>
          <w:numId w:val="37"/>
        </w:num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xml:space="preserve">testovania a hodnotenie zdravotnej bezpečnosti chemických látok a filtračných médií na úpravu vody, </w:t>
      </w:r>
    </w:p>
    <w:p w:rsidR="00D00F18" w:rsidRPr="00D00F18" w:rsidP="00AC2F0E">
      <w:pPr>
        <w:numPr>
          <w:ilvl w:val="0"/>
          <w:numId w:val="37"/>
        </w:num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spolupráca s EK pri vytváraní harmonizácií minimálnych požiadaviek a vytváraní európskych zoznamov povolených látok na použitie pri výrobe materiálov v závislosti od typu ma</w:t>
      </w:r>
      <w:r w:rsidRPr="00D00F18">
        <w:rPr>
          <w:rFonts w:ascii="Times New Roman" w:eastAsia="Times New Roman" w:hAnsi="Times New Roman"/>
          <w:sz w:val="24"/>
          <w:szCs w:val="24"/>
          <w:lang w:eastAsia="sk-SK"/>
        </w:rPr>
        <w:t xml:space="preserve">teriálov –  organické, cementové, kovové, smaltované, keramické a iné anorganické materiály, </w:t>
      </w:r>
    </w:p>
    <w:p w:rsidR="00D00F18" w:rsidRPr="00D00F18" w:rsidP="00AC2F0E">
      <w:pPr>
        <w:numPr>
          <w:ilvl w:val="0"/>
          <w:numId w:val="37"/>
        </w:num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súčinnosť pri výkone štátneho zdravotného dozoru nad novými povinnosťami podľa zákona č. 355/2007 Z. z.</w:t>
      </w:r>
    </w:p>
    <w:p w:rsidR="00D00F18" w:rsidRPr="00D00F18" w:rsidP="00D00F18">
      <w:pPr>
        <w:spacing w:after="0" w:line="240" w:lineRule="auto"/>
        <w:jc w:val="both"/>
        <w:rPr>
          <w:rFonts w:ascii="Times New Roman" w:eastAsia="Times New Roman" w:hAnsi="Times New Roman"/>
          <w:lang w:eastAsia="sk-SK"/>
        </w:rPr>
      </w:pPr>
    </w:p>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2.2.2. Charakteristika návrhu:</w:t>
      </w:r>
    </w:p>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b/>
          <w:sz w:val="24"/>
          <w:szCs w:val="24"/>
          <w:bdr w:val="single" w:sz="4" w:space="0" w:color="auto"/>
          <w:lang w:eastAsia="sk-SK"/>
        </w:rPr>
        <w:t xml:space="preserve">     </w:t>
      </w:r>
      <w:r w:rsidRPr="00D00F18">
        <w:rPr>
          <w:rFonts w:ascii="Times New Roman" w:eastAsia="Times New Roman" w:hAnsi="Times New Roman"/>
          <w:b/>
          <w:sz w:val="24"/>
          <w:szCs w:val="24"/>
          <w:lang w:eastAsia="sk-SK"/>
        </w:rPr>
        <w:t xml:space="preserve">  </w:t>
      </w:r>
      <w:r w:rsidRPr="00D00F18">
        <w:rPr>
          <w:rFonts w:ascii="Times New Roman" w:eastAsia="Times New Roman" w:hAnsi="Times New Roman"/>
          <w:sz w:val="24"/>
          <w:szCs w:val="24"/>
          <w:lang w:eastAsia="sk-SK"/>
        </w:rPr>
        <w:t>zmena sadzby</w:t>
      </w: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bdr w:val="single" w:sz="4" w:space="0" w:color="auto"/>
          <w:lang w:eastAsia="sk-SK"/>
        </w:rPr>
        <w:t xml:space="preserve">     </w:t>
      </w:r>
      <w:r w:rsidRPr="00D00F18">
        <w:rPr>
          <w:rFonts w:ascii="Times New Roman" w:eastAsia="Times New Roman" w:hAnsi="Times New Roman"/>
          <w:sz w:val="24"/>
          <w:szCs w:val="24"/>
          <w:lang w:eastAsia="sk-SK"/>
        </w:rPr>
        <w:t xml:space="preserve">  zmena v nároku</w:t>
      </w: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bdr w:val="single" w:sz="4" w:space="0" w:color="auto"/>
          <w:lang w:eastAsia="sk-SK"/>
        </w:rPr>
        <w:t xml:space="preserve">     </w:t>
      </w:r>
      <w:r w:rsidRPr="00D00F18">
        <w:rPr>
          <w:rFonts w:ascii="Times New Roman" w:eastAsia="Times New Roman" w:hAnsi="Times New Roman"/>
          <w:sz w:val="24"/>
          <w:szCs w:val="24"/>
          <w:lang w:eastAsia="sk-SK"/>
        </w:rPr>
        <w:t xml:space="preserve">  nová služba alebo nariadenie (alebo ich zrušenie)</w:t>
      </w: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bdr w:val="single" w:sz="4" w:space="0" w:color="auto"/>
          <w:lang w:eastAsia="sk-SK"/>
        </w:rPr>
        <w:t xml:space="preserve">     </w:t>
      </w:r>
      <w:r w:rsidRPr="00D00F18">
        <w:rPr>
          <w:rFonts w:ascii="Times New Roman" w:eastAsia="Times New Roman" w:hAnsi="Times New Roman"/>
          <w:sz w:val="24"/>
          <w:szCs w:val="24"/>
          <w:lang w:eastAsia="sk-SK"/>
        </w:rPr>
        <w:t xml:space="preserve">  kombinovaný návrh</w:t>
      </w: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bdr w:val="single" w:sz="4" w:space="0" w:color="auto"/>
          <w:lang w:eastAsia="sk-SK"/>
        </w:rPr>
        <w:t xml:space="preserve">     </w:t>
      </w:r>
      <w:r w:rsidRPr="00D00F18">
        <w:rPr>
          <w:rFonts w:ascii="Times New Roman" w:eastAsia="Times New Roman" w:hAnsi="Times New Roman"/>
          <w:sz w:val="24"/>
          <w:szCs w:val="24"/>
          <w:lang w:eastAsia="sk-SK"/>
        </w:rPr>
        <w:t xml:space="preserve">  iné </w:t>
      </w:r>
    </w:p>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b/>
          <w:bCs/>
          <w:sz w:val="24"/>
          <w:szCs w:val="24"/>
          <w:lang w:eastAsia="sk-SK"/>
        </w:rPr>
        <w:t>2.2.3. Predpoklady vývoja objemu aktivít:</w:t>
      </w:r>
    </w:p>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ind w:firstLine="708"/>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Jasne popíšte, v prípade potreby použite nižšie uvedenú tabuľku. Uveďte aj odhady základov daní a/ale</w:t>
      </w:r>
      <w:r w:rsidRPr="00D00F18">
        <w:rPr>
          <w:rFonts w:ascii="Times New Roman" w:eastAsia="Times New Roman" w:hAnsi="Times New Roman"/>
          <w:sz w:val="24"/>
          <w:szCs w:val="24"/>
          <w:lang w:eastAsia="sk-SK"/>
        </w:rPr>
        <w:t>bo poplatkov, ak sa ich táto zmena týka.</w:t>
      </w:r>
    </w:p>
    <w:p w:rsidR="00D00F18" w:rsidRPr="00D00F18" w:rsidP="00D00F18">
      <w:pPr>
        <w:spacing w:after="0" w:line="240" w:lineRule="auto"/>
        <w:ind w:firstLine="708"/>
        <w:jc w:val="both"/>
        <w:rPr>
          <w:rFonts w:ascii="Times New Roman" w:eastAsia="Times New Roman" w:hAnsi="Times New Roman"/>
          <w:sz w:val="24"/>
          <w:szCs w:val="24"/>
          <w:lang w:eastAsia="sk-SK"/>
        </w:rPr>
      </w:pPr>
    </w:p>
    <w:p w:rsidR="00D00F18" w:rsidRPr="00D00F18" w:rsidP="00D00F18">
      <w:pPr>
        <w:spacing w:after="0" w:line="240" w:lineRule="auto"/>
        <w:ind w:firstLine="708"/>
        <w:jc w:val="both"/>
        <w:rPr>
          <w:rFonts w:ascii="Times New Roman" w:eastAsia="Times New Roman" w:hAnsi="Times New Roman"/>
          <w:sz w:val="24"/>
          <w:szCs w:val="24"/>
          <w:lang w:eastAsia="sk-SK"/>
        </w:rPr>
      </w:pPr>
    </w:p>
    <w:p w:rsidR="00D00F18" w:rsidRPr="00D00F18" w:rsidP="00D00F18">
      <w:pPr>
        <w:spacing w:after="0" w:line="240" w:lineRule="auto"/>
        <w:ind w:firstLine="708"/>
        <w:jc w:val="both"/>
        <w:rPr>
          <w:rFonts w:ascii="Times New Roman" w:eastAsia="Times New Roman" w:hAnsi="Times New Roman"/>
          <w:sz w:val="24"/>
          <w:szCs w:val="24"/>
          <w:lang w:eastAsia="sk-SK"/>
        </w:rPr>
      </w:pPr>
    </w:p>
    <w:p w:rsidR="00D00F18" w:rsidRPr="00D00F18" w:rsidP="00D00F18">
      <w:pPr>
        <w:spacing w:after="0" w:line="240" w:lineRule="auto"/>
        <w:jc w:val="right"/>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Tabuľka č. 2 </w:t>
      </w:r>
    </w:p>
    <w:tbl>
      <w:tblPr>
        <w:tblStyle w:val="TableNormal"/>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0"/>
        <w:gridCol w:w="1134"/>
        <w:gridCol w:w="1134"/>
        <w:gridCol w:w="1134"/>
        <w:gridCol w:w="1134"/>
      </w:tblGrid>
      <w:tr w:rsidTr="00D00F18">
        <w:tblPrEx>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70"/>
        </w:trPr>
        <w:tc>
          <w:tcPr>
            <w:tcW w:w="4530" w:type="dxa"/>
            <w:vMerge w:val="restart"/>
            <w:shd w:val="clear" w:color="auto" w:fill="BFBFBF"/>
            <w:vAlign w:val="center"/>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Objem aktivít</w:t>
            </w:r>
          </w:p>
        </w:tc>
        <w:tc>
          <w:tcPr>
            <w:tcW w:w="4536" w:type="dxa"/>
            <w:gridSpan w:val="4"/>
            <w:shd w:val="clear" w:color="auto" w:fill="BFBFBF"/>
            <w:vAlign w:val="center"/>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Odhadované objemy</w:t>
            </w:r>
          </w:p>
        </w:tc>
      </w:tr>
      <w:tr w:rsidTr="00D00F18">
        <w:tblPrEx>
          <w:tblW w:w="9066" w:type="dxa"/>
          <w:tblInd w:w="78" w:type="dxa"/>
          <w:tblLayout w:type="fixed"/>
          <w:tblLook w:val="0000"/>
        </w:tblPrEx>
        <w:trPr>
          <w:cantSplit/>
          <w:trHeight w:val="70"/>
        </w:trPr>
        <w:tc>
          <w:tcPr>
            <w:tcW w:w="4530" w:type="dxa"/>
            <w:vMerge/>
            <w:shd w:val="clear" w:color="auto" w:fill="BFBFBF"/>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p>
        </w:tc>
        <w:tc>
          <w:tcPr>
            <w:tcW w:w="1134" w:type="dxa"/>
            <w:shd w:val="clear" w:color="auto" w:fill="BFBFBF"/>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2023</w:t>
            </w:r>
          </w:p>
        </w:tc>
        <w:tc>
          <w:tcPr>
            <w:tcW w:w="1134" w:type="dxa"/>
            <w:shd w:val="clear" w:color="auto" w:fill="BFBFBF"/>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2024</w:t>
            </w:r>
          </w:p>
        </w:tc>
        <w:tc>
          <w:tcPr>
            <w:tcW w:w="1134" w:type="dxa"/>
            <w:shd w:val="clear" w:color="auto" w:fill="BFBFBF"/>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2025</w:t>
            </w:r>
          </w:p>
        </w:tc>
        <w:tc>
          <w:tcPr>
            <w:tcW w:w="1134" w:type="dxa"/>
            <w:shd w:val="clear" w:color="auto" w:fill="BFBFBF"/>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2026</w:t>
            </w:r>
          </w:p>
        </w:tc>
      </w:tr>
      <w:tr w:rsidTr="00D00F18">
        <w:tblPrEx>
          <w:tblW w:w="9066" w:type="dxa"/>
          <w:tblInd w:w="78" w:type="dxa"/>
          <w:tblLayout w:type="fixed"/>
          <w:tblLook w:val="0000"/>
        </w:tblPrEx>
        <w:trPr>
          <w:trHeight w:val="70"/>
        </w:trPr>
        <w:tc>
          <w:tcPr>
            <w:tcW w:w="4530" w:type="dxa"/>
          </w:tcPr>
          <w:p w:rsidR="00D00F18" w:rsidRPr="00D00F18" w:rsidP="00D00F18">
            <w:pPr>
              <w:autoSpaceDE w:val="0"/>
              <w:autoSpaceDN w:val="0"/>
              <w:adjustRightInd w:val="0"/>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Indikátor ABC</w:t>
            </w: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r>
      <w:tr w:rsidTr="00D00F18">
        <w:tblPrEx>
          <w:tblW w:w="9066" w:type="dxa"/>
          <w:tblInd w:w="78" w:type="dxa"/>
          <w:tblLayout w:type="fixed"/>
          <w:tblLook w:val="0000"/>
        </w:tblPrEx>
        <w:trPr>
          <w:trHeight w:val="70"/>
        </w:trPr>
        <w:tc>
          <w:tcPr>
            <w:tcW w:w="4530" w:type="dxa"/>
          </w:tcPr>
          <w:p w:rsidR="00D00F18" w:rsidRPr="00D00F18" w:rsidP="00D00F18">
            <w:pPr>
              <w:autoSpaceDE w:val="0"/>
              <w:autoSpaceDN w:val="0"/>
              <w:adjustRightInd w:val="0"/>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Indikátor KLM</w:t>
            </w: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r>
      <w:tr w:rsidTr="00D00F18">
        <w:tblPrEx>
          <w:tblW w:w="9066" w:type="dxa"/>
          <w:tblInd w:w="78" w:type="dxa"/>
          <w:tblLayout w:type="fixed"/>
          <w:tblLook w:val="0000"/>
        </w:tblPrEx>
        <w:trPr>
          <w:trHeight w:val="70"/>
        </w:trPr>
        <w:tc>
          <w:tcPr>
            <w:tcW w:w="4530" w:type="dxa"/>
          </w:tcPr>
          <w:p w:rsidR="00D00F18" w:rsidRPr="00D00F18" w:rsidP="00D00F18">
            <w:pPr>
              <w:autoSpaceDE w:val="0"/>
              <w:autoSpaceDN w:val="0"/>
              <w:adjustRightInd w:val="0"/>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Indikátor XYZ</w:t>
            </w: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r>
    </w:tbl>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2.2.4. Výpočty vplyvov na verejné financie</w:t>
      </w:r>
    </w:p>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ind w:firstLine="708"/>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D00F18" w:rsidRPr="00D00F18" w:rsidP="00D00F18">
      <w:pPr>
        <w:tabs>
          <w:tab w:val="num" w:pos="1080"/>
        </w:tabs>
        <w:jc w:val="right"/>
        <w:rPr>
          <w:rFonts w:ascii="Times New Roman" w:hAnsi="Times New Roman"/>
          <w:bCs/>
          <w:sz w:val="20"/>
          <w:szCs w:val="20"/>
        </w:rPr>
      </w:pPr>
    </w:p>
    <w:p w:rsidR="00D00F18" w:rsidRPr="00D00F18" w:rsidP="00D00F18">
      <w:pPr>
        <w:tabs>
          <w:tab w:val="num" w:pos="1080"/>
        </w:tabs>
        <w:jc w:val="right"/>
        <w:rPr>
          <w:rFonts w:ascii="Times New Roman" w:hAnsi="Times New Roman"/>
          <w:bCs/>
          <w:sz w:val="20"/>
          <w:szCs w:val="20"/>
        </w:rPr>
      </w:pPr>
    </w:p>
    <w:p w:rsidR="00D00F18" w:rsidRPr="00D00F18" w:rsidP="00D00F18">
      <w:pPr>
        <w:tabs>
          <w:tab w:val="num" w:pos="1080"/>
        </w:tabs>
        <w:jc w:val="right"/>
        <w:rPr>
          <w:rFonts w:ascii="Times New Roman" w:hAnsi="Times New Roman"/>
          <w:bCs/>
          <w:sz w:val="20"/>
          <w:szCs w:val="20"/>
        </w:rPr>
      </w:pPr>
    </w:p>
    <w:p w:rsidR="00D00F18" w:rsidRPr="00D00F18" w:rsidP="00D00F18">
      <w:pPr>
        <w:tabs>
          <w:tab w:val="num" w:pos="1080"/>
        </w:tabs>
        <w:jc w:val="right"/>
        <w:rPr>
          <w:rFonts w:ascii="Times New Roman" w:hAnsi="Times New Roman"/>
          <w:bCs/>
          <w:sz w:val="20"/>
          <w:szCs w:val="20"/>
        </w:rPr>
      </w:pPr>
    </w:p>
    <w:p w:rsidR="00D00F18" w:rsidRPr="00D00F18" w:rsidP="00D00F18">
      <w:pPr>
        <w:tabs>
          <w:tab w:val="num" w:pos="1080"/>
        </w:tabs>
        <w:jc w:val="right"/>
        <w:rPr>
          <w:rFonts w:ascii="Times New Roman" w:hAnsi="Times New Roman"/>
          <w:bCs/>
          <w:sz w:val="20"/>
          <w:szCs w:val="20"/>
        </w:rPr>
      </w:pPr>
    </w:p>
    <w:p w:rsidR="00D00F18" w:rsidRPr="00D00F18" w:rsidP="00D00F18">
      <w:pPr>
        <w:tabs>
          <w:tab w:val="num" w:pos="1080"/>
        </w:tabs>
        <w:jc w:val="right"/>
        <w:rPr>
          <w:rFonts w:ascii="Times New Roman" w:hAnsi="Times New Roman"/>
          <w:bCs/>
          <w:sz w:val="20"/>
          <w:szCs w:val="20"/>
        </w:rPr>
      </w:pPr>
    </w:p>
    <w:p w:rsidR="00D00F18" w:rsidRPr="00D00F18" w:rsidP="00D00F18">
      <w:pPr>
        <w:tabs>
          <w:tab w:val="num" w:pos="1080"/>
        </w:tabs>
        <w:jc w:val="right"/>
        <w:rPr>
          <w:rFonts w:ascii="Times New Roman" w:hAnsi="Times New Roman"/>
          <w:bCs/>
          <w:sz w:val="20"/>
          <w:szCs w:val="20"/>
        </w:rPr>
      </w:pPr>
    </w:p>
    <w:p w:rsidR="00D00F18" w:rsidRPr="00D00F18" w:rsidP="00D00F18">
      <w:pPr>
        <w:tabs>
          <w:tab w:val="num" w:pos="1080"/>
        </w:tabs>
        <w:jc w:val="right"/>
        <w:rPr>
          <w:rFonts w:ascii="Times New Roman" w:hAnsi="Times New Roman"/>
          <w:bCs/>
          <w:sz w:val="20"/>
          <w:szCs w:val="20"/>
        </w:rPr>
      </w:pPr>
    </w:p>
    <w:p w:rsidR="00D00F18" w:rsidRPr="00D00F18" w:rsidP="00D00F18">
      <w:pPr>
        <w:tabs>
          <w:tab w:val="num" w:pos="1080"/>
        </w:tabs>
        <w:jc w:val="right"/>
        <w:rPr>
          <w:rFonts w:ascii="Times New Roman" w:hAnsi="Times New Roman"/>
          <w:bCs/>
          <w:sz w:val="20"/>
          <w:szCs w:val="20"/>
        </w:rPr>
      </w:pPr>
    </w:p>
    <w:p w:rsidR="00D00F18" w:rsidRPr="00D00F18" w:rsidP="00D00F18">
      <w:pPr>
        <w:tabs>
          <w:tab w:val="num" w:pos="1080"/>
        </w:tabs>
        <w:jc w:val="right"/>
        <w:rPr>
          <w:rFonts w:ascii="Times New Roman" w:hAnsi="Times New Roman"/>
          <w:bCs/>
          <w:sz w:val="20"/>
          <w:szCs w:val="20"/>
        </w:rPr>
      </w:pPr>
    </w:p>
    <w:p w:rsidR="00D00F18" w:rsidRPr="00D00F18" w:rsidP="00D00F18">
      <w:pPr>
        <w:tabs>
          <w:tab w:val="num" w:pos="1080"/>
        </w:tabs>
        <w:jc w:val="right"/>
        <w:rPr>
          <w:rFonts w:ascii="Times New Roman" w:hAnsi="Times New Roman"/>
          <w:bCs/>
          <w:sz w:val="20"/>
          <w:szCs w:val="20"/>
        </w:rPr>
      </w:pPr>
    </w:p>
    <w:p w:rsidR="00D00F18" w:rsidRPr="00D00F18" w:rsidP="00D00F18">
      <w:pPr>
        <w:tabs>
          <w:tab w:val="num" w:pos="1080"/>
        </w:tabs>
        <w:rPr>
          <w:rFonts w:ascii="Times New Roman" w:hAnsi="Times New Roman"/>
          <w:bCs/>
          <w:sz w:val="20"/>
          <w:szCs w:val="20"/>
        </w:rPr>
      </w:pPr>
    </w:p>
    <w:p w:rsidR="00D00F18" w:rsidRPr="00D00F18" w:rsidP="00D00F18">
      <w:pPr>
        <w:tabs>
          <w:tab w:val="num" w:pos="1080"/>
        </w:tabs>
        <w:spacing w:after="0"/>
        <w:jc w:val="right"/>
        <w:rPr>
          <w:rFonts w:ascii="Times New Roman" w:hAnsi="Times New Roman"/>
          <w:bCs/>
          <w:sz w:val="20"/>
          <w:szCs w:val="20"/>
        </w:rPr>
        <w:sectPr w:rsidSect="00D00F18">
          <w:headerReference w:type="even" r:id="rId9"/>
          <w:footerReference w:type="even" r:id="rId10"/>
          <w:footerReference w:type="default" r:id="rId11"/>
          <w:footerReference w:type="first" r:id="rId12"/>
          <w:pgSz w:w="11906" w:h="16838"/>
          <w:pgMar w:top="1417" w:right="1417" w:bottom="1417" w:left="1417" w:header="708" w:footer="708" w:gutter="0"/>
          <w:pgNumType w:start="1"/>
          <w:cols w:space="708"/>
          <w:titlePg/>
          <w:docGrid w:linePitch="360"/>
        </w:sectPr>
      </w:pPr>
    </w:p>
    <w:p w:rsidR="00D00F18" w:rsidRPr="00D00F18" w:rsidP="00D00F18">
      <w:pPr>
        <w:tabs>
          <w:tab w:val="num" w:pos="1080"/>
        </w:tabs>
        <w:spacing w:after="0"/>
        <w:jc w:val="right"/>
        <w:rPr>
          <w:rFonts w:ascii="Times New Roman" w:hAnsi="Times New Roman"/>
          <w:bCs/>
          <w:sz w:val="20"/>
          <w:szCs w:val="20"/>
        </w:rPr>
      </w:pPr>
      <w:r w:rsidRPr="00D00F18">
        <w:rPr>
          <w:rFonts w:ascii="Times New Roman" w:hAnsi="Times New Roman"/>
          <w:bCs/>
          <w:sz w:val="20"/>
          <w:szCs w:val="20"/>
        </w:rPr>
        <w:t>Tabuľka č. 2a</w:t>
      </w:r>
    </w:p>
    <w:tbl>
      <w:tblPr>
        <w:tblStyle w:val="TableNormal"/>
        <w:tblpPr w:leftFromText="141" w:rightFromText="141" w:horzAnchor="margin" w:tblpX="-318" w:tblpY="591"/>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808"/>
        <w:gridCol w:w="1446"/>
        <w:gridCol w:w="2274"/>
        <w:gridCol w:w="1559"/>
        <w:gridCol w:w="1134"/>
        <w:gridCol w:w="6095"/>
      </w:tblGrid>
      <w:tr w:rsidTr="00AC2F0E">
        <w:tblPrEx>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168" w:type="dxa"/>
            <w:gridSpan w:val="7"/>
            <w:shd w:val="clear" w:color="auto" w:fill="auto"/>
          </w:tcPr>
          <w:p w:rsidR="00D00F18" w:rsidRPr="00AC2F0E" w:rsidP="00AC2F0E">
            <w:pPr>
              <w:spacing w:after="0"/>
              <w:contextualSpacing/>
              <w:jc w:val="center"/>
              <w:rPr>
                <w:rFonts w:ascii="Times New Roman" w:hAnsi="Times New Roman"/>
                <w:b/>
                <w:sz w:val="20"/>
                <w:szCs w:val="20"/>
                <w:lang w:eastAsia="sk-SK"/>
              </w:rPr>
            </w:pPr>
            <w:r w:rsidRPr="00AC2F0E">
              <w:rPr>
                <w:rFonts w:ascii="Times New Roman" w:hAnsi="Times New Roman"/>
                <w:b/>
                <w:sz w:val="20"/>
                <w:szCs w:val="20"/>
                <w:lang w:eastAsia="sk-SK"/>
              </w:rPr>
              <w:t>Výdavky v súvislosti s transpozíciou Smernice EÚ 2020/2184 o kvalite vody určenej na ľudskú spotrebu na vo verejnom zdravotníctve</w:t>
            </w:r>
          </w:p>
        </w:tc>
      </w:tr>
      <w:tr w:rsidTr="00AC2F0E">
        <w:tblPrEx>
          <w:tblW w:w="15168" w:type="dxa"/>
          <w:tblLayout w:type="fixed"/>
          <w:tblLook w:val="04A0"/>
        </w:tblPrEx>
        <w:tc>
          <w:tcPr>
            <w:tcW w:w="852" w:type="dxa"/>
            <w:shd w:val="clear" w:color="auto" w:fill="auto"/>
          </w:tcPr>
          <w:p w:rsidR="00D00F18" w:rsidRPr="00AC2F0E" w:rsidP="00AC2F0E">
            <w:pPr>
              <w:spacing w:after="0"/>
              <w:contextualSpacing/>
              <w:jc w:val="center"/>
              <w:rPr>
                <w:rFonts w:ascii="Times New Roman" w:hAnsi="Times New Roman"/>
                <w:b/>
                <w:bCs/>
                <w:sz w:val="20"/>
                <w:szCs w:val="20"/>
                <w:lang w:eastAsia="sk-SK"/>
              </w:rPr>
            </w:pPr>
            <w:r w:rsidRPr="00AC2F0E">
              <w:rPr>
                <w:rFonts w:ascii="Times New Roman" w:hAnsi="Times New Roman"/>
                <w:b/>
                <w:bCs/>
                <w:sz w:val="20"/>
                <w:szCs w:val="20"/>
                <w:lang w:eastAsia="sk-SK"/>
              </w:rPr>
              <w:t>Por. Č.</w:t>
            </w:r>
          </w:p>
        </w:tc>
        <w:tc>
          <w:tcPr>
            <w:tcW w:w="1808" w:type="dxa"/>
            <w:shd w:val="clear" w:color="auto" w:fill="auto"/>
            <w:vAlign w:val="center"/>
          </w:tcPr>
          <w:p w:rsidR="00D00F18" w:rsidRPr="00AC2F0E" w:rsidP="00AC2F0E">
            <w:pPr>
              <w:spacing w:after="0"/>
              <w:contextualSpacing/>
              <w:jc w:val="center"/>
              <w:rPr>
                <w:rFonts w:ascii="Times New Roman" w:hAnsi="Times New Roman"/>
                <w:b/>
                <w:bCs/>
                <w:sz w:val="20"/>
                <w:szCs w:val="20"/>
                <w:lang w:eastAsia="sk-SK"/>
              </w:rPr>
            </w:pPr>
            <w:r w:rsidRPr="00AC2F0E">
              <w:rPr>
                <w:rFonts w:ascii="Times New Roman" w:hAnsi="Times New Roman"/>
                <w:b/>
                <w:bCs/>
                <w:sz w:val="20"/>
                <w:szCs w:val="20"/>
                <w:lang w:eastAsia="sk-SK"/>
              </w:rPr>
              <w:t>Názov investičnej akcie</w:t>
            </w:r>
          </w:p>
        </w:tc>
        <w:tc>
          <w:tcPr>
            <w:tcW w:w="1446" w:type="dxa"/>
            <w:shd w:val="clear" w:color="auto" w:fill="auto"/>
            <w:vAlign w:val="center"/>
          </w:tcPr>
          <w:p w:rsidR="00D00F18" w:rsidRPr="00AC2F0E" w:rsidP="00AC2F0E">
            <w:pPr>
              <w:spacing w:after="0"/>
              <w:contextualSpacing/>
              <w:jc w:val="center"/>
              <w:rPr>
                <w:rFonts w:ascii="Times New Roman" w:hAnsi="Times New Roman"/>
                <w:b/>
                <w:bCs/>
                <w:sz w:val="20"/>
                <w:szCs w:val="20"/>
                <w:lang w:eastAsia="sk-SK"/>
              </w:rPr>
            </w:pPr>
            <w:r w:rsidRPr="00AC2F0E">
              <w:rPr>
                <w:rFonts w:ascii="Times New Roman" w:hAnsi="Times New Roman"/>
                <w:b/>
                <w:bCs/>
                <w:sz w:val="20"/>
                <w:szCs w:val="20"/>
                <w:lang w:eastAsia="sk-SK"/>
              </w:rPr>
              <w:t xml:space="preserve">Suma jednorazových kapitálových výdavkov </w:t>
              <w:br/>
              <w:t>v € bez DPH</w:t>
            </w:r>
          </w:p>
        </w:tc>
        <w:tc>
          <w:tcPr>
            <w:tcW w:w="2274" w:type="dxa"/>
            <w:shd w:val="clear" w:color="auto" w:fill="auto"/>
            <w:vAlign w:val="center"/>
          </w:tcPr>
          <w:p w:rsidR="00D00F18" w:rsidRPr="00AC2F0E" w:rsidP="00AC2F0E">
            <w:pPr>
              <w:spacing w:after="0"/>
              <w:contextualSpacing/>
              <w:jc w:val="center"/>
              <w:rPr>
                <w:rFonts w:ascii="Times New Roman" w:hAnsi="Times New Roman"/>
                <w:b/>
                <w:bCs/>
                <w:sz w:val="20"/>
                <w:szCs w:val="20"/>
                <w:lang w:eastAsia="sk-SK"/>
              </w:rPr>
            </w:pPr>
            <w:r w:rsidRPr="00AC2F0E">
              <w:rPr>
                <w:rFonts w:ascii="Times New Roman" w:hAnsi="Times New Roman"/>
                <w:b/>
                <w:bCs/>
                <w:sz w:val="20"/>
                <w:szCs w:val="20"/>
                <w:lang w:eastAsia="sk-SK"/>
              </w:rPr>
              <w:t>Prevádzkové náklady (štandardy, spotrebný materiál, chemikálie, príprava vzoriek, servis prístrojov) v €/rok</w:t>
            </w:r>
          </w:p>
        </w:tc>
        <w:tc>
          <w:tcPr>
            <w:tcW w:w="1559" w:type="dxa"/>
            <w:shd w:val="clear" w:color="auto" w:fill="auto"/>
            <w:vAlign w:val="center"/>
          </w:tcPr>
          <w:p w:rsidR="00D00F18" w:rsidRPr="00AC2F0E" w:rsidP="00AC2F0E">
            <w:pPr>
              <w:spacing w:after="0"/>
              <w:contextualSpacing/>
              <w:jc w:val="center"/>
              <w:rPr>
                <w:rFonts w:ascii="Times New Roman" w:hAnsi="Times New Roman"/>
                <w:b/>
                <w:bCs/>
                <w:sz w:val="20"/>
                <w:szCs w:val="20"/>
                <w:lang w:eastAsia="sk-SK"/>
              </w:rPr>
            </w:pPr>
            <w:r w:rsidRPr="00AC2F0E">
              <w:rPr>
                <w:rFonts w:ascii="Times New Roman" w:hAnsi="Times New Roman"/>
                <w:b/>
                <w:bCs/>
                <w:sz w:val="20"/>
                <w:szCs w:val="20"/>
                <w:lang w:eastAsia="sk-SK"/>
              </w:rPr>
              <w:t>Pracovisko - posilnenie personálnych kapacít</w:t>
            </w:r>
          </w:p>
        </w:tc>
        <w:tc>
          <w:tcPr>
            <w:tcW w:w="1134" w:type="dxa"/>
            <w:shd w:val="clear" w:color="auto" w:fill="auto"/>
            <w:vAlign w:val="center"/>
          </w:tcPr>
          <w:p w:rsidR="00D00F18" w:rsidRPr="00AC2F0E" w:rsidP="00AC2F0E">
            <w:pPr>
              <w:spacing w:after="0"/>
              <w:contextualSpacing/>
              <w:jc w:val="center"/>
              <w:rPr>
                <w:rFonts w:ascii="Times New Roman" w:hAnsi="Times New Roman"/>
                <w:b/>
                <w:bCs/>
                <w:sz w:val="20"/>
                <w:szCs w:val="20"/>
                <w:lang w:eastAsia="sk-SK"/>
              </w:rPr>
            </w:pPr>
            <w:r w:rsidRPr="00AC2F0E">
              <w:rPr>
                <w:rFonts w:ascii="Times New Roman" w:hAnsi="Times New Roman"/>
                <w:b/>
                <w:bCs/>
                <w:sz w:val="20"/>
                <w:szCs w:val="20"/>
                <w:lang w:eastAsia="sk-SK"/>
              </w:rPr>
              <w:t xml:space="preserve">Mzdové náklady </w:t>
              <w:br/>
              <w:t>v €/rok</w:t>
            </w:r>
          </w:p>
        </w:tc>
        <w:tc>
          <w:tcPr>
            <w:tcW w:w="6095" w:type="dxa"/>
            <w:shd w:val="clear" w:color="auto" w:fill="auto"/>
            <w:vAlign w:val="center"/>
          </w:tcPr>
          <w:p w:rsidR="00D00F18" w:rsidRPr="00AC2F0E" w:rsidP="00AC2F0E">
            <w:pPr>
              <w:spacing w:after="0"/>
              <w:contextualSpacing/>
              <w:jc w:val="center"/>
              <w:rPr>
                <w:rFonts w:ascii="Times New Roman" w:hAnsi="Times New Roman"/>
                <w:b/>
                <w:bCs/>
                <w:sz w:val="20"/>
                <w:szCs w:val="20"/>
                <w:lang w:eastAsia="sk-SK"/>
              </w:rPr>
            </w:pPr>
            <w:r w:rsidRPr="00AC2F0E">
              <w:rPr>
                <w:rFonts w:ascii="Times New Roman" w:hAnsi="Times New Roman"/>
                <w:b/>
                <w:bCs/>
                <w:sz w:val="20"/>
                <w:szCs w:val="20"/>
                <w:lang w:eastAsia="sk-SK"/>
              </w:rPr>
              <w:t>Odôvodnenie</w:t>
            </w:r>
          </w:p>
        </w:tc>
      </w:tr>
      <w:tr w:rsidTr="00AC2F0E">
        <w:tblPrEx>
          <w:tblW w:w="15168" w:type="dxa"/>
          <w:tblLayout w:type="fixed"/>
          <w:tblLook w:val="04A0"/>
        </w:tblPrEx>
        <w:trPr>
          <w:trHeight w:val="1606"/>
        </w:trPr>
        <w:tc>
          <w:tcPr>
            <w:tcW w:w="852"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w:t>
            </w:r>
          </w:p>
        </w:tc>
        <w:tc>
          <w:tcPr>
            <w:tcW w:w="1808"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Iónový kvapalinový chromatograf</w:t>
            </w:r>
          </w:p>
        </w:tc>
        <w:tc>
          <w:tcPr>
            <w:tcW w:w="1446"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180 000</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 ks)</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360 000</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(2 ks)</w:t>
            </w:r>
          </w:p>
        </w:tc>
        <w:tc>
          <w:tcPr>
            <w:tcW w:w="2274"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30 000 </w:t>
            </w:r>
          </w:p>
        </w:tc>
        <w:tc>
          <w:tcPr>
            <w:tcW w:w="1559"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RÚVZ v SR /</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  2 pracovníci</w:t>
            </w:r>
          </w:p>
          <w:p w:rsidR="00D00F18" w:rsidRPr="00AC2F0E" w:rsidP="00AC2F0E">
            <w:pPr>
              <w:spacing w:after="0"/>
              <w:contextualSpacing/>
              <w:jc w:val="center"/>
              <w:rPr>
                <w:rFonts w:ascii="Times New Roman" w:hAnsi="Times New Roman"/>
                <w:sz w:val="20"/>
                <w:szCs w:val="20"/>
                <w:lang w:eastAsia="sk-SK"/>
              </w:rPr>
            </w:pPr>
          </w:p>
        </w:tc>
        <w:tc>
          <w:tcPr>
            <w:tcW w:w="1134"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45 600</w:t>
            </w:r>
          </w:p>
          <w:p w:rsidR="00D00F18" w:rsidRPr="00AC2F0E" w:rsidP="00AC2F0E">
            <w:pPr>
              <w:spacing w:after="0"/>
              <w:contextualSpacing/>
              <w:jc w:val="center"/>
              <w:rPr>
                <w:rFonts w:ascii="Times New Roman" w:hAnsi="Times New Roman"/>
                <w:sz w:val="20"/>
                <w:szCs w:val="20"/>
                <w:lang w:eastAsia="sk-SK"/>
              </w:rPr>
            </w:pPr>
          </w:p>
        </w:tc>
        <w:tc>
          <w:tcPr>
            <w:tcW w:w="6095" w:type="dxa"/>
            <w:shd w:val="clear" w:color="auto" w:fill="auto"/>
          </w:tcPr>
          <w:p w:rsidR="00D00F18" w:rsidRPr="00AC2F0E" w:rsidP="00AC2F0E">
            <w:pPr>
              <w:spacing w:after="0"/>
              <w:contextualSpacing/>
              <w:jc w:val="both"/>
              <w:rPr>
                <w:rFonts w:ascii="Times New Roman" w:hAnsi="Times New Roman"/>
                <w:sz w:val="20"/>
                <w:szCs w:val="20"/>
                <w:lang w:eastAsia="sk-SK"/>
              </w:rPr>
            </w:pPr>
            <w:r w:rsidRPr="00AC2F0E">
              <w:rPr>
                <w:rFonts w:ascii="Times New Roman" w:hAnsi="Times New Roman"/>
                <w:sz w:val="20"/>
                <w:szCs w:val="20"/>
                <w:lang w:eastAsia="sk-SK"/>
              </w:rPr>
              <w:t>Analýza vedľajších produktov dezinfekcie - bromičnany, chloritany, chlorečnany, stanovenie aniónov a katiónov vo vodách, ktoré sú zisťované napr. ako doplnkové ukazovatele kvality pitnej vody (fluoridy, chloridy, chloritany, chlorečnany, bromičnany, dusitany, dusičnany, fosforečnany, sírany, lítium, amónne ióny, sodík, draslík, horčík, vápnik, stroncium, bárium).</w:t>
            </w:r>
          </w:p>
        </w:tc>
      </w:tr>
      <w:tr w:rsidTr="00AC2F0E">
        <w:tblPrEx>
          <w:tblW w:w="15168" w:type="dxa"/>
          <w:tblLayout w:type="fixed"/>
          <w:tblLook w:val="04A0"/>
        </w:tblPrEx>
        <w:trPr>
          <w:trHeight w:val="1686"/>
        </w:trPr>
        <w:tc>
          <w:tcPr>
            <w:tcW w:w="852"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2.</w:t>
            </w:r>
          </w:p>
        </w:tc>
        <w:tc>
          <w:tcPr>
            <w:tcW w:w="1808"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Plynový chromatograf GC/MS + headspace + autosamplér + purge and trape</w:t>
            </w:r>
          </w:p>
        </w:tc>
        <w:tc>
          <w:tcPr>
            <w:tcW w:w="1446"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360 000</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 ks)</w:t>
            </w:r>
          </w:p>
        </w:tc>
        <w:tc>
          <w:tcPr>
            <w:tcW w:w="2274"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15 000</w:t>
            </w:r>
          </w:p>
        </w:tc>
        <w:tc>
          <w:tcPr>
            <w:tcW w:w="1559"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ÚVZ SR / 1 pracovník</w:t>
            </w:r>
          </w:p>
        </w:tc>
        <w:tc>
          <w:tcPr>
            <w:tcW w:w="1134"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25 200</w:t>
            </w:r>
          </w:p>
        </w:tc>
        <w:tc>
          <w:tcPr>
            <w:tcW w:w="6095" w:type="dxa"/>
            <w:shd w:val="clear" w:color="auto" w:fill="auto"/>
          </w:tcPr>
          <w:p w:rsidR="00D00F18" w:rsidRPr="00AC2F0E" w:rsidP="00AC2F0E">
            <w:pPr>
              <w:spacing w:after="0"/>
              <w:contextualSpacing/>
              <w:jc w:val="both"/>
              <w:rPr>
                <w:rFonts w:ascii="Times New Roman" w:hAnsi="Times New Roman"/>
                <w:sz w:val="20"/>
                <w:szCs w:val="20"/>
                <w:lang w:eastAsia="sk-SK"/>
              </w:rPr>
            </w:pPr>
            <w:r w:rsidRPr="00AC2F0E">
              <w:rPr>
                <w:rFonts w:ascii="Times New Roman" w:hAnsi="Times New Roman"/>
                <w:sz w:val="20"/>
                <w:szCs w:val="20"/>
                <w:lang w:eastAsia="sk-SK"/>
              </w:rPr>
              <w:t>Analýzy ukazovateľa vinylchlorid, nakoľko používané prístroje sú zastaralé (12 - 22 rokov) a nie sú vhodné na meranie požadovaného ukazovateľa.</w:t>
            </w:r>
          </w:p>
        </w:tc>
      </w:tr>
      <w:tr w:rsidTr="00AC2F0E">
        <w:tblPrEx>
          <w:tblW w:w="15168" w:type="dxa"/>
          <w:tblLayout w:type="fixed"/>
          <w:tblLook w:val="04A0"/>
        </w:tblPrEx>
        <w:trPr>
          <w:trHeight w:val="843"/>
        </w:trPr>
        <w:tc>
          <w:tcPr>
            <w:tcW w:w="852"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3.</w:t>
            </w:r>
          </w:p>
        </w:tc>
        <w:tc>
          <w:tcPr>
            <w:tcW w:w="1808"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Kvapalinový chromatograf s on-line SPE extrakciou s DaD a FL detektorom</w:t>
            </w:r>
          </w:p>
        </w:tc>
        <w:tc>
          <w:tcPr>
            <w:tcW w:w="1446"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132 000</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 ks)</w:t>
            </w:r>
          </w:p>
          <w:p w:rsidR="00D00F18" w:rsidRPr="00AC2F0E" w:rsidP="00AC2F0E">
            <w:pPr>
              <w:spacing w:after="0"/>
              <w:contextualSpacing/>
              <w:jc w:val="center"/>
              <w:rPr>
                <w:rFonts w:ascii="Times New Roman" w:hAnsi="Times New Roman"/>
                <w:sz w:val="20"/>
                <w:szCs w:val="20"/>
                <w:lang w:eastAsia="sk-SK"/>
              </w:rPr>
            </w:pPr>
          </w:p>
        </w:tc>
        <w:tc>
          <w:tcPr>
            <w:tcW w:w="2274"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15 000 </w:t>
            </w:r>
          </w:p>
        </w:tc>
        <w:tc>
          <w:tcPr>
            <w:tcW w:w="1559"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ÚVZ SR </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 1  pracovník</w:t>
            </w:r>
          </w:p>
        </w:tc>
        <w:tc>
          <w:tcPr>
            <w:tcW w:w="1134" w:type="dxa"/>
            <w:shd w:val="clear" w:color="auto" w:fill="auto"/>
            <w:vAlign w:val="center"/>
          </w:tcPr>
          <w:p w:rsidR="00D00F18" w:rsidRPr="00AC2F0E" w:rsidP="00AC2F0E">
            <w:pPr>
              <w:spacing w:after="0"/>
              <w:contextualSpacing/>
              <w:rPr>
                <w:rFonts w:ascii="Times New Roman" w:hAnsi="Times New Roman"/>
                <w:sz w:val="20"/>
                <w:szCs w:val="20"/>
                <w:lang w:eastAsia="sk-SK"/>
              </w:rPr>
            </w:pPr>
            <w:r w:rsidRPr="00AC2F0E">
              <w:rPr>
                <w:rFonts w:ascii="Times New Roman" w:hAnsi="Times New Roman"/>
                <w:sz w:val="20"/>
                <w:szCs w:val="20"/>
                <w:lang w:eastAsia="sk-SK"/>
              </w:rPr>
              <w:t xml:space="preserve">25 200 </w:t>
            </w:r>
          </w:p>
        </w:tc>
        <w:tc>
          <w:tcPr>
            <w:tcW w:w="6095" w:type="dxa"/>
            <w:shd w:val="clear" w:color="auto" w:fill="auto"/>
            <w:vAlign w:val="center"/>
          </w:tcPr>
          <w:p w:rsidR="00D00F18" w:rsidRPr="00AC2F0E" w:rsidP="00AC2F0E">
            <w:pPr>
              <w:spacing w:after="0"/>
              <w:contextualSpacing/>
              <w:jc w:val="both"/>
              <w:rPr>
                <w:rFonts w:ascii="Times New Roman" w:hAnsi="Times New Roman"/>
                <w:sz w:val="20"/>
                <w:szCs w:val="20"/>
                <w:lang w:eastAsia="sk-SK"/>
              </w:rPr>
            </w:pPr>
            <w:r w:rsidRPr="00AC2F0E">
              <w:rPr>
                <w:rFonts w:ascii="Times New Roman" w:hAnsi="Times New Roman"/>
                <w:sz w:val="20"/>
                <w:szCs w:val="20"/>
                <w:lang w:eastAsia="sk-SK"/>
              </w:rPr>
              <w:t xml:space="preserve">Analýzy ukazovateľov: polycyklické aromatické uhľovodíky a mikrocystín LR. Prístroj je určený na predúpravu, čistenie, extrakciu a analýzu vôd  pri stanovení polycyklických aromatických uhľovodíkov, cyanotoxínov. Zariadenie je nevyhnutné pre spracovanie vzoriek vôd s požadovanou presnosťou. </w:t>
            </w:r>
          </w:p>
        </w:tc>
      </w:tr>
      <w:tr w:rsidTr="00AC2F0E">
        <w:tblPrEx>
          <w:tblW w:w="15168" w:type="dxa"/>
          <w:tblLayout w:type="fixed"/>
          <w:tblLook w:val="04A0"/>
        </w:tblPrEx>
        <w:trPr>
          <w:trHeight w:val="1125"/>
        </w:trPr>
        <w:tc>
          <w:tcPr>
            <w:tcW w:w="852"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4.</w:t>
            </w:r>
          </w:p>
        </w:tc>
        <w:tc>
          <w:tcPr>
            <w:tcW w:w="1808"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Plynový chromatograf</w:t>
              <w:br/>
              <w:t xml:space="preserve"> s hmotnost. detektorom GC/MS/MS (TQ)</w:t>
            </w:r>
          </w:p>
        </w:tc>
        <w:tc>
          <w:tcPr>
            <w:tcW w:w="1446"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300 000</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 ks)</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540 000</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(2 ks)</w:t>
            </w:r>
          </w:p>
          <w:p w:rsidR="00D00F18" w:rsidRPr="00AC2F0E" w:rsidP="00AC2F0E">
            <w:pPr>
              <w:spacing w:after="0"/>
              <w:contextualSpacing/>
              <w:rPr>
                <w:rFonts w:ascii="Times New Roman" w:hAnsi="Times New Roman"/>
                <w:sz w:val="20"/>
                <w:szCs w:val="20"/>
                <w:lang w:eastAsia="sk-SK"/>
              </w:rPr>
            </w:pPr>
          </w:p>
        </w:tc>
        <w:tc>
          <w:tcPr>
            <w:tcW w:w="2274"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15 000</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30 000 </w:t>
            </w:r>
          </w:p>
        </w:tc>
        <w:tc>
          <w:tcPr>
            <w:tcW w:w="1559"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RÚVZ SR</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  / 1  pracovník</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RÚVZ Poprad / 1 pracovník</w:t>
            </w:r>
          </w:p>
          <w:p w:rsidR="00D00F18" w:rsidRPr="00AC2F0E" w:rsidP="00AC2F0E">
            <w:pPr>
              <w:spacing w:after="0"/>
              <w:contextualSpacing/>
              <w:jc w:val="center"/>
              <w:rPr>
                <w:rFonts w:ascii="Times New Roman" w:hAnsi="Times New Roman"/>
                <w:sz w:val="20"/>
                <w:szCs w:val="20"/>
                <w:lang w:eastAsia="sk-SK"/>
              </w:rPr>
            </w:pPr>
          </w:p>
        </w:tc>
        <w:tc>
          <w:tcPr>
            <w:tcW w:w="1134"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21 870 </w:t>
            </w:r>
          </w:p>
        </w:tc>
        <w:tc>
          <w:tcPr>
            <w:tcW w:w="6095" w:type="dxa"/>
            <w:shd w:val="clear" w:color="auto" w:fill="auto"/>
            <w:vAlign w:val="center"/>
          </w:tcPr>
          <w:p w:rsidR="00D00F18" w:rsidRPr="00AC2F0E" w:rsidP="00AC2F0E">
            <w:pPr>
              <w:spacing w:after="0"/>
              <w:contextualSpacing/>
              <w:jc w:val="both"/>
              <w:rPr>
                <w:rFonts w:ascii="Times New Roman" w:hAnsi="Times New Roman"/>
                <w:sz w:val="20"/>
                <w:szCs w:val="20"/>
                <w:lang w:eastAsia="sk-SK"/>
              </w:rPr>
            </w:pPr>
            <w:r w:rsidRPr="00AC2F0E">
              <w:rPr>
                <w:rFonts w:ascii="Times New Roman" w:hAnsi="Times New Roman"/>
                <w:sz w:val="20"/>
                <w:szCs w:val="20"/>
                <w:lang w:eastAsia="sk-SK"/>
              </w:rPr>
              <w:t>Analýza ukazovateľov:  Epichlórhydrín, Bisfenol A, ter</w:t>
            </w:r>
            <w:r w:rsidRPr="00AC2F0E">
              <w:rPr>
                <w:rFonts w:ascii="Times New Roman" w:hAnsi="Times New Roman"/>
                <w:sz w:val="20"/>
                <w:szCs w:val="20"/>
                <w:lang w:eastAsia="sk-SK"/>
              </w:rPr>
              <w:t xml:space="preserve">mostabilné pesticídy. </w:t>
            </w:r>
          </w:p>
          <w:p w:rsidR="00D00F18" w:rsidRPr="00AC2F0E" w:rsidP="00AC2F0E">
            <w:pPr>
              <w:spacing w:after="0"/>
              <w:contextualSpacing/>
              <w:jc w:val="both"/>
              <w:rPr>
                <w:rFonts w:ascii="Times New Roman" w:hAnsi="Times New Roman"/>
                <w:sz w:val="20"/>
                <w:szCs w:val="20"/>
                <w:lang w:eastAsia="sk-SK"/>
              </w:rPr>
            </w:pPr>
          </w:p>
          <w:p w:rsidR="00D00F18" w:rsidRPr="00AC2F0E" w:rsidP="00AC2F0E">
            <w:pPr>
              <w:spacing w:after="0"/>
              <w:contextualSpacing/>
              <w:jc w:val="both"/>
              <w:rPr>
                <w:rFonts w:ascii="Times New Roman" w:hAnsi="Times New Roman"/>
                <w:sz w:val="20"/>
                <w:szCs w:val="20"/>
                <w:lang w:eastAsia="sk-SK"/>
              </w:rPr>
            </w:pPr>
            <w:r w:rsidRPr="00AC2F0E">
              <w:rPr>
                <w:rFonts w:ascii="Times New Roman" w:hAnsi="Times New Roman"/>
                <w:sz w:val="20"/>
                <w:szCs w:val="20"/>
                <w:lang w:eastAsia="sk-SK"/>
              </w:rPr>
              <w:t>1 prístroj je nevyhnutný na posúdenie a kontrolu čistoty chemikálií na úpravu vody a filtračných médií.</w:t>
            </w:r>
          </w:p>
        </w:tc>
      </w:tr>
      <w:tr w:rsidTr="00AC2F0E">
        <w:tblPrEx>
          <w:tblW w:w="15168" w:type="dxa"/>
          <w:tblLayout w:type="fixed"/>
          <w:tblLook w:val="04A0"/>
        </w:tblPrEx>
        <w:tc>
          <w:tcPr>
            <w:tcW w:w="852"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5.</w:t>
            </w:r>
          </w:p>
        </w:tc>
        <w:tc>
          <w:tcPr>
            <w:tcW w:w="1808"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Indukčne viazaná plazma s hmotnostným detektorom (ICP-MS)</w:t>
            </w:r>
          </w:p>
        </w:tc>
        <w:tc>
          <w:tcPr>
            <w:tcW w:w="1446"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192 000</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 ks)</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624 000</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(3 ks)</w:t>
            </w:r>
          </w:p>
          <w:p w:rsidR="00D00F18" w:rsidRPr="00AC2F0E" w:rsidP="00AC2F0E">
            <w:pPr>
              <w:spacing w:after="0"/>
              <w:contextualSpacing/>
              <w:jc w:val="center"/>
              <w:rPr>
                <w:rFonts w:ascii="Times New Roman" w:hAnsi="Times New Roman"/>
                <w:sz w:val="20"/>
                <w:szCs w:val="20"/>
                <w:lang w:eastAsia="sk-SK"/>
              </w:rPr>
            </w:pPr>
          </w:p>
        </w:tc>
        <w:tc>
          <w:tcPr>
            <w:tcW w:w="2274"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10 000</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30 000 </w:t>
            </w:r>
          </w:p>
        </w:tc>
        <w:tc>
          <w:tcPr>
            <w:tcW w:w="1559"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RÚVZ </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  SR / 1  </w:t>
            </w:r>
            <w:r w:rsidRPr="00AC2F0E">
              <w:rPr>
                <w:rFonts w:ascii="Times New Roman" w:hAnsi="Times New Roman"/>
                <w:sz w:val="20"/>
                <w:szCs w:val="20"/>
                <w:lang w:eastAsia="sk-SK"/>
              </w:rPr>
              <w:t>pracovník</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RÚVZ Poprad / 1 pracovník</w:t>
            </w:r>
          </w:p>
          <w:p w:rsidR="00D00F18" w:rsidRPr="00AC2F0E" w:rsidP="00AC2F0E">
            <w:pPr>
              <w:spacing w:after="0"/>
              <w:contextualSpacing/>
              <w:jc w:val="center"/>
              <w:rPr>
                <w:rFonts w:ascii="Times New Roman" w:hAnsi="Times New Roman"/>
                <w:sz w:val="20"/>
                <w:szCs w:val="20"/>
                <w:lang w:eastAsia="sk-SK"/>
              </w:rPr>
            </w:pPr>
          </w:p>
        </w:tc>
        <w:tc>
          <w:tcPr>
            <w:tcW w:w="1134" w:type="dxa"/>
            <w:shd w:val="clear" w:color="auto" w:fill="auto"/>
            <w:vAlign w:val="center"/>
          </w:tcPr>
          <w:p w:rsidR="00D00F18" w:rsidRPr="00AC2F0E" w:rsidP="00AC2F0E">
            <w:pPr>
              <w:spacing w:after="0"/>
              <w:contextualSpacing/>
              <w:jc w:val="center"/>
              <w:rPr>
                <w:rFonts w:ascii="Times New Roman" w:hAnsi="Times New Roman"/>
                <w:strike/>
                <w:sz w:val="20"/>
                <w:szCs w:val="20"/>
                <w:lang w:eastAsia="sk-SK"/>
              </w:rPr>
            </w:pPr>
            <w:r w:rsidRPr="00AC2F0E">
              <w:rPr>
                <w:rFonts w:ascii="Times New Roman" w:hAnsi="Times New Roman"/>
                <w:strike/>
                <w:sz w:val="20"/>
                <w:szCs w:val="20"/>
                <w:lang w:eastAsia="sk-SK"/>
              </w:rPr>
              <w:t xml:space="preserve">- </w:t>
            </w:r>
          </w:p>
        </w:tc>
        <w:tc>
          <w:tcPr>
            <w:tcW w:w="6095" w:type="dxa"/>
            <w:shd w:val="clear" w:color="auto" w:fill="auto"/>
            <w:vAlign w:val="center"/>
          </w:tcPr>
          <w:p w:rsidR="00D00F18" w:rsidRPr="00AC2F0E" w:rsidP="00AC2F0E">
            <w:pPr>
              <w:spacing w:after="0"/>
              <w:contextualSpacing/>
              <w:jc w:val="both"/>
              <w:rPr>
                <w:rFonts w:ascii="Times New Roman" w:hAnsi="Times New Roman"/>
                <w:sz w:val="20"/>
                <w:szCs w:val="20"/>
                <w:lang w:eastAsia="sk-SK"/>
              </w:rPr>
            </w:pPr>
            <w:r w:rsidRPr="00AC2F0E">
              <w:rPr>
                <w:rFonts w:ascii="Times New Roman" w:hAnsi="Times New Roman"/>
                <w:sz w:val="20"/>
                <w:szCs w:val="20"/>
                <w:lang w:eastAsia="sk-SK"/>
              </w:rPr>
              <w:t>Analýza ukazovateľa olovo pre hodnotenie a, monitorovanie  rizika domových rozvodných systémov v prioritných priestoroch. Prístroj bude využívaný aj na stanovenie uránu v pitných vodách.</w:t>
            </w:r>
          </w:p>
          <w:p w:rsidR="00D00F18" w:rsidRPr="00AC2F0E" w:rsidP="00AC2F0E">
            <w:pPr>
              <w:spacing w:after="0"/>
              <w:contextualSpacing/>
              <w:jc w:val="both"/>
              <w:rPr>
                <w:rFonts w:ascii="Times New Roman" w:hAnsi="Times New Roman"/>
                <w:sz w:val="20"/>
                <w:szCs w:val="20"/>
                <w:lang w:eastAsia="sk-SK"/>
              </w:rPr>
            </w:pPr>
            <w:r w:rsidRPr="00AC2F0E">
              <w:rPr>
                <w:rFonts w:ascii="Times New Roman" w:hAnsi="Times New Roman"/>
                <w:sz w:val="20"/>
                <w:szCs w:val="20"/>
                <w:lang w:eastAsia="sk-SK"/>
              </w:rPr>
              <w:t xml:space="preserve"> </w:t>
            </w:r>
          </w:p>
          <w:p w:rsidR="00D00F18" w:rsidRPr="00AC2F0E" w:rsidP="00AC2F0E">
            <w:pPr>
              <w:spacing w:after="0"/>
              <w:contextualSpacing/>
              <w:jc w:val="both"/>
              <w:rPr>
                <w:rFonts w:ascii="Times New Roman" w:hAnsi="Times New Roman"/>
                <w:sz w:val="20"/>
                <w:szCs w:val="20"/>
                <w:lang w:eastAsia="sk-SK"/>
              </w:rPr>
            </w:pPr>
            <w:r w:rsidRPr="00AC2F0E">
              <w:rPr>
                <w:rFonts w:ascii="Times New Roman" w:hAnsi="Times New Roman"/>
                <w:sz w:val="20"/>
                <w:szCs w:val="20"/>
                <w:lang w:eastAsia="sk-SK"/>
              </w:rPr>
              <w:t>1 prístroj je  nevyhnutný  na posúdenie a kontrolu čistoty chemikálií na úpravu vody a filtračných médií, ktoré vyžaduje smernica</w:t>
            </w:r>
          </w:p>
        </w:tc>
      </w:tr>
      <w:tr w:rsidTr="00AC2F0E">
        <w:tblPrEx>
          <w:tblW w:w="15168" w:type="dxa"/>
          <w:tblLayout w:type="fixed"/>
          <w:tblLook w:val="04A0"/>
        </w:tblPrEx>
        <w:tc>
          <w:tcPr>
            <w:tcW w:w="852"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6.</w:t>
            </w:r>
          </w:p>
        </w:tc>
        <w:tc>
          <w:tcPr>
            <w:tcW w:w="1808"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UV/VIS spektrofotometer</w:t>
            </w:r>
          </w:p>
        </w:tc>
        <w:tc>
          <w:tcPr>
            <w:tcW w:w="1446"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60 000</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 ks)</w:t>
            </w:r>
          </w:p>
          <w:p w:rsidR="00D00F18" w:rsidRPr="00AC2F0E" w:rsidP="00AC2F0E">
            <w:pPr>
              <w:spacing w:after="0"/>
              <w:contextualSpacing/>
              <w:jc w:val="center"/>
              <w:rPr>
                <w:rFonts w:ascii="Times New Roman" w:hAnsi="Times New Roman"/>
                <w:sz w:val="20"/>
                <w:szCs w:val="20"/>
                <w:lang w:eastAsia="sk-SK"/>
              </w:rPr>
            </w:pPr>
          </w:p>
        </w:tc>
        <w:tc>
          <w:tcPr>
            <w:tcW w:w="2274"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1 000 </w:t>
            </w:r>
          </w:p>
        </w:tc>
        <w:tc>
          <w:tcPr>
            <w:tcW w:w="1559"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trike/>
                <w:sz w:val="20"/>
                <w:szCs w:val="20"/>
                <w:lang w:eastAsia="sk-SK"/>
              </w:rPr>
              <w:t xml:space="preserve">- </w:t>
            </w:r>
          </w:p>
        </w:tc>
        <w:tc>
          <w:tcPr>
            <w:tcW w:w="1134"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w:t>
            </w:r>
          </w:p>
        </w:tc>
        <w:tc>
          <w:tcPr>
            <w:tcW w:w="6095" w:type="dxa"/>
            <w:shd w:val="clear" w:color="auto" w:fill="auto"/>
            <w:vAlign w:val="center"/>
          </w:tcPr>
          <w:p w:rsidR="00D00F18" w:rsidRPr="00AC2F0E" w:rsidP="00AC2F0E">
            <w:pPr>
              <w:spacing w:after="0"/>
              <w:contextualSpacing/>
              <w:jc w:val="both"/>
              <w:rPr>
                <w:rFonts w:ascii="Times New Roman" w:hAnsi="Times New Roman"/>
                <w:sz w:val="20"/>
                <w:szCs w:val="20"/>
                <w:lang w:eastAsia="sk-SK"/>
              </w:rPr>
            </w:pPr>
            <w:r w:rsidRPr="00AC2F0E">
              <w:rPr>
                <w:rFonts w:ascii="Times New Roman" w:hAnsi="Times New Roman"/>
                <w:sz w:val="20"/>
                <w:szCs w:val="20"/>
                <w:lang w:eastAsia="sk-SK"/>
              </w:rPr>
              <w:t xml:space="preserve">Analýza ukazovateľov absorbancia, Fe, Mn a resp. ďalších  podľa Smernice (EÚ) 2020/2184. </w:t>
            </w:r>
          </w:p>
        </w:tc>
      </w:tr>
      <w:tr w:rsidTr="00AC2F0E">
        <w:tblPrEx>
          <w:tblW w:w="15168" w:type="dxa"/>
          <w:tblLayout w:type="fixed"/>
          <w:tblLook w:val="04A0"/>
        </w:tblPrEx>
        <w:tc>
          <w:tcPr>
            <w:tcW w:w="852"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7.</w:t>
            </w:r>
          </w:p>
        </w:tc>
        <w:tc>
          <w:tcPr>
            <w:tcW w:w="1808"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TOC </w:t>
            </w:r>
            <w:r w:rsidRPr="00AC2F0E">
              <w:rPr>
                <w:rFonts w:ascii="Times New Roman" w:hAnsi="Times New Roman"/>
                <w:sz w:val="20"/>
                <w:szCs w:val="20"/>
                <w:lang w:eastAsia="sk-SK"/>
              </w:rPr>
              <w:t>analyzátor</w:t>
            </w:r>
          </w:p>
        </w:tc>
        <w:tc>
          <w:tcPr>
            <w:tcW w:w="1446"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42 000</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 ks)</w:t>
            </w:r>
          </w:p>
        </w:tc>
        <w:tc>
          <w:tcPr>
            <w:tcW w:w="2274"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1 000 </w:t>
            </w:r>
          </w:p>
        </w:tc>
        <w:tc>
          <w:tcPr>
            <w:tcW w:w="1559"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trike/>
                <w:sz w:val="20"/>
                <w:szCs w:val="20"/>
                <w:lang w:eastAsia="sk-SK"/>
              </w:rPr>
              <w:t xml:space="preserve">- </w:t>
            </w:r>
          </w:p>
        </w:tc>
        <w:tc>
          <w:tcPr>
            <w:tcW w:w="1134"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w:t>
            </w:r>
          </w:p>
        </w:tc>
        <w:tc>
          <w:tcPr>
            <w:tcW w:w="6095" w:type="dxa"/>
            <w:shd w:val="clear" w:color="auto" w:fill="auto"/>
            <w:vAlign w:val="center"/>
          </w:tcPr>
          <w:p w:rsidR="00D00F18" w:rsidRPr="00AC2F0E" w:rsidP="00AC2F0E">
            <w:pPr>
              <w:spacing w:after="0"/>
              <w:contextualSpacing/>
              <w:jc w:val="both"/>
              <w:rPr>
                <w:rFonts w:ascii="Times New Roman" w:hAnsi="Times New Roman"/>
                <w:sz w:val="20"/>
                <w:szCs w:val="20"/>
                <w:lang w:eastAsia="sk-SK"/>
              </w:rPr>
            </w:pPr>
            <w:r w:rsidRPr="00AC2F0E">
              <w:rPr>
                <w:rFonts w:ascii="Times New Roman" w:hAnsi="Times New Roman"/>
                <w:sz w:val="20"/>
                <w:szCs w:val="20"/>
                <w:lang w:eastAsia="sk-SK"/>
              </w:rPr>
              <w:t xml:space="preserve">Analýza ukazovateľa celkový organický uhlík (TOC) .  </w:t>
            </w:r>
          </w:p>
        </w:tc>
      </w:tr>
      <w:tr w:rsidTr="00AC2F0E">
        <w:tblPrEx>
          <w:tblW w:w="15168" w:type="dxa"/>
          <w:tblLayout w:type="fixed"/>
          <w:tblLook w:val="04A0"/>
        </w:tblPrEx>
        <w:tc>
          <w:tcPr>
            <w:tcW w:w="852"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8.</w:t>
            </w:r>
          </w:p>
        </w:tc>
        <w:tc>
          <w:tcPr>
            <w:tcW w:w="1808"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LC/MS/MS</w:t>
            </w:r>
          </w:p>
        </w:tc>
        <w:tc>
          <w:tcPr>
            <w:tcW w:w="1446"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1 920 000</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(2 ks)</w:t>
            </w:r>
          </w:p>
          <w:p w:rsidR="00D00F18" w:rsidRPr="00AC2F0E" w:rsidP="00AC2F0E">
            <w:pPr>
              <w:spacing w:after="0"/>
              <w:contextualSpacing/>
              <w:jc w:val="center"/>
              <w:rPr>
                <w:rFonts w:ascii="Times New Roman" w:hAnsi="Times New Roman"/>
                <w:sz w:val="20"/>
                <w:szCs w:val="20"/>
                <w:lang w:eastAsia="sk-SK"/>
              </w:rPr>
            </w:pPr>
          </w:p>
        </w:tc>
        <w:tc>
          <w:tcPr>
            <w:tcW w:w="2274"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10 000 </w:t>
            </w:r>
          </w:p>
        </w:tc>
        <w:tc>
          <w:tcPr>
            <w:tcW w:w="1559"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RÚVZ v SR /</w:t>
              <w:br/>
              <w:t>2 pracovníci</w:t>
            </w:r>
          </w:p>
        </w:tc>
        <w:tc>
          <w:tcPr>
            <w:tcW w:w="1134"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45 600 </w:t>
            </w:r>
          </w:p>
        </w:tc>
        <w:tc>
          <w:tcPr>
            <w:tcW w:w="6095" w:type="dxa"/>
            <w:shd w:val="clear" w:color="auto" w:fill="auto"/>
            <w:vAlign w:val="center"/>
          </w:tcPr>
          <w:p w:rsidR="00D00F18" w:rsidRPr="00AC2F0E" w:rsidP="00AC2F0E">
            <w:pPr>
              <w:spacing w:after="0"/>
              <w:contextualSpacing/>
              <w:jc w:val="both"/>
              <w:rPr>
                <w:rFonts w:ascii="Times New Roman" w:hAnsi="Times New Roman"/>
                <w:sz w:val="20"/>
                <w:szCs w:val="20"/>
                <w:lang w:eastAsia="sk-SK"/>
              </w:rPr>
            </w:pPr>
            <w:r w:rsidRPr="00AC2F0E">
              <w:rPr>
                <w:rFonts w:ascii="Times New Roman" w:hAnsi="Times New Roman"/>
                <w:sz w:val="20"/>
                <w:szCs w:val="20"/>
                <w:lang w:eastAsia="sk-SK"/>
              </w:rPr>
              <w:t>Kvapalinový chromatograf je potrebný pre stanovenie nových ukazovateľov -  halooctových kysel</w:t>
            </w:r>
            <w:r w:rsidRPr="00AC2F0E">
              <w:rPr>
                <w:rFonts w:ascii="Times New Roman" w:hAnsi="Times New Roman"/>
                <w:sz w:val="20"/>
                <w:szCs w:val="20"/>
                <w:lang w:eastAsia="sk-SK"/>
              </w:rPr>
              <w:t xml:space="preserve">ín, PFAS (perfluorované látky) a akrylamidu. </w:t>
            </w:r>
          </w:p>
        </w:tc>
      </w:tr>
      <w:tr w:rsidTr="00AC2F0E">
        <w:tblPrEx>
          <w:tblW w:w="15168" w:type="dxa"/>
          <w:tblLayout w:type="fixed"/>
          <w:tblLook w:val="04A0"/>
        </w:tblPrEx>
        <w:tc>
          <w:tcPr>
            <w:tcW w:w="852"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9.</w:t>
            </w:r>
          </w:p>
        </w:tc>
        <w:tc>
          <w:tcPr>
            <w:tcW w:w="1808"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Analýzy </w:t>
            </w:r>
            <w:r w:rsidRPr="00AC2F0E">
              <w:rPr>
                <w:rFonts w:ascii="Times New Roman" w:hAnsi="Times New Roman"/>
                <w:i/>
                <w:iCs/>
                <w:sz w:val="20"/>
                <w:szCs w:val="20"/>
                <w:lang w:eastAsia="sk-SK"/>
              </w:rPr>
              <w:t>Legionella sp.</w:t>
            </w:r>
            <w:r w:rsidRPr="00AC2F0E">
              <w:rPr>
                <w:rFonts w:ascii="Times New Roman" w:hAnsi="Times New Roman"/>
                <w:sz w:val="20"/>
                <w:szCs w:val="20"/>
                <w:lang w:eastAsia="sk-SK"/>
              </w:rPr>
              <w:t xml:space="preserve"> a diagnostika</w:t>
            </w:r>
          </w:p>
        </w:tc>
        <w:tc>
          <w:tcPr>
            <w:tcW w:w="1446"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w:t>
            </w:r>
          </w:p>
        </w:tc>
        <w:tc>
          <w:tcPr>
            <w:tcW w:w="2274"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40 000 </w:t>
            </w:r>
          </w:p>
        </w:tc>
        <w:tc>
          <w:tcPr>
            <w:tcW w:w="1559"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ÚVZ SR,</w:t>
              <w:br/>
              <w:t>RÚVZ v SR</w:t>
            </w:r>
          </w:p>
        </w:tc>
        <w:tc>
          <w:tcPr>
            <w:tcW w:w="1134"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w:t>
            </w:r>
          </w:p>
        </w:tc>
        <w:tc>
          <w:tcPr>
            <w:tcW w:w="6095" w:type="dxa"/>
            <w:shd w:val="clear" w:color="auto" w:fill="auto"/>
            <w:vAlign w:val="center"/>
          </w:tcPr>
          <w:p w:rsidR="00D00F18" w:rsidRPr="00AC2F0E" w:rsidP="00AC2F0E">
            <w:pPr>
              <w:spacing w:after="0"/>
              <w:contextualSpacing/>
              <w:jc w:val="both"/>
              <w:rPr>
                <w:rFonts w:ascii="Times New Roman" w:hAnsi="Times New Roman"/>
                <w:sz w:val="20"/>
                <w:szCs w:val="20"/>
                <w:lang w:eastAsia="sk-SK"/>
              </w:rPr>
            </w:pPr>
            <w:r w:rsidRPr="00AC2F0E">
              <w:rPr>
                <w:rFonts w:ascii="Times New Roman" w:hAnsi="Times New Roman"/>
                <w:sz w:val="20"/>
                <w:szCs w:val="20"/>
                <w:lang w:eastAsia="sk-SK"/>
              </w:rPr>
              <w:t xml:space="preserve">Hodnotenie rizika domových rozvodných systémov v prioritných priestoroch si bude vyžadovať pravidelné monitorovanie parametra </w:t>
            </w:r>
            <w:r w:rsidRPr="00AC2F0E">
              <w:rPr>
                <w:rFonts w:ascii="Times New Roman" w:hAnsi="Times New Roman"/>
                <w:i/>
                <w:iCs/>
                <w:sz w:val="20"/>
                <w:szCs w:val="20"/>
                <w:lang w:eastAsia="sk-SK"/>
              </w:rPr>
              <w:t xml:space="preserve">Legionella, </w:t>
            </w:r>
            <w:r w:rsidRPr="00AC2F0E">
              <w:rPr>
                <w:rFonts w:ascii="Times New Roman" w:hAnsi="Times New Roman"/>
                <w:sz w:val="20"/>
                <w:szCs w:val="20"/>
                <w:lang w:eastAsia="sk-SK"/>
              </w:rPr>
              <w:t>o</w:t>
            </w:r>
            <w:r w:rsidRPr="00AC2F0E">
              <w:rPr>
                <w:rFonts w:ascii="Times New Roman" w:hAnsi="Times New Roman"/>
                <w:sz w:val="20"/>
                <w:szCs w:val="20"/>
                <w:lang w:eastAsia="sk-SK"/>
              </w:rPr>
              <w:t>dhadované náklady na 300 vzoriek za rok.</w:t>
            </w:r>
          </w:p>
        </w:tc>
      </w:tr>
      <w:tr w:rsidTr="00AC2F0E">
        <w:tblPrEx>
          <w:tblW w:w="15168" w:type="dxa"/>
          <w:tblLayout w:type="fixed"/>
          <w:tblLook w:val="04A0"/>
        </w:tblPrEx>
        <w:tc>
          <w:tcPr>
            <w:tcW w:w="852"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10.</w:t>
            </w:r>
          </w:p>
        </w:tc>
        <w:tc>
          <w:tcPr>
            <w:tcW w:w="1808"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Normy </w:t>
            </w:r>
          </w:p>
        </w:tc>
        <w:tc>
          <w:tcPr>
            <w:tcW w:w="1446"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1 200</w:t>
            </w:r>
          </w:p>
        </w:tc>
        <w:tc>
          <w:tcPr>
            <w:tcW w:w="2274"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trike/>
                <w:sz w:val="20"/>
                <w:szCs w:val="20"/>
                <w:lang w:eastAsia="sk-SK"/>
              </w:rPr>
              <w:t xml:space="preserve">- </w:t>
            </w:r>
          </w:p>
        </w:tc>
        <w:tc>
          <w:tcPr>
            <w:tcW w:w="1559"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trike/>
                <w:sz w:val="20"/>
                <w:szCs w:val="20"/>
                <w:lang w:eastAsia="sk-SK"/>
              </w:rPr>
              <w:t xml:space="preserve">- </w:t>
            </w:r>
          </w:p>
        </w:tc>
        <w:tc>
          <w:tcPr>
            <w:tcW w:w="1134"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trike/>
                <w:sz w:val="20"/>
                <w:szCs w:val="20"/>
                <w:lang w:eastAsia="sk-SK"/>
              </w:rPr>
              <w:t xml:space="preserve">- </w:t>
            </w:r>
          </w:p>
        </w:tc>
        <w:tc>
          <w:tcPr>
            <w:tcW w:w="6095" w:type="dxa"/>
            <w:shd w:val="clear" w:color="auto" w:fill="auto"/>
          </w:tcPr>
          <w:p w:rsidR="00D00F18" w:rsidRPr="00AC2F0E" w:rsidP="00AC2F0E">
            <w:pPr>
              <w:spacing w:after="0"/>
              <w:contextualSpacing/>
              <w:jc w:val="both"/>
              <w:rPr>
                <w:rFonts w:ascii="Times New Roman" w:hAnsi="Times New Roman"/>
                <w:sz w:val="20"/>
                <w:szCs w:val="20"/>
                <w:lang w:eastAsia="sk-SK"/>
              </w:rPr>
            </w:pPr>
            <w:r w:rsidRPr="00AC2F0E">
              <w:rPr>
                <w:rFonts w:ascii="Times New Roman" w:hAnsi="Times New Roman"/>
                <w:sz w:val="20"/>
                <w:szCs w:val="20"/>
                <w:lang w:eastAsia="sk-SK"/>
              </w:rPr>
              <w:t>Nákup noriem pre špecifické chemikálie na úpravu vody alebo filtračné média na zabezpečenie relevantného posúdenia ich čistoty a kvality..</w:t>
            </w:r>
          </w:p>
        </w:tc>
      </w:tr>
      <w:tr w:rsidTr="00AC2F0E">
        <w:tblPrEx>
          <w:tblW w:w="15168" w:type="dxa"/>
          <w:tblLayout w:type="fixed"/>
          <w:tblLook w:val="04A0"/>
        </w:tblPrEx>
        <w:tc>
          <w:tcPr>
            <w:tcW w:w="852" w:type="dxa"/>
            <w:shd w:val="clear" w:color="auto" w:fill="auto"/>
          </w:tcPr>
          <w:p w:rsidR="00D00F18" w:rsidRPr="00AC2F0E" w:rsidP="00AC2F0E">
            <w:pPr>
              <w:spacing w:after="0"/>
              <w:contextualSpacing/>
              <w:jc w:val="center"/>
              <w:rPr>
                <w:rFonts w:ascii="Times New Roman" w:hAnsi="Times New Roman"/>
                <w:sz w:val="20"/>
                <w:szCs w:val="20"/>
                <w:lang w:eastAsia="sk-SK"/>
              </w:rPr>
            </w:pP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11.</w:t>
            </w:r>
          </w:p>
        </w:tc>
        <w:tc>
          <w:tcPr>
            <w:tcW w:w="1808"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Odbery vzoriek</w:t>
            </w:r>
          </w:p>
          <w:p w:rsidR="00D00F18" w:rsidRPr="00AC2F0E" w:rsidP="00AC2F0E">
            <w:pPr>
              <w:spacing w:after="0"/>
              <w:contextualSpacing/>
              <w:jc w:val="center"/>
              <w:rPr>
                <w:rFonts w:ascii="Times New Roman" w:hAnsi="Times New Roman"/>
                <w:sz w:val="20"/>
                <w:szCs w:val="20"/>
                <w:lang w:eastAsia="sk-SK"/>
              </w:rPr>
            </w:pPr>
          </w:p>
        </w:tc>
        <w:tc>
          <w:tcPr>
            <w:tcW w:w="1446"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w:t>
            </w:r>
          </w:p>
        </w:tc>
        <w:tc>
          <w:tcPr>
            <w:tcW w:w="2274"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65 000 </w:t>
            </w:r>
          </w:p>
        </w:tc>
        <w:tc>
          <w:tcPr>
            <w:tcW w:w="1559"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ÚVZ SR,</w:t>
              <w:br/>
              <w:t>RÚVZ v SR</w:t>
            </w:r>
          </w:p>
        </w:tc>
        <w:tc>
          <w:tcPr>
            <w:tcW w:w="1134" w:type="dxa"/>
            <w:shd w:val="clear" w:color="auto" w:fill="auto"/>
            <w:vAlign w:val="center"/>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w:t>
            </w:r>
          </w:p>
        </w:tc>
        <w:tc>
          <w:tcPr>
            <w:tcW w:w="6095" w:type="dxa"/>
            <w:shd w:val="clear" w:color="auto" w:fill="auto"/>
            <w:vAlign w:val="center"/>
          </w:tcPr>
          <w:p w:rsidR="00D00F18" w:rsidRPr="00AC2F0E" w:rsidP="00AC2F0E">
            <w:pPr>
              <w:spacing w:after="0"/>
              <w:contextualSpacing/>
              <w:jc w:val="both"/>
              <w:rPr>
                <w:rFonts w:ascii="Times New Roman" w:hAnsi="Times New Roman"/>
                <w:sz w:val="20"/>
                <w:szCs w:val="20"/>
                <w:lang w:eastAsia="sk-SK"/>
              </w:rPr>
            </w:pPr>
            <w:r w:rsidRPr="00AC2F0E">
              <w:rPr>
                <w:rFonts w:ascii="Times New Roman" w:hAnsi="Times New Roman"/>
                <w:sz w:val="20"/>
                <w:szCs w:val="20"/>
                <w:lang w:eastAsia="sk-SK"/>
              </w:rPr>
              <w:t>Náklady na odbery vzoriek – samotný odber, konzervácia, meranie terénnych ukazovateľov, dopravu a uskladnenia vzoriek). Odhadované náklady na 1300 vzoriek za rok.</w:t>
            </w:r>
          </w:p>
        </w:tc>
      </w:tr>
      <w:tr w:rsidTr="00AC2F0E">
        <w:tblPrEx>
          <w:tblW w:w="15168" w:type="dxa"/>
          <w:tblLayout w:type="fixed"/>
          <w:tblLook w:val="04A0"/>
        </w:tblPrEx>
        <w:tc>
          <w:tcPr>
            <w:tcW w:w="852"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12.</w:t>
            </w:r>
          </w:p>
        </w:tc>
        <w:tc>
          <w:tcPr>
            <w:tcW w:w="1808"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Analýza rizík  + reporting</w:t>
            </w:r>
          </w:p>
        </w:tc>
        <w:tc>
          <w:tcPr>
            <w:tcW w:w="1446"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12 000 €</w:t>
            </w:r>
          </w:p>
        </w:tc>
        <w:tc>
          <w:tcPr>
            <w:tcW w:w="2274"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w:t>
            </w:r>
          </w:p>
        </w:tc>
        <w:tc>
          <w:tcPr>
            <w:tcW w:w="1559"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ÚVZ SR / 1 pracovník</w:t>
            </w:r>
          </w:p>
        </w:tc>
        <w:tc>
          <w:tcPr>
            <w:tcW w:w="1134"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26 400 </w:t>
            </w:r>
          </w:p>
        </w:tc>
        <w:tc>
          <w:tcPr>
            <w:tcW w:w="6095" w:type="dxa"/>
            <w:shd w:val="clear" w:color="auto" w:fill="auto"/>
          </w:tcPr>
          <w:p w:rsidR="00D00F18" w:rsidRPr="00AC2F0E" w:rsidP="00AC2F0E">
            <w:pPr>
              <w:spacing w:after="0"/>
              <w:contextualSpacing/>
              <w:jc w:val="both"/>
              <w:rPr>
                <w:rFonts w:ascii="Times New Roman" w:hAnsi="Times New Roman"/>
                <w:sz w:val="20"/>
                <w:szCs w:val="20"/>
                <w:lang w:eastAsia="sk-SK"/>
              </w:rPr>
            </w:pPr>
            <w:r w:rsidRPr="00AC2F0E">
              <w:rPr>
                <w:rFonts w:ascii="Times New Roman" w:hAnsi="Times New Roman"/>
                <w:sz w:val="20"/>
                <w:szCs w:val="20"/>
                <w:lang w:eastAsia="sk-SK"/>
              </w:rPr>
              <w:t>Náklady na vypracovanie všeobecnej analýzy rizík domových rozvodných systémov, a súvisiacimi výrobkami a materiálmi v mieste odberu vody určenej na ľudskú spotrebu a plnenie reportovacích povinností</w:t>
            </w:r>
          </w:p>
        </w:tc>
      </w:tr>
      <w:tr w:rsidTr="00AC2F0E">
        <w:tblPrEx>
          <w:tblW w:w="15168" w:type="dxa"/>
          <w:tblLayout w:type="fixed"/>
          <w:tblLook w:val="04A0"/>
        </w:tblPrEx>
        <w:tc>
          <w:tcPr>
            <w:tcW w:w="852"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13.</w:t>
            </w:r>
          </w:p>
        </w:tc>
        <w:tc>
          <w:tcPr>
            <w:tcW w:w="1808"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Reporting</w:t>
            </w:r>
          </w:p>
        </w:tc>
        <w:tc>
          <w:tcPr>
            <w:tcW w:w="1446"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trike/>
                <w:sz w:val="20"/>
                <w:szCs w:val="20"/>
                <w:lang w:eastAsia="sk-SK"/>
              </w:rPr>
              <w:t xml:space="preserve">- </w:t>
            </w:r>
          </w:p>
        </w:tc>
        <w:tc>
          <w:tcPr>
            <w:tcW w:w="2274"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trike/>
                <w:sz w:val="20"/>
                <w:szCs w:val="20"/>
                <w:lang w:eastAsia="sk-SK"/>
              </w:rPr>
              <w:t xml:space="preserve">- </w:t>
            </w:r>
          </w:p>
        </w:tc>
        <w:tc>
          <w:tcPr>
            <w:tcW w:w="1559"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ÚVZ SR /</w:t>
              <w:br/>
              <w:t>1 pracovník</w:t>
            </w:r>
          </w:p>
        </w:tc>
        <w:tc>
          <w:tcPr>
            <w:tcW w:w="1134"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22 800</w:t>
            </w:r>
          </w:p>
        </w:tc>
        <w:tc>
          <w:tcPr>
            <w:tcW w:w="6095" w:type="dxa"/>
            <w:shd w:val="clear" w:color="auto" w:fill="auto"/>
          </w:tcPr>
          <w:p w:rsidR="00D00F18" w:rsidRPr="00AC2F0E" w:rsidP="00AC2F0E">
            <w:pPr>
              <w:spacing w:after="0"/>
              <w:contextualSpacing/>
              <w:jc w:val="both"/>
              <w:rPr>
                <w:rFonts w:ascii="Times New Roman" w:hAnsi="Times New Roman"/>
                <w:sz w:val="20"/>
                <w:szCs w:val="20"/>
                <w:lang w:eastAsia="sk-SK"/>
              </w:rPr>
            </w:pPr>
            <w:r w:rsidRPr="00AC2F0E">
              <w:rPr>
                <w:rFonts w:ascii="Times New Roman" w:hAnsi="Times New Roman"/>
                <w:sz w:val="20"/>
                <w:szCs w:val="20"/>
                <w:lang w:eastAsia="sk-SK"/>
              </w:rPr>
              <w:t>Zabezpečenie plnenie povin</w:t>
            </w:r>
            <w:r w:rsidRPr="00AC2F0E">
              <w:rPr>
                <w:rFonts w:ascii="Times New Roman" w:hAnsi="Times New Roman"/>
                <w:sz w:val="20"/>
                <w:szCs w:val="20"/>
                <w:lang w:eastAsia="sk-SK"/>
              </w:rPr>
              <w:t>ností pre reporting a prístupu pre  EK, ECDC a EEA v nadväznosti na IS</w:t>
            </w:r>
          </w:p>
        </w:tc>
      </w:tr>
      <w:tr w:rsidTr="00AC2F0E">
        <w:tblPrEx>
          <w:tblW w:w="15168" w:type="dxa"/>
          <w:tblLayout w:type="fixed"/>
          <w:tblLook w:val="04A0"/>
        </w:tblPrEx>
        <w:tc>
          <w:tcPr>
            <w:tcW w:w="852"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14.</w:t>
            </w:r>
          </w:p>
        </w:tc>
        <w:tc>
          <w:tcPr>
            <w:tcW w:w="1808"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Posudzovacia činnosť </w:t>
            </w:r>
          </w:p>
        </w:tc>
        <w:tc>
          <w:tcPr>
            <w:tcW w:w="1446"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w:t>
            </w:r>
          </w:p>
        </w:tc>
        <w:tc>
          <w:tcPr>
            <w:tcW w:w="2274"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trike/>
                <w:sz w:val="20"/>
                <w:szCs w:val="20"/>
                <w:lang w:eastAsia="sk-SK"/>
              </w:rPr>
              <w:t>-</w:t>
            </w:r>
          </w:p>
        </w:tc>
        <w:tc>
          <w:tcPr>
            <w:tcW w:w="1559"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RÚVZ v SR s krajskou pôsobnosťou /</w:t>
            </w:r>
          </w:p>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 xml:space="preserve">  8 pracovníkov</w:t>
            </w:r>
          </w:p>
        </w:tc>
        <w:tc>
          <w:tcPr>
            <w:tcW w:w="1134"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182 400</w:t>
            </w:r>
          </w:p>
        </w:tc>
        <w:tc>
          <w:tcPr>
            <w:tcW w:w="6095" w:type="dxa"/>
            <w:shd w:val="clear" w:color="auto" w:fill="auto"/>
          </w:tcPr>
          <w:p w:rsidR="00D00F18" w:rsidRPr="00AC2F0E" w:rsidP="00AC2F0E">
            <w:pPr>
              <w:spacing w:after="0"/>
              <w:contextualSpacing/>
              <w:jc w:val="both"/>
              <w:rPr>
                <w:rFonts w:ascii="Times New Roman" w:hAnsi="Times New Roman"/>
                <w:sz w:val="20"/>
                <w:szCs w:val="20"/>
                <w:lang w:eastAsia="sk-SK"/>
              </w:rPr>
            </w:pPr>
            <w:r w:rsidRPr="00AC2F0E">
              <w:rPr>
                <w:rFonts w:ascii="Times New Roman" w:hAnsi="Times New Roman"/>
                <w:sz w:val="20"/>
                <w:szCs w:val="20"/>
                <w:lang w:eastAsia="sk-SK"/>
              </w:rPr>
              <w:t xml:space="preserve">Orgány Verejného zdravotníctva budú vydávať rozhodnutia o manažmente rizík systému zásobovania </w:t>
            </w:r>
            <w:r w:rsidRPr="00AC2F0E">
              <w:rPr>
                <w:rFonts w:ascii="Times New Roman" w:hAnsi="Times New Roman"/>
                <w:sz w:val="20"/>
                <w:szCs w:val="20"/>
                <w:lang w:eastAsia="sk-SK"/>
              </w:rPr>
              <w:t xml:space="preserve">a o zmenách v programe monitorovania </w:t>
            </w:r>
          </w:p>
        </w:tc>
      </w:tr>
      <w:tr w:rsidTr="00AC2F0E">
        <w:tblPrEx>
          <w:tblW w:w="15168" w:type="dxa"/>
          <w:tblLayout w:type="fixed"/>
          <w:tblLook w:val="04A0"/>
        </w:tblPrEx>
        <w:trPr>
          <w:trHeight w:val="70"/>
        </w:trPr>
        <w:tc>
          <w:tcPr>
            <w:tcW w:w="852"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15.</w:t>
            </w:r>
          </w:p>
        </w:tc>
        <w:tc>
          <w:tcPr>
            <w:tcW w:w="1808"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Podpora používania pitnej vody z verejného vodovodu</w:t>
            </w:r>
          </w:p>
        </w:tc>
        <w:tc>
          <w:tcPr>
            <w:tcW w:w="1446"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trike/>
                <w:sz w:val="20"/>
                <w:szCs w:val="20"/>
                <w:lang w:eastAsia="sk-SK"/>
              </w:rPr>
              <w:t>-</w:t>
            </w:r>
          </w:p>
        </w:tc>
        <w:tc>
          <w:tcPr>
            <w:tcW w:w="2274"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7 000</w:t>
            </w:r>
          </w:p>
        </w:tc>
        <w:tc>
          <w:tcPr>
            <w:tcW w:w="1559"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trike/>
                <w:sz w:val="20"/>
                <w:szCs w:val="20"/>
                <w:lang w:eastAsia="sk-SK"/>
              </w:rPr>
              <w:t xml:space="preserve">- </w:t>
            </w:r>
          </w:p>
        </w:tc>
        <w:tc>
          <w:tcPr>
            <w:tcW w:w="1134"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trike/>
                <w:sz w:val="20"/>
                <w:szCs w:val="20"/>
                <w:lang w:eastAsia="sk-SK"/>
              </w:rPr>
              <w:t xml:space="preserve">- </w:t>
            </w:r>
          </w:p>
        </w:tc>
        <w:tc>
          <w:tcPr>
            <w:tcW w:w="6095" w:type="dxa"/>
            <w:shd w:val="clear" w:color="auto" w:fill="auto"/>
          </w:tcPr>
          <w:p w:rsidR="00D00F18" w:rsidRPr="00AC2F0E" w:rsidP="00AC2F0E">
            <w:pPr>
              <w:spacing w:after="0"/>
              <w:contextualSpacing/>
              <w:jc w:val="both"/>
              <w:rPr>
                <w:rFonts w:ascii="Times New Roman" w:hAnsi="Times New Roman"/>
                <w:sz w:val="20"/>
                <w:szCs w:val="20"/>
                <w:lang w:eastAsia="sk-SK"/>
              </w:rPr>
            </w:pPr>
            <w:r w:rsidRPr="00AC2F0E">
              <w:rPr>
                <w:rFonts w:ascii="Times New Roman" w:hAnsi="Times New Roman"/>
                <w:sz w:val="20"/>
                <w:szCs w:val="20"/>
                <w:lang w:eastAsia="sk-SK"/>
              </w:rPr>
              <w:t>Propagácia používania VV z vodovodu , opatreniami môžu byť kampane, letáky, zvýšenie informovanosti o rizikách používania vody zo studní prostrední</w:t>
            </w:r>
            <w:r w:rsidRPr="00AC2F0E">
              <w:rPr>
                <w:rFonts w:ascii="Times New Roman" w:hAnsi="Times New Roman"/>
                <w:sz w:val="20"/>
                <w:szCs w:val="20"/>
                <w:lang w:eastAsia="sk-SK"/>
              </w:rPr>
              <w:t>ctvom výstupov</w:t>
            </w:r>
          </w:p>
        </w:tc>
      </w:tr>
      <w:tr w:rsidTr="00AC2F0E">
        <w:tblPrEx>
          <w:tblW w:w="15168" w:type="dxa"/>
          <w:tblLayout w:type="fixed"/>
          <w:tblLook w:val="04A0"/>
        </w:tblPrEx>
        <w:trPr>
          <w:trHeight w:val="70"/>
        </w:trPr>
        <w:tc>
          <w:tcPr>
            <w:tcW w:w="852" w:type="dxa"/>
            <w:shd w:val="clear" w:color="auto" w:fill="auto"/>
          </w:tcPr>
          <w:p w:rsidR="00D00F18" w:rsidRPr="00AC2F0E" w:rsidP="00AC2F0E">
            <w:pPr>
              <w:spacing w:after="0"/>
              <w:contextualSpacing/>
              <w:jc w:val="center"/>
              <w:rPr>
                <w:rFonts w:ascii="Times New Roman" w:hAnsi="Times New Roman"/>
                <w:sz w:val="20"/>
                <w:szCs w:val="20"/>
                <w:lang w:eastAsia="sk-SK"/>
              </w:rPr>
            </w:pPr>
          </w:p>
        </w:tc>
        <w:tc>
          <w:tcPr>
            <w:tcW w:w="1808" w:type="dxa"/>
            <w:shd w:val="clear" w:color="auto" w:fill="auto"/>
          </w:tcPr>
          <w:p w:rsidR="00D00F18" w:rsidRPr="00AC2F0E" w:rsidP="00AC2F0E">
            <w:pPr>
              <w:spacing w:after="0"/>
              <w:contextualSpacing/>
              <w:jc w:val="center"/>
              <w:rPr>
                <w:rFonts w:ascii="Times New Roman" w:hAnsi="Times New Roman"/>
                <w:b/>
                <w:bCs/>
                <w:sz w:val="20"/>
                <w:szCs w:val="20"/>
                <w:lang w:eastAsia="sk-SK"/>
              </w:rPr>
            </w:pPr>
            <w:r w:rsidRPr="00AC2F0E">
              <w:rPr>
                <w:rFonts w:ascii="Times New Roman" w:hAnsi="Times New Roman"/>
                <w:b/>
                <w:bCs/>
                <w:sz w:val="20"/>
                <w:szCs w:val="20"/>
                <w:lang w:eastAsia="sk-SK"/>
              </w:rPr>
              <w:t>Celkové náklady</w:t>
            </w:r>
          </w:p>
        </w:tc>
        <w:tc>
          <w:tcPr>
            <w:tcW w:w="1446" w:type="dxa"/>
            <w:shd w:val="clear" w:color="auto" w:fill="auto"/>
          </w:tcPr>
          <w:p w:rsidR="00D00F18" w:rsidRPr="00AC2F0E" w:rsidP="00AC2F0E">
            <w:pPr>
              <w:spacing w:after="0"/>
              <w:contextualSpacing/>
              <w:jc w:val="center"/>
              <w:rPr>
                <w:rFonts w:ascii="Times New Roman" w:hAnsi="Times New Roman"/>
                <w:b/>
                <w:bCs/>
                <w:sz w:val="20"/>
                <w:szCs w:val="20"/>
                <w:lang w:eastAsia="sk-SK"/>
              </w:rPr>
            </w:pPr>
            <w:r w:rsidRPr="00AC2F0E">
              <w:rPr>
                <w:rFonts w:ascii="Times New Roman" w:hAnsi="Times New Roman"/>
                <w:b/>
                <w:bCs/>
                <w:sz w:val="20"/>
                <w:szCs w:val="20"/>
                <w:lang w:eastAsia="sk-SK"/>
              </w:rPr>
              <w:t>4 723 200</w:t>
            </w:r>
          </w:p>
        </w:tc>
        <w:tc>
          <w:tcPr>
            <w:tcW w:w="2274" w:type="dxa"/>
            <w:shd w:val="clear" w:color="auto" w:fill="auto"/>
          </w:tcPr>
          <w:p w:rsidR="00D00F18" w:rsidRPr="00AC2F0E" w:rsidP="00AC2F0E">
            <w:pPr>
              <w:spacing w:after="0"/>
              <w:contextualSpacing/>
              <w:jc w:val="center"/>
              <w:rPr>
                <w:rFonts w:ascii="Times New Roman" w:hAnsi="Times New Roman"/>
                <w:b/>
                <w:bCs/>
                <w:sz w:val="20"/>
                <w:szCs w:val="20"/>
                <w:lang w:eastAsia="sk-SK"/>
              </w:rPr>
            </w:pPr>
            <w:r w:rsidRPr="00AC2F0E">
              <w:rPr>
                <w:rFonts w:ascii="Times New Roman" w:hAnsi="Times New Roman"/>
                <w:b/>
                <w:bCs/>
                <w:sz w:val="20"/>
                <w:szCs w:val="20"/>
                <w:lang w:eastAsia="sk-SK"/>
              </w:rPr>
              <w:t>269 000</w:t>
            </w:r>
          </w:p>
        </w:tc>
        <w:tc>
          <w:tcPr>
            <w:tcW w:w="1559" w:type="dxa"/>
            <w:shd w:val="clear" w:color="auto" w:fill="auto"/>
          </w:tcPr>
          <w:p w:rsidR="00D00F18" w:rsidRPr="00AC2F0E" w:rsidP="00AC2F0E">
            <w:pPr>
              <w:spacing w:after="0"/>
              <w:contextualSpacing/>
              <w:jc w:val="center"/>
              <w:rPr>
                <w:rFonts w:ascii="Times New Roman" w:hAnsi="Times New Roman"/>
                <w:b/>
                <w:bCs/>
                <w:sz w:val="20"/>
                <w:szCs w:val="20"/>
                <w:lang w:eastAsia="sk-SK"/>
              </w:rPr>
            </w:pPr>
            <w:r w:rsidRPr="00AC2F0E">
              <w:rPr>
                <w:rFonts w:ascii="Times New Roman" w:hAnsi="Times New Roman"/>
                <w:b/>
                <w:bCs/>
                <w:sz w:val="20"/>
                <w:szCs w:val="20"/>
                <w:lang w:eastAsia="sk-SK"/>
              </w:rPr>
              <w:t>-</w:t>
            </w:r>
          </w:p>
        </w:tc>
        <w:tc>
          <w:tcPr>
            <w:tcW w:w="1134" w:type="dxa"/>
            <w:shd w:val="clear" w:color="auto" w:fill="auto"/>
          </w:tcPr>
          <w:p w:rsidR="00D00F18" w:rsidRPr="00AC2F0E" w:rsidP="00AC2F0E">
            <w:pPr>
              <w:spacing w:after="0"/>
              <w:contextualSpacing/>
              <w:jc w:val="center"/>
              <w:rPr>
                <w:rFonts w:ascii="Times New Roman" w:hAnsi="Times New Roman"/>
                <w:b/>
                <w:bCs/>
                <w:sz w:val="20"/>
                <w:szCs w:val="20"/>
                <w:lang w:eastAsia="sk-SK"/>
              </w:rPr>
            </w:pPr>
            <w:r w:rsidRPr="00AC2F0E">
              <w:rPr>
                <w:rFonts w:ascii="Times New Roman" w:hAnsi="Times New Roman"/>
                <w:b/>
                <w:bCs/>
                <w:sz w:val="20"/>
                <w:szCs w:val="20"/>
                <w:lang w:eastAsia="sk-SK"/>
              </w:rPr>
              <w:t>395 070</w:t>
            </w:r>
          </w:p>
        </w:tc>
        <w:tc>
          <w:tcPr>
            <w:tcW w:w="6095" w:type="dxa"/>
            <w:shd w:val="clear" w:color="auto" w:fill="auto"/>
          </w:tcPr>
          <w:p w:rsidR="00D00F18" w:rsidRPr="00AC2F0E" w:rsidP="00AC2F0E">
            <w:pPr>
              <w:spacing w:after="0"/>
              <w:contextualSpacing/>
              <w:jc w:val="center"/>
              <w:rPr>
                <w:rFonts w:ascii="Times New Roman" w:hAnsi="Times New Roman"/>
                <w:sz w:val="20"/>
                <w:szCs w:val="20"/>
                <w:lang w:eastAsia="sk-SK"/>
              </w:rPr>
            </w:pPr>
            <w:r w:rsidRPr="00AC2F0E">
              <w:rPr>
                <w:rFonts w:ascii="Times New Roman" w:hAnsi="Times New Roman"/>
                <w:sz w:val="20"/>
                <w:szCs w:val="20"/>
                <w:lang w:eastAsia="sk-SK"/>
              </w:rPr>
              <w:t>-</w:t>
            </w:r>
          </w:p>
        </w:tc>
      </w:tr>
    </w:tbl>
    <w:p w:rsidR="00D00F18" w:rsidRPr="00D00F18" w:rsidP="00D00F18">
      <w:pPr>
        <w:spacing w:after="160" w:line="259" w:lineRule="auto"/>
        <w:jc w:val="both"/>
        <w:rPr>
          <w:rFonts w:ascii="Times New Roman" w:hAnsi="Times New Roman"/>
          <w:bCs/>
          <w:noProof/>
          <w:sz w:val="20"/>
          <w:szCs w:val="20"/>
          <w:lang w:eastAsia="sk-SK"/>
        </w:rPr>
      </w:pPr>
    </w:p>
    <w:p w:rsidR="00D00F18" w:rsidRPr="00D00F18" w:rsidP="00D00F18">
      <w:pPr>
        <w:spacing w:after="160" w:line="259" w:lineRule="auto"/>
        <w:jc w:val="both"/>
        <w:rPr>
          <w:rFonts w:ascii="Times New Roman" w:hAnsi="Times New Roman"/>
          <w:bCs/>
          <w:noProof/>
          <w:sz w:val="20"/>
          <w:szCs w:val="20"/>
          <w:lang w:eastAsia="sk-SK"/>
        </w:rPr>
      </w:pPr>
    </w:p>
    <w:p w:rsidR="00D00F18" w:rsidRPr="00D00F18" w:rsidP="00D00F18">
      <w:pPr>
        <w:spacing w:after="160" w:line="259" w:lineRule="auto"/>
        <w:jc w:val="both"/>
        <w:rPr>
          <w:rFonts w:ascii="Times New Roman" w:hAnsi="Times New Roman"/>
          <w:bCs/>
          <w:noProof/>
          <w:sz w:val="20"/>
          <w:szCs w:val="20"/>
          <w:lang w:eastAsia="sk-SK"/>
        </w:rPr>
      </w:pPr>
    </w:p>
    <w:p w:rsidR="00D00F18" w:rsidRPr="00D00F18" w:rsidP="00D00F18">
      <w:pPr>
        <w:spacing w:after="160" w:line="259" w:lineRule="auto"/>
        <w:jc w:val="both"/>
        <w:rPr>
          <w:rFonts w:ascii="Times New Roman" w:hAnsi="Times New Roman"/>
          <w:bCs/>
          <w:noProof/>
          <w:sz w:val="20"/>
          <w:szCs w:val="20"/>
          <w:lang w:eastAsia="sk-SK"/>
        </w:rPr>
      </w:pPr>
    </w:p>
    <w:p w:rsidR="00D00F18" w:rsidRPr="00D00F18" w:rsidP="00D00F18">
      <w:pPr>
        <w:spacing w:after="160" w:line="259" w:lineRule="auto"/>
        <w:jc w:val="both"/>
        <w:rPr>
          <w:rFonts w:ascii="Times New Roman" w:hAnsi="Times New Roman"/>
          <w:bCs/>
          <w:noProof/>
          <w:sz w:val="20"/>
          <w:szCs w:val="20"/>
          <w:lang w:eastAsia="sk-SK"/>
        </w:rPr>
      </w:pPr>
    </w:p>
    <w:p w:rsidR="00D00F18" w:rsidRPr="00D00F18" w:rsidP="00D00F18">
      <w:pPr>
        <w:spacing w:after="160" w:line="259" w:lineRule="auto"/>
        <w:jc w:val="both"/>
        <w:rPr>
          <w:rFonts w:ascii="Times New Roman" w:hAnsi="Times New Roman"/>
          <w:bCs/>
          <w:noProof/>
          <w:sz w:val="20"/>
          <w:szCs w:val="20"/>
          <w:lang w:eastAsia="sk-SK"/>
        </w:rPr>
      </w:pPr>
    </w:p>
    <w:p w:rsidR="00D00F18" w:rsidRPr="00D00F18" w:rsidP="00D00F18">
      <w:pPr>
        <w:spacing w:after="160" w:line="259" w:lineRule="auto"/>
        <w:jc w:val="both"/>
        <w:rPr>
          <w:rFonts w:ascii="Times New Roman" w:hAnsi="Times New Roman"/>
          <w:bCs/>
          <w:noProof/>
          <w:sz w:val="20"/>
          <w:szCs w:val="20"/>
          <w:lang w:eastAsia="sk-SK"/>
        </w:rPr>
      </w:pPr>
    </w:p>
    <w:p w:rsidR="00D00F18" w:rsidRPr="00D00F18" w:rsidP="00D00F18">
      <w:pPr>
        <w:spacing w:after="160" w:line="259" w:lineRule="auto"/>
        <w:jc w:val="both"/>
        <w:rPr>
          <w:rFonts w:ascii="Times New Roman" w:hAnsi="Times New Roman"/>
          <w:bCs/>
          <w:noProof/>
          <w:sz w:val="20"/>
          <w:szCs w:val="20"/>
          <w:lang w:eastAsia="sk-SK"/>
        </w:rPr>
        <w:sectPr w:rsidSect="00B30C7E">
          <w:pgSz w:w="16838" w:h="11906" w:orient="landscape" w:code="9"/>
          <w:pgMar w:top="1418" w:right="1418" w:bottom="1418" w:left="1418" w:header="709" w:footer="709" w:gutter="0"/>
          <w:cols w:space="708"/>
          <w:titlePg/>
          <w:docGrid w:linePitch="360"/>
        </w:sectPr>
      </w:pPr>
    </w:p>
    <w:p w:rsidR="00D00F18" w:rsidRPr="00D00F18" w:rsidP="00D00F18">
      <w:pPr>
        <w:tabs>
          <w:tab w:val="num" w:pos="1080"/>
        </w:tabs>
        <w:spacing w:after="0" w:line="240" w:lineRule="auto"/>
        <w:jc w:val="right"/>
        <w:rPr>
          <w:rFonts w:ascii="Times New Roman" w:eastAsia="Times New Roman" w:hAnsi="Times New Roman"/>
          <w:bCs/>
          <w:sz w:val="24"/>
          <w:szCs w:val="24"/>
          <w:lang w:eastAsia="sk-SK"/>
        </w:rPr>
      </w:pPr>
      <w:r w:rsidRPr="00D00F18">
        <w:rPr>
          <w:rFonts w:ascii="Times New Roman" w:eastAsia="Times New Roman" w:hAnsi="Times New Roman"/>
          <w:bCs/>
          <w:sz w:val="24"/>
          <w:szCs w:val="24"/>
          <w:lang w:eastAsia="sk-SK"/>
        </w:rPr>
        <w:t xml:space="preserve">Tabuľka č. 3 </w:t>
      </w:r>
    </w:p>
    <w:p w:rsidR="00D00F18" w:rsidRPr="00D00F18" w:rsidP="00D00F18">
      <w:pPr>
        <w:tabs>
          <w:tab w:val="num" w:pos="1080"/>
        </w:tabs>
        <w:spacing w:after="0" w:line="240" w:lineRule="auto"/>
        <w:jc w:val="both"/>
        <w:rPr>
          <w:rFonts w:ascii="Times New Roman" w:eastAsia="Times New Roman" w:hAnsi="Times New Roman"/>
          <w:bCs/>
          <w:sz w:val="24"/>
          <w:szCs w:val="20"/>
          <w:lang w:eastAsia="sk-SK"/>
        </w:rPr>
      </w:pPr>
    </w:p>
    <w:tbl>
      <w:tblPr>
        <w:tblStyle w:val="TableNormal"/>
        <w:tblpPr w:leftFromText="141" w:rightFromText="141" w:horzAnchor="margin" w:tblpXSpec="center" w:tblpX="1" w:tblpY="533"/>
        <w:tblW w:w="13950" w:type="dxa"/>
        <w:tblCellMar>
          <w:left w:w="70" w:type="dxa"/>
          <w:right w:w="70" w:type="dxa"/>
        </w:tblCellMar>
        <w:tblLook w:val="0000"/>
      </w:tblPr>
      <w:tblGrid>
        <w:gridCol w:w="4950"/>
        <w:gridCol w:w="1500"/>
        <w:gridCol w:w="1500"/>
        <w:gridCol w:w="1500"/>
        <w:gridCol w:w="1500"/>
        <w:gridCol w:w="3000"/>
      </w:tblGrid>
      <w:tr w:rsidTr="00D00F18">
        <w:tblPrEx>
          <w:tblW w:w="13950" w:type="dxa"/>
          <w:tblCellMar>
            <w:left w:w="70" w:type="dxa"/>
            <w:right w:w="70" w:type="dxa"/>
          </w:tblCellMar>
          <w:tblLook w:val="0000"/>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poznámka</w:t>
            </w:r>
          </w:p>
        </w:tc>
      </w:tr>
      <w:tr w:rsidTr="00D00F18">
        <w:tblPrEx>
          <w:tblW w:w="13950" w:type="dxa"/>
          <w:tblCellMar>
            <w:left w:w="70" w:type="dxa"/>
            <w:right w:w="70" w:type="dxa"/>
          </w:tblCellMar>
          <w:tblLook w:val="0000"/>
        </w:tblPrEx>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D00F18" w:rsidRPr="00D00F18" w:rsidP="00D00F18">
            <w:pPr>
              <w:spacing w:after="0" w:line="240" w:lineRule="auto"/>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D00F18" w:rsidRPr="00D00F18" w:rsidP="00D00F18">
            <w:pPr>
              <w:spacing w:after="0" w:line="240" w:lineRule="auto"/>
              <w:rPr>
                <w:rFonts w:ascii="Times New Roman" w:eastAsia="Times New Roman" w:hAnsi="Times New Roman"/>
                <w:b/>
                <w:bCs/>
                <w:sz w:val="24"/>
                <w:szCs w:val="24"/>
                <w:lang w:eastAsia="sk-SK"/>
              </w:rPr>
            </w:pPr>
          </w:p>
        </w:tc>
      </w:tr>
      <w:tr w:rsidTr="00D00F18">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vertAlign w:val="superscript"/>
                <w:lang w:eastAsia="sk-SK"/>
              </w:rPr>
            </w:pPr>
            <w:r w:rsidRPr="00D00F18">
              <w:rPr>
                <w:rFonts w:ascii="Times New Roman" w:eastAsia="Times New Roman" w:hAnsi="Times New Roman"/>
                <w:b/>
                <w:bCs/>
                <w:sz w:val="24"/>
                <w:szCs w:val="24"/>
                <w:lang w:eastAsia="sk-SK"/>
              </w:rPr>
              <w:t>Daňové príjmy (100)</w:t>
            </w:r>
            <w:r w:rsidRPr="00D00F18">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Nedaňové príjmy (200)</w:t>
            </w:r>
            <w:r w:rsidRPr="00D00F18">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Granty a transfery (300)</w:t>
            </w:r>
            <w:r w:rsidRPr="00D00F18">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shd w:val="clear" w:color="auto" w:fill="BFBFBF"/>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bl>
    <w:p w:rsidR="00D00F18" w:rsidRPr="00D00F18" w:rsidP="00D00F18">
      <w:pPr>
        <w:tabs>
          <w:tab w:val="num" w:pos="1080"/>
        </w:tabs>
        <w:spacing w:after="0" w:line="240" w:lineRule="auto"/>
        <w:jc w:val="both"/>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1 –  príjmy rozpísať až do položiek platnej ekono</w:t>
      </w:r>
      <w:r w:rsidRPr="00D00F18">
        <w:rPr>
          <w:rFonts w:ascii="Times New Roman" w:eastAsia="Times New Roman" w:hAnsi="Times New Roman"/>
          <w:bCs/>
          <w:sz w:val="20"/>
          <w:szCs w:val="20"/>
          <w:lang w:eastAsia="sk-SK"/>
        </w:rPr>
        <w:t>mickej klasifikácie</w:t>
      </w:r>
    </w:p>
    <w:p w:rsidR="00D00F18" w:rsidRPr="00D00F18" w:rsidP="00D00F18">
      <w:pPr>
        <w:tabs>
          <w:tab w:val="num" w:pos="1080"/>
        </w:tabs>
        <w:spacing w:after="0" w:line="240" w:lineRule="auto"/>
        <w:jc w:val="both"/>
        <w:rPr>
          <w:rFonts w:ascii="Times New Roman" w:eastAsia="Times New Roman" w:hAnsi="Times New Roman"/>
          <w:bCs/>
          <w:sz w:val="24"/>
          <w:szCs w:val="20"/>
          <w:lang w:eastAsia="sk-SK"/>
        </w:rPr>
      </w:pPr>
    </w:p>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r w:rsidRPr="00D00F18">
        <w:rPr>
          <w:rFonts w:ascii="Times New Roman" w:eastAsia="Times New Roman" w:hAnsi="Times New Roman"/>
          <w:b/>
          <w:bCs/>
          <w:sz w:val="24"/>
          <w:szCs w:val="20"/>
          <w:lang w:eastAsia="sk-SK"/>
        </w:rPr>
        <w:t>Poznámka:</w:t>
      </w:r>
    </w:p>
    <w:p w:rsidR="00D00F18" w:rsidRPr="00D00F18" w:rsidP="00D00F18">
      <w:pPr>
        <w:tabs>
          <w:tab w:val="num" w:pos="1080"/>
        </w:tabs>
        <w:spacing w:after="0" w:line="240" w:lineRule="auto"/>
        <w:jc w:val="both"/>
        <w:rPr>
          <w:rFonts w:ascii="Times New Roman" w:eastAsia="Times New Roman" w:hAnsi="Times New Roman"/>
          <w:bCs/>
          <w:sz w:val="24"/>
          <w:szCs w:val="20"/>
          <w:lang w:eastAsia="sk-SK"/>
        </w:rPr>
      </w:pPr>
      <w:r w:rsidRPr="00D00F18">
        <w:rPr>
          <w:rFonts w:ascii="Times New Roman" w:eastAsia="Times New Roman" w:hAnsi="Times New Roman"/>
          <w:bCs/>
          <w:sz w:val="24"/>
          <w:szCs w:val="20"/>
          <w:lang w:eastAsia="sk-SK"/>
        </w:rPr>
        <w:t>Ak sa vplyv týka viacerých subjektov verejnej správy, vypĺňa sa samostatná tabuľka za každý subjekt.</w:t>
      </w: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r w:rsidRPr="00D00F18">
        <w:rPr>
          <w:rFonts w:ascii="Times New Roman" w:eastAsia="Times New Roman" w:hAnsi="Times New Roman"/>
          <w:bCs/>
          <w:sz w:val="24"/>
          <w:szCs w:val="24"/>
          <w:lang w:eastAsia="sk-SK"/>
        </w:rPr>
        <w:t xml:space="preserve"> </w:t>
      </w: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32"/>
        <w:jc w:val="right"/>
        <w:rPr>
          <w:rFonts w:ascii="Times New Roman" w:eastAsia="Times New Roman" w:hAnsi="Times New Roman"/>
          <w:bCs/>
          <w:sz w:val="24"/>
          <w:szCs w:val="24"/>
          <w:lang w:eastAsia="sk-SK"/>
        </w:rPr>
      </w:pPr>
      <w:r w:rsidRPr="00D00F18">
        <w:rPr>
          <w:rFonts w:ascii="Times New Roman" w:eastAsia="Times New Roman" w:hAnsi="Times New Roman"/>
          <w:bCs/>
          <w:sz w:val="24"/>
          <w:szCs w:val="24"/>
          <w:lang w:eastAsia="sk-SK"/>
        </w:rPr>
        <w:t xml:space="preserve">Tabuľka č. 4 </w:t>
      </w:r>
    </w:p>
    <w:p w:rsidR="00D00F18" w:rsidRPr="00D00F18" w:rsidP="00D00F18">
      <w:pPr>
        <w:tabs>
          <w:tab w:val="num" w:pos="1080"/>
        </w:tabs>
        <w:spacing w:after="0" w:line="240" w:lineRule="auto"/>
        <w:jc w:val="both"/>
        <w:rPr>
          <w:rFonts w:ascii="Times New Roman" w:eastAsia="Times New Roman" w:hAnsi="Times New Roman"/>
          <w:bCs/>
          <w:sz w:val="24"/>
          <w:szCs w:val="20"/>
          <w:lang w:eastAsia="sk-SK"/>
        </w:rPr>
      </w:pPr>
    </w:p>
    <w:tbl>
      <w:tblPr>
        <w:tblStyle w:val="TableNormal"/>
        <w:tblpPr w:leftFromText="141" w:rightFromText="141" w:vertAnchor="text" w:horzAnchor="page" w:tblpX="629" w:tblpY="2"/>
        <w:tblW w:w="15450" w:type="dxa"/>
        <w:tblCellMar>
          <w:left w:w="70" w:type="dxa"/>
          <w:right w:w="70" w:type="dxa"/>
        </w:tblCellMar>
        <w:tblLook w:val="0000"/>
      </w:tblPr>
      <w:tblGrid>
        <w:gridCol w:w="7070"/>
        <w:gridCol w:w="1540"/>
        <w:gridCol w:w="1540"/>
        <w:gridCol w:w="1540"/>
        <w:gridCol w:w="1540"/>
        <w:gridCol w:w="2220"/>
      </w:tblGrid>
      <w:tr w:rsidTr="00D00F18">
        <w:tblPrEx>
          <w:tblW w:w="15450" w:type="dxa"/>
          <w:tblCellMar>
            <w:left w:w="70" w:type="dxa"/>
            <w:right w:w="70" w:type="dxa"/>
          </w:tblCellMar>
          <w:tblLook w:val="0000"/>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poznámka</w:t>
            </w:r>
          </w:p>
        </w:tc>
      </w:tr>
      <w:tr w:rsidTr="00D00F18">
        <w:tblPrEx>
          <w:tblW w:w="15450" w:type="dxa"/>
          <w:tblCellMar>
            <w:left w:w="70" w:type="dxa"/>
            <w:right w:w="70" w:type="dxa"/>
          </w:tblCellMar>
          <w:tblLook w:val="0000"/>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D00F18" w:rsidRPr="00D00F18" w:rsidP="00D00F18">
            <w:pPr>
              <w:spacing w:after="0" w:line="240" w:lineRule="auto"/>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4"/>
                <w:szCs w:val="24"/>
                <w:lang w:eastAsia="sk-SK"/>
              </w:rPr>
              <w:t>2023</w:t>
            </w: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4"/>
                <w:szCs w:val="24"/>
                <w:lang w:eastAsia="sk-SK"/>
              </w:rPr>
              <w:t>2024</w:t>
            </w: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4"/>
                <w:szCs w:val="24"/>
                <w:lang w:eastAsia="sk-SK"/>
              </w:rPr>
              <w:t>2025</w:t>
            </w: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rsidR="00D00F18" w:rsidRPr="00D00F18" w:rsidP="00D00F18">
            <w:pPr>
              <w:spacing w:after="0" w:line="240" w:lineRule="auto"/>
              <w:rPr>
                <w:rFonts w:ascii="Times New Roman" w:eastAsia="Times New Roman" w:hAnsi="Times New Roman"/>
                <w:b/>
                <w:bCs/>
                <w:sz w:val="24"/>
                <w:szCs w:val="24"/>
                <w:lang w:eastAsia="sk-SK"/>
              </w:rPr>
            </w:pP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Bežné v</w:t>
            </w:r>
            <w:r w:rsidRPr="00D00F18">
              <w:rPr>
                <w:rFonts w:ascii="Times New Roman" w:eastAsia="Times New Roman" w:hAnsi="Times New Roman"/>
                <w:b/>
                <w:bCs/>
                <w:sz w:val="20"/>
                <w:szCs w:val="20"/>
                <w:lang w:eastAsia="sk-SK"/>
              </w:rPr>
              <w:t>ýdavky (600)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0"/>
                <w:szCs w:val="20"/>
                <w:lang w:eastAsia="sk-SK"/>
              </w:rPr>
            </w:pPr>
            <w:r w:rsidRPr="00D00F18">
              <w:rPr>
                <w:rFonts w:ascii="Times New Roman" w:hAnsi="Times New Roman"/>
                <w:b/>
                <w:bCs/>
              </w:rPr>
              <w:t>454 526</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0"/>
                <w:szCs w:val="20"/>
                <w:lang w:eastAsia="sk-SK"/>
              </w:rPr>
            </w:pPr>
            <w:r w:rsidRPr="00D00F18">
              <w:rPr>
                <w:rFonts w:ascii="Times New Roman" w:hAnsi="Times New Roman"/>
                <w:b/>
                <w:bCs/>
              </w:rPr>
              <w:t>664 070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0"/>
                <w:szCs w:val="20"/>
                <w:lang w:eastAsia="sk-SK"/>
              </w:rPr>
            </w:pPr>
            <w:r w:rsidRPr="00D00F18">
              <w:rPr>
                <w:rFonts w:ascii="Times New Roman" w:hAnsi="Times New Roman"/>
                <w:b/>
                <w:bCs/>
              </w:rPr>
              <w:t>664 070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b/>
                <w:bCs/>
              </w:rPr>
              <w:t>664 070</w:t>
            </w: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r w:rsidRPr="00D00F18">
              <w:rPr>
                <w:rFonts w:ascii="Times New Roman" w:hAnsi="Times New Roman"/>
              </w:rPr>
              <w:t>146 370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r w:rsidRPr="00D00F18">
              <w:rPr>
                <w:rFonts w:ascii="Times New Roman" w:hAnsi="Times New Roman"/>
              </w:rPr>
              <w:t>292 753</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r w:rsidRPr="00D00F18">
              <w:rPr>
                <w:rFonts w:ascii="Times New Roman" w:hAnsi="Times New Roman"/>
              </w:rPr>
              <w:t>292 753</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hAnsi="Times New Roman"/>
              </w:rPr>
              <w:t>292 753</w:t>
            </w: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vertAlign w:val="superscript"/>
                <w:lang w:eastAsia="sk-SK"/>
              </w:rPr>
            </w:pPr>
            <w:r w:rsidRPr="00D00F18">
              <w:rPr>
                <w:rFonts w:ascii="Times New Roman" w:eastAsia="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r w:rsidRPr="00D00F18">
              <w:rPr>
                <w:rFonts w:ascii="Times New Roman" w:hAnsi="Times New Roman"/>
              </w:rPr>
              <w:t>51 156</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r w:rsidRPr="00D00F18">
              <w:rPr>
                <w:rFonts w:ascii="Times New Roman" w:hAnsi="Times New Roman"/>
              </w:rPr>
              <w:t>102 317</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r w:rsidRPr="00D00F18">
              <w:rPr>
                <w:rFonts w:ascii="Times New Roman" w:hAnsi="Times New Roman"/>
              </w:rPr>
              <w:t>102 317</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hAnsi="Times New Roman"/>
              </w:rPr>
              <w:t>102 317</w:t>
            </w: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vertAlign w:val="superscript"/>
                <w:lang w:eastAsia="sk-SK"/>
              </w:rPr>
            </w:pPr>
            <w:r w:rsidRPr="00D00F18">
              <w:rPr>
                <w:rFonts w:ascii="Times New Roman" w:eastAsia="Times New Roman" w:hAnsi="Times New Roman"/>
                <w:sz w:val="20"/>
                <w:szCs w:val="20"/>
                <w:lang w:eastAsia="sk-SK"/>
              </w:rPr>
              <w:t xml:space="preserve">  Tovary a služby (630)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r w:rsidRPr="00D00F18">
              <w:rPr>
                <w:rFonts w:ascii="Times New Roman" w:hAnsi="Times New Roman"/>
              </w:rPr>
              <w:t>257 000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r w:rsidRPr="00D00F18">
              <w:rPr>
                <w:rFonts w:ascii="Times New Roman" w:hAnsi="Times New Roman"/>
              </w:rPr>
              <w:t>269 000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r w:rsidRPr="00D00F18">
              <w:rPr>
                <w:rFonts w:ascii="Times New Roman" w:hAnsi="Times New Roman"/>
              </w:rPr>
              <w:t>269 000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hAnsi="Times New Roman"/>
              </w:rPr>
              <w:t>269 000</w:t>
            </w: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Bežné transfery (640)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vAlign w:val="center"/>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Splácanie úrokov a ostatné platby súvisiace s </w:t>
            </w:r>
            <w:r w:rsidRPr="00D00F18">
              <w:t xml:space="preserve"> </w:t>
            </w:r>
            <w:r w:rsidRPr="00D00F18">
              <w:rPr>
                <w:rFonts w:ascii="Times New Roman" w:eastAsia="Times New Roman" w:hAnsi="Times New Roman"/>
                <w:sz w:val="20"/>
                <w:szCs w:val="20"/>
                <w:lang w:eastAsia="sk-SK"/>
              </w:rPr>
              <w:t>úverom, pôžičkou, návratnou finančnou výpomocou a finančným prenájmom (650)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0"/>
                <w:szCs w:val="20"/>
                <w:lang w:eastAsia="sk-SK"/>
              </w:rPr>
            </w:pPr>
            <w:r w:rsidRPr="00D00F18">
              <w:rPr>
                <w:rFonts w:ascii="Times New Roman" w:hAnsi="Times New Roman"/>
                <w:b/>
                <w:bCs/>
              </w:rPr>
              <w:t>4 723 200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Obstarávanie kapitálov</w:t>
            </w:r>
            <w:r w:rsidRPr="00D00F18">
              <w:rPr>
                <w:rFonts w:ascii="Times New Roman" w:eastAsia="Times New Roman" w:hAnsi="Times New Roman"/>
                <w:sz w:val="20"/>
                <w:szCs w:val="20"/>
                <w:lang w:eastAsia="sk-SK"/>
              </w:rPr>
              <w:t>ých aktív (710)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r w:rsidRPr="00D00F18">
              <w:rPr>
                <w:rFonts w:ascii="Times New Roman" w:hAnsi="Times New Roman"/>
                <w:b/>
                <w:bCs/>
              </w:rPr>
              <w:t>4 723 200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Kapitálové transfery (720)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right"/>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right"/>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right"/>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right"/>
              <w:rPr>
                <w:rFonts w:ascii="Times New Roman" w:eastAsia="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right"/>
              <w:rPr>
                <w:rFonts w:ascii="Times New Roman" w:eastAsia="Times New Roman" w:hAnsi="Times New Roman"/>
                <w:b/>
                <w:bCs/>
                <w:sz w:val="20"/>
                <w:szCs w:val="20"/>
                <w:lang w:eastAsia="sk-SK"/>
              </w:rPr>
            </w:pPr>
            <w:r w:rsidRPr="00D00F18">
              <w:rPr>
                <w:rFonts w:ascii="Times New Roman" w:hAnsi="Times New Roman"/>
                <w:b/>
                <w:bCs/>
              </w:rPr>
              <w:t>5 177 726</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right"/>
              <w:rPr>
                <w:rFonts w:ascii="Times New Roman" w:eastAsia="Times New Roman" w:hAnsi="Times New Roman"/>
                <w:sz w:val="20"/>
                <w:szCs w:val="20"/>
                <w:lang w:eastAsia="sk-SK"/>
              </w:rPr>
            </w:pPr>
            <w:r w:rsidRPr="00D00F18">
              <w:rPr>
                <w:rFonts w:ascii="Times New Roman" w:hAnsi="Times New Roman"/>
              </w:rPr>
              <w:t>664 070</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right"/>
              <w:rPr>
                <w:rFonts w:ascii="Times New Roman" w:eastAsia="Times New Roman" w:hAnsi="Times New Roman"/>
                <w:sz w:val="20"/>
                <w:szCs w:val="20"/>
                <w:lang w:eastAsia="sk-SK"/>
              </w:rPr>
            </w:pPr>
            <w:r w:rsidRPr="00D00F18">
              <w:rPr>
                <w:rFonts w:ascii="Times New Roman" w:hAnsi="Times New Roman"/>
              </w:rPr>
              <w:t>664 070</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hAnsi="Times New Roman"/>
              </w:rPr>
              <w:t>664 070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bl>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2 –  výdavky rozpísať až do položiek platnej ekonomickej klasifikácie</w:t>
      </w:r>
    </w:p>
    <w:p w:rsidR="00D00F18" w:rsidRPr="00D00F18" w:rsidP="00D00F18">
      <w:pPr>
        <w:tabs>
          <w:tab w:val="num" w:pos="1080"/>
        </w:tabs>
        <w:spacing w:after="0" w:line="240" w:lineRule="auto"/>
        <w:ind w:left="-900"/>
        <w:jc w:val="both"/>
        <w:rPr>
          <w:rFonts w:ascii="Times New Roman" w:eastAsia="Times New Roman" w:hAnsi="Times New Roman"/>
          <w:bCs/>
          <w:sz w:val="24"/>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
          <w:bCs/>
          <w:sz w:val="20"/>
          <w:szCs w:val="20"/>
          <w:lang w:eastAsia="sk-SK"/>
        </w:rPr>
      </w:pPr>
      <w:r w:rsidRPr="00D00F18">
        <w:rPr>
          <w:rFonts w:ascii="Times New Roman" w:eastAsia="Times New Roman" w:hAnsi="Times New Roman"/>
          <w:b/>
          <w:bCs/>
          <w:sz w:val="24"/>
          <w:szCs w:val="20"/>
          <w:lang w:eastAsia="sk-SK"/>
        </w:rPr>
        <w:t>Poznámka:</w:t>
      </w: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r w:rsidRPr="00D00F18">
        <w:rPr>
          <w:rFonts w:ascii="Times New Roman" w:eastAsia="Times New Roman" w:hAnsi="Times New Roman"/>
          <w:bCs/>
          <w:sz w:val="24"/>
          <w:szCs w:val="20"/>
          <w:lang w:eastAsia="sk-SK"/>
        </w:rPr>
        <w:t>Ak sa vplyv týka viacerých subjektov verejnej správy, vypĺňa sa samostatná tabuľka za každý subjekt.</w:t>
      </w: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jc w:val="right"/>
        <w:rPr>
          <w:rFonts w:ascii="Times New Roman" w:eastAsia="Times New Roman" w:hAnsi="Times New Roman"/>
          <w:bCs/>
          <w:sz w:val="24"/>
          <w:szCs w:val="24"/>
          <w:lang w:eastAsia="sk-SK"/>
        </w:rPr>
      </w:pPr>
      <w:r w:rsidRPr="00D00F18">
        <w:rPr>
          <w:rFonts w:ascii="Times New Roman" w:eastAsia="Times New Roman" w:hAnsi="Times New Roman"/>
          <w:bCs/>
          <w:sz w:val="24"/>
          <w:szCs w:val="24"/>
          <w:lang w:eastAsia="sk-SK"/>
        </w:rPr>
        <w:t xml:space="preserve">                 Tabuľka č. 5 </w:t>
      </w:r>
    </w:p>
    <w:p w:rsidR="00D00F18" w:rsidRPr="00D00F18" w:rsidP="00D00F18">
      <w:pPr>
        <w:tabs>
          <w:tab w:val="num" w:pos="1080"/>
        </w:tabs>
        <w:spacing w:after="0" w:line="240" w:lineRule="auto"/>
        <w:jc w:val="both"/>
        <w:rPr>
          <w:rFonts w:ascii="Times New Roman" w:eastAsia="Times New Roman" w:hAnsi="Times New Roman"/>
          <w:bCs/>
          <w:sz w:val="24"/>
          <w:szCs w:val="20"/>
          <w:lang w:eastAsia="sk-SK"/>
        </w:rPr>
      </w:pPr>
    </w:p>
    <w:tbl>
      <w:tblPr>
        <w:tblStyle w:val="TableNormal"/>
        <w:tblW w:w="15434" w:type="dxa"/>
        <w:tblInd w:w="-784" w:type="dxa"/>
        <w:tblCellMar>
          <w:left w:w="70" w:type="dxa"/>
          <w:right w:w="70" w:type="dxa"/>
        </w:tblCellMar>
        <w:tblLook w:val="0000"/>
      </w:tblPr>
      <w:tblGrid>
        <w:gridCol w:w="6188"/>
        <w:gridCol w:w="1698"/>
        <w:gridCol w:w="1788"/>
        <w:gridCol w:w="720"/>
        <w:gridCol w:w="1698"/>
        <w:gridCol w:w="1722"/>
        <w:gridCol w:w="630"/>
        <w:gridCol w:w="990"/>
      </w:tblGrid>
      <w:tr w:rsidTr="00D00F18">
        <w:tblPrEx>
          <w:tblW w:w="15434" w:type="dxa"/>
          <w:tblInd w:w="-784" w:type="dxa"/>
          <w:tblCellMar>
            <w:left w:w="70" w:type="dxa"/>
            <w:right w:w="70" w:type="dxa"/>
          </w:tblCellMar>
          <w:tblLook w:val="0000"/>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poznámka</w:t>
            </w:r>
          </w:p>
        </w:tc>
      </w:tr>
      <w:tr w:rsidTr="00D00F18">
        <w:tblPrEx>
          <w:tblW w:w="15434" w:type="dxa"/>
          <w:tblInd w:w="-784" w:type="dxa"/>
          <w:tblCellMar>
            <w:left w:w="70" w:type="dxa"/>
            <w:right w:w="70" w:type="dxa"/>
          </w:tblCellMar>
          <w:tblLook w:val="0000"/>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D00F18" w:rsidRPr="00D00F18" w:rsidP="00D00F18">
            <w:pPr>
              <w:spacing w:after="0" w:line="240" w:lineRule="auto"/>
              <w:rPr>
                <w:rFonts w:ascii="Times New Roman" w:eastAsia="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2023</w:t>
            </w:r>
          </w:p>
        </w:tc>
        <w:tc>
          <w:tcPr>
            <w:tcW w:w="1788"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2024</w:t>
            </w:r>
          </w:p>
        </w:tc>
        <w:tc>
          <w:tcPr>
            <w:tcW w:w="2418" w:type="dxa"/>
            <w:gridSpan w:val="2"/>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2025</w:t>
            </w:r>
          </w:p>
        </w:tc>
        <w:tc>
          <w:tcPr>
            <w:tcW w:w="1722"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2026</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D00F18" w:rsidRPr="00D00F18" w:rsidP="00D00F18">
            <w:pPr>
              <w:spacing w:after="0" w:line="240" w:lineRule="auto"/>
              <w:rPr>
                <w:rFonts w:ascii="Times New Roman" w:eastAsia="Times New Roman" w:hAnsi="Times New Roman"/>
                <w:b/>
                <w:bCs/>
                <w:sz w:val="24"/>
                <w:szCs w:val="24"/>
                <w:lang w:eastAsia="sk-SK"/>
              </w:rPr>
            </w:pPr>
          </w:p>
        </w:tc>
      </w:tr>
      <w:tr w:rsidTr="00D00F18">
        <w:tblPrEx>
          <w:tblW w:w="1543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17</w:t>
            </w:r>
          </w:p>
        </w:tc>
        <w:tc>
          <w:tcPr>
            <w:tcW w:w="1788"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17</w:t>
            </w:r>
          </w:p>
        </w:tc>
        <w:tc>
          <w:tcPr>
            <w:tcW w:w="2418" w:type="dxa"/>
            <w:gridSpan w:val="2"/>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17</w:t>
            </w:r>
          </w:p>
        </w:tc>
        <w:tc>
          <w:tcPr>
            <w:tcW w:w="1722"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17</w:t>
            </w: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3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17</w:t>
            </w:r>
          </w:p>
        </w:tc>
        <w:tc>
          <w:tcPr>
            <w:tcW w:w="1788"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17</w:t>
            </w:r>
          </w:p>
        </w:tc>
        <w:tc>
          <w:tcPr>
            <w:tcW w:w="2418" w:type="dxa"/>
            <w:gridSpan w:val="2"/>
            <w:tcBorders>
              <w:top w:val="single" w:sz="4" w:space="0" w:color="auto"/>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17</w:t>
            </w:r>
          </w:p>
        </w:tc>
        <w:tc>
          <w:tcPr>
            <w:tcW w:w="1722"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17</w:t>
            </w: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r w:rsidTr="00D00F18">
        <w:tblPrEx>
          <w:tblW w:w="1543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1 435</w:t>
            </w:r>
          </w:p>
        </w:tc>
        <w:tc>
          <w:tcPr>
            <w:tcW w:w="1788"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1 435</w:t>
            </w:r>
          </w:p>
        </w:tc>
        <w:tc>
          <w:tcPr>
            <w:tcW w:w="2418" w:type="dxa"/>
            <w:gridSpan w:val="2"/>
            <w:tcBorders>
              <w:top w:val="single" w:sz="4" w:space="0" w:color="auto"/>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1 435</w:t>
            </w:r>
          </w:p>
        </w:tc>
        <w:tc>
          <w:tcPr>
            <w:tcW w:w="1722"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1 435</w:t>
            </w: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3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hAnsi="Times New Roman"/>
              </w:rPr>
              <w:t>1 435</w:t>
            </w:r>
          </w:p>
        </w:tc>
        <w:tc>
          <w:tcPr>
            <w:tcW w:w="1788"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hAnsi="Times New Roman"/>
              </w:rPr>
              <w:t>1 435</w:t>
            </w:r>
          </w:p>
        </w:tc>
        <w:tc>
          <w:tcPr>
            <w:tcW w:w="2418" w:type="dxa"/>
            <w:gridSpan w:val="2"/>
            <w:tcBorders>
              <w:top w:val="single" w:sz="4" w:space="0" w:color="auto"/>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hAnsi="Times New Roman"/>
              </w:rPr>
              <w:t>1 435</w:t>
            </w:r>
          </w:p>
        </w:tc>
        <w:tc>
          <w:tcPr>
            <w:tcW w:w="1722"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hAnsi="Times New Roman"/>
              </w:rPr>
              <w:t>1 435</w:t>
            </w: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3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shd w:val="clear" w:color="auto" w:fill="BFBFBF"/>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b/>
                <w:bCs/>
              </w:rPr>
              <w:t>197 526</w:t>
            </w:r>
          </w:p>
        </w:tc>
        <w:tc>
          <w:tcPr>
            <w:tcW w:w="1788"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b/>
                <w:bCs/>
              </w:rPr>
              <w:t>395</w:t>
            </w:r>
            <w:r w:rsidRPr="00D00F18">
              <w:rPr>
                <w:rFonts w:ascii="Times New Roman" w:hAnsi="Times New Roman"/>
                <w:b/>
                <w:bCs/>
              </w:rPr>
              <w:t xml:space="preserve"> 070</w:t>
            </w:r>
          </w:p>
        </w:tc>
        <w:tc>
          <w:tcPr>
            <w:tcW w:w="2418" w:type="dxa"/>
            <w:gridSpan w:val="2"/>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b/>
                <w:bCs/>
              </w:rPr>
              <w:t>395 070</w:t>
            </w:r>
          </w:p>
        </w:tc>
        <w:tc>
          <w:tcPr>
            <w:tcW w:w="1722"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b/>
                <w:bCs/>
              </w:rPr>
              <w:t>395 070</w:t>
            </w:r>
          </w:p>
        </w:tc>
        <w:tc>
          <w:tcPr>
            <w:tcW w:w="1620" w:type="dxa"/>
            <w:gridSpan w:val="2"/>
            <w:tcBorders>
              <w:top w:val="nil"/>
              <w:left w:val="nil"/>
              <w:bottom w:val="single" w:sz="4" w:space="0" w:color="auto"/>
              <w:right w:val="single" w:sz="4" w:space="0" w:color="auto"/>
            </w:tcBorders>
            <w:shd w:val="clear" w:color="auto" w:fill="BFBFBF"/>
            <w:noWrap/>
            <w:vAlign w:val="bottom"/>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r>
      <w:tr w:rsidTr="00D00F18">
        <w:tblPrEx>
          <w:tblW w:w="1543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146 370</w:t>
            </w:r>
          </w:p>
        </w:tc>
        <w:tc>
          <w:tcPr>
            <w:tcW w:w="1788"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292 753</w:t>
            </w:r>
          </w:p>
        </w:tc>
        <w:tc>
          <w:tcPr>
            <w:tcW w:w="2418" w:type="dxa"/>
            <w:gridSpan w:val="2"/>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292 753</w:t>
            </w:r>
          </w:p>
        </w:tc>
        <w:tc>
          <w:tcPr>
            <w:tcW w:w="1722"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292 753</w:t>
            </w: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r>
      <w:tr w:rsidTr="00D00F18">
        <w:tblPrEx>
          <w:tblW w:w="1543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hAnsi="Times New Roman"/>
              </w:rPr>
              <w:t>146 370</w:t>
            </w:r>
          </w:p>
        </w:tc>
        <w:tc>
          <w:tcPr>
            <w:tcW w:w="1788"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hAnsi="Times New Roman"/>
              </w:rPr>
              <w:t>292 753</w:t>
            </w:r>
          </w:p>
        </w:tc>
        <w:tc>
          <w:tcPr>
            <w:tcW w:w="2418" w:type="dxa"/>
            <w:gridSpan w:val="2"/>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hAnsi="Times New Roman"/>
              </w:rPr>
              <w:t>292 753</w:t>
            </w:r>
          </w:p>
        </w:tc>
        <w:tc>
          <w:tcPr>
            <w:tcW w:w="1722"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hAnsi="Times New Roman"/>
              </w:rPr>
              <w:t>292 753</w:t>
            </w: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3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51 156</w:t>
            </w:r>
          </w:p>
        </w:tc>
        <w:tc>
          <w:tcPr>
            <w:tcW w:w="1788"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102 317</w:t>
            </w:r>
          </w:p>
        </w:tc>
        <w:tc>
          <w:tcPr>
            <w:tcW w:w="2418" w:type="dxa"/>
            <w:gridSpan w:val="2"/>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102 317</w:t>
            </w:r>
          </w:p>
        </w:tc>
        <w:tc>
          <w:tcPr>
            <w:tcW w:w="1722"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b/>
                <w:bCs/>
                <w:sz w:val="24"/>
                <w:szCs w:val="24"/>
                <w:lang w:eastAsia="sk-SK"/>
              </w:rPr>
            </w:pPr>
            <w:r w:rsidRPr="00D00F18">
              <w:rPr>
                <w:rFonts w:ascii="Times New Roman" w:hAnsi="Times New Roman"/>
              </w:rPr>
              <w:t>102 317</w:t>
            </w: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r>
      <w:tr w:rsidTr="00D00F18">
        <w:tblPrEx>
          <w:tblW w:w="15434" w:type="dxa"/>
          <w:tblInd w:w="-78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b/>
                <w:bCs/>
                <w:sz w:val="24"/>
                <w:szCs w:val="24"/>
                <w:lang w:eastAsia="sk-SK"/>
              </w:rPr>
              <w:t xml:space="preserve">   z</w:t>
            </w:r>
            <w:r w:rsidRPr="00D00F18">
              <w:rPr>
                <w:rFonts w:ascii="Times New Roman" w:eastAsia="Times New Roman" w:hAnsi="Times New Roman"/>
                <w:b/>
                <w:bCs/>
                <w:sz w:val="24"/>
                <w:szCs w:val="24"/>
                <w:lang w:eastAsia="sk-SK"/>
              </w:rPr>
              <w:t> toho vplyv na ŠR</w:t>
            </w:r>
          </w:p>
        </w:tc>
        <w:tc>
          <w:tcPr>
            <w:tcW w:w="1698"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hAnsi="Times New Roman"/>
              </w:rPr>
              <w:t>51 156</w:t>
            </w:r>
          </w:p>
        </w:tc>
        <w:tc>
          <w:tcPr>
            <w:tcW w:w="1788"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hAnsi="Times New Roman"/>
              </w:rPr>
              <w:t>102 317</w:t>
            </w:r>
          </w:p>
        </w:tc>
        <w:tc>
          <w:tcPr>
            <w:tcW w:w="2418" w:type="dxa"/>
            <w:gridSpan w:val="2"/>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hAnsi="Times New Roman"/>
              </w:rPr>
              <w:t>102 317</w:t>
            </w:r>
          </w:p>
        </w:tc>
        <w:tc>
          <w:tcPr>
            <w:tcW w:w="1722" w:type="dxa"/>
            <w:tcBorders>
              <w:top w:val="nil"/>
              <w:left w:val="nil"/>
              <w:bottom w:val="single" w:sz="4" w:space="0" w:color="auto"/>
              <w:right w:val="single" w:sz="4" w:space="0" w:color="auto"/>
            </w:tcBorders>
          </w:tcPr>
          <w:p w:rsidR="00D00F18" w:rsidRPr="00D00F18" w:rsidP="00D00F18">
            <w:pPr>
              <w:spacing w:after="0" w:line="240" w:lineRule="auto"/>
              <w:jc w:val="right"/>
              <w:rPr>
                <w:rFonts w:ascii="Times New Roman" w:eastAsia="Times New Roman" w:hAnsi="Times New Roman"/>
                <w:sz w:val="24"/>
                <w:szCs w:val="24"/>
                <w:lang w:eastAsia="sk-SK"/>
              </w:rPr>
            </w:pPr>
            <w:r w:rsidRPr="00D00F18">
              <w:rPr>
                <w:rFonts w:ascii="Times New Roman" w:hAnsi="Times New Roman"/>
              </w:rPr>
              <w:t>102 317</w:t>
            </w: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34" w:type="dxa"/>
          <w:tblInd w:w="-784" w:type="dxa"/>
          <w:tblCellMar>
            <w:left w:w="70" w:type="dxa"/>
            <w:right w:w="70" w:type="dxa"/>
          </w:tblCellMar>
          <w:tblLook w:val="0000"/>
        </w:tblPrEx>
        <w:trPr>
          <w:trHeight w:val="255"/>
        </w:trPr>
        <w:tc>
          <w:tcPr>
            <w:tcW w:w="6188"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698"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788"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2418" w:type="dxa"/>
            <w:gridSpan w:val="2"/>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722"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620" w:type="dxa"/>
            <w:gridSpan w:val="2"/>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r w:rsidTr="00D00F18">
        <w:tblPrEx>
          <w:tblW w:w="15434" w:type="dxa"/>
          <w:tblInd w:w="-784" w:type="dxa"/>
          <w:tblCellMar>
            <w:left w:w="70" w:type="dxa"/>
            <w:right w:w="70" w:type="dxa"/>
          </w:tblCellMar>
          <w:tblLook w:val="0000"/>
        </w:tblPrEx>
        <w:trPr>
          <w:trHeight w:val="255"/>
        </w:trPr>
        <w:tc>
          <w:tcPr>
            <w:tcW w:w="6188" w:type="dxa"/>
            <w:tcBorders>
              <w:top w:val="nil"/>
              <w:left w:val="nil"/>
              <w:bottom w:val="nil"/>
              <w:right w:val="nil"/>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Poznámky:</w:t>
            </w:r>
          </w:p>
        </w:tc>
        <w:tc>
          <w:tcPr>
            <w:tcW w:w="1698"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788"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2418" w:type="dxa"/>
            <w:gridSpan w:val="2"/>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722"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620" w:type="dxa"/>
            <w:gridSpan w:val="2"/>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r w:rsidTr="00D00F18">
        <w:tblPrEx>
          <w:tblW w:w="15434" w:type="dxa"/>
          <w:tblInd w:w="-784" w:type="dxa"/>
          <w:tblCellMar>
            <w:left w:w="70" w:type="dxa"/>
            <w:right w:w="70" w:type="dxa"/>
          </w:tblCellMar>
          <w:tblLook w:val="0000"/>
        </w:tblPrEx>
        <w:trPr>
          <w:trHeight w:val="255"/>
        </w:trPr>
        <w:tc>
          <w:tcPr>
            <w:tcW w:w="13814" w:type="dxa"/>
            <w:gridSpan w:val="6"/>
            <w:tcBorders>
              <w:top w:val="nil"/>
              <w:left w:val="nil"/>
              <w:bottom w:val="nil"/>
              <w:right w:val="nil"/>
            </w:tcBorders>
            <w:noWrap/>
          </w:tcPr>
          <w:p w:rsidR="00D00F18" w:rsidRPr="00D00F18" w:rsidP="00D00F18">
            <w:pPr>
              <w:tabs>
                <w:tab w:val="num" w:pos="1080"/>
              </w:tabs>
              <w:spacing w:after="0" w:line="240" w:lineRule="auto"/>
              <w:jc w:val="both"/>
              <w:rPr>
                <w:rFonts w:ascii="Times New Roman" w:eastAsia="Times New Roman" w:hAnsi="Times New Roman"/>
                <w:bCs/>
                <w:sz w:val="24"/>
                <w:szCs w:val="20"/>
                <w:lang w:eastAsia="sk-SK"/>
              </w:rPr>
            </w:pPr>
            <w:r w:rsidRPr="00D00F18">
              <w:rPr>
                <w:rFonts w:ascii="Times New Roman" w:eastAsia="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r w:rsidTr="00D00F18">
        <w:tblPrEx>
          <w:tblW w:w="15434" w:type="dxa"/>
          <w:tblInd w:w="-784" w:type="dxa"/>
          <w:tblCellMar>
            <w:left w:w="70" w:type="dxa"/>
            <w:right w:w="70" w:type="dxa"/>
          </w:tblCellMar>
          <w:tblLook w:val="0000"/>
        </w:tblPrEx>
        <w:trPr>
          <w:trHeight w:val="255"/>
        </w:trPr>
        <w:tc>
          <w:tcPr>
            <w:tcW w:w="10394" w:type="dxa"/>
            <w:gridSpan w:val="4"/>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Kategórie 610 a 620 sú z tejto prílohy prenášané do prí</w:t>
            </w:r>
            <w:r w:rsidRPr="00D00F18">
              <w:rPr>
                <w:rFonts w:ascii="Times New Roman" w:eastAsia="Times New Roman" w:hAnsi="Times New Roman"/>
                <w:sz w:val="24"/>
                <w:szCs w:val="24"/>
                <w:lang w:eastAsia="sk-SK"/>
              </w:rPr>
              <w:t>slušných kategórií prílohy „výdavky“.</w:t>
            </w:r>
          </w:p>
        </w:tc>
        <w:tc>
          <w:tcPr>
            <w:tcW w:w="1698"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2352" w:type="dxa"/>
            <w:gridSpan w:val="2"/>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990"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bl>
    <w:p w:rsidR="00D00F18" w:rsidRPr="00D00F18" w:rsidP="00D00F18">
      <w:pPr>
        <w:spacing w:after="0" w:line="240" w:lineRule="auto"/>
        <w:rPr>
          <w:rFonts w:ascii="Times New Roman" w:eastAsia="Times New Roman" w:hAnsi="Times New Roman"/>
          <w:b/>
          <w:bCs/>
          <w:sz w:val="24"/>
          <w:szCs w:val="24"/>
          <w:lang w:eastAsia="sk-SK"/>
        </w:rPr>
        <w:sectPr>
          <w:pgSz w:w="16838" w:h="11906" w:orient="landscape"/>
          <w:pgMar w:top="1418" w:right="1418" w:bottom="1418" w:left="1418" w:header="709" w:footer="709" w:gutter="0"/>
          <w:cols w:space="708"/>
          <w:docGrid w:linePitch="360"/>
        </w:sectPr>
      </w:pPr>
    </w:p>
    <w:p w:rsidR="00D00F18" w:rsidRPr="00D00F18" w:rsidP="00D00F18">
      <w:pPr>
        <w:jc w:val="center"/>
        <w:rPr>
          <w:rFonts w:ascii="Times New Roman" w:eastAsia="Times New Roman" w:hAnsi="Times New Roman"/>
          <w:b/>
          <w:bCs/>
          <w:sz w:val="24"/>
          <w:szCs w:val="24"/>
          <w:u w:val="single"/>
          <w:lang w:eastAsia="sk-SK"/>
        </w:rPr>
      </w:pPr>
      <w:r w:rsidRPr="00D00F18">
        <w:rPr>
          <w:rFonts w:ascii="Times New Roman" w:eastAsia="Times New Roman" w:hAnsi="Times New Roman"/>
          <w:b/>
          <w:bCs/>
          <w:sz w:val="24"/>
          <w:szCs w:val="24"/>
          <w:u w:val="single"/>
          <w:lang w:eastAsia="sk-SK"/>
        </w:rPr>
        <w:t xml:space="preserve">Ministerstvo životného prostredia SR </w:t>
      </w:r>
    </w:p>
    <w:p w:rsidR="00D00F18" w:rsidRPr="00D00F18" w:rsidP="00D00F18">
      <w:pP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2.3.1. Financovanie návrhu - Návrh na riešenie úbytku príjmov alebo zvýšených výdavkov podľa § 33 ods. 1 zákona č. 523/2004 Z. z. o rozpočtových pravidlách verejnej správy:</w:t>
      </w:r>
    </w:p>
    <w:p w:rsidR="00D00F18" w:rsidRPr="00D00F18" w:rsidP="00D00F18">
      <w:pPr>
        <w:spacing w:after="0" w:line="240" w:lineRule="auto"/>
        <w:jc w:val="both"/>
        <w:rPr>
          <w:rFonts w:ascii="Times New Roman" w:eastAsia="Times New Roman" w:hAnsi="Times New Roman"/>
          <w:b/>
          <w:bCs/>
          <w:sz w:val="12"/>
          <w:szCs w:val="24"/>
          <w:lang w:eastAsia="sk-SK"/>
        </w:rPr>
      </w:pPr>
    </w:p>
    <w:p w:rsidR="00D00F18" w:rsidRPr="00D00F18" w:rsidP="00D00F1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b/>
          <w:bCs/>
          <w:sz w:val="24"/>
          <w:szCs w:val="24"/>
          <w:lang w:eastAsia="sk-SK"/>
        </w:rPr>
      </w:pPr>
    </w:p>
    <w:p w:rsidR="00D00F18" w:rsidRPr="00D00F18" w:rsidP="00D00F1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b/>
          <w:bCs/>
          <w:sz w:val="24"/>
          <w:szCs w:val="24"/>
          <w:lang w:eastAsia="sk-SK"/>
        </w:rPr>
      </w:pPr>
    </w:p>
    <w:p w:rsidR="00D00F18" w:rsidRPr="00D00F18" w:rsidP="00D00F1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b/>
          <w:bCs/>
          <w:sz w:val="24"/>
          <w:szCs w:val="24"/>
          <w:lang w:eastAsia="sk-SK"/>
        </w:rPr>
      </w:pPr>
    </w:p>
    <w:p w:rsidR="00D00F18" w:rsidRPr="00D00F18" w:rsidP="00D00F1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b/>
          <w:bCs/>
          <w:sz w:val="24"/>
          <w:szCs w:val="24"/>
          <w:lang w:eastAsia="sk-SK"/>
        </w:rPr>
      </w:pPr>
    </w:p>
    <w:p w:rsidR="00D00F18" w:rsidRPr="00D00F18" w:rsidP="00D00F1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b/>
          <w:bCs/>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2.4. Popis a charakteristika návrhu</w:t>
      </w:r>
    </w:p>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jc w:val="both"/>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2.4.1. Popis návrhu:</w:t>
      </w:r>
    </w:p>
    <w:p w:rsidR="00D00F18" w:rsidRPr="00D00F18" w:rsidP="00D00F18">
      <w:pPr>
        <w:spacing w:after="0" w:line="240" w:lineRule="auto"/>
        <w:jc w:val="both"/>
        <w:rPr>
          <w:rFonts w:ascii="Times New Roman" w:eastAsia="Times New Roman" w:hAnsi="Times New Roman"/>
          <w:b/>
          <w:bCs/>
          <w:sz w:val="24"/>
          <w:szCs w:val="24"/>
          <w:lang w:eastAsia="sk-SK"/>
        </w:rPr>
      </w:pP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xml:space="preserve">Cieľom návrhu novely </w:t>
      </w:r>
      <w:r w:rsidRPr="00D00F18">
        <w:rPr>
          <w:rFonts w:ascii="Times New Roman" w:eastAsia="Times New Roman" w:hAnsi="Times New Roman"/>
          <w:b/>
          <w:sz w:val="24"/>
          <w:szCs w:val="24"/>
          <w:u w:val="single"/>
          <w:lang w:eastAsia="sk-SK"/>
        </w:rPr>
        <w:t>zákona</w:t>
      </w:r>
      <w:r w:rsidRPr="00D00F18">
        <w:rPr>
          <w:rFonts w:ascii="Times New Roman" w:hAnsi="Times New Roman"/>
          <w:b/>
          <w:sz w:val="24"/>
          <w:szCs w:val="24"/>
        </w:rPr>
        <w:t xml:space="preserve"> č. 364/2004 Z. z. </w:t>
      </w:r>
      <w:r w:rsidRPr="00D00F18">
        <w:rPr>
          <w:rFonts w:ascii="Times New Roman" w:hAnsi="Times New Roman"/>
          <w:bCs/>
          <w:sz w:val="24"/>
          <w:szCs w:val="24"/>
        </w:rPr>
        <w:t xml:space="preserve">vodách a o zmene zákona Slovenskej národnej rady č. 372/1990 Zb. o priestupkoch v znení neskorších prepisov (vodný zákon) v znení neskorších </w:t>
      </w:r>
      <w:r w:rsidRPr="00D00F18">
        <w:rPr>
          <w:rFonts w:ascii="Times New Roman" w:eastAsia="Times New Roman" w:hAnsi="Times New Roman"/>
          <w:sz w:val="24"/>
          <w:szCs w:val="24"/>
          <w:lang w:eastAsia="sk-SK"/>
        </w:rPr>
        <w:t>je transpozícia a implementácia smernice Európskeho parlamentu a Rady (EÚ) 2020/2184 o kvalite vody určenej na ľudskú spotrebu, ktorá kladie dôraz na aplikáciu úplného prístupu k bezpečnosti vody určenej na ľudskú spotrebu (ďalej len „</w:t>
      </w:r>
      <w:r w:rsidRPr="00D00F18">
        <w:rPr>
          <w:rFonts w:ascii="Times New Roman" w:hAnsi="Times New Roman"/>
          <w:sz w:val="24"/>
          <w:szCs w:val="24"/>
        </w:rPr>
        <w:t>smernica (EÚ) 2020/2184</w:t>
      </w:r>
      <w:r w:rsidRPr="00D00F18">
        <w:rPr>
          <w:rFonts w:ascii="Times New Roman" w:eastAsia="Times New Roman" w:hAnsi="Times New Roman"/>
          <w:sz w:val="24"/>
          <w:szCs w:val="24"/>
          <w:lang w:eastAsia="sk-SK"/>
        </w:rPr>
        <w:t xml:space="preserve">“) založenom na riziku a rozširuje dostupnosť informácií o kvalite pitnej vody pre verejnosť a  spoluprácu medzi zainteresovanými subjektmi, ktoré disponujú údajmi o kvalite vody a o vplyvoch na kvalitu vody. </w:t>
      </w: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xml:space="preserve">V návrhu novely je transponovaná časť </w:t>
      </w:r>
      <w:r w:rsidRPr="00D00F18">
        <w:rPr>
          <w:rFonts w:ascii="Times New Roman" w:hAnsi="Times New Roman"/>
          <w:sz w:val="24"/>
          <w:szCs w:val="24"/>
        </w:rPr>
        <w:t>smernica (E</w:t>
      </w:r>
      <w:r w:rsidRPr="00D00F18">
        <w:rPr>
          <w:rFonts w:ascii="Times New Roman" w:hAnsi="Times New Roman"/>
          <w:sz w:val="24"/>
          <w:szCs w:val="24"/>
        </w:rPr>
        <w:t>Ú) 2020/2184</w:t>
      </w:r>
      <w:r w:rsidRPr="00D00F18">
        <w:rPr>
          <w:rFonts w:ascii="Times New Roman" w:eastAsia="Times New Roman" w:hAnsi="Times New Roman"/>
          <w:sz w:val="24"/>
          <w:szCs w:val="24"/>
          <w:lang w:eastAsia="sk-SK"/>
        </w:rPr>
        <w:t xml:space="preserve"> ukladajúca povinnosť vykonávať manažment rizík v plochách povodia pre miesta odberu vody určenej na ľudskú spotrebu, ktorý zahŕňa najmä činnosti:</w:t>
      </w: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vymedzenie a charakteristika plôch povodia pre miesta odberu,</w:t>
      </w: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identifikáciu nebezpečenstiev a nebezpečných udalostí v plochách povodia,</w:t>
      </w: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náležité monitorovanie príslušných parametrov, látok alebo znečisťujúcich látok v povrchovej vode a/alebo podzemnej vode v plochách povodia,</w:t>
      </w: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posúdenie a vyhodnotenie rizika,</w:t>
      </w: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návrh opatrení riadenia rizika zamerané na zmiernenie alebo odstránenie neprijateľných rizík a na predchádzanie identifikovaným rizikám a kontrolu navrhnutých opatrení.</w:t>
      </w: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xml:space="preserve">Manažment rizík v plochách povodia bude vykonať právnická osoba poverená Ministerstvom životného prostredia SR. Manažment rizík v plochách povodia je podkladom pre manažment rizík systému zásobovania pitnou vodou, ktorý má vykonať dodávateľ vody. </w:t>
      </w:r>
    </w:p>
    <w:p w:rsidR="00D00F18" w:rsidRPr="00D00F18" w:rsidP="00D00F18">
      <w:pPr>
        <w:spacing w:after="0" w:line="240" w:lineRule="auto"/>
        <w:ind w:firstLine="708"/>
        <w:jc w:val="both"/>
        <w:rPr>
          <w:rFonts w:ascii="Times New Roman" w:eastAsia="Times New Roman" w:hAnsi="Times New Roman"/>
          <w:sz w:val="24"/>
          <w:szCs w:val="24"/>
          <w:lang w:eastAsia="sk-SK"/>
        </w:rPr>
      </w:pPr>
    </w:p>
    <w:p w:rsidR="00D00F18" w:rsidRPr="00D00F18" w:rsidP="00D00F18">
      <w:pPr>
        <w:spacing w:after="0" w:line="240" w:lineRule="auto"/>
        <w:jc w:val="both"/>
        <w:rPr>
          <w:rFonts w:ascii="Times New Roman" w:eastAsia="Times New Roman" w:hAnsi="Times New Roman"/>
          <w:b/>
          <w:sz w:val="24"/>
          <w:szCs w:val="24"/>
          <w:lang w:eastAsia="sk-SK"/>
        </w:rPr>
      </w:pPr>
      <w:r w:rsidRPr="00D00F18">
        <w:rPr>
          <w:rFonts w:ascii="Times New Roman" w:eastAsia="Times New Roman" w:hAnsi="Times New Roman"/>
          <w:b/>
          <w:sz w:val="24"/>
          <w:szCs w:val="24"/>
          <w:lang w:eastAsia="sk-SK"/>
        </w:rPr>
        <w:t>Personálne kapacity</w:t>
      </w: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Pre vykonateľnosť navrhovaného zákona bude potrebné personálne posilnenie</w:t>
      </w: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okresných úradov – štátnej sprá</w:t>
      </w:r>
      <w:r w:rsidRPr="00D00F18">
        <w:rPr>
          <w:rFonts w:ascii="Times New Roman" w:eastAsia="Times New Roman" w:hAnsi="Times New Roman"/>
          <w:sz w:val="24"/>
          <w:szCs w:val="24"/>
          <w:lang w:eastAsia="sk-SK"/>
        </w:rPr>
        <w:t xml:space="preserve">vy vôd </w:t>
      </w: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poverenej organizácie v oblasti kvality pitných vôd (povrchových a podzemných vôd), monitorovania vôd, hodnotenia a analýz vôd a v oblasti spracovania priestorových údajov.</w:t>
      </w:r>
    </w:p>
    <w:p w:rsidR="00D00F18" w:rsidRPr="00D00F18" w:rsidP="00D00F18">
      <w:pPr>
        <w:spacing w:after="0" w:line="240" w:lineRule="auto"/>
        <w:ind w:firstLine="708"/>
        <w:jc w:val="both"/>
        <w:rPr>
          <w:rFonts w:ascii="Times New Roman" w:eastAsia="Times New Roman" w:hAnsi="Times New Roman"/>
          <w:sz w:val="24"/>
          <w:szCs w:val="24"/>
          <w:lang w:eastAsia="sk-SK"/>
        </w:rPr>
      </w:pPr>
    </w:p>
    <w:p w:rsidR="00D00F18" w:rsidRPr="00D00F18" w:rsidP="00D00F18">
      <w:pPr>
        <w:spacing w:after="0" w:line="240" w:lineRule="auto"/>
        <w:jc w:val="both"/>
        <w:rPr>
          <w:rFonts w:ascii="Times New Roman" w:eastAsia="Times New Roman" w:hAnsi="Times New Roman"/>
          <w:b/>
          <w:sz w:val="24"/>
          <w:szCs w:val="24"/>
          <w:lang w:eastAsia="sk-SK"/>
        </w:rPr>
      </w:pPr>
      <w:r w:rsidRPr="00D00F18">
        <w:rPr>
          <w:rFonts w:ascii="Times New Roman" w:eastAsia="Times New Roman" w:hAnsi="Times New Roman"/>
          <w:b/>
          <w:sz w:val="24"/>
          <w:szCs w:val="24"/>
          <w:lang w:eastAsia="sk-SK"/>
        </w:rPr>
        <w:t>Okresné úrady</w:t>
      </w: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b/>
          <w:sz w:val="24"/>
          <w:szCs w:val="24"/>
          <w:lang w:eastAsia="sk-SK"/>
        </w:rPr>
        <w:t xml:space="preserve">Pracovníci štátnej správy vôd - </w:t>
      </w: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xml:space="preserve">V súvislosti s implementáciou </w:t>
      </w:r>
      <w:r w:rsidRPr="00D00F18">
        <w:rPr>
          <w:rFonts w:ascii="Times New Roman" w:hAnsi="Times New Roman"/>
          <w:sz w:val="24"/>
          <w:szCs w:val="24"/>
        </w:rPr>
        <w:t>smernice (EÚ) 2020/2184</w:t>
      </w:r>
      <w:r w:rsidRPr="00D00F18">
        <w:rPr>
          <w:rFonts w:ascii="Times New Roman" w:eastAsia="Times New Roman" w:hAnsi="Times New Roman"/>
          <w:sz w:val="24"/>
          <w:szCs w:val="24"/>
          <w:lang w:eastAsia="sk-SK"/>
        </w:rPr>
        <w:t>bude potrebné prehodnotiť (prípadne vyhlásiť) všetky ochranné pásma vodárenských zdrojov, vydávanie stanovísk pre regionálne úrady verejného zdravotníctva v súvislosti s vydávaním rozhodnutí k manažmentu rizík pre dodávateľov pitnej vody  a vydávaním stanovísk k programu monitorovania pre dodávateľov pitnej vody.</w:t>
      </w:r>
    </w:p>
    <w:p w:rsidR="00D00F18" w:rsidRPr="00D00F18" w:rsidP="00D00F18">
      <w:pPr>
        <w:spacing w:after="0" w:line="240" w:lineRule="auto"/>
        <w:jc w:val="both"/>
        <w:rPr>
          <w:rFonts w:ascii="Times New Roman" w:eastAsia="Times New Roman" w:hAnsi="Times New Roman"/>
          <w:sz w:val="24"/>
          <w:szCs w:val="24"/>
          <w:lang w:eastAsia="sk-SK"/>
        </w:rPr>
      </w:pP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b/>
          <w:sz w:val="24"/>
          <w:szCs w:val="24"/>
          <w:lang w:eastAsia="sk-SK"/>
        </w:rPr>
        <w:t>Výskumný ústav vodného hospodárstva</w:t>
      </w:r>
      <w:r w:rsidRPr="00D00F18">
        <w:rPr>
          <w:rFonts w:ascii="Times New Roman" w:eastAsia="Times New Roman" w:hAnsi="Times New Roman"/>
          <w:sz w:val="24"/>
          <w:szCs w:val="24"/>
          <w:lang w:eastAsia="sk-SK"/>
        </w:rPr>
        <w:t xml:space="preserve"> – 5 zamestnancov</w:t>
      </w:r>
    </w:p>
    <w:p w:rsidR="00D00F18" w:rsidRPr="00D00F18" w:rsidP="00D00F18">
      <w:pPr>
        <w:autoSpaceDE w:val="0"/>
        <w:autoSpaceDN w:val="0"/>
        <w:adjustRightInd w:val="0"/>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xml:space="preserve">Za účelom vykonania manažmentu rizík v plochách povodia je v prvom kroku potrebné vymedziť a charakterizovať plochy povodia pre miesta odberu vôd na pitné účely. Charakteristika plôch povodí pre miesta odberu musí obsahovať vymedzenie (identifikáciu a mapovanie) plôch povodia, zmapovanie ochranných pásiem vodárenských zdrojov, zemepisné súradnice pre všetky vodárenské zdroje, opis využívania pôdy, odtokov a procesov dopĺňania vodných zásob v plochách povodí. Na území Slovenska je v oblasti povrchových vôd celkovo 102 vodárenských tokov a úsekov tokov (v zmysle Vyhlášky MŽP SR č. </w:t>
      </w:r>
      <w:r w:rsidRPr="00D00F18">
        <w:rPr>
          <w:rFonts w:ascii="Times New Roman" w:hAnsi="Times New Roman"/>
          <w:bCs/>
          <w:sz w:val="24"/>
          <w:szCs w:val="24"/>
        </w:rPr>
        <w:t xml:space="preserve">211/2005, Z. z., </w:t>
      </w:r>
      <w:r w:rsidRPr="00D00F18">
        <w:rPr>
          <w:rFonts w:ascii="Times New Roman" w:eastAsia="Times New Roman" w:hAnsi="Times New Roman"/>
          <w:sz w:val="24"/>
          <w:szCs w:val="24"/>
          <w:lang w:eastAsia="sk-SK"/>
        </w:rPr>
        <w:t>ktorou sa ustanovuje zoznam vodohospodársky významných vodných tokov a vodárenských vodných tokov). Podstatná časť vody určenej na ľudskú spotrebu pochádza z podzemných zdrojov. Niektoré zdroje povrchových vôd sú súčasťou vymedzených vodných útvarov povrchových vôd (v zmysle požiadaviek smernice EP a Rady 2000/60/ES), ale vymedzené plochy bude potrebné spresniť vo vzťahu k miestu odberu vody na ľudskú spotrebu. Nevymedzené toky je potrebné vymedziť podľa požiadaviek smernice (EÚ) 2020/2184. Tento princíp platí aj pre podzemné zdroje vody, pričom v prípade podzemných zdrojov vôd sú počty odberových miest násobne vyššie oproti zdrojom povrchových vôd. Spolu využívaných, nevyužívaných a záložných je približne 3000 vodárenských zdrojov podzemných vôd. Pre podzemné vody je potrebné v prvom rade vytvoriť metodiku a využitím informácií o geologickej stavbe prostredia, hydrogeologických podmienkach a použitím geologického mapového softvéru vymedziť plochy povodia pre miesta odberu.</w:t>
      </w: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Ďalším krokom je analýza vplyvov v plochách povodia (identifikovanie nebezpečenstva a nebezpečných udalostí). Pre účel identifikovania vplyvov pre plochy povodia sa zohľadňujú významné vplyvy identifikované v rámci hodnotenia antropogénnych vplyvov vo vzťahu k útvarom vôd. Vo vzťahu k vodárenským zdrojom a k nim vymedzeným plochám povodia bude potrebný podrobnejší popis a spracovanie ďalších aj menej významných vplyvov.</w:t>
      </w:r>
    </w:p>
    <w:p w:rsidR="00D00F18" w:rsidRPr="00D00F18" w:rsidP="00D00F18">
      <w:pPr>
        <w:autoSpaceDE w:val="0"/>
        <w:autoSpaceDN w:val="0"/>
        <w:adjustRightInd w:val="0"/>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Monitorovanie vodných útvarov využívaných na odber vody určenej na ľudskú spotrebu je v programoch monitorovania zahrnuté aj v súčasnosti, avšak bude potrebné jeho rozšírenie v zmysle doplnenia niektorých ukazovateľov, ktoré neboli doteraz monitorované a zvýšenia frekvencií odberov vzoriek. Tieto požiadavky kladú zvýšené nároky na personálne kapacity VÚVH a súvisiaceho nevyhnutného vybavenia ako aj následné rozšírenie informačn</w:t>
      </w:r>
      <w:r w:rsidRPr="00D00F18">
        <w:rPr>
          <w:rFonts w:ascii="Times New Roman" w:eastAsia="Times New Roman" w:hAnsi="Times New Roman"/>
          <w:sz w:val="24"/>
          <w:szCs w:val="24"/>
          <w:lang w:eastAsia="sk-SK"/>
        </w:rPr>
        <w:t>ého systému pre zber údajov.</w:t>
      </w: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Riadenie rizika vychádza z výsledkov posúdenia rizika (rizikovú analýzu) v plochách povodia. Na základe neho budú prijaté opatrenia na predchádzanie identifikovaným rizikám prostredníctvom preventívnych a zmierňujúcich opatrení, ktorých súčasťou je aj náležité monitorovanie identifikovaných rizikových parametrov a zriadenie alebo úprava ochranného pásma vodárenského zdroja.</w:t>
      </w:r>
    </w:p>
    <w:p w:rsidR="00D00F18" w:rsidRPr="00D00F18" w:rsidP="00D00F18">
      <w:pPr>
        <w:spacing w:after="0" w:line="240" w:lineRule="auto"/>
        <w:jc w:val="both"/>
        <w:rPr>
          <w:rFonts w:ascii="Times New Roman" w:eastAsia="Times New Roman" w:hAnsi="Times New Roman"/>
          <w:sz w:val="24"/>
          <w:szCs w:val="24"/>
          <w:lang w:eastAsia="sk-SK"/>
        </w:rPr>
      </w:pP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xml:space="preserve">Pre celý proces manažmentu rizík v plochách povodia je esenciálna práca s údajmi, ich získavanie, spracovanie a vyhodnotenie. Súbory údajov obsahujúce informácie súvisiace s manažmentom rizika majú byť sprístupnené v súlade s platnou národnou legislatívou a Smernicou 2007/2/ES dotknutým vlastníkom verejných vodovodov, Európskej komisii, agentúre EEA, Európskemu centru pre prevenciu a kontrolu chorôb, Ministerstvu životného prostredia SR, Ministerstvu zdravotníctva SR, Úradu verejného zdravotníctva SR. Verejnosť má byť o kvalite vody určenej na ľudskú spotrebu informovaná prostredníctvom webového sídla. </w:t>
      </w:r>
    </w:p>
    <w:p w:rsidR="00D00F18" w:rsidRPr="00D00F18" w:rsidP="00D00F18">
      <w:pPr>
        <w:spacing w:after="0" w:line="240" w:lineRule="auto"/>
        <w:jc w:val="both"/>
        <w:rPr>
          <w:rFonts w:ascii="Times New Roman" w:eastAsia="Times New Roman" w:hAnsi="Times New Roman"/>
          <w:sz w:val="24"/>
          <w:szCs w:val="24"/>
          <w:lang w:eastAsia="sk-SK"/>
        </w:rPr>
      </w:pPr>
    </w:p>
    <w:p w:rsidR="00D00F18" w:rsidRPr="00D00F18" w:rsidP="00D00F18">
      <w:pPr>
        <w:spacing w:after="0" w:line="240" w:lineRule="auto"/>
        <w:jc w:val="both"/>
        <w:rPr>
          <w:rFonts w:ascii="Times New Roman" w:eastAsia="Times New Roman" w:hAnsi="Times New Roman"/>
          <w:sz w:val="24"/>
          <w:szCs w:val="20"/>
          <w:lang w:eastAsia="x-none"/>
        </w:rPr>
      </w:pPr>
      <w:r w:rsidRPr="00D00F18">
        <w:rPr>
          <w:rFonts w:ascii="Times New Roman" w:eastAsia="Times New Roman" w:hAnsi="Times New Roman"/>
          <w:sz w:val="24"/>
          <w:szCs w:val="20"/>
          <w:lang w:val="x-none" w:eastAsia="x-none"/>
        </w:rPr>
        <w:t>Cieľom návrhu novely zákona č. 442/2002 Z. z. o verejných vodovodoch a verejných kanalizáciách a o zmene a doplnení zákona č. 276/2001 Z.z. o regulácii v sieťových odvetviach v znení neskorších predpisov je zavedenie povinnosti vypracovania posúdenia miery strát vody na území SR a potenciálu zlepšenia v súvislosti so znížením strát vody. Túto povinnosť ukladá navrhovaný zákon vlastníkom, resp. prevádzkovateľom verejných vodovodov a posúdenie má byť vykonané použitím posudzovacej metódy založenej na infraštruktúrnom indexe strát (ILI) alebo inej vhodnej metódy. Takáto metóda nie je na Slovensku zavedená a je preto nevyhnutné, aby bola metóda, ktorú budú používať vlastníci resp. prevádzkovatelia verejných vodovodov jednotná a overená. Z tohto dôvodu Ministerstvo životného prostredia SR zabezpečí prípravu metódy (metodiky) prostredníctvom poverenej osoby, ktorá bude spĺňať kritériá a požiadavky EK.</w:t>
      </w:r>
    </w:p>
    <w:p w:rsidR="00D00F18" w:rsidRPr="00D00F18" w:rsidP="00D00F18">
      <w:pPr>
        <w:spacing w:after="0" w:line="240" w:lineRule="auto"/>
        <w:jc w:val="both"/>
        <w:rPr>
          <w:rFonts w:ascii="Times New Roman" w:eastAsia="Times New Roman" w:hAnsi="Times New Roman"/>
          <w:sz w:val="24"/>
          <w:szCs w:val="20"/>
          <w:lang w:eastAsia="x-none"/>
        </w:rPr>
      </w:pP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Výsledky posúdenia miery strát vody za od jednotlivých prevádzkovateľov  verejných vodovodov majú byť vyhodnotené, posú</w:t>
      </w:r>
      <w:r w:rsidRPr="00D00F18">
        <w:rPr>
          <w:rFonts w:ascii="Times New Roman" w:eastAsia="Times New Roman" w:hAnsi="Times New Roman"/>
          <w:sz w:val="24"/>
          <w:szCs w:val="24"/>
          <w:lang w:eastAsia="sk-SK"/>
        </w:rPr>
        <w:t>dené a oznámené za celé územie Slovenska Európskej komisii.</w:t>
      </w:r>
    </w:p>
    <w:p w:rsidR="00D00F18" w:rsidRPr="00D00F18" w:rsidP="00D00F18">
      <w:pPr>
        <w:spacing w:after="0" w:line="240" w:lineRule="auto"/>
        <w:jc w:val="both"/>
        <w:rPr>
          <w:rFonts w:ascii="Times New Roman" w:hAnsi="Times New Roman"/>
        </w:rPr>
      </w:pPr>
    </w:p>
    <w:p w:rsidR="00D00F18" w:rsidRPr="00D00F18" w:rsidP="00D00F18">
      <w:pPr>
        <w:spacing w:after="0" w:line="240" w:lineRule="auto"/>
        <w:jc w:val="both"/>
        <w:rPr>
          <w:rFonts w:ascii="Times New Roman" w:eastAsia="Times New Roman" w:hAnsi="Times New Roman"/>
          <w:b/>
          <w:sz w:val="24"/>
          <w:szCs w:val="24"/>
          <w:lang w:eastAsia="sk-SK"/>
        </w:rPr>
      </w:pPr>
      <w:r w:rsidRPr="00D00F18">
        <w:rPr>
          <w:rFonts w:ascii="Times New Roman" w:eastAsia="Times New Roman" w:hAnsi="Times New Roman"/>
          <w:b/>
          <w:sz w:val="24"/>
          <w:szCs w:val="24"/>
          <w:lang w:eastAsia="sk-SK"/>
        </w:rPr>
        <w:t>Personálne kapacity</w:t>
      </w:r>
    </w:p>
    <w:p w:rsidR="00D00F18" w:rsidRPr="00D00F18" w:rsidP="00D00F18">
      <w:pPr>
        <w:spacing w:after="0" w:line="240" w:lineRule="auto"/>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xml:space="preserve">Z dôvodu zabezpečenia prípravy metodiky posúdenia miery strát vody a vyhodnotenia údajov za celé územie Slovenska je potrebné personálne posilniť Výskumný ústav vodného hospodárstva (poverenú osobu) o odborné kapacity v počte 2 zamestnancov. </w:t>
      </w:r>
    </w:p>
    <w:p w:rsidR="00D00F18" w:rsidRPr="00D00F18" w:rsidP="00D00F18">
      <w:pPr>
        <w:spacing w:after="0" w:line="240" w:lineRule="auto"/>
        <w:ind w:firstLine="708"/>
        <w:jc w:val="both"/>
        <w:rPr>
          <w:rFonts w:ascii="Times New Roman" w:eastAsia="Times New Roman" w:hAnsi="Times New Roman"/>
          <w:sz w:val="24"/>
          <w:szCs w:val="24"/>
          <w:lang w:eastAsia="sk-SK"/>
        </w:rPr>
      </w:pPr>
    </w:p>
    <w:p w:rsidR="00D00F18" w:rsidRPr="00D00F18" w:rsidP="00D00F18">
      <w:pPr>
        <w:spacing w:after="0" w:line="240" w:lineRule="auto"/>
        <w:jc w:val="both"/>
        <w:rPr>
          <w:rFonts w:ascii="Times New Roman" w:hAnsi="Times New Roman"/>
          <w:sz w:val="24"/>
          <w:szCs w:val="24"/>
        </w:rPr>
      </w:pPr>
      <w:r w:rsidRPr="00D00F18">
        <w:rPr>
          <w:rFonts w:ascii="Times New Roman" w:hAnsi="Times New Roman"/>
          <w:sz w:val="24"/>
          <w:szCs w:val="24"/>
        </w:rPr>
        <w:t xml:space="preserve">Stratám vody treba venovať zvýšenú pozornosť najmä pri nedostatku zdrojov vody, keď je potrebné posudzovať nielen technické a finančné aspekty, ale aj perspektívu trvalo udržateľného rozvoja a ochrany životného prostredia. Pri porovnávaní strát vody uvádzaných rôznymi vodárenskými spoločnosťami sa ukazuje, že na vykazovanie strát sa používa rôzna metodika a rôzne ukazovatele prevádzkového výkonu. Veľkou mierou sa na tejto skutočnosti podpisuje fakt, že nie je zavedený jednotný spôsob bilancie vody vo verejnom vodovode a ani jednotná interpretácia používanej terminológie. Táto nejednotnosť spôsobuje, že objektívne porovnanie strát vody, či už na národnej alebo medzinárodnej úrovni sa prakticky nedá urobiť. Z tohto pohľadu je pochopiteľná snaha Komisie o zavedenie vhodnej metódy na posudzovanie technického stavu vodovodov a z toho vyplývajúcej potreby znižovania strát vody. </w:t>
      </w:r>
    </w:p>
    <w:p w:rsidR="00D00F18" w:rsidRPr="00D00F18" w:rsidP="00D00F18">
      <w:pPr>
        <w:spacing w:after="0" w:line="240" w:lineRule="auto"/>
        <w:jc w:val="both"/>
        <w:rPr>
          <w:rFonts w:ascii="Times New Roman" w:hAnsi="Times New Roman"/>
          <w:sz w:val="24"/>
          <w:szCs w:val="24"/>
        </w:rPr>
      </w:pPr>
    </w:p>
    <w:p w:rsidR="00D00F18" w:rsidRPr="00D00F18" w:rsidP="00D00F18">
      <w:pPr>
        <w:spacing w:after="0" w:line="240" w:lineRule="auto"/>
        <w:jc w:val="both"/>
        <w:rPr>
          <w:rFonts w:ascii="Times New Roman" w:hAnsi="Times New Roman"/>
          <w:sz w:val="24"/>
          <w:szCs w:val="24"/>
        </w:rPr>
      </w:pPr>
      <w:r w:rsidRPr="00D00F18">
        <w:rPr>
          <w:rFonts w:ascii="Times New Roman" w:hAnsi="Times New Roman"/>
          <w:sz w:val="24"/>
          <w:szCs w:val="24"/>
        </w:rPr>
        <w:t>Zhodnotiť technický stav verejných vodovodov alebo aj zvážiť potrebu investovania do znižovania strát vody je možné na základe nasledovných technických ukazovateľov:</w:t>
      </w:r>
    </w:p>
    <w:p w:rsidR="00D00F18" w:rsidRPr="00D00F18" w:rsidP="00AC2F0E">
      <w:pPr>
        <w:numPr>
          <w:ilvl w:val="0"/>
          <w:numId w:val="25"/>
        </w:numPr>
        <w:spacing w:after="0" w:line="240" w:lineRule="auto"/>
        <w:jc w:val="both"/>
        <w:rPr>
          <w:rFonts w:ascii="Times New Roman" w:hAnsi="Times New Roman"/>
          <w:sz w:val="24"/>
          <w:szCs w:val="24"/>
        </w:rPr>
      </w:pPr>
      <w:r w:rsidRPr="00D00F18">
        <w:rPr>
          <w:rFonts w:ascii="Times New Roman" w:hAnsi="Times New Roman"/>
          <w:sz w:val="24"/>
          <w:szCs w:val="24"/>
        </w:rPr>
        <w:t>ILI – Infraštruktúrny index strát (bezrozmerné číslo) je vhodný pre hodnotenie technického stavu vybraných častí verejných vodovodov, pričom vyžaduje presné údaje o prípojkách a o tlakoch. Jeho vyhodnotením je možné zvážiť potrebu znižovania strát v ohraničených oblastiach (DMA, tlakové pásma a pod.).</w:t>
      </w:r>
    </w:p>
    <w:p w:rsidR="00D00F18" w:rsidRPr="00D00F18" w:rsidP="00AC2F0E">
      <w:pPr>
        <w:numPr>
          <w:ilvl w:val="0"/>
          <w:numId w:val="25"/>
        </w:numPr>
        <w:spacing w:after="0" w:line="240" w:lineRule="auto"/>
        <w:jc w:val="both"/>
        <w:rPr>
          <w:rFonts w:ascii="Times New Roman" w:hAnsi="Times New Roman"/>
          <w:sz w:val="24"/>
          <w:szCs w:val="24"/>
        </w:rPr>
      </w:pPr>
      <w:r w:rsidRPr="00D00F18">
        <w:rPr>
          <w:rFonts w:ascii="Times New Roman" w:hAnsi="Times New Roman"/>
          <w:sz w:val="24"/>
          <w:szCs w:val="24"/>
        </w:rPr>
        <w:t>Voda nefakturovaná prepočítaná na dĺžku potrubia – jednotkový únik vyjadrený v jednotkách [m</w:t>
      </w:r>
      <w:r w:rsidRPr="00D00F18">
        <w:rPr>
          <w:rFonts w:ascii="Times New Roman" w:hAnsi="Times New Roman"/>
          <w:sz w:val="24"/>
          <w:szCs w:val="24"/>
          <w:vertAlign w:val="superscript"/>
        </w:rPr>
        <w:t>3</w:t>
      </w:r>
      <w:r w:rsidRPr="00D00F18">
        <w:rPr>
          <w:rFonts w:ascii="Times New Roman" w:hAnsi="Times New Roman"/>
          <w:sz w:val="24"/>
          <w:szCs w:val="24"/>
        </w:rPr>
        <w:t xml:space="preserve">/km/rok] alebo [l/km/deň]. Ukazovateľ je vhodný pre vodovody bez vodovodných prípojok, teda diaľkovody alebo privádzacie potrubia. </w:t>
      </w:r>
    </w:p>
    <w:p w:rsidR="00D00F18" w:rsidRPr="00D00F18" w:rsidP="00AC2F0E">
      <w:pPr>
        <w:numPr>
          <w:ilvl w:val="0"/>
          <w:numId w:val="25"/>
        </w:numPr>
        <w:spacing w:after="0" w:line="240" w:lineRule="auto"/>
        <w:jc w:val="both"/>
        <w:rPr>
          <w:rFonts w:ascii="Times New Roman" w:hAnsi="Times New Roman"/>
          <w:sz w:val="24"/>
          <w:szCs w:val="24"/>
        </w:rPr>
      </w:pPr>
      <w:r w:rsidRPr="00D00F18">
        <w:rPr>
          <w:rFonts w:ascii="Times New Roman" w:hAnsi="Times New Roman"/>
          <w:sz w:val="24"/>
          <w:szCs w:val="24"/>
        </w:rPr>
        <w:t xml:space="preserve">Voda nefakturovaná prepočítaná na prípojku – jednotkový únik prepočítaný na prípojku, vyjadrený jednotkou [l/príp.deň]. Je vhodný pre hodnotenie technického stavu rozvodných sietí a sietí s hustotou prípojok väčšou ako 20 príp./km. </w:t>
      </w:r>
    </w:p>
    <w:p w:rsidR="00D00F18" w:rsidRPr="00D00F18" w:rsidP="00AC2F0E">
      <w:pPr>
        <w:numPr>
          <w:ilvl w:val="0"/>
          <w:numId w:val="25"/>
        </w:numPr>
        <w:spacing w:after="0" w:line="240" w:lineRule="auto"/>
        <w:jc w:val="both"/>
        <w:rPr>
          <w:rFonts w:ascii="Times New Roman" w:hAnsi="Times New Roman"/>
          <w:sz w:val="24"/>
          <w:szCs w:val="24"/>
        </w:rPr>
      </w:pPr>
      <w:r w:rsidRPr="00D00F18">
        <w:rPr>
          <w:rFonts w:ascii="Times New Roman" w:hAnsi="Times New Roman"/>
          <w:sz w:val="24"/>
          <w:szCs w:val="24"/>
        </w:rPr>
        <w:t xml:space="preserve">Voda nefakturovaná prepočítaná na prepočítanú dĺžku potrubia s jednotným profilom DN150 – ukazovateľ je vhodný pre hodnotenie technického stavu sietí, pretože zohľadňuje profilovú skladbu použitých potrubí. Problematické môže byť určenie prepočítavacieho koeficienta, ktorý je podmienený dostupnosťou vstupných údajov o profilovej skladbe vodovodov. </w:t>
      </w:r>
    </w:p>
    <w:p w:rsidR="00D00F18" w:rsidRPr="00D00F18" w:rsidP="00D00F18">
      <w:pPr>
        <w:spacing w:after="0" w:line="240" w:lineRule="auto"/>
        <w:jc w:val="both"/>
        <w:rPr>
          <w:rFonts w:ascii="Times New Roman" w:hAnsi="Times New Roman"/>
          <w:sz w:val="24"/>
          <w:szCs w:val="24"/>
        </w:rPr>
      </w:pPr>
      <w:r w:rsidRPr="00D00F18">
        <w:rPr>
          <w:rFonts w:ascii="Times New Roman" w:hAnsi="Times New Roman"/>
          <w:sz w:val="24"/>
          <w:szCs w:val="24"/>
        </w:rPr>
        <w:t xml:space="preserve">Z vyššie uvedených charakteristík jednotlivých technických ukazovateľov na vykazovanie strát vody vo vodovodných systémoch vyplýva, že aplikovaná metóda musí zohľadňovať ako veľkostné kategórie vodovodov, tak aj ich infraštruktúru a taktiež aj vybrané prevádzkové parametre. </w:t>
      </w:r>
    </w:p>
    <w:p w:rsidR="00D00F18" w:rsidRPr="00D00F18" w:rsidP="00D00F18">
      <w:pPr>
        <w:spacing w:after="0" w:line="240" w:lineRule="auto"/>
        <w:rPr>
          <w:rFonts w:ascii="Times New Roman" w:eastAsia="Times New Roman" w:hAnsi="Times New Roman"/>
          <w:b/>
          <w:bCs/>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2.4.2. Charakteristika návrhu:</w:t>
      </w:r>
    </w:p>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b/>
          <w:sz w:val="24"/>
          <w:szCs w:val="24"/>
          <w:bdr w:val="single" w:sz="4" w:space="0" w:color="auto"/>
          <w:lang w:eastAsia="sk-SK"/>
        </w:rPr>
        <w:t xml:space="preserve">     </w:t>
      </w:r>
      <w:r w:rsidRPr="00D00F18">
        <w:rPr>
          <w:rFonts w:ascii="Times New Roman" w:eastAsia="Times New Roman" w:hAnsi="Times New Roman"/>
          <w:b/>
          <w:sz w:val="24"/>
          <w:szCs w:val="24"/>
          <w:lang w:eastAsia="sk-SK"/>
        </w:rPr>
        <w:t xml:space="preserve">  </w:t>
      </w:r>
      <w:r w:rsidRPr="00D00F18">
        <w:rPr>
          <w:rFonts w:ascii="Times New Roman" w:eastAsia="Times New Roman" w:hAnsi="Times New Roman"/>
          <w:sz w:val="24"/>
          <w:szCs w:val="24"/>
          <w:lang w:eastAsia="sk-SK"/>
        </w:rPr>
        <w:t>zmena sadz</w:t>
      </w:r>
      <w:r w:rsidRPr="00D00F18">
        <w:rPr>
          <w:rFonts w:ascii="Times New Roman" w:eastAsia="Times New Roman" w:hAnsi="Times New Roman"/>
          <w:sz w:val="24"/>
          <w:szCs w:val="24"/>
          <w:lang w:eastAsia="sk-SK"/>
        </w:rPr>
        <w:t>by</w:t>
      </w: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bdr w:val="single" w:sz="4" w:space="0" w:color="auto"/>
          <w:lang w:eastAsia="sk-SK"/>
        </w:rPr>
        <w:t xml:space="preserve">     </w:t>
      </w:r>
      <w:r w:rsidRPr="00D00F18">
        <w:rPr>
          <w:rFonts w:ascii="Times New Roman" w:eastAsia="Times New Roman" w:hAnsi="Times New Roman"/>
          <w:sz w:val="24"/>
          <w:szCs w:val="24"/>
          <w:lang w:eastAsia="sk-SK"/>
        </w:rPr>
        <w:t xml:space="preserve">  zmena v nároku</w:t>
      </w: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bdr w:val="single" w:sz="4" w:space="0" w:color="auto"/>
          <w:lang w:eastAsia="sk-SK"/>
        </w:rPr>
        <w:t xml:space="preserve">     </w:t>
      </w:r>
      <w:r w:rsidRPr="00D00F18">
        <w:rPr>
          <w:rFonts w:ascii="Times New Roman" w:eastAsia="Times New Roman" w:hAnsi="Times New Roman"/>
          <w:sz w:val="24"/>
          <w:szCs w:val="24"/>
          <w:lang w:eastAsia="sk-SK"/>
        </w:rPr>
        <w:t xml:space="preserve">  nová služba alebo nariadenie (alebo ich zrušenie)</w:t>
      </w: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bdr w:val="single" w:sz="4" w:space="0" w:color="auto"/>
          <w:lang w:eastAsia="sk-SK"/>
        </w:rPr>
        <w:t xml:space="preserve">     </w:t>
      </w:r>
      <w:r w:rsidRPr="00D00F18">
        <w:rPr>
          <w:rFonts w:ascii="Times New Roman" w:eastAsia="Times New Roman" w:hAnsi="Times New Roman"/>
          <w:sz w:val="24"/>
          <w:szCs w:val="24"/>
          <w:lang w:eastAsia="sk-SK"/>
        </w:rPr>
        <w:t xml:space="preserve">  kombinovaný návrh</w:t>
      </w: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bdr w:val="single" w:sz="4" w:space="0" w:color="auto"/>
          <w:lang w:eastAsia="sk-SK"/>
        </w:rPr>
        <w:t xml:space="preserve">     </w:t>
      </w:r>
      <w:r w:rsidRPr="00D00F18">
        <w:rPr>
          <w:rFonts w:ascii="Times New Roman" w:eastAsia="Times New Roman" w:hAnsi="Times New Roman"/>
          <w:sz w:val="24"/>
          <w:szCs w:val="24"/>
          <w:lang w:eastAsia="sk-SK"/>
        </w:rPr>
        <w:t xml:space="preserve">  iné </w:t>
      </w:r>
    </w:p>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b/>
          <w:bCs/>
          <w:sz w:val="24"/>
          <w:szCs w:val="24"/>
          <w:lang w:eastAsia="sk-SK"/>
        </w:rPr>
        <w:t>2.4.3. Predpoklady vývoja objemu aktivít:</w:t>
      </w:r>
    </w:p>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ind w:firstLine="708"/>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Jasne popíšte, v prípade potreby použite nižšie uvedenú tabuľku. Uveďte aj odhady základov da</w:t>
      </w:r>
      <w:r w:rsidRPr="00D00F18">
        <w:rPr>
          <w:rFonts w:ascii="Times New Roman" w:eastAsia="Times New Roman" w:hAnsi="Times New Roman"/>
          <w:sz w:val="24"/>
          <w:szCs w:val="24"/>
          <w:lang w:eastAsia="sk-SK"/>
        </w:rPr>
        <w:t>ní a/alebo poplatkov, ak sa ich táto zmena týka.</w:t>
      </w:r>
    </w:p>
    <w:p w:rsidR="00D00F18" w:rsidRPr="00D00F18" w:rsidP="00D00F18">
      <w:pPr>
        <w:spacing w:after="0" w:line="240" w:lineRule="auto"/>
        <w:jc w:val="right"/>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Tabuľka č. 6 </w:t>
      </w:r>
    </w:p>
    <w:tbl>
      <w:tblPr>
        <w:tblStyle w:val="TableNormal"/>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0"/>
        <w:gridCol w:w="1134"/>
        <w:gridCol w:w="1134"/>
        <w:gridCol w:w="1134"/>
        <w:gridCol w:w="1134"/>
      </w:tblGrid>
      <w:tr w:rsidTr="00D00F18">
        <w:tblPrEx>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70"/>
        </w:trPr>
        <w:tc>
          <w:tcPr>
            <w:tcW w:w="4530" w:type="dxa"/>
            <w:vMerge w:val="restart"/>
            <w:shd w:val="clear" w:color="auto" w:fill="BFBFBF"/>
            <w:vAlign w:val="center"/>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Objem aktivít</w:t>
            </w:r>
          </w:p>
        </w:tc>
        <w:tc>
          <w:tcPr>
            <w:tcW w:w="4536" w:type="dxa"/>
            <w:gridSpan w:val="4"/>
            <w:shd w:val="clear" w:color="auto" w:fill="BFBFBF"/>
            <w:vAlign w:val="center"/>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Odhadované objemy</w:t>
            </w:r>
          </w:p>
        </w:tc>
      </w:tr>
      <w:tr w:rsidTr="00D00F18">
        <w:tblPrEx>
          <w:tblW w:w="9066" w:type="dxa"/>
          <w:tblInd w:w="78" w:type="dxa"/>
          <w:tblLayout w:type="fixed"/>
          <w:tblLook w:val="0000"/>
        </w:tblPrEx>
        <w:trPr>
          <w:cantSplit/>
          <w:trHeight w:val="70"/>
        </w:trPr>
        <w:tc>
          <w:tcPr>
            <w:tcW w:w="4530" w:type="dxa"/>
            <w:vMerge/>
            <w:shd w:val="clear" w:color="auto" w:fill="BFBFBF"/>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p>
        </w:tc>
        <w:tc>
          <w:tcPr>
            <w:tcW w:w="1134" w:type="dxa"/>
            <w:shd w:val="clear" w:color="auto" w:fill="BFBFBF"/>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2023</w:t>
            </w:r>
          </w:p>
        </w:tc>
        <w:tc>
          <w:tcPr>
            <w:tcW w:w="1134" w:type="dxa"/>
            <w:shd w:val="clear" w:color="auto" w:fill="BFBFBF"/>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2024</w:t>
            </w:r>
          </w:p>
        </w:tc>
        <w:tc>
          <w:tcPr>
            <w:tcW w:w="1134" w:type="dxa"/>
            <w:shd w:val="clear" w:color="auto" w:fill="BFBFBF"/>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2025</w:t>
            </w:r>
          </w:p>
        </w:tc>
        <w:tc>
          <w:tcPr>
            <w:tcW w:w="1134" w:type="dxa"/>
            <w:shd w:val="clear" w:color="auto" w:fill="BFBFBF"/>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2026</w:t>
            </w:r>
          </w:p>
        </w:tc>
      </w:tr>
      <w:tr w:rsidTr="00D00F18">
        <w:tblPrEx>
          <w:tblW w:w="9066" w:type="dxa"/>
          <w:tblInd w:w="78" w:type="dxa"/>
          <w:tblLayout w:type="fixed"/>
          <w:tblLook w:val="0000"/>
        </w:tblPrEx>
        <w:trPr>
          <w:trHeight w:val="70"/>
        </w:trPr>
        <w:tc>
          <w:tcPr>
            <w:tcW w:w="4530" w:type="dxa"/>
          </w:tcPr>
          <w:p w:rsidR="00D00F18" w:rsidRPr="00D00F18" w:rsidP="00D00F18">
            <w:pPr>
              <w:autoSpaceDE w:val="0"/>
              <w:autoSpaceDN w:val="0"/>
              <w:adjustRightInd w:val="0"/>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Indikátor ABC</w:t>
            </w: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r>
      <w:tr w:rsidTr="00D00F18">
        <w:tblPrEx>
          <w:tblW w:w="9066" w:type="dxa"/>
          <w:tblInd w:w="78" w:type="dxa"/>
          <w:tblLayout w:type="fixed"/>
          <w:tblLook w:val="0000"/>
        </w:tblPrEx>
        <w:trPr>
          <w:trHeight w:val="70"/>
        </w:trPr>
        <w:tc>
          <w:tcPr>
            <w:tcW w:w="4530" w:type="dxa"/>
          </w:tcPr>
          <w:p w:rsidR="00D00F18" w:rsidRPr="00D00F18" w:rsidP="00D00F18">
            <w:pPr>
              <w:autoSpaceDE w:val="0"/>
              <w:autoSpaceDN w:val="0"/>
              <w:adjustRightInd w:val="0"/>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Indikátor KLM</w:t>
            </w: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r>
      <w:tr w:rsidTr="00D00F18">
        <w:tblPrEx>
          <w:tblW w:w="9066" w:type="dxa"/>
          <w:tblInd w:w="78" w:type="dxa"/>
          <w:tblLayout w:type="fixed"/>
          <w:tblLook w:val="0000"/>
        </w:tblPrEx>
        <w:trPr>
          <w:trHeight w:val="70"/>
        </w:trPr>
        <w:tc>
          <w:tcPr>
            <w:tcW w:w="4530" w:type="dxa"/>
          </w:tcPr>
          <w:p w:rsidR="00D00F18" w:rsidRPr="00D00F18" w:rsidP="00D00F18">
            <w:pPr>
              <w:autoSpaceDE w:val="0"/>
              <w:autoSpaceDN w:val="0"/>
              <w:adjustRightInd w:val="0"/>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Indikátor XYZ</w:t>
            </w: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r>
    </w:tbl>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2.4.4. Výpočty vplyvov na verejné financie</w:t>
      </w:r>
    </w:p>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ind w:firstLine="708"/>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D00F18" w:rsidRPr="00D00F18" w:rsidP="00D00F18">
      <w:pPr>
        <w:spacing w:after="0" w:line="240" w:lineRule="auto"/>
        <w:ind w:firstLine="708"/>
        <w:jc w:val="both"/>
        <w:rPr>
          <w:rFonts w:ascii="Times New Roman" w:eastAsia="Times New Roman" w:hAnsi="Times New Roman"/>
          <w:sz w:val="24"/>
          <w:szCs w:val="24"/>
          <w:lang w:eastAsia="sk-SK"/>
        </w:rPr>
      </w:pPr>
    </w:p>
    <w:tbl>
      <w:tblPr>
        <w:tblStyle w:val="TableNormal"/>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394"/>
        <w:gridCol w:w="1867"/>
        <w:gridCol w:w="1528"/>
        <w:gridCol w:w="1425"/>
      </w:tblGrid>
      <w:tr w:rsidTr="00AC2F0E">
        <w:tblPrEx>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619" w:type="dxa"/>
            <w:gridSpan w:val="4"/>
            <w:shd w:val="clear" w:color="auto" w:fill="auto"/>
          </w:tcPr>
          <w:p w:rsidR="00D00F18" w:rsidRPr="00AC2F0E" w:rsidP="00AC2F0E">
            <w:pPr>
              <w:tabs>
                <w:tab w:val="num" w:pos="1080"/>
              </w:tabs>
              <w:spacing w:after="0" w:line="240" w:lineRule="auto"/>
              <w:jc w:val="both"/>
              <w:rPr>
                <w:rFonts w:ascii="Times New Roman" w:eastAsia="Times New Roman" w:hAnsi="Times New Roman"/>
                <w:b/>
                <w:bCs/>
                <w:sz w:val="16"/>
                <w:szCs w:val="16"/>
                <w:lang w:eastAsia="sk-SK"/>
              </w:rPr>
            </w:pPr>
            <w:r w:rsidRPr="00AC2F0E">
              <w:rPr>
                <w:rFonts w:ascii="Times New Roman" w:eastAsia="Times New Roman" w:hAnsi="Times New Roman"/>
                <w:b/>
                <w:bCs/>
                <w:sz w:val="16"/>
                <w:szCs w:val="16"/>
                <w:lang w:eastAsia="sk-SK"/>
              </w:rPr>
              <w:t>A) Straty vody</w:t>
            </w:r>
          </w:p>
        </w:tc>
        <w:tc>
          <w:tcPr>
            <w:tcW w:w="1425" w:type="dxa"/>
            <w:shd w:val="clear" w:color="auto" w:fill="auto"/>
          </w:tcPr>
          <w:p w:rsidR="00D00F18" w:rsidRPr="00AC2F0E" w:rsidP="00AC2F0E">
            <w:pPr>
              <w:tabs>
                <w:tab w:val="num" w:pos="1080"/>
              </w:tabs>
              <w:spacing w:after="0" w:line="240" w:lineRule="auto"/>
              <w:jc w:val="both"/>
              <w:rPr>
                <w:rFonts w:ascii="Times New Roman" w:eastAsia="Times New Roman" w:hAnsi="Times New Roman"/>
                <w:b/>
                <w:bCs/>
                <w:sz w:val="16"/>
                <w:szCs w:val="16"/>
                <w:lang w:eastAsia="sk-SK"/>
              </w:rPr>
            </w:pPr>
          </w:p>
        </w:tc>
      </w:tr>
      <w:tr w:rsidTr="00AC2F0E">
        <w:tblPrEx>
          <w:tblW w:w="9044" w:type="dxa"/>
          <w:tblLook w:val="04A0"/>
        </w:tblPrEx>
        <w:tc>
          <w:tcPr>
            <w:tcW w:w="2830" w:type="dxa"/>
            <w:shd w:val="clear" w:color="auto" w:fill="D9E2F3"/>
          </w:tcPr>
          <w:p w:rsidR="00D00F18" w:rsidRPr="00AC2F0E" w:rsidP="00AC2F0E">
            <w:pPr>
              <w:tabs>
                <w:tab w:val="left" w:pos="171"/>
              </w:tabs>
              <w:spacing w:after="0" w:line="240" w:lineRule="auto"/>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ab/>
              <w:t xml:space="preserve">a)Vypracovanie </w:t>
            </w:r>
            <w:r w:rsidRPr="00AC2F0E">
              <w:rPr>
                <w:rFonts w:ascii="Times New Roman" w:eastAsia="Times New Roman" w:hAnsi="Times New Roman"/>
                <w:bCs/>
                <w:sz w:val="16"/>
                <w:szCs w:val="16"/>
                <w:lang w:eastAsia="sk-SK"/>
              </w:rPr>
              <w:t>metodiky</w:t>
            </w:r>
          </w:p>
        </w:tc>
        <w:tc>
          <w:tcPr>
            <w:tcW w:w="1394" w:type="dxa"/>
            <w:shd w:val="clear" w:color="auto" w:fill="D9E2F3"/>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2023, 2024</w:t>
            </w:r>
          </w:p>
        </w:tc>
        <w:tc>
          <w:tcPr>
            <w:tcW w:w="1867" w:type="dxa"/>
            <w:vMerge w:val="restart"/>
            <w:shd w:val="clear" w:color="auto" w:fill="D9E2F3"/>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2 noví zamestnanci</w:t>
            </w:r>
          </w:p>
        </w:tc>
        <w:tc>
          <w:tcPr>
            <w:tcW w:w="1528" w:type="dxa"/>
            <w:shd w:val="clear" w:color="auto" w:fill="D9E2F3"/>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100 470</w:t>
            </w:r>
          </w:p>
        </w:tc>
        <w:tc>
          <w:tcPr>
            <w:tcW w:w="1425" w:type="dxa"/>
            <w:shd w:val="clear" w:color="auto" w:fill="D9E2F3"/>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Mzdové výdavky</w:t>
            </w:r>
          </w:p>
        </w:tc>
      </w:tr>
      <w:tr w:rsidTr="00AC2F0E">
        <w:tblPrEx>
          <w:tblW w:w="9044" w:type="dxa"/>
          <w:tblLook w:val="04A0"/>
        </w:tblPrEx>
        <w:tc>
          <w:tcPr>
            <w:tcW w:w="2830" w:type="dxa"/>
            <w:shd w:val="clear" w:color="auto" w:fill="D9E2F3"/>
          </w:tcPr>
          <w:p w:rsidR="00D00F18" w:rsidRPr="00AC2F0E" w:rsidP="00AC2F0E">
            <w:pPr>
              <w:tabs>
                <w:tab w:val="left" w:pos="171"/>
              </w:tabs>
              <w:spacing w:after="0" w:line="240" w:lineRule="auto"/>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ab/>
              <w:t>b)Predpokladané konzultácie</w:t>
            </w:r>
          </w:p>
        </w:tc>
        <w:tc>
          <w:tcPr>
            <w:tcW w:w="1394" w:type="dxa"/>
            <w:shd w:val="clear" w:color="auto" w:fill="D9E2F3"/>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2025, 2026</w:t>
            </w:r>
          </w:p>
        </w:tc>
        <w:tc>
          <w:tcPr>
            <w:tcW w:w="1867" w:type="dxa"/>
            <w:vMerge/>
            <w:shd w:val="clear" w:color="auto" w:fill="D9E2F3"/>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c>
          <w:tcPr>
            <w:tcW w:w="1528" w:type="dxa"/>
            <w:vMerge w:val="restart"/>
            <w:shd w:val="clear" w:color="auto" w:fill="D9E2F3"/>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114 056</w:t>
            </w:r>
          </w:p>
        </w:tc>
        <w:tc>
          <w:tcPr>
            <w:tcW w:w="1425" w:type="dxa"/>
            <w:vMerge w:val="restart"/>
            <w:shd w:val="clear" w:color="auto" w:fill="D9E2F3"/>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Mzdové výdavky</w:t>
            </w:r>
          </w:p>
        </w:tc>
      </w:tr>
      <w:tr w:rsidTr="00AC2F0E">
        <w:tblPrEx>
          <w:tblW w:w="9044" w:type="dxa"/>
          <w:tblLook w:val="04A0"/>
        </w:tblPrEx>
        <w:tc>
          <w:tcPr>
            <w:tcW w:w="2830" w:type="dxa"/>
            <w:shd w:val="clear" w:color="auto" w:fill="D9E2F3"/>
          </w:tcPr>
          <w:p w:rsidR="00D00F18" w:rsidRPr="00AC2F0E" w:rsidP="00AC2F0E">
            <w:pPr>
              <w:tabs>
                <w:tab w:val="left" w:pos="171"/>
              </w:tabs>
              <w:spacing w:after="0" w:line="240" w:lineRule="auto"/>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ab/>
              <w:t>c) posúdenie strát vody</w:t>
            </w:r>
          </w:p>
        </w:tc>
        <w:tc>
          <w:tcPr>
            <w:tcW w:w="1394" w:type="dxa"/>
            <w:shd w:val="clear" w:color="auto" w:fill="D9E2F3"/>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2025, 2026</w:t>
            </w:r>
          </w:p>
        </w:tc>
        <w:tc>
          <w:tcPr>
            <w:tcW w:w="1867" w:type="dxa"/>
            <w:vMerge/>
            <w:shd w:val="clear" w:color="auto" w:fill="D9E2F3"/>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c>
          <w:tcPr>
            <w:tcW w:w="1528" w:type="dxa"/>
            <w:vMerge/>
            <w:shd w:val="clear" w:color="auto" w:fill="D9E2F3"/>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p>
        </w:tc>
        <w:tc>
          <w:tcPr>
            <w:tcW w:w="1425" w:type="dxa"/>
            <w:vMerge/>
            <w:shd w:val="clear" w:color="auto" w:fill="D9E2F3"/>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p>
        </w:tc>
      </w:tr>
      <w:tr w:rsidTr="00AC2F0E">
        <w:tblPrEx>
          <w:tblW w:w="9044" w:type="dxa"/>
          <w:tblLook w:val="04A0"/>
        </w:tblPrEx>
        <w:tc>
          <w:tcPr>
            <w:tcW w:w="2830" w:type="dxa"/>
            <w:shd w:val="clear" w:color="auto" w:fill="D9E2F3"/>
          </w:tcPr>
          <w:p w:rsidR="00D00F18" w:rsidRPr="00AC2F0E" w:rsidP="00AC2F0E">
            <w:pPr>
              <w:tabs>
                <w:tab w:val="left" w:pos="171"/>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a) + b) + c)</w:t>
            </w:r>
          </w:p>
        </w:tc>
        <w:tc>
          <w:tcPr>
            <w:tcW w:w="1394" w:type="dxa"/>
            <w:shd w:val="clear" w:color="auto" w:fill="D9E2F3"/>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2023 - 2026</w:t>
            </w:r>
          </w:p>
        </w:tc>
        <w:tc>
          <w:tcPr>
            <w:tcW w:w="1867" w:type="dxa"/>
            <w:shd w:val="clear" w:color="auto" w:fill="D9E2F3"/>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c>
          <w:tcPr>
            <w:tcW w:w="1528" w:type="dxa"/>
            <w:shd w:val="clear" w:color="auto" w:fill="D9E2F3"/>
          </w:tcPr>
          <w:p w:rsidR="00D00F18" w:rsidRPr="00AC2F0E" w:rsidP="00AC2F0E">
            <w:pPr>
              <w:tabs>
                <w:tab w:val="num" w:pos="1080"/>
              </w:tabs>
              <w:spacing w:after="0" w:line="240" w:lineRule="auto"/>
              <w:jc w:val="right"/>
              <w:rPr>
                <w:rFonts w:ascii="Times New Roman" w:eastAsia="Times New Roman" w:hAnsi="Times New Roman"/>
                <w:sz w:val="16"/>
                <w:szCs w:val="16"/>
                <w:lang w:eastAsia="sk-SK"/>
              </w:rPr>
            </w:pPr>
            <w:r w:rsidRPr="00AC2F0E">
              <w:rPr>
                <w:rFonts w:ascii="Times New Roman" w:eastAsia="Times New Roman" w:hAnsi="Times New Roman"/>
                <w:bCs/>
                <w:sz w:val="16"/>
                <w:szCs w:val="16"/>
                <w:lang w:eastAsia="sk-SK"/>
              </w:rPr>
              <w:t>180 574</w:t>
            </w:r>
          </w:p>
        </w:tc>
        <w:tc>
          <w:tcPr>
            <w:tcW w:w="1425" w:type="dxa"/>
            <w:shd w:val="clear" w:color="auto" w:fill="D9E2F3"/>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Osobné výdavky</w:t>
            </w:r>
          </w:p>
        </w:tc>
      </w:tr>
      <w:tr w:rsidTr="00AC2F0E">
        <w:tblPrEx>
          <w:tblW w:w="9044" w:type="dxa"/>
          <w:tblLook w:val="04A0"/>
        </w:tblPrEx>
        <w:tc>
          <w:tcPr>
            <w:tcW w:w="9044" w:type="dxa"/>
            <w:gridSpan w:val="5"/>
            <w:shd w:val="clear" w:color="auto" w:fill="D9E2F3"/>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p>
        </w:tc>
      </w:tr>
      <w:tr w:rsidTr="00AC2F0E">
        <w:tblPrEx>
          <w:tblW w:w="9044" w:type="dxa"/>
          <w:tblLook w:val="04A0"/>
        </w:tblPrEx>
        <w:tc>
          <w:tcPr>
            <w:tcW w:w="7619" w:type="dxa"/>
            <w:gridSpan w:val="4"/>
            <w:shd w:val="clear" w:color="auto" w:fill="auto"/>
          </w:tcPr>
          <w:p w:rsidR="00D00F18" w:rsidRPr="00AC2F0E" w:rsidP="00AC2F0E">
            <w:pPr>
              <w:tabs>
                <w:tab w:val="num" w:pos="1080"/>
              </w:tabs>
              <w:spacing w:after="0" w:line="240" w:lineRule="auto"/>
              <w:jc w:val="both"/>
              <w:rPr>
                <w:rFonts w:ascii="Times New Roman" w:eastAsia="Times New Roman" w:hAnsi="Times New Roman"/>
                <w:b/>
                <w:bCs/>
                <w:sz w:val="16"/>
                <w:szCs w:val="16"/>
                <w:lang w:eastAsia="sk-SK"/>
              </w:rPr>
            </w:pPr>
            <w:r w:rsidRPr="00AC2F0E">
              <w:rPr>
                <w:rFonts w:ascii="Times New Roman" w:eastAsia="Times New Roman" w:hAnsi="Times New Roman"/>
                <w:b/>
                <w:bCs/>
                <w:sz w:val="16"/>
                <w:szCs w:val="16"/>
                <w:lang w:eastAsia="sk-SK"/>
              </w:rPr>
              <w:t>B) Manažment rizík</w:t>
            </w:r>
          </w:p>
        </w:tc>
        <w:tc>
          <w:tcPr>
            <w:tcW w:w="1425" w:type="dxa"/>
            <w:shd w:val="clear" w:color="auto" w:fill="auto"/>
          </w:tcPr>
          <w:p w:rsidR="00D00F18" w:rsidRPr="00AC2F0E" w:rsidP="00AC2F0E">
            <w:pPr>
              <w:tabs>
                <w:tab w:val="num" w:pos="1080"/>
              </w:tabs>
              <w:spacing w:after="0" w:line="240" w:lineRule="auto"/>
              <w:jc w:val="both"/>
              <w:rPr>
                <w:rFonts w:ascii="Times New Roman" w:eastAsia="Times New Roman" w:hAnsi="Times New Roman"/>
                <w:b/>
                <w:bCs/>
                <w:sz w:val="16"/>
                <w:szCs w:val="16"/>
                <w:lang w:eastAsia="sk-SK"/>
              </w:rPr>
            </w:pPr>
          </w:p>
        </w:tc>
      </w:tr>
      <w:tr w:rsidTr="00AC2F0E">
        <w:tblPrEx>
          <w:tblW w:w="9044" w:type="dxa"/>
          <w:tblLook w:val="04A0"/>
        </w:tblPrEx>
        <w:tc>
          <w:tcPr>
            <w:tcW w:w="7619" w:type="dxa"/>
            <w:gridSpan w:val="4"/>
            <w:shd w:val="clear" w:color="auto" w:fill="FFF2CC"/>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 xml:space="preserve">1. Vymedzenie </w:t>
            </w:r>
            <w:r w:rsidRPr="00AC2F0E">
              <w:rPr>
                <w:rFonts w:ascii="Times New Roman" w:eastAsia="Times New Roman" w:hAnsi="Times New Roman"/>
                <w:bCs/>
                <w:sz w:val="16"/>
                <w:szCs w:val="16"/>
                <w:lang w:eastAsia="sk-SK"/>
              </w:rPr>
              <w:t>plôch povodia</w:t>
            </w:r>
          </w:p>
        </w:tc>
        <w:tc>
          <w:tcPr>
            <w:tcW w:w="1425" w:type="dxa"/>
            <w:shd w:val="clear" w:color="auto" w:fill="FFF2CC"/>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r>
      <w:tr w:rsidTr="00AC2F0E">
        <w:tblPrEx>
          <w:tblW w:w="9044" w:type="dxa"/>
          <w:tblLook w:val="04A0"/>
        </w:tblPrEx>
        <w:tc>
          <w:tcPr>
            <w:tcW w:w="2830" w:type="dxa"/>
            <w:shd w:val="clear" w:color="auto" w:fill="FFF2CC"/>
          </w:tcPr>
          <w:p w:rsidR="00D00F18" w:rsidRPr="00AC2F0E" w:rsidP="00AC2F0E">
            <w:pPr>
              <w:tabs>
                <w:tab w:val="num" w:pos="171"/>
              </w:tabs>
              <w:spacing w:after="0" w:line="240" w:lineRule="auto"/>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ab/>
              <w:t>a) metodika a vymedzenie</w:t>
            </w:r>
          </w:p>
        </w:tc>
        <w:tc>
          <w:tcPr>
            <w:tcW w:w="1394" w:type="dxa"/>
            <w:shd w:val="clear" w:color="auto" w:fill="FFF2CC"/>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2023, 2024</w:t>
            </w:r>
          </w:p>
        </w:tc>
        <w:tc>
          <w:tcPr>
            <w:tcW w:w="1867" w:type="dxa"/>
            <w:shd w:val="clear" w:color="auto" w:fill="FFF2CC"/>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Návrh metodiky</w:t>
            </w:r>
          </w:p>
        </w:tc>
        <w:tc>
          <w:tcPr>
            <w:tcW w:w="1528" w:type="dxa"/>
            <w:shd w:val="clear" w:color="auto" w:fill="FFF2CC"/>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148 837</w:t>
            </w:r>
          </w:p>
        </w:tc>
        <w:tc>
          <w:tcPr>
            <w:tcW w:w="1425" w:type="dxa"/>
            <w:shd w:val="clear" w:color="auto" w:fill="FFF2CC"/>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Osobné výdavky</w:t>
            </w:r>
          </w:p>
        </w:tc>
      </w:tr>
      <w:tr w:rsidTr="00AC2F0E">
        <w:tblPrEx>
          <w:tblW w:w="9044" w:type="dxa"/>
          <w:tblLook w:val="04A0"/>
        </w:tblPrEx>
        <w:tc>
          <w:tcPr>
            <w:tcW w:w="2830" w:type="dxa"/>
            <w:shd w:val="clear" w:color="auto" w:fill="FFF2CC"/>
          </w:tcPr>
          <w:p w:rsidR="00D00F18" w:rsidRPr="00AC2F0E" w:rsidP="00AC2F0E">
            <w:pPr>
              <w:tabs>
                <w:tab w:val="num" w:pos="171"/>
              </w:tabs>
              <w:spacing w:after="0" w:line="240" w:lineRule="auto"/>
              <w:jc w:val="both"/>
              <w:rPr>
                <w:rFonts w:ascii="Times New Roman" w:eastAsia="Times New Roman" w:hAnsi="Times New Roman"/>
                <w:bCs/>
                <w:sz w:val="16"/>
                <w:szCs w:val="16"/>
                <w:lang w:eastAsia="sk-SK"/>
              </w:rPr>
            </w:pPr>
          </w:p>
        </w:tc>
        <w:tc>
          <w:tcPr>
            <w:tcW w:w="1394" w:type="dxa"/>
            <w:shd w:val="clear" w:color="auto" w:fill="FFF2CC"/>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c>
          <w:tcPr>
            <w:tcW w:w="1867" w:type="dxa"/>
            <w:shd w:val="clear" w:color="auto" w:fill="FFF2CC"/>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GMS model</w:t>
            </w:r>
          </w:p>
        </w:tc>
        <w:tc>
          <w:tcPr>
            <w:tcW w:w="1528" w:type="dxa"/>
            <w:shd w:val="clear" w:color="auto" w:fill="FFF2CC"/>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36 000</w:t>
            </w:r>
          </w:p>
        </w:tc>
        <w:tc>
          <w:tcPr>
            <w:tcW w:w="1425" w:type="dxa"/>
            <w:shd w:val="clear" w:color="auto" w:fill="FFF2CC"/>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p>
        </w:tc>
      </w:tr>
      <w:tr w:rsidTr="00AC2F0E">
        <w:tblPrEx>
          <w:tblW w:w="9044" w:type="dxa"/>
          <w:tblLook w:val="04A0"/>
        </w:tblPrEx>
        <w:tc>
          <w:tcPr>
            <w:tcW w:w="2830" w:type="dxa"/>
            <w:shd w:val="clear" w:color="auto" w:fill="FFF2CC"/>
          </w:tcPr>
          <w:p w:rsidR="00D00F18" w:rsidRPr="00AC2F0E" w:rsidP="00AC2F0E">
            <w:pPr>
              <w:tabs>
                <w:tab w:val="num" w:pos="171"/>
                <w:tab w:val="num" w:pos="1080"/>
              </w:tabs>
              <w:spacing w:after="0" w:line="240" w:lineRule="auto"/>
              <w:jc w:val="both"/>
              <w:rPr>
                <w:rFonts w:ascii="Times New Roman" w:eastAsia="Times New Roman" w:hAnsi="Times New Roman"/>
                <w:bCs/>
                <w:sz w:val="16"/>
                <w:szCs w:val="16"/>
                <w:lang w:eastAsia="sk-SK"/>
              </w:rPr>
            </w:pPr>
          </w:p>
        </w:tc>
        <w:tc>
          <w:tcPr>
            <w:tcW w:w="1394" w:type="dxa"/>
            <w:shd w:val="clear" w:color="auto" w:fill="FFF2CC"/>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c>
          <w:tcPr>
            <w:tcW w:w="1867" w:type="dxa"/>
            <w:shd w:val="clear" w:color="auto" w:fill="FFF2CC"/>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Rozšírenie GIS licencií</w:t>
            </w:r>
          </w:p>
        </w:tc>
        <w:tc>
          <w:tcPr>
            <w:tcW w:w="1528" w:type="dxa"/>
            <w:shd w:val="clear" w:color="auto" w:fill="FFF2CC"/>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16 000</w:t>
            </w:r>
          </w:p>
        </w:tc>
        <w:tc>
          <w:tcPr>
            <w:tcW w:w="1425" w:type="dxa"/>
            <w:shd w:val="clear" w:color="auto" w:fill="FFF2CC"/>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p>
        </w:tc>
      </w:tr>
      <w:tr w:rsidTr="00AC2F0E">
        <w:tblPrEx>
          <w:tblW w:w="9044" w:type="dxa"/>
          <w:tblLook w:val="04A0"/>
        </w:tblPrEx>
        <w:tc>
          <w:tcPr>
            <w:tcW w:w="2830" w:type="dxa"/>
            <w:shd w:val="clear" w:color="auto" w:fill="FFF2CC"/>
          </w:tcPr>
          <w:p w:rsidR="00D00F18" w:rsidRPr="00AC2F0E" w:rsidP="00AC2F0E">
            <w:pPr>
              <w:tabs>
                <w:tab w:val="num" w:pos="171"/>
                <w:tab w:val="num" w:pos="1080"/>
              </w:tabs>
              <w:spacing w:after="0" w:line="240" w:lineRule="auto"/>
              <w:jc w:val="both"/>
              <w:rPr>
                <w:rFonts w:ascii="Times New Roman" w:eastAsia="Times New Roman" w:hAnsi="Times New Roman"/>
                <w:bCs/>
                <w:sz w:val="16"/>
                <w:szCs w:val="16"/>
                <w:lang w:eastAsia="sk-SK"/>
              </w:rPr>
            </w:pPr>
          </w:p>
        </w:tc>
        <w:tc>
          <w:tcPr>
            <w:tcW w:w="1394" w:type="dxa"/>
            <w:shd w:val="clear" w:color="auto" w:fill="FFF2CC"/>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c>
          <w:tcPr>
            <w:tcW w:w="1867" w:type="dxa"/>
            <w:shd w:val="clear" w:color="auto" w:fill="FFF2CC"/>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Spolupráca s inými organizáciami</w:t>
            </w:r>
          </w:p>
        </w:tc>
        <w:tc>
          <w:tcPr>
            <w:tcW w:w="1528" w:type="dxa"/>
            <w:shd w:val="clear" w:color="auto" w:fill="FFF2CC"/>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135 800</w:t>
            </w:r>
          </w:p>
        </w:tc>
        <w:tc>
          <w:tcPr>
            <w:tcW w:w="1425" w:type="dxa"/>
            <w:shd w:val="clear" w:color="auto" w:fill="FFF2CC"/>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p>
        </w:tc>
      </w:tr>
      <w:tr w:rsidTr="00AC2F0E">
        <w:tblPrEx>
          <w:tblW w:w="9044" w:type="dxa"/>
          <w:tblLook w:val="04A0"/>
        </w:tblPrEx>
        <w:tc>
          <w:tcPr>
            <w:tcW w:w="2830" w:type="dxa"/>
            <w:shd w:val="clear" w:color="auto" w:fill="FFF2CC"/>
          </w:tcPr>
          <w:p w:rsidR="00D00F18" w:rsidRPr="00AC2F0E" w:rsidP="00AC2F0E">
            <w:pPr>
              <w:tabs>
                <w:tab w:val="num" w:pos="171"/>
              </w:tabs>
              <w:spacing w:after="0" w:line="240" w:lineRule="auto"/>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ab/>
              <w:t>b) vymedzenie a spresnenia plôch</w:t>
            </w:r>
          </w:p>
        </w:tc>
        <w:tc>
          <w:tcPr>
            <w:tcW w:w="1394" w:type="dxa"/>
            <w:shd w:val="clear" w:color="auto" w:fill="FFF2CC"/>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2023 - trvá</w:t>
            </w:r>
          </w:p>
        </w:tc>
        <w:tc>
          <w:tcPr>
            <w:tcW w:w="1867" w:type="dxa"/>
            <w:shd w:val="clear" w:color="auto" w:fill="FFF2CC"/>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1 nový zamestnanec</w:t>
            </w:r>
          </w:p>
        </w:tc>
        <w:tc>
          <w:tcPr>
            <w:tcW w:w="1528" w:type="dxa"/>
            <w:shd w:val="clear" w:color="auto" w:fill="FFF2CC"/>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107 263</w:t>
            </w:r>
          </w:p>
        </w:tc>
        <w:tc>
          <w:tcPr>
            <w:tcW w:w="1425" w:type="dxa"/>
            <w:shd w:val="clear" w:color="auto" w:fill="FFF2CC"/>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Mzdové výdavky</w:t>
            </w:r>
          </w:p>
        </w:tc>
      </w:tr>
      <w:tr w:rsidTr="00AC2F0E">
        <w:tblPrEx>
          <w:tblW w:w="9044" w:type="dxa"/>
          <w:tblLook w:val="04A0"/>
        </w:tblPrEx>
        <w:tc>
          <w:tcPr>
            <w:tcW w:w="7619" w:type="dxa"/>
            <w:gridSpan w:val="4"/>
            <w:shd w:val="clear" w:color="auto" w:fill="FFE599"/>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2. Monitorovanie pre plochy povodia</w:t>
            </w:r>
          </w:p>
        </w:tc>
        <w:tc>
          <w:tcPr>
            <w:tcW w:w="1425" w:type="dxa"/>
            <w:shd w:val="clear" w:color="auto" w:fill="FFE599"/>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r>
      <w:tr w:rsidTr="00AC2F0E">
        <w:tblPrEx>
          <w:tblW w:w="9044" w:type="dxa"/>
          <w:tblLook w:val="04A0"/>
        </w:tblPrEx>
        <w:tc>
          <w:tcPr>
            <w:tcW w:w="2830" w:type="dxa"/>
            <w:shd w:val="clear" w:color="auto" w:fill="FFE599"/>
          </w:tcPr>
          <w:p w:rsidR="00D00F18" w:rsidRPr="00AC2F0E" w:rsidP="00AC2F0E">
            <w:pPr>
              <w:tabs>
                <w:tab w:val="num" w:pos="171"/>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a) návrh programu monitorovania (PM)</w:t>
            </w:r>
          </w:p>
        </w:tc>
        <w:tc>
          <w:tcPr>
            <w:tcW w:w="1394" w:type="dxa"/>
            <w:shd w:val="clear" w:color="auto" w:fill="FFE599"/>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2023</w:t>
            </w:r>
          </w:p>
        </w:tc>
        <w:tc>
          <w:tcPr>
            <w:tcW w:w="1867" w:type="dxa"/>
            <w:shd w:val="clear" w:color="auto" w:fill="FFE599"/>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Spracovanie PM</w:t>
            </w:r>
          </w:p>
        </w:tc>
        <w:tc>
          <w:tcPr>
            <w:tcW w:w="1528" w:type="dxa"/>
            <w:shd w:val="clear" w:color="auto" w:fill="FFE599"/>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112 000</w:t>
            </w:r>
          </w:p>
        </w:tc>
        <w:tc>
          <w:tcPr>
            <w:tcW w:w="1425" w:type="dxa"/>
            <w:shd w:val="clear" w:color="auto" w:fill="FFE599"/>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Osobné výdavky</w:t>
            </w:r>
          </w:p>
        </w:tc>
      </w:tr>
      <w:tr w:rsidTr="00AC2F0E">
        <w:tblPrEx>
          <w:tblW w:w="9044" w:type="dxa"/>
          <w:tblLook w:val="04A0"/>
        </w:tblPrEx>
        <w:tc>
          <w:tcPr>
            <w:tcW w:w="2830" w:type="dxa"/>
            <w:shd w:val="clear" w:color="auto" w:fill="FFE599"/>
          </w:tcPr>
          <w:p w:rsidR="00D00F18" w:rsidRPr="00AC2F0E" w:rsidP="00AC2F0E">
            <w:pPr>
              <w:tabs>
                <w:tab w:val="num" w:pos="171"/>
              </w:tabs>
              <w:spacing w:after="0" w:line="240" w:lineRule="auto"/>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 xml:space="preserve">  b) monitorovanie</w:t>
            </w:r>
          </w:p>
        </w:tc>
        <w:tc>
          <w:tcPr>
            <w:tcW w:w="1394" w:type="dxa"/>
            <w:shd w:val="clear" w:color="auto" w:fill="FFE599"/>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2023 - trvá</w:t>
            </w:r>
          </w:p>
        </w:tc>
        <w:tc>
          <w:tcPr>
            <w:tcW w:w="1867" w:type="dxa"/>
            <w:shd w:val="clear" w:color="auto" w:fill="FFE599"/>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3 noví zamestnanci</w:t>
            </w:r>
          </w:p>
        </w:tc>
        <w:tc>
          <w:tcPr>
            <w:tcW w:w="1528" w:type="dxa"/>
            <w:shd w:val="clear" w:color="auto" w:fill="FFE599"/>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321 789</w:t>
            </w:r>
          </w:p>
        </w:tc>
        <w:tc>
          <w:tcPr>
            <w:tcW w:w="1425" w:type="dxa"/>
            <w:shd w:val="clear" w:color="auto" w:fill="FFE599"/>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Mzdové výdavky</w:t>
            </w:r>
          </w:p>
        </w:tc>
      </w:tr>
      <w:tr w:rsidTr="00AC2F0E">
        <w:tblPrEx>
          <w:tblW w:w="9044" w:type="dxa"/>
          <w:tblLook w:val="04A0"/>
        </w:tblPrEx>
        <w:tc>
          <w:tcPr>
            <w:tcW w:w="2830" w:type="dxa"/>
            <w:shd w:val="clear" w:color="auto" w:fill="FFE599"/>
          </w:tcPr>
          <w:p w:rsidR="00D00F18" w:rsidRPr="00AC2F0E" w:rsidP="00AC2F0E">
            <w:pPr>
              <w:tabs>
                <w:tab w:val="num" w:pos="171"/>
              </w:tabs>
              <w:spacing w:after="0" w:line="240" w:lineRule="auto"/>
              <w:rPr>
                <w:rFonts w:ascii="Times New Roman" w:eastAsia="Times New Roman" w:hAnsi="Times New Roman"/>
                <w:bCs/>
                <w:sz w:val="16"/>
                <w:szCs w:val="16"/>
                <w:lang w:eastAsia="sk-SK"/>
              </w:rPr>
            </w:pPr>
          </w:p>
        </w:tc>
        <w:tc>
          <w:tcPr>
            <w:tcW w:w="1394" w:type="dxa"/>
            <w:shd w:val="clear" w:color="auto" w:fill="FFE599"/>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c>
          <w:tcPr>
            <w:tcW w:w="1867" w:type="dxa"/>
            <w:shd w:val="clear" w:color="auto" w:fill="FFE599"/>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Výkon monitorovania</w:t>
            </w:r>
          </w:p>
        </w:tc>
        <w:tc>
          <w:tcPr>
            <w:tcW w:w="1528" w:type="dxa"/>
            <w:shd w:val="clear" w:color="auto" w:fill="FFE599"/>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80 000</w:t>
            </w:r>
          </w:p>
        </w:tc>
        <w:tc>
          <w:tcPr>
            <w:tcW w:w="1425" w:type="dxa"/>
            <w:shd w:val="clear" w:color="auto" w:fill="FFE599"/>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p>
        </w:tc>
      </w:tr>
      <w:tr w:rsidTr="00AC2F0E">
        <w:tblPrEx>
          <w:tblW w:w="9044" w:type="dxa"/>
          <w:tblLook w:val="04A0"/>
        </w:tblPrEx>
        <w:tc>
          <w:tcPr>
            <w:tcW w:w="2830" w:type="dxa"/>
            <w:shd w:val="clear" w:color="auto" w:fill="FFE599"/>
          </w:tcPr>
          <w:p w:rsidR="00D00F18" w:rsidRPr="00AC2F0E" w:rsidP="00AC2F0E">
            <w:pPr>
              <w:tabs>
                <w:tab w:val="num" w:pos="171"/>
              </w:tabs>
              <w:spacing w:after="0" w:line="240" w:lineRule="auto"/>
              <w:rPr>
                <w:rFonts w:ascii="Times New Roman" w:eastAsia="Times New Roman" w:hAnsi="Times New Roman"/>
                <w:bCs/>
                <w:sz w:val="16"/>
                <w:szCs w:val="16"/>
                <w:lang w:eastAsia="sk-SK"/>
              </w:rPr>
            </w:pPr>
          </w:p>
        </w:tc>
        <w:tc>
          <w:tcPr>
            <w:tcW w:w="1394" w:type="dxa"/>
            <w:shd w:val="clear" w:color="auto" w:fill="FFE599"/>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c>
          <w:tcPr>
            <w:tcW w:w="1867" w:type="dxa"/>
            <w:shd w:val="clear" w:color="auto" w:fill="FFE599"/>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Spolupráca s inými organizáciami</w:t>
            </w:r>
          </w:p>
        </w:tc>
        <w:tc>
          <w:tcPr>
            <w:tcW w:w="1528" w:type="dxa"/>
            <w:shd w:val="clear" w:color="auto" w:fill="FFE599"/>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620 000</w:t>
            </w:r>
          </w:p>
        </w:tc>
        <w:tc>
          <w:tcPr>
            <w:tcW w:w="1425" w:type="dxa"/>
            <w:shd w:val="clear" w:color="auto" w:fill="FFE599"/>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p>
        </w:tc>
      </w:tr>
      <w:tr w:rsidTr="00AC2F0E">
        <w:tblPrEx>
          <w:tblW w:w="9044" w:type="dxa"/>
          <w:tblLook w:val="04A0"/>
        </w:tblPrEx>
        <w:tc>
          <w:tcPr>
            <w:tcW w:w="2830" w:type="dxa"/>
            <w:shd w:val="clear" w:color="auto" w:fill="FFE599"/>
          </w:tcPr>
          <w:p w:rsidR="00D00F18" w:rsidRPr="00AC2F0E" w:rsidP="00AC2F0E">
            <w:pPr>
              <w:tabs>
                <w:tab w:val="num" w:pos="171"/>
              </w:tabs>
              <w:spacing w:after="0" w:line="240" w:lineRule="auto"/>
              <w:jc w:val="both"/>
              <w:rPr>
                <w:rFonts w:ascii="Times New Roman" w:eastAsia="Times New Roman" w:hAnsi="Times New Roman"/>
                <w:bCs/>
                <w:sz w:val="16"/>
                <w:szCs w:val="16"/>
                <w:lang w:eastAsia="sk-SK"/>
              </w:rPr>
            </w:pPr>
          </w:p>
        </w:tc>
        <w:tc>
          <w:tcPr>
            <w:tcW w:w="1394" w:type="dxa"/>
            <w:shd w:val="clear" w:color="auto" w:fill="FFE599"/>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c>
          <w:tcPr>
            <w:tcW w:w="1867" w:type="dxa"/>
            <w:shd w:val="clear" w:color="auto" w:fill="FFE599"/>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Laboratórne vybavenie a materiál</w:t>
            </w:r>
          </w:p>
        </w:tc>
        <w:tc>
          <w:tcPr>
            <w:tcW w:w="1528" w:type="dxa"/>
            <w:shd w:val="clear" w:color="auto" w:fill="FFE599"/>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805 500</w:t>
            </w:r>
          </w:p>
        </w:tc>
        <w:tc>
          <w:tcPr>
            <w:tcW w:w="1425" w:type="dxa"/>
            <w:shd w:val="clear" w:color="auto" w:fill="FFE599"/>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p>
        </w:tc>
      </w:tr>
      <w:tr w:rsidTr="00AC2F0E">
        <w:tblPrEx>
          <w:tblW w:w="9044" w:type="dxa"/>
          <w:tblLook w:val="04A0"/>
        </w:tblPrEx>
        <w:tc>
          <w:tcPr>
            <w:tcW w:w="2830" w:type="dxa"/>
            <w:shd w:val="clear" w:color="auto" w:fill="FFE599"/>
          </w:tcPr>
          <w:p w:rsidR="00D00F18" w:rsidRPr="00AC2F0E" w:rsidP="00AC2F0E">
            <w:pPr>
              <w:tabs>
                <w:tab w:val="num" w:pos="171"/>
              </w:tabs>
              <w:spacing w:after="0" w:line="240" w:lineRule="auto"/>
              <w:jc w:val="both"/>
              <w:rPr>
                <w:rFonts w:ascii="Times New Roman" w:eastAsia="Times New Roman" w:hAnsi="Times New Roman"/>
                <w:bCs/>
                <w:sz w:val="16"/>
                <w:szCs w:val="16"/>
                <w:lang w:eastAsia="sk-SK"/>
              </w:rPr>
            </w:pPr>
          </w:p>
        </w:tc>
        <w:tc>
          <w:tcPr>
            <w:tcW w:w="1394" w:type="dxa"/>
            <w:shd w:val="clear" w:color="auto" w:fill="FFE599"/>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c>
          <w:tcPr>
            <w:tcW w:w="1867" w:type="dxa"/>
            <w:shd w:val="clear" w:color="auto" w:fill="FFE599"/>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c>
          <w:tcPr>
            <w:tcW w:w="1528" w:type="dxa"/>
            <w:shd w:val="clear" w:color="auto" w:fill="FFE599"/>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p>
        </w:tc>
        <w:tc>
          <w:tcPr>
            <w:tcW w:w="1425" w:type="dxa"/>
            <w:shd w:val="clear" w:color="auto" w:fill="FFE599"/>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p>
        </w:tc>
      </w:tr>
      <w:tr w:rsidTr="00AC2F0E">
        <w:tblPrEx>
          <w:tblW w:w="9044" w:type="dxa"/>
          <w:tblLook w:val="04A0"/>
        </w:tblPrEx>
        <w:tc>
          <w:tcPr>
            <w:tcW w:w="2830" w:type="dxa"/>
            <w:shd w:val="clear" w:color="auto" w:fill="FFE599"/>
          </w:tcPr>
          <w:p w:rsidR="00D00F18" w:rsidRPr="00AC2F0E" w:rsidP="00AC2F0E">
            <w:pPr>
              <w:tabs>
                <w:tab w:val="num" w:pos="171"/>
              </w:tabs>
              <w:spacing w:after="0" w:line="240" w:lineRule="auto"/>
              <w:jc w:val="both"/>
              <w:rPr>
                <w:rFonts w:ascii="Times New Roman" w:eastAsia="Times New Roman" w:hAnsi="Times New Roman"/>
                <w:bCs/>
                <w:sz w:val="16"/>
                <w:szCs w:val="16"/>
                <w:lang w:eastAsia="sk-SK"/>
              </w:rPr>
            </w:pPr>
          </w:p>
        </w:tc>
        <w:tc>
          <w:tcPr>
            <w:tcW w:w="1394" w:type="dxa"/>
            <w:shd w:val="clear" w:color="auto" w:fill="FFE599"/>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c>
          <w:tcPr>
            <w:tcW w:w="1867" w:type="dxa"/>
            <w:shd w:val="clear" w:color="auto" w:fill="FFE599"/>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c>
          <w:tcPr>
            <w:tcW w:w="1528" w:type="dxa"/>
            <w:shd w:val="clear" w:color="auto" w:fill="FFE599"/>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p>
        </w:tc>
        <w:tc>
          <w:tcPr>
            <w:tcW w:w="1425" w:type="dxa"/>
            <w:shd w:val="clear" w:color="auto" w:fill="FFE599"/>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p>
        </w:tc>
      </w:tr>
      <w:tr w:rsidTr="00AC2F0E">
        <w:tblPrEx>
          <w:tblW w:w="9044" w:type="dxa"/>
          <w:tblLook w:val="04A0"/>
        </w:tblPrEx>
        <w:tc>
          <w:tcPr>
            <w:tcW w:w="7619" w:type="dxa"/>
            <w:gridSpan w:val="4"/>
            <w:shd w:val="clear" w:color="auto" w:fill="FFD966"/>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3. Analýza vplyvov</w:t>
            </w:r>
          </w:p>
        </w:tc>
        <w:tc>
          <w:tcPr>
            <w:tcW w:w="1425" w:type="dxa"/>
            <w:shd w:val="clear" w:color="auto" w:fill="FFD966"/>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r>
      <w:tr w:rsidTr="00AC2F0E">
        <w:tblPrEx>
          <w:tblW w:w="9044" w:type="dxa"/>
          <w:tblLook w:val="04A0"/>
        </w:tblPrEx>
        <w:tc>
          <w:tcPr>
            <w:tcW w:w="2830" w:type="dxa"/>
            <w:shd w:val="clear" w:color="auto" w:fill="FFD966"/>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c>
          <w:tcPr>
            <w:tcW w:w="1394" w:type="dxa"/>
            <w:shd w:val="clear" w:color="auto" w:fill="FFD966"/>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2023 - trvá</w:t>
            </w:r>
          </w:p>
        </w:tc>
        <w:tc>
          <w:tcPr>
            <w:tcW w:w="1867" w:type="dxa"/>
            <w:shd w:val="clear" w:color="auto" w:fill="FFD966"/>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1 nový zamestnanec</w:t>
            </w:r>
          </w:p>
        </w:tc>
        <w:tc>
          <w:tcPr>
            <w:tcW w:w="1528" w:type="dxa"/>
            <w:shd w:val="clear" w:color="auto" w:fill="FFD966"/>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107 263</w:t>
            </w:r>
          </w:p>
        </w:tc>
        <w:tc>
          <w:tcPr>
            <w:tcW w:w="1425" w:type="dxa"/>
            <w:shd w:val="clear" w:color="auto" w:fill="FFD966"/>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Mzdové výdavky</w:t>
            </w:r>
          </w:p>
        </w:tc>
      </w:tr>
      <w:tr w:rsidTr="00AC2F0E">
        <w:tblPrEx>
          <w:tblW w:w="9044" w:type="dxa"/>
          <w:tblLook w:val="04A0"/>
        </w:tblPrEx>
        <w:tc>
          <w:tcPr>
            <w:tcW w:w="2830" w:type="dxa"/>
            <w:shd w:val="clear" w:color="auto" w:fill="FFD966"/>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c>
          <w:tcPr>
            <w:tcW w:w="1394" w:type="dxa"/>
            <w:shd w:val="clear" w:color="auto" w:fill="FFD966"/>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c>
          <w:tcPr>
            <w:tcW w:w="1867" w:type="dxa"/>
            <w:shd w:val="clear" w:color="auto" w:fill="FFD966"/>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Model pre analýzu</w:t>
            </w:r>
          </w:p>
        </w:tc>
        <w:tc>
          <w:tcPr>
            <w:tcW w:w="1528" w:type="dxa"/>
            <w:shd w:val="clear" w:color="auto" w:fill="FFD966"/>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23 100</w:t>
            </w:r>
          </w:p>
        </w:tc>
        <w:tc>
          <w:tcPr>
            <w:tcW w:w="1425" w:type="dxa"/>
            <w:shd w:val="clear" w:color="auto" w:fill="FFD966"/>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p>
        </w:tc>
      </w:tr>
      <w:tr w:rsidTr="00AC2F0E">
        <w:tblPrEx>
          <w:tblW w:w="9044" w:type="dxa"/>
          <w:tblLook w:val="04A0"/>
        </w:tblPrEx>
        <w:tc>
          <w:tcPr>
            <w:tcW w:w="2830" w:type="dxa"/>
            <w:shd w:val="clear" w:color="auto" w:fill="FFD966"/>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c>
          <w:tcPr>
            <w:tcW w:w="1394" w:type="dxa"/>
            <w:shd w:val="clear" w:color="auto" w:fill="FFD966"/>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c>
          <w:tcPr>
            <w:tcW w:w="1867" w:type="dxa"/>
            <w:shd w:val="clear" w:color="auto" w:fill="FFD966"/>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Spracovanie analýzy</w:t>
            </w:r>
          </w:p>
        </w:tc>
        <w:tc>
          <w:tcPr>
            <w:tcW w:w="1528" w:type="dxa"/>
            <w:shd w:val="clear" w:color="auto" w:fill="FFD966"/>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334 737</w:t>
            </w:r>
          </w:p>
        </w:tc>
        <w:tc>
          <w:tcPr>
            <w:tcW w:w="1425" w:type="dxa"/>
            <w:shd w:val="clear" w:color="auto" w:fill="FFD966"/>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Osobné výdavky</w:t>
            </w:r>
          </w:p>
        </w:tc>
      </w:tr>
      <w:tr w:rsidTr="00AC2F0E">
        <w:tblPrEx>
          <w:tblW w:w="9044" w:type="dxa"/>
          <w:tblLook w:val="04A0"/>
        </w:tblPrEx>
        <w:tc>
          <w:tcPr>
            <w:tcW w:w="7619" w:type="dxa"/>
            <w:gridSpan w:val="4"/>
            <w:shd w:val="clear" w:color="auto" w:fill="BF8F00"/>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4. Riadenie rizika</w:t>
            </w:r>
          </w:p>
        </w:tc>
        <w:tc>
          <w:tcPr>
            <w:tcW w:w="1425" w:type="dxa"/>
            <w:shd w:val="clear" w:color="auto" w:fill="BF8F00"/>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p>
        </w:tc>
      </w:tr>
      <w:tr w:rsidTr="00AC2F0E">
        <w:tblPrEx>
          <w:tblW w:w="9044" w:type="dxa"/>
          <w:tblLook w:val="04A0"/>
        </w:tblPrEx>
        <w:tc>
          <w:tcPr>
            <w:tcW w:w="2830" w:type="dxa"/>
            <w:shd w:val="clear" w:color="auto" w:fill="BF8F00"/>
          </w:tcPr>
          <w:p w:rsidR="00D00F18" w:rsidRPr="00AC2F0E" w:rsidP="00AC2F0E">
            <w:pPr>
              <w:tabs>
                <w:tab w:val="num" w:pos="313"/>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ab/>
            </w:r>
          </w:p>
        </w:tc>
        <w:tc>
          <w:tcPr>
            <w:tcW w:w="1394" w:type="dxa"/>
            <w:shd w:val="clear" w:color="auto" w:fill="BF8F00"/>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2023 - trvá</w:t>
            </w:r>
          </w:p>
        </w:tc>
        <w:tc>
          <w:tcPr>
            <w:tcW w:w="1867" w:type="dxa"/>
            <w:shd w:val="clear" w:color="auto" w:fill="BF8F00"/>
          </w:tcPr>
          <w:p w:rsidR="00D00F18" w:rsidRPr="00AC2F0E" w:rsidP="00AC2F0E">
            <w:pPr>
              <w:tabs>
                <w:tab w:val="num" w:pos="1080"/>
              </w:tabs>
              <w:spacing w:after="0" w:line="240" w:lineRule="auto"/>
              <w:jc w:val="both"/>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vyhodnotenie monitorovania a analýzy vplyvov, návrh opatrení, návrh monitorovania, vyhodnotenie   realizovaných opatrení</w:t>
            </w:r>
          </w:p>
        </w:tc>
        <w:tc>
          <w:tcPr>
            <w:tcW w:w="1528" w:type="dxa"/>
            <w:shd w:val="clear" w:color="auto" w:fill="BF8F00"/>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532 731</w:t>
            </w:r>
          </w:p>
        </w:tc>
        <w:tc>
          <w:tcPr>
            <w:tcW w:w="1425" w:type="dxa"/>
            <w:shd w:val="clear" w:color="auto" w:fill="BF8F00"/>
          </w:tcPr>
          <w:p w:rsidR="00D00F18" w:rsidRPr="00AC2F0E" w:rsidP="00AC2F0E">
            <w:pPr>
              <w:tabs>
                <w:tab w:val="num" w:pos="1080"/>
              </w:tabs>
              <w:spacing w:after="0" w:line="240" w:lineRule="auto"/>
              <w:jc w:val="right"/>
              <w:rPr>
                <w:rFonts w:ascii="Times New Roman" w:eastAsia="Times New Roman" w:hAnsi="Times New Roman"/>
                <w:bCs/>
                <w:sz w:val="16"/>
                <w:szCs w:val="16"/>
                <w:lang w:eastAsia="sk-SK"/>
              </w:rPr>
            </w:pPr>
            <w:r w:rsidRPr="00AC2F0E">
              <w:rPr>
                <w:rFonts w:ascii="Times New Roman" w:eastAsia="Times New Roman" w:hAnsi="Times New Roman"/>
                <w:bCs/>
                <w:sz w:val="16"/>
                <w:szCs w:val="16"/>
                <w:lang w:eastAsia="sk-SK"/>
              </w:rPr>
              <w:t>Osobné výdavky</w:t>
            </w:r>
          </w:p>
        </w:tc>
      </w:tr>
    </w:tbl>
    <w:p w:rsidR="00D00F18" w:rsidRPr="00D00F18" w:rsidP="00D00F18">
      <w:pPr>
        <w:tabs>
          <w:tab w:val="num" w:pos="1080"/>
        </w:tabs>
        <w:spacing w:after="0" w:line="240" w:lineRule="auto"/>
        <w:jc w:val="both"/>
        <w:rPr>
          <w:rFonts w:ascii="Times New Roman" w:eastAsia="Times New Roman" w:hAnsi="Times New Roman"/>
          <w:bCs/>
          <w:sz w:val="24"/>
          <w:szCs w:val="20"/>
          <w:lang w:eastAsia="sk-SK"/>
        </w:rPr>
        <w:sectPr w:rsidSect="00D00F18">
          <w:headerReference w:type="even" r:id="rId13"/>
          <w:headerReference w:type="default" r:id="rId14"/>
          <w:footerReference w:type="even" r:id="rId15"/>
          <w:headerReference w:type="first" r:id="rId16"/>
          <w:footerReference w:type="first" r:id="rId17"/>
          <w:pgSz w:w="11906" w:h="16838"/>
          <w:pgMar w:top="1417" w:right="1417" w:bottom="1276" w:left="1417" w:header="708" w:footer="708" w:gutter="0"/>
          <w:cols w:space="708"/>
          <w:docGrid w:linePitch="360"/>
        </w:sectPr>
      </w:pPr>
    </w:p>
    <w:p w:rsidR="00D00F18" w:rsidRPr="00D00F18" w:rsidP="00D00F18">
      <w:pPr>
        <w:tabs>
          <w:tab w:val="num" w:pos="1080"/>
        </w:tabs>
        <w:spacing w:after="0" w:line="240" w:lineRule="auto"/>
        <w:jc w:val="right"/>
        <w:rPr>
          <w:rFonts w:ascii="Times New Roman" w:eastAsia="Times New Roman" w:hAnsi="Times New Roman"/>
          <w:bCs/>
          <w:sz w:val="24"/>
          <w:szCs w:val="24"/>
          <w:lang w:eastAsia="sk-SK"/>
        </w:rPr>
      </w:pPr>
      <w:r w:rsidRPr="00D00F18">
        <w:rPr>
          <w:rFonts w:ascii="Times New Roman" w:eastAsia="Times New Roman" w:hAnsi="Times New Roman"/>
          <w:bCs/>
          <w:sz w:val="24"/>
          <w:szCs w:val="24"/>
          <w:lang w:eastAsia="sk-SK"/>
        </w:rPr>
        <w:t xml:space="preserve">Tabuľka č. 7 </w:t>
      </w:r>
    </w:p>
    <w:tbl>
      <w:tblPr>
        <w:tblStyle w:val="TableNormal"/>
        <w:tblpPr w:leftFromText="141" w:rightFromText="141" w:horzAnchor="margin" w:tblpXSpec="center" w:tblpX="1" w:tblpY="533"/>
        <w:tblW w:w="13950" w:type="dxa"/>
        <w:tblCellMar>
          <w:left w:w="70" w:type="dxa"/>
          <w:right w:w="70" w:type="dxa"/>
        </w:tblCellMar>
        <w:tblLook w:val="0000"/>
      </w:tblPr>
      <w:tblGrid>
        <w:gridCol w:w="4950"/>
        <w:gridCol w:w="1500"/>
        <w:gridCol w:w="1500"/>
        <w:gridCol w:w="1500"/>
        <w:gridCol w:w="1500"/>
        <w:gridCol w:w="3000"/>
      </w:tblGrid>
      <w:tr w:rsidTr="00D00F18">
        <w:tblPrEx>
          <w:tblW w:w="13950" w:type="dxa"/>
          <w:tblCellMar>
            <w:left w:w="70" w:type="dxa"/>
            <w:right w:w="70" w:type="dxa"/>
          </w:tblCellMar>
          <w:tblLook w:val="0000"/>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poznámka</w:t>
            </w:r>
          </w:p>
        </w:tc>
      </w:tr>
      <w:tr w:rsidTr="00D00F18">
        <w:tblPrEx>
          <w:tblW w:w="13950" w:type="dxa"/>
          <w:tblCellMar>
            <w:left w:w="70" w:type="dxa"/>
            <w:right w:w="70" w:type="dxa"/>
          </w:tblCellMar>
          <w:tblLook w:val="0000"/>
        </w:tblPrEx>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D00F18" w:rsidRPr="00D00F18" w:rsidP="00D00F18">
            <w:pPr>
              <w:spacing w:after="0" w:line="240" w:lineRule="auto"/>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D00F18" w:rsidRPr="00D00F18" w:rsidP="00D00F18">
            <w:pPr>
              <w:spacing w:after="0" w:line="240" w:lineRule="auto"/>
              <w:rPr>
                <w:rFonts w:ascii="Times New Roman" w:eastAsia="Times New Roman" w:hAnsi="Times New Roman"/>
                <w:b/>
                <w:bCs/>
                <w:sz w:val="24"/>
                <w:szCs w:val="24"/>
                <w:lang w:eastAsia="sk-SK"/>
              </w:rPr>
            </w:pPr>
          </w:p>
        </w:tc>
      </w:tr>
      <w:tr w:rsidTr="00D00F18">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vertAlign w:val="superscript"/>
                <w:lang w:eastAsia="sk-SK"/>
              </w:rPr>
            </w:pPr>
            <w:r w:rsidRPr="00D00F18">
              <w:rPr>
                <w:rFonts w:ascii="Times New Roman" w:eastAsia="Times New Roman" w:hAnsi="Times New Roman"/>
                <w:b/>
                <w:bCs/>
                <w:sz w:val="24"/>
                <w:szCs w:val="24"/>
                <w:lang w:eastAsia="sk-SK"/>
              </w:rPr>
              <w:t>Daňové príjmy (100)</w:t>
            </w:r>
            <w:r w:rsidRPr="00D00F18">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Nedaňové príjmy (200)</w:t>
            </w:r>
            <w:r w:rsidRPr="00D00F18">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Granty a transfery (300)</w:t>
            </w:r>
            <w:r w:rsidRPr="00D00F18">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Príjmy z transakcií s finančnými aktívami a finančnými pasívami (4</w:t>
            </w:r>
            <w:r w:rsidRPr="00D00F18">
              <w:rPr>
                <w:rFonts w:ascii="Times New Roman" w:eastAsia="Times New Roman" w:hAnsi="Times New Roman"/>
                <w:b/>
                <w:bCs/>
                <w:sz w:val="24"/>
                <w:szCs w:val="24"/>
                <w:lang w:eastAsia="sk-SK"/>
              </w:rPr>
              <w:t>00)</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shd w:val="clear" w:color="auto" w:fill="BFBFBF"/>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bl>
    <w:p w:rsidR="00D00F18" w:rsidRPr="00D00F18" w:rsidP="00D00F18">
      <w:pPr>
        <w:tabs>
          <w:tab w:val="num" w:pos="1080"/>
        </w:tabs>
        <w:spacing w:after="0" w:line="240" w:lineRule="auto"/>
        <w:jc w:val="both"/>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1 –  príjmy rozpísať až do položiek platnej ekonomickej klasifikácie</w:t>
      </w:r>
    </w:p>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r w:rsidRPr="00D00F18">
        <w:rPr>
          <w:rFonts w:ascii="Times New Roman" w:eastAsia="Times New Roman" w:hAnsi="Times New Roman"/>
          <w:b/>
          <w:bCs/>
          <w:sz w:val="24"/>
          <w:szCs w:val="20"/>
          <w:lang w:eastAsia="sk-SK"/>
        </w:rPr>
        <w:t>Poznámka:</w:t>
      </w:r>
    </w:p>
    <w:p w:rsidR="00D00F18" w:rsidRPr="00D00F18" w:rsidP="00D00F18">
      <w:pPr>
        <w:tabs>
          <w:tab w:val="num" w:pos="1080"/>
        </w:tabs>
        <w:spacing w:after="0" w:line="240" w:lineRule="auto"/>
        <w:jc w:val="both"/>
        <w:rPr>
          <w:rFonts w:ascii="Times New Roman" w:eastAsia="Times New Roman" w:hAnsi="Times New Roman"/>
          <w:bCs/>
          <w:sz w:val="24"/>
          <w:szCs w:val="20"/>
          <w:lang w:eastAsia="sk-SK"/>
        </w:rPr>
      </w:pPr>
      <w:r w:rsidRPr="00D00F18">
        <w:rPr>
          <w:rFonts w:ascii="Times New Roman" w:eastAsia="Times New Roman" w:hAnsi="Times New Roman"/>
          <w:bCs/>
          <w:sz w:val="24"/>
          <w:szCs w:val="20"/>
          <w:lang w:eastAsia="sk-SK"/>
        </w:rPr>
        <w:t>Ak sa vplyv týka viacerých subjektov verejnej správy, vypĺňa sa samostatná tabuľka za každý subjekt.</w:t>
      </w:r>
    </w:p>
    <w:p w:rsidR="00D00F18" w:rsidRPr="00D00F18" w:rsidP="00D00F18">
      <w:pPr>
        <w:tabs>
          <w:tab w:val="num" w:pos="1080"/>
        </w:tabs>
        <w:spacing w:after="0" w:line="240" w:lineRule="auto"/>
        <w:ind w:right="-32"/>
        <w:jc w:val="right"/>
        <w:rPr>
          <w:rFonts w:ascii="Times New Roman" w:eastAsia="Times New Roman" w:hAnsi="Times New Roman"/>
          <w:bCs/>
          <w:sz w:val="24"/>
          <w:szCs w:val="24"/>
          <w:lang w:eastAsia="sk-SK"/>
        </w:rPr>
      </w:pPr>
      <w:r w:rsidRPr="00D00F18">
        <w:rPr>
          <w:rFonts w:ascii="Times New Roman" w:eastAsia="Times New Roman" w:hAnsi="Times New Roman"/>
          <w:bCs/>
          <w:sz w:val="24"/>
          <w:szCs w:val="24"/>
          <w:lang w:eastAsia="sk-SK"/>
        </w:rPr>
        <w:t xml:space="preserve">Tabuľka č. 8 </w:t>
      </w:r>
    </w:p>
    <w:tbl>
      <w:tblPr>
        <w:tblStyle w:val="TableNormal"/>
        <w:tblpPr w:leftFromText="141" w:rightFromText="141" w:vertAnchor="text" w:horzAnchor="page" w:tblpX="629" w:tblpY="2"/>
        <w:tblW w:w="15450" w:type="dxa"/>
        <w:tblCellMar>
          <w:left w:w="70" w:type="dxa"/>
          <w:right w:w="70" w:type="dxa"/>
        </w:tblCellMar>
        <w:tblLook w:val="0000"/>
      </w:tblPr>
      <w:tblGrid>
        <w:gridCol w:w="7070"/>
        <w:gridCol w:w="1540"/>
        <w:gridCol w:w="1540"/>
        <w:gridCol w:w="1540"/>
        <w:gridCol w:w="1540"/>
        <w:gridCol w:w="2220"/>
      </w:tblGrid>
      <w:tr w:rsidTr="00D00F18">
        <w:tblPrEx>
          <w:tblW w:w="15450" w:type="dxa"/>
          <w:tblCellMar>
            <w:left w:w="70" w:type="dxa"/>
            <w:right w:w="70" w:type="dxa"/>
          </w:tblCellMar>
          <w:tblLook w:val="0000"/>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Výdavky (v eurách) spolu zákon č.442/2002 Z. z.  a zákon č. 364/2004 Z. z.</w:t>
            </w:r>
          </w:p>
        </w:tc>
        <w:tc>
          <w:tcPr>
            <w:tcW w:w="6160" w:type="dxa"/>
            <w:gridSpan w:val="4"/>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poznámka</w:t>
            </w:r>
          </w:p>
        </w:tc>
      </w:tr>
      <w:tr w:rsidTr="00D00F18">
        <w:tblPrEx>
          <w:tblW w:w="15450" w:type="dxa"/>
          <w:tblCellMar>
            <w:left w:w="70" w:type="dxa"/>
            <w:right w:w="70" w:type="dxa"/>
          </w:tblCellMar>
          <w:tblLook w:val="0000"/>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D00F18" w:rsidRPr="00D00F18" w:rsidP="00D00F18">
            <w:pPr>
              <w:spacing w:after="0" w:line="240" w:lineRule="auto"/>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rsidR="00D00F18" w:rsidRPr="00D00F18" w:rsidP="00D00F18">
            <w:pPr>
              <w:spacing w:after="0" w:line="240" w:lineRule="auto"/>
              <w:rPr>
                <w:rFonts w:ascii="Times New Roman" w:eastAsia="Times New Roman" w:hAnsi="Times New Roman"/>
                <w:b/>
                <w:bCs/>
                <w:sz w:val="24"/>
                <w:szCs w:val="24"/>
                <w:lang w:eastAsia="sk-SK"/>
              </w:rPr>
            </w:pP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vertAlign w:val="superscript"/>
                <w:lang w:eastAsia="sk-SK"/>
              </w:rPr>
            </w:pPr>
            <w:r w:rsidRPr="00D00F18">
              <w:rPr>
                <w:rFonts w:ascii="Times New Roman" w:eastAsia="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vertAlign w:val="superscript"/>
                <w:lang w:eastAsia="sk-SK"/>
              </w:rPr>
            </w:pPr>
            <w:r w:rsidRPr="00D00F18">
              <w:rPr>
                <w:rFonts w:ascii="Times New Roman" w:eastAsia="Times New Roman" w:hAnsi="Times New Roman"/>
                <w:sz w:val="20"/>
                <w:szCs w:val="20"/>
                <w:lang w:eastAsia="sk-SK"/>
              </w:rPr>
              <w:t xml:space="preserve">  Tovary a služby (630)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vertAlign w:val="superscript"/>
                <w:lang w:eastAsia="sk-SK"/>
              </w:rPr>
            </w:pPr>
            <w:r w:rsidRPr="00D00F18">
              <w:rPr>
                <w:rFonts w:ascii="Times New Roman" w:eastAsia="Times New Roman" w:hAnsi="Times New Roman"/>
                <w:sz w:val="20"/>
                <w:szCs w:val="20"/>
                <w:lang w:eastAsia="sk-SK"/>
              </w:rPr>
              <w:t xml:space="preserve">  Bežné transfery (640)</w:t>
            </w:r>
            <w:r w:rsidRPr="00D00F18">
              <w:rPr>
                <w:rFonts w:ascii="Times New Roman" w:eastAsia="Times New Roman" w:hAnsi="Times New Roman"/>
                <w:sz w:val="20"/>
                <w:szCs w:val="20"/>
                <w:vertAlign w:val="superscript"/>
                <w:lang w:eastAsia="sk-SK"/>
              </w:rPr>
              <w:t>2</w:t>
            </w:r>
          </w:p>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641001 – transfer VÚVH (vrátane nákladov SHMÚ, ŠGÚDŠ a SVP)</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760 600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753 150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653 950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640 220</w:t>
            </w: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vAlign w:val="center"/>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Splácanie úrokov a ostatné platby súvisiace s </w:t>
            </w:r>
            <w:r w:rsidRPr="00D00F18">
              <w:rPr>
                <w:rFonts w:ascii="Times New Roman" w:hAnsi="Times New Roman"/>
              </w:rPr>
              <w:t xml:space="preserve"> </w:t>
            </w:r>
            <w:r w:rsidRPr="00D00F18">
              <w:rPr>
                <w:rFonts w:ascii="Times New Roman" w:eastAsia="Times New Roman" w:hAnsi="Times New Roman"/>
                <w:sz w:val="20"/>
                <w:szCs w:val="20"/>
                <w:lang w:eastAsia="sk-SK"/>
              </w:rPr>
              <w:t>úverom, pôžičkou, návratnou finančnou výpomocou a finančným prenájmom (650)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Obstarávanie kapitálových aktív (710)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609"/>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vertAlign w:val="superscript"/>
                <w:lang w:eastAsia="sk-SK"/>
              </w:rPr>
            </w:pPr>
            <w:r w:rsidRPr="00D00F18">
              <w:rPr>
                <w:rFonts w:ascii="Times New Roman" w:eastAsia="Times New Roman" w:hAnsi="Times New Roman"/>
                <w:sz w:val="20"/>
                <w:szCs w:val="20"/>
                <w:lang w:eastAsia="sk-SK"/>
              </w:rPr>
              <w:t xml:space="preserve">  Kapitálové transfery (720)</w:t>
            </w:r>
            <w:r w:rsidRPr="00D00F18">
              <w:rPr>
                <w:rFonts w:ascii="Times New Roman" w:eastAsia="Times New Roman" w:hAnsi="Times New Roman"/>
                <w:sz w:val="20"/>
                <w:szCs w:val="20"/>
                <w:vertAlign w:val="superscript"/>
                <w:lang w:eastAsia="sk-SK"/>
              </w:rPr>
              <w:t>2</w:t>
            </w:r>
          </w:p>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721001 – tran</w:t>
            </w:r>
            <w:r w:rsidRPr="00D00F18">
              <w:rPr>
                <w:rFonts w:ascii="Times New Roman" w:eastAsia="Times New Roman" w:hAnsi="Times New Roman"/>
                <w:sz w:val="20"/>
                <w:szCs w:val="20"/>
                <w:lang w:eastAsia="sk-SK"/>
              </w:rPr>
              <w:t>sfer VÚVH</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41 700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183 700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13 700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6 000</w:t>
            </w: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802 300</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936 850</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667 650</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0"/>
                <w:szCs w:val="24"/>
                <w:lang w:eastAsia="sk-SK"/>
              </w:rPr>
              <w:t>646 220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bl>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2 –  výdavky rozpísať až do položiek platnej ekonomickej k</w:t>
      </w:r>
      <w:r w:rsidRPr="00D00F18">
        <w:rPr>
          <w:rFonts w:ascii="Times New Roman" w:eastAsia="Times New Roman" w:hAnsi="Times New Roman"/>
          <w:bCs/>
          <w:sz w:val="20"/>
          <w:szCs w:val="20"/>
          <w:lang w:eastAsia="sk-SK"/>
        </w:rPr>
        <w:t>lasifikácie</w:t>
      </w:r>
    </w:p>
    <w:p w:rsidR="00D00F18" w:rsidRPr="00D00F18" w:rsidP="00D00F18">
      <w:pPr>
        <w:tabs>
          <w:tab w:val="num" w:pos="1080"/>
        </w:tabs>
        <w:spacing w:after="0" w:line="240" w:lineRule="auto"/>
        <w:ind w:right="-32"/>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32"/>
        <w:jc w:val="right"/>
        <w:rPr>
          <w:rFonts w:ascii="Times New Roman" w:eastAsia="Times New Roman" w:hAnsi="Times New Roman"/>
          <w:bCs/>
          <w:sz w:val="24"/>
          <w:szCs w:val="24"/>
          <w:lang w:eastAsia="sk-SK"/>
        </w:rPr>
      </w:pPr>
      <w:r w:rsidRPr="00D00F18">
        <w:rPr>
          <w:rFonts w:ascii="Times New Roman" w:eastAsia="Times New Roman" w:hAnsi="Times New Roman"/>
          <w:bCs/>
          <w:sz w:val="24"/>
          <w:szCs w:val="24"/>
          <w:lang w:eastAsia="sk-SK"/>
        </w:rPr>
        <w:t>Tabuľka č. 9</w:t>
      </w:r>
    </w:p>
    <w:tbl>
      <w:tblPr>
        <w:tblStyle w:val="TableNormal"/>
        <w:tblpPr w:leftFromText="141" w:rightFromText="141" w:vertAnchor="text" w:horzAnchor="page" w:tblpX="629" w:tblpY="2"/>
        <w:tblW w:w="15450" w:type="dxa"/>
        <w:tblCellMar>
          <w:left w:w="70" w:type="dxa"/>
          <w:right w:w="70" w:type="dxa"/>
        </w:tblCellMar>
        <w:tblLook w:val="0000"/>
      </w:tblPr>
      <w:tblGrid>
        <w:gridCol w:w="7070"/>
        <w:gridCol w:w="1540"/>
        <w:gridCol w:w="1540"/>
        <w:gridCol w:w="1540"/>
        <w:gridCol w:w="1540"/>
        <w:gridCol w:w="2220"/>
      </w:tblGrid>
      <w:tr w:rsidTr="00D00F18">
        <w:tblPrEx>
          <w:tblW w:w="15450" w:type="dxa"/>
          <w:tblCellMar>
            <w:left w:w="70" w:type="dxa"/>
            <w:right w:w="70" w:type="dxa"/>
          </w:tblCellMar>
          <w:tblLook w:val="0000"/>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 xml:space="preserve">Výdavky (v eurách)  zákon č. 442/2002 Z. z.  </w:t>
            </w:r>
          </w:p>
        </w:tc>
        <w:tc>
          <w:tcPr>
            <w:tcW w:w="6160" w:type="dxa"/>
            <w:gridSpan w:val="4"/>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poznámka</w:t>
            </w:r>
          </w:p>
        </w:tc>
      </w:tr>
      <w:tr w:rsidTr="00D00F18">
        <w:tblPrEx>
          <w:tblW w:w="15450" w:type="dxa"/>
          <w:tblCellMar>
            <w:left w:w="70" w:type="dxa"/>
            <w:right w:w="70" w:type="dxa"/>
          </w:tblCellMar>
          <w:tblLook w:val="0000"/>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D00F18" w:rsidRPr="00D00F18" w:rsidP="00D00F18">
            <w:pPr>
              <w:spacing w:after="0" w:line="240" w:lineRule="auto"/>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rsidR="00D00F18" w:rsidRPr="00D00F18" w:rsidP="00D00F18">
            <w:pPr>
              <w:spacing w:after="0" w:line="240" w:lineRule="auto"/>
              <w:rPr>
                <w:rFonts w:ascii="Times New Roman" w:eastAsia="Times New Roman" w:hAnsi="Times New Roman"/>
                <w:b/>
                <w:bCs/>
                <w:sz w:val="24"/>
                <w:szCs w:val="24"/>
                <w:lang w:eastAsia="sk-SK"/>
              </w:rPr>
            </w:pP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vertAlign w:val="superscript"/>
                <w:lang w:eastAsia="sk-SK"/>
              </w:rPr>
            </w:pPr>
            <w:r w:rsidRPr="00D00F18">
              <w:rPr>
                <w:rFonts w:ascii="Times New Roman" w:eastAsia="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vertAlign w:val="superscript"/>
                <w:lang w:eastAsia="sk-SK"/>
              </w:rPr>
            </w:pPr>
            <w:r w:rsidRPr="00D00F18">
              <w:rPr>
                <w:rFonts w:ascii="Times New Roman" w:eastAsia="Times New Roman" w:hAnsi="Times New Roman"/>
                <w:sz w:val="20"/>
                <w:szCs w:val="20"/>
                <w:lang w:eastAsia="sk-SK"/>
              </w:rPr>
              <w:t xml:space="preserve">  Tovary a služby (630)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vertAlign w:val="superscript"/>
                <w:lang w:eastAsia="sk-SK"/>
              </w:rPr>
            </w:pPr>
            <w:r w:rsidRPr="00D00F18">
              <w:rPr>
                <w:rFonts w:ascii="Times New Roman" w:eastAsia="Times New Roman" w:hAnsi="Times New Roman"/>
                <w:sz w:val="20"/>
                <w:szCs w:val="20"/>
                <w:lang w:eastAsia="sk-SK"/>
              </w:rPr>
              <w:t xml:space="preserve">  Bežné transfery (640)</w:t>
            </w:r>
            <w:r w:rsidRPr="00D00F18">
              <w:rPr>
                <w:rFonts w:ascii="Times New Roman" w:eastAsia="Times New Roman" w:hAnsi="Times New Roman"/>
                <w:sz w:val="20"/>
                <w:szCs w:val="20"/>
                <w:vertAlign w:val="superscript"/>
                <w:lang w:eastAsia="sk-SK"/>
              </w:rPr>
              <w:t>2</w:t>
            </w:r>
          </w:p>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641001 – transfer VÚVH</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122 500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140 600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64 350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67 650</w:t>
            </w: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vAlign w:val="center"/>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Splácanie úrokov a ostatné platby súvisiace s </w:t>
            </w:r>
            <w:r w:rsidRPr="00D00F18">
              <w:rPr>
                <w:rFonts w:ascii="Times New Roman" w:hAnsi="Times New Roman"/>
              </w:rPr>
              <w:t xml:space="preserve"> </w:t>
            </w:r>
            <w:r w:rsidRPr="00D00F18">
              <w:rPr>
                <w:rFonts w:ascii="Times New Roman" w:eastAsia="Times New Roman" w:hAnsi="Times New Roman"/>
                <w:sz w:val="20"/>
                <w:szCs w:val="20"/>
                <w:lang w:eastAsia="sk-SK"/>
              </w:rPr>
              <w:t>úverom, pôžičkou, návratnou finančnou výpomocou a finančným pren</w:t>
            </w:r>
            <w:r w:rsidRPr="00D00F18">
              <w:rPr>
                <w:rFonts w:ascii="Times New Roman" w:eastAsia="Times New Roman" w:hAnsi="Times New Roman"/>
                <w:sz w:val="20"/>
                <w:szCs w:val="20"/>
                <w:lang w:eastAsia="sk-SK"/>
              </w:rPr>
              <w:t>ájmom (650)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Obstarávanie kapitálových aktív (710)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vertAlign w:val="superscript"/>
                <w:lang w:eastAsia="sk-SK"/>
              </w:rPr>
            </w:pPr>
            <w:r w:rsidRPr="00D00F18">
              <w:rPr>
                <w:rFonts w:ascii="Times New Roman" w:eastAsia="Times New Roman" w:hAnsi="Times New Roman"/>
                <w:sz w:val="20"/>
                <w:szCs w:val="20"/>
                <w:lang w:eastAsia="sk-SK"/>
              </w:rPr>
              <w:t xml:space="preserve">  Kapitálové transfery (720)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Dopad na výdavky verejnej správy celko</w:t>
            </w:r>
            <w:r w:rsidRPr="00D00F18">
              <w:rPr>
                <w:rFonts w:ascii="Times New Roman" w:eastAsia="Times New Roman" w:hAnsi="Times New Roman"/>
                <w:b/>
                <w:bCs/>
                <w:sz w:val="20"/>
                <w:szCs w:val="20"/>
                <w:lang w:eastAsia="sk-SK"/>
              </w:rPr>
              <w:t>m</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122 500</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140 600</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64 350</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0"/>
                <w:szCs w:val="20"/>
                <w:lang w:eastAsia="sk-SK"/>
              </w:rPr>
              <w:t>67 650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bl>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p>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p>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p>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p>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p>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p>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p>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p>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p>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p>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p>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p>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p>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p>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p>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p>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p>
    <w:p w:rsidR="00D00F18" w:rsidRPr="00D00F18" w:rsidP="00D00F18">
      <w:pPr>
        <w:tabs>
          <w:tab w:val="num" w:pos="1080"/>
        </w:tabs>
        <w:spacing w:after="0" w:line="240" w:lineRule="auto"/>
        <w:ind w:right="-32"/>
        <w:jc w:val="right"/>
        <w:rPr>
          <w:rFonts w:ascii="Times New Roman" w:eastAsia="Times New Roman" w:hAnsi="Times New Roman"/>
          <w:b/>
          <w:bCs/>
          <w:sz w:val="24"/>
          <w:szCs w:val="20"/>
          <w:lang w:eastAsia="sk-SK"/>
        </w:rPr>
      </w:pPr>
      <w:r w:rsidRPr="00D00F18">
        <w:rPr>
          <w:rFonts w:ascii="Times New Roman" w:eastAsia="Times New Roman" w:hAnsi="Times New Roman"/>
          <w:bCs/>
          <w:sz w:val="24"/>
          <w:szCs w:val="24"/>
          <w:lang w:eastAsia="sk-SK"/>
        </w:rPr>
        <w:t>Tabuľka č. 10</w:t>
      </w:r>
    </w:p>
    <w:tbl>
      <w:tblPr>
        <w:tblStyle w:val="TableNormal"/>
        <w:tblpPr w:leftFromText="141" w:rightFromText="141" w:vertAnchor="text" w:horzAnchor="page" w:tblpX="629" w:tblpY="2"/>
        <w:tblW w:w="15450" w:type="dxa"/>
        <w:tblCellMar>
          <w:left w:w="70" w:type="dxa"/>
          <w:right w:w="70" w:type="dxa"/>
        </w:tblCellMar>
        <w:tblLook w:val="0000"/>
      </w:tblPr>
      <w:tblGrid>
        <w:gridCol w:w="7070"/>
        <w:gridCol w:w="1540"/>
        <w:gridCol w:w="1540"/>
        <w:gridCol w:w="1540"/>
        <w:gridCol w:w="1540"/>
        <w:gridCol w:w="2220"/>
      </w:tblGrid>
      <w:tr w:rsidTr="00D00F18">
        <w:tblPrEx>
          <w:tblW w:w="15450" w:type="dxa"/>
          <w:tblCellMar>
            <w:left w:w="70" w:type="dxa"/>
            <w:right w:w="70" w:type="dxa"/>
          </w:tblCellMar>
          <w:tblLook w:val="0000"/>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Výdavky (v eurách)  zákon č. 364/2004 Z. z.</w:t>
            </w:r>
          </w:p>
        </w:tc>
        <w:tc>
          <w:tcPr>
            <w:tcW w:w="6160" w:type="dxa"/>
            <w:gridSpan w:val="4"/>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poznámka</w:t>
            </w:r>
          </w:p>
        </w:tc>
      </w:tr>
      <w:tr w:rsidTr="00D00F18">
        <w:tblPrEx>
          <w:tblW w:w="15450" w:type="dxa"/>
          <w:tblCellMar>
            <w:left w:w="70" w:type="dxa"/>
            <w:right w:w="70" w:type="dxa"/>
          </w:tblCellMar>
          <w:tblLook w:val="0000"/>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D00F18" w:rsidRPr="00D00F18" w:rsidP="00D00F18">
            <w:pPr>
              <w:spacing w:after="0" w:line="240" w:lineRule="auto"/>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rsidR="00D00F18" w:rsidRPr="00D00F18" w:rsidP="00D00F18">
            <w:pPr>
              <w:spacing w:after="0" w:line="240" w:lineRule="auto"/>
              <w:rPr>
                <w:rFonts w:ascii="Times New Roman" w:eastAsia="Times New Roman" w:hAnsi="Times New Roman"/>
                <w:b/>
                <w:bCs/>
                <w:sz w:val="24"/>
                <w:szCs w:val="24"/>
                <w:lang w:eastAsia="sk-SK"/>
              </w:rPr>
            </w:pP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Mzdy, platy, služobné príjmy a ostatné osobné vyro</w:t>
            </w:r>
            <w:r w:rsidRPr="00D00F18">
              <w:rPr>
                <w:rFonts w:ascii="Times New Roman" w:eastAsia="Times New Roman" w:hAnsi="Times New Roman"/>
                <w:sz w:val="20"/>
                <w:szCs w:val="20"/>
                <w:lang w:eastAsia="sk-SK"/>
              </w:rPr>
              <w:t>vnania (610)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vertAlign w:val="superscript"/>
                <w:lang w:eastAsia="sk-SK"/>
              </w:rPr>
            </w:pPr>
            <w:r w:rsidRPr="00D00F18">
              <w:rPr>
                <w:rFonts w:ascii="Times New Roman" w:eastAsia="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vertAlign w:val="superscript"/>
                <w:lang w:eastAsia="sk-SK"/>
              </w:rPr>
            </w:pPr>
            <w:r w:rsidRPr="00D00F18">
              <w:rPr>
                <w:rFonts w:ascii="Times New Roman" w:eastAsia="Times New Roman" w:hAnsi="Times New Roman"/>
                <w:sz w:val="20"/>
                <w:szCs w:val="20"/>
                <w:lang w:eastAsia="sk-SK"/>
              </w:rPr>
              <w:t xml:space="preserve">  Tovary a služby (630)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vertAlign w:val="superscript"/>
                <w:lang w:eastAsia="sk-SK"/>
              </w:rPr>
            </w:pPr>
            <w:r w:rsidRPr="00D00F18">
              <w:rPr>
                <w:rFonts w:ascii="Times New Roman" w:eastAsia="Times New Roman" w:hAnsi="Times New Roman"/>
                <w:sz w:val="20"/>
                <w:szCs w:val="20"/>
                <w:lang w:eastAsia="sk-SK"/>
              </w:rPr>
              <w:t xml:space="preserve">  Bežné transfery (640)</w:t>
            </w:r>
            <w:r w:rsidRPr="00D00F18">
              <w:rPr>
                <w:rFonts w:ascii="Times New Roman" w:eastAsia="Times New Roman" w:hAnsi="Times New Roman"/>
                <w:sz w:val="20"/>
                <w:szCs w:val="20"/>
                <w:vertAlign w:val="superscript"/>
                <w:lang w:eastAsia="sk-SK"/>
              </w:rPr>
              <w:t>2</w:t>
            </w:r>
          </w:p>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641001 – transfer VÚVH (vrátane nákladov SHMÚ a ŠGÚDŠ)</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638 100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612 550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589 600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572 570</w:t>
            </w: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vAlign w:val="center"/>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Splácanie úrokov a ostatné platby súvis</w:t>
            </w:r>
            <w:r w:rsidRPr="00D00F18">
              <w:rPr>
                <w:rFonts w:ascii="Times New Roman" w:eastAsia="Times New Roman" w:hAnsi="Times New Roman"/>
                <w:sz w:val="20"/>
                <w:szCs w:val="20"/>
                <w:lang w:eastAsia="sk-SK"/>
              </w:rPr>
              <w:t>iace s </w:t>
            </w:r>
            <w:r w:rsidRPr="00D00F18">
              <w:rPr>
                <w:rFonts w:ascii="Times New Roman" w:hAnsi="Times New Roman"/>
              </w:rPr>
              <w:t xml:space="preserve"> </w:t>
            </w:r>
            <w:r w:rsidRPr="00D00F18">
              <w:rPr>
                <w:rFonts w:ascii="Times New Roman" w:eastAsia="Times New Roman" w:hAnsi="Times New Roman"/>
                <w:sz w:val="20"/>
                <w:szCs w:val="20"/>
                <w:lang w:eastAsia="sk-SK"/>
              </w:rPr>
              <w:t>úverom, pôžičkou, návratnou finančnou výpomocou a finančným prenájmom (650)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Obstarávanie kapitálových aktív (710)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vertAlign w:val="superscript"/>
                <w:lang w:eastAsia="sk-SK"/>
              </w:rPr>
            </w:pPr>
            <w:r w:rsidRPr="00D00F18">
              <w:rPr>
                <w:rFonts w:ascii="Times New Roman" w:eastAsia="Times New Roman" w:hAnsi="Times New Roman"/>
                <w:sz w:val="20"/>
                <w:szCs w:val="20"/>
                <w:lang w:eastAsia="sk-SK"/>
              </w:rPr>
              <w:t xml:space="preserve">  Kapitálové transfery (720)</w:t>
            </w:r>
            <w:r w:rsidRPr="00D00F18">
              <w:rPr>
                <w:rFonts w:ascii="Times New Roman" w:eastAsia="Times New Roman" w:hAnsi="Times New Roman"/>
                <w:sz w:val="20"/>
                <w:szCs w:val="20"/>
                <w:vertAlign w:val="superscript"/>
                <w:lang w:eastAsia="sk-SK"/>
              </w:rPr>
              <w:t>2</w:t>
            </w:r>
          </w:p>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721001 – transfer VÚVH</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41 700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183 700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13 700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6 000</w:t>
            </w: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679 800</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796 250</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603 300</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0"/>
                <w:szCs w:val="24"/>
                <w:lang w:eastAsia="sk-SK"/>
              </w:rPr>
              <w:t>578 570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bl>
    <w:p w:rsidR="00D00F18" w:rsidRPr="00D00F18" w:rsidP="00D00F18">
      <w:pPr>
        <w:tabs>
          <w:tab w:val="num" w:pos="1080"/>
        </w:tabs>
        <w:spacing w:after="0" w:line="240" w:lineRule="auto"/>
        <w:ind w:left="-900"/>
        <w:jc w:val="both"/>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Poznámka:</w:t>
      </w:r>
    </w:p>
    <w:p w:rsidR="00D00F18" w:rsidRPr="00D00F18" w:rsidP="00D00F18">
      <w:pPr>
        <w:tabs>
          <w:tab w:val="num" w:pos="1080"/>
        </w:tabs>
        <w:spacing w:after="0" w:line="240" w:lineRule="auto"/>
        <w:ind w:left="-900"/>
        <w:jc w:val="both"/>
        <w:rPr>
          <w:rFonts w:ascii="Times New Roman" w:eastAsia="Times New Roman" w:hAnsi="Times New Roman"/>
          <w:bCs/>
          <w:sz w:val="24"/>
          <w:szCs w:val="24"/>
          <w:lang w:eastAsia="sk-SK"/>
        </w:rPr>
      </w:pPr>
      <w:r w:rsidRPr="00D00F18">
        <w:rPr>
          <w:rFonts w:ascii="Times New Roman" w:eastAsia="Times New Roman" w:hAnsi="Times New Roman"/>
          <w:bCs/>
          <w:sz w:val="24"/>
          <w:szCs w:val="24"/>
          <w:lang w:eastAsia="sk-SK"/>
        </w:rPr>
        <w:t>Ak sa vplyv týka viacerých subjektov verejnej správy, vypĺňa sa samostatná tabuľka za každ</w:t>
      </w:r>
      <w:r w:rsidRPr="00D00F18">
        <w:rPr>
          <w:rFonts w:ascii="Times New Roman" w:eastAsia="Times New Roman" w:hAnsi="Times New Roman"/>
          <w:bCs/>
          <w:sz w:val="24"/>
          <w:szCs w:val="24"/>
          <w:lang w:eastAsia="sk-SK"/>
        </w:rPr>
        <w:t>ý subjekt.</w:t>
      </w:r>
    </w:p>
    <w:p w:rsidR="00D00F18" w:rsidRPr="00D00F18" w:rsidP="00D00F18">
      <w:pPr>
        <w:tabs>
          <w:tab w:val="num" w:pos="1080"/>
        </w:tabs>
        <w:spacing w:after="0" w:line="240" w:lineRule="auto"/>
        <w:ind w:left="-900"/>
        <w:jc w:val="both"/>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jc w:val="right"/>
        <w:rPr>
          <w:rFonts w:ascii="Times New Roman" w:eastAsia="Times New Roman" w:hAnsi="Times New Roman"/>
          <w:bCs/>
          <w:sz w:val="24"/>
          <w:szCs w:val="20"/>
          <w:lang w:eastAsia="sk-SK"/>
        </w:rPr>
      </w:pPr>
      <w:r w:rsidRPr="00D00F18">
        <w:rPr>
          <w:rFonts w:ascii="Times New Roman" w:eastAsia="Times New Roman" w:hAnsi="Times New Roman"/>
          <w:bCs/>
          <w:sz w:val="24"/>
          <w:szCs w:val="24"/>
          <w:lang w:eastAsia="sk-SK"/>
        </w:rPr>
        <w:t xml:space="preserve">                Tabuľka č. 11</w:t>
      </w:r>
    </w:p>
    <w:tbl>
      <w:tblPr>
        <w:tblStyle w:val="TableNormal"/>
        <w:tblW w:w="15434" w:type="dxa"/>
        <w:tblInd w:w="-784" w:type="dxa"/>
        <w:tblCellMar>
          <w:left w:w="70" w:type="dxa"/>
          <w:right w:w="70" w:type="dxa"/>
        </w:tblCellMar>
        <w:tblLook w:val="0000"/>
      </w:tblPr>
      <w:tblGrid>
        <w:gridCol w:w="6808"/>
        <w:gridCol w:w="1078"/>
        <w:gridCol w:w="1788"/>
        <w:gridCol w:w="720"/>
        <w:gridCol w:w="1698"/>
        <w:gridCol w:w="1722"/>
        <w:gridCol w:w="630"/>
        <w:gridCol w:w="990"/>
      </w:tblGrid>
      <w:tr w:rsidTr="00D00F18">
        <w:tblPrEx>
          <w:tblW w:w="15434" w:type="dxa"/>
          <w:tblInd w:w="-784" w:type="dxa"/>
          <w:tblCellMar>
            <w:left w:w="70" w:type="dxa"/>
            <w:right w:w="70" w:type="dxa"/>
          </w:tblCellMar>
          <w:tblLook w:val="0000"/>
        </w:tblPrEx>
        <w:trPr>
          <w:cantSplit/>
          <w:trHeight w:val="255"/>
        </w:trPr>
        <w:tc>
          <w:tcPr>
            <w:tcW w:w="680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Zamestnanosť</w:t>
            </w:r>
          </w:p>
        </w:tc>
        <w:tc>
          <w:tcPr>
            <w:tcW w:w="7006" w:type="dxa"/>
            <w:gridSpan w:val="5"/>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poznámka</w:t>
            </w:r>
          </w:p>
        </w:tc>
      </w:tr>
      <w:tr w:rsidTr="00D00F18">
        <w:tblPrEx>
          <w:tblW w:w="15434" w:type="dxa"/>
          <w:tblInd w:w="-784" w:type="dxa"/>
          <w:tblCellMar>
            <w:left w:w="70" w:type="dxa"/>
            <w:right w:w="70" w:type="dxa"/>
          </w:tblCellMar>
          <w:tblLook w:val="0000"/>
        </w:tblPrEx>
        <w:trPr>
          <w:cantSplit/>
          <w:trHeight w:val="255"/>
        </w:trPr>
        <w:tc>
          <w:tcPr>
            <w:tcW w:w="680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D00F18" w:rsidRPr="00D00F18" w:rsidP="00D00F18">
            <w:pPr>
              <w:spacing w:after="0" w:line="240" w:lineRule="auto"/>
              <w:rPr>
                <w:rFonts w:ascii="Times New Roman" w:eastAsia="Times New Roman" w:hAnsi="Times New Roman"/>
                <w:b/>
                <w:bCs/>
                <w:sz w:val="24"/>
                <w:szCs w:val="24"/>
                <w:lang w:eastAsia="sk-SK"/>
              </w:rPr>
            </w:pPr>
          </w:p>
        </w:tc>
        <w:tc>
          <w:tcPr>
            <w:tcW w:w="1078"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2023</w:t>
            </w:r>
          </w:p>
        </w:tc>
        <w:tc>
          <w:tcPr>
            <w:tcW w:w="1788"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2024</w:t>
            </w:r>
          </w:p>
        </w:tc>
        <w:tc>
          <w:tcPr>
            <w:tcW w:w="2418" w:type="dxa"/>
            <w:gridSpan w:val="2"/>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2025</w:t>
            </w:r>
          </w:p>
        </w:tc>
        <w:tc>
          <w:tcPr>
            <w:tcW w:w="1722"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2026</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D00F18" w:rsidRPr="00D00F18" w:rsidP="00D00F18">
            <w:pPr>
              <w:spacing w:after="0" w:line="240" w:lineRule="auto"/>
              <w:rPr>
                <w:rFonts w:ascii="Times New Roman" w:eastAsia="Times New Roman" w:hAnsi="Times New Roman"/>
                <w:b/>
                <w:bCs/>
                <w:sz w:val="24"/>
                <w:szCs w:val="24"/>
                <w:lang w:eastAsia="sk-SK"/>
              </w:rPr>
            </w:pPr>
          </w:p>
        </w:tc>
      </w:tr>
      <w:tr w:rsidTr="00D00F18">
        <w:tblPrEx>
          <w:tblW w:w="15434" w:type="dxa"/>
          <w:tblInd w:w="-784" w:type="dxa"/>
          <w:tblCellMar>
            <w:left w:w="70" w:type="dxa"/>
            <w:right w:w="70" w:type="dxa"/>
          </w:tblCellMar>
          <w:tblLook w:val="0000"/>
        </w:tblPrEx>
        <w:trPr>
          <w:trHeight w:val="255"/>
        </w:trPr>
        <w:tc>
          <w:tcPr>
            <w:tcW w:w="680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Počet zamestnancov celkom</w:t>
            </w:r>
          </w:p>
        </w:tc>
        <w:tc>
          <w:tcPr>
            <w:tcW w:w="107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34" w:type="dxa"/>
          <w:tblInd w:w="-784" w:type="dxa"/>
          <w:tblCellMar>
            <w:left w:w="70" w:type="dxa"/>
            <w:right w:w="70" w:type="dxa"/>
          </w:tblCellMar>
          <w:tblLook w:val="0000"/>
        </w:tblPrEx>
        <w:trPr>
          <w:trHeight w:val="255"/>
        </w:trPr>
        <w:tc>
          <w:tcPr>
            <w:tcW w:w="680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xml:space="preserve">   z toho vplyv na ŠR</w:t>
            </w:r>
          </w:p>
        </w:tc>
        <w:tc>
          <w:tcPr>
            <w:tcW w:w="1078"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r w:rsidTr="00D00F18">
        <w:tblPrEx>
          <w:tblW w:w="15434" w:type="dxa"/>
          <w:tblInd w:w="-784" w:type="dxa"/>
          <w:tblCellMar>
            <w:left w:w="70" w:type="dxa"/>
            <w:right w:w="70" w:type="dxa"/>
          </w:tblCellMar>
          <w:tblLook w:val="0000"/>
        </w:tblPrEx>
        <w:trPr>
          <w:trHeight w:val="255"/>
        </w:trPr>
        <w:tc>
          <w:tcPr>
            <w:tcW w:w="680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Priemerný mzdový výdavok (v eurách)</w:t>
            </w:r>
          </w:p>
        </w:tc>
        <w:tc>
          <w:tcPr>
            <w:tcW w:w="1078"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34" w:type="dxa"/>
          <w:tblInd w:w="-784" w:type="dxa"/>
          <w:tblCellMar>
            <w:left w:w="70" w:type="dxa"/>
            <w:right w:w="70" w:type="dxa"/>
          </w:tblCellMar>
          <w:tblLook w:val="0000"/>
        </w:tblPrEx>
        <w:trPr>
          <w:trHeight w:val="255"/>
        </w:trPr>
        <w:tc>
          <w:tcPr>
            <w:tcW w:w="680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b/>
                <w:bCs/>
                <w:sz w:val="24"/>
                <w:szCs w:val="24"/>
                <w:lang w:eastAsia="sk-SK"/>
              </w:rPr>
              <w:t xml:space="preserve">   z toho vplyv n</w:t>
            </w:r>
            <w:r w:rsidRPr="00D00F18">
              <w:rPr>
                <w:rFonts w:ascii="Times New Roman" w:eastAsia="Times New Roman" w:hAnsi="Times New Roman"/>
                <w:b/>
                <w:bCs/>
                <w:sz w:val="24"/>
                <w:szCs w:val="24"/>
                <w:lang w:eastAsia="sk-SK"/>
              </w:rPr>
              <w:t>a ŠR</w:t>
            </w:r>
          </w:p>
        </w:tc>
        <w:tc>
          <w:tcPr>
            <w:tcW w:w="1078"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34" w:type="dxa"/>
          <w:tblInd w:w="-784" w:type="dxa"/>
          <w:tblCellMar>
            <w:left w:w="70" w:type="dxa"/>
            <w:right w:w="70" w:type="dxa"/>
          </w:tblCellMar>
          <w:tblLook w:val="0000"/>
        </w:tblPrEx>
        <w:trPr>
          <w:trHeight w:val="255"/>
        </w:trPr>
        <w:tc>
          <w:tcPr>
            <w:tcW w:w="6808" w:type="dxa"/>
            <w:tcBorders>
              <w:top w:val="nil"/>
              <w:left w:val="single" w:sz="4" w:space="0" w:color="auto"/>
              <w:bottom w:val="single" w:sz="4" w:space="0" w:color="auto"/>
              <w:right w:val="single" w:sz="4" w:space="0" w:color="auto"/>
            </w:tcBorders>
            <w:shd w:val="clear" w:color="auto" w:fill="BFBFBF"/>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Osobné výdavky celkom (v eurách)</w:t>
            </w:r>
          </w:p>
        </w:tc>
        <w:tc>
          <w:tcPr>
            <w:tcW w:w="1078"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noWrap/>
            <w:vAlign w:val="bottom"/>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r>
      <w:tr w:rsidTr="00D00F18">
        <w:tblPrEx>
          <w:tblW w:w="15434" w:type="dxa"/>
          <w:tblInd w:w="-784" w:type="dxa"/>
          <w:tblCellMar>
            <w:left w:w="70" w:type="dxa"/>
            <w:right w:w="70" w:type="dxa"/>
          </w:tblCellMar>
          <w:tblLook w:val="0000"/>
        </w:tblPrEx>
        <w:trPr>
          <w:trHeight w:val="255"/>
        </w:trPr>
        <w:tc>
          <w:tcPr>
            <w:tcW w:w="680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Mzdy, platy, služobné príjmy a ostatné osobné vyrovnania (610)</w:t>
            </w:r>
          </w:p>
        </w:tc>
        <w:tc>
          <w:tcPr>
            <w:tcW w:w="107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r>
      <w:tr w:rsidTr="00D00F18">
        <w:tblPrEx>
          <w:tblW w:w="15434" w:type="dxa"/>
          <w:tblInd w:w="-784" w:type="dxa"/>
          <w:tblCellMar>
            <w:left w:w="70" w:type="dxa"/>
            <w:right w:w="70" w:type="dxa"/>
          </w:tblCellMar>
          <w:tblLook w:val="0000"/>
        </w:tblPrEx>
        <w:trPr>
          <w:trHeight w:val="255"/>
        </w:trPr>
        <w:tc>
          <w:tcPr>
            <w:tcW w:w="680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b/>
                <w:bCs/>
                <w:sz w:val="24"/>
                <w:szCs w:val="24"/>
                <w:lang w:eastAsia="sk-SK"/>
              </w:rPr>
              <w:t xml:space="preserve">   z toho vplyv na ŠR</w:t>
            </w:r>
          </w:p>
        </w:tc>
        <w:tc>
          <w:tcPr>
            <w:tcW w:w="107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1722"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34" w:type="dxa"/>
          <w:tblInd w:w="-784" w:type="dxa"/>
          <w:tblCellMar>
            <w:left w:w="70" w:type="dxa"/>
            <w:right w:w="70" w:type="dxa"/>
          </w:tblCellMar>
          <w:tblLook w:val="0000"/>
        </w:tblPrEx>
        <w:trPr>
          <w:trHeight w:val="255"/>
        </w:trPr>
        <w:tc>
          <w:tcPr>
            <w:tcW w:w="680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Poistné a príspevok do poisťovní (620)</w:t>
            </w:r>
          </w:p>
        </w:tc>
        <w:tc>
          <w:tcPr>
            <w:tcW w:w="107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r>
      <w:tr w:rsidTr="00D00F18">
        <w:tblPrEx>
          <w:tblW w:w="15434" w:type="dxa"/>
          <w:tblInd w:w="-784" w:type="dxa"/>
          <w:tblCellMar>
            <w:left w:w="70" w:type="dxa"/>
            <w:right w:w="70" w:type="dxa"/>
          </w:tblCellMar>
          <w:tblLook w:val="0000"/>
        </w:tblPrEx>
        <w:trPr>
          <w:trHeight w:val="255"/>
        </w:trPr>
        <w:tc>
          <w:tcPr>
            <w:tcW w:w="680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b/>
                <w:bCs/>
                <w:sz w:val="24"/>
                <w:szCs w:val="24"/>
                <w:lang w:eastAsia="sk-SK"/>
              </w:rPr>
              <w:t xml:space="preserve">   z toho vplyv na ŠR</w:t>
            </w:r>
          </w:p>
        </w:tc>
        <w:tc>
          <w:tcPr>
            <w:tcW w:w="107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1722"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34" w:type="dxa"/>
          <w:tblInd w:w="-784" w:type="dxa"/>
          <w:tblCellMar>
            <w:left w:w="70" w:type="dxa"/>
            <w:right w:w="70" w:type="dxa"/>
          </w:tblCellMar>
          <w:tblLook w:val="0000"/>
        </w:tblPrEx>
        <w:trPr>
          <w:trHeight w:val="255"/>
        </w:trPr>
        <w:tc>
          <w:tcPr>
            <w:tcW w:w="6808"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078"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788"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2418" w:type="dxa"/>
            <w:gridSpan w:val="2"/>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722"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620" w:type="dxa"/>
            <w:gridSpan w:val="2"/>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r w:rsidTr="00D00F18">
        <w:tblPrEx>
          <w:tblW w:w="15434" w:type="dxa"/>
          <w:tblInd w:w="-784" w:type="dxa"/>
          <w:tblCellMar>
            <w:left w:w="70" w:type="dxa"/>
            <w:right w:w="70" w:type="dxa"/>
          </w:tblCellMar>
          <w:tblLook w:val="0000"/>
        </w:tblPrEx>
        <w:trPr>
          <w:trHeight w:val="255"/>
        </w:trPr>
        <w:tc>
          <w:tcPr>
            <w:tcW w:w="6808" w:type="dxa"/>
            <w:tcBorders>
              <w:top w:val="nil"/>
              <w:left w:val="nil"/>
              <w:bottom w:val="nil"/>
              <w:right w:val="nil"/>
            </w:tcBorders>
          </w:tcPr>
          <w:p w:rsidR="00D00F18" w:rsidRPr="00D00F18" w:rsidP="00D00F18">
            <w:pPr>
              <w:spacing w:after="0" w:line="240" w:lineRule="auto"/>
              <w:rPr>
                <w:rFonts w:ascii="Times New Roman" w:eastAsia="Times New Roman" w:hAnsi="Times New Roman"/>
                <w:b/>
                <w:bCs/>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Poznámky:</w:t>
            </w:r>
          </w:p>
        </w:tc>
        <w:tc>
          <w:tcPr>
            <w:tcW w:w="1078"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788"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2418" w:type="dxa"/>
            <w:gridSpan w:val="2"/>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722"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620" w:type="dxa"/>
            <w:gridSpan w:val="2"/>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r w:rsidTr="00D00F18">
        <w:tblPrEx>
          <w:tblW w:w="15434" w:type="dxa"/>
          <w:tblInd w:w="-784" w:type="dxa"/>
          <w:tblCellMar>
            <w:left w:w="70" w:type="dxa"/>
            <w:right w:w="70" w:type="dxa"/>
          </w:tblCellMar>
          <w:tblLook w:val="0000"/>
        </w:tblPrEx>
        <w:trPr>
          <w:trHeight w:val="255"/>
        </w:trPr>
        <w:tc>
          <w:tcPr>
            <w:tcW w:w="13814" w:type="dxa"/>
            <w:gridSpan w:val="6"/>
            <w:tcBorders>
              <w:top w:val="nil"/>
              <w:left w:val="nil"/>
              <w:bottom w:val="nil"/>
              <w:right w:val="nil"/>
            </w:tcBorders>
            <w:noWrap/>
          </w:tcPr>
          <w:p w:rsidR="00D00F18" w:rsidRPr="00D00F18" w:rsidP="00D00F18">
            <w:pPr>
              <w:tabs>
                <w:tab w:val="num" w:pos="1080"/>
              </w:tabs>
              <w:spacing w:after="0" w:line="240" w:lineRule="auto"/>
              <w:jc w:val="both"/>
              <w:rPr>
                <w:rFonts w:ascii="Times New Roman" w:eastAsia="Times New Roman" w:hAnsi="Times New Roman"/>
                <w:bCs/>
                <w:sz w:val="24"/>
                <w:szCs w:val="20"/>
                <w:lang w:eastAsia="sk-SK"/>
              </w:rPr>
            </w:pPr>
            <w:r w:rsidRPr="00D00F18">
              <w:rPr>
                <w:rFonts w:ascii="Times New Roman" w:eastAsia="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r w:rsidTr="00D00F18">
        <w:tblPrEx>
          <w:tblW w:w="15434" w:type="dxa"/>
          <w:tblInd w:w="-784" w:type="dxa"/>
          <w:tblCellMar>
            <w:left w:w="70" w:type="dxa"/>
            <w:right w:w="70" w:type="dxa"/>
          </w:tblCellMar>
          <w:tblLook w:val="0000"/>
        </w:tblPrEx>
        <w:trPr>
          <w:trHeight w:val="255"/>
        </w:trPr>
        <w:tc>
          <w:tcPr>
            <w:tcW w:w="10394" w:type="dxa"/>
            <w:gridSpan w:val="4"/>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2352" w:type="dxa"/>
            <w:gridSpan w:val="2"/>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990"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bl>
    <w:p w:rsidR="00D00F18" w:rsidRPr="00D00F18" w:rsidP="00D00F18">
      <w:pPr>
        <w:spacing w:after="0" w:line="240" w:lineRule="auto"/>
        <w:rPr>
          <w:rFonts w:ascii="Times New Roman" w:eastAsia="Times New Roman" w:hAnsi="Times New Roman"/>
          <w:b/>
          <w:bCs/>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p>
    <w:p w:rsidR="00D00F18" w:rsidRPr="00D00F18" w:rsidP="00D00F18">
      <w:pPr>
        <w:rPr>
          <w:rFonts w:ascii="Times New Roman" w:hAnsi="Times New Roman"/>
          <w:b/>
          <w:sz w:val="28"/>
          <w:szCs w:val="28"/>
        </w:rPr>
      </w:pPr>
    </w:p>
    <w:p w:rsidR="00D00F18" w:rsidRPr="00D00F18" w:rsidP="00D00F18">
      <w:pPr>
        <w:framePr w:hSpace="141" w:wrap="around" w:vAnchor="text" w:hAnchor="text" w:y="1"/>
        <w:spacing w:after="0" w:line="240" w:lineRule="auto"/>
        <w:suppressOverlap/>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Vplyv na obce, ktoré sú zároveň aj dodávateľmi vody  na manažment rizík systému zásobovania (ide predovšetkým o malé vodárenské systémy s jednoduchou úpravou vody):</w:t>
      </w:r>
    </w:p>
    <w:p w:rsidR="00D00F18" w:rsidRPr="00D00F18" w:rsidP="00D00F18">
      <w:pPr>
        <w:framePr w:hSpace="141" w:wrap="around" w:vAnchor="text" w:hAnchor="text" w:y="1"/>
        <w:spacing w:after="60"/>
        <w:suppressOverlap/>
        <w:jc w:val="both"/>
        <w:rPr>
          <w:rFonts w:ascii="Times New Roman" w:hAnsi="Times New Roman"/>
          <w:i/>
          <w:iCs/>
          <w:sz w:val="24"/>
          <w:szCs w:val="24"/>
          <w:u w:val="single"/>
        </w:rPr>
      </w:pPr>
    </w:p>
    <w:p w:rsidR="00D00F18" w:rsidRPr="00D00F18" w:rsidP="00D00F18">
      <w:pPr>
        <w:framePr w:hSpace="141" w:wrap="around" w:vAnchor="text" w:hAnchor="text" w:y="1"/>
        <w:spacing w:after="60"/>
        <w:suppressOverlap/>
        <w:jc w:val="both"/>
        <w:rPr>
          <w:rFonts w:ascii="Times New Roman" w:hAnsi="Times New Roman"/>
          <w:i/>
          <w:iCs/>
          <w:sz w:val="24"/>
          <w:szCs w:val="24"/>
        </w:rPr>
      </w:pPr>
      <w:r w:rsidRPr="00D00F18">
        <w:rPr>
          <w:rFonts w:ascii="Times New Roman" w:hAnsi="Times New Roman"/>
          <w:i/>
          <w:iCs/>
          <w:sz w:val="24"/>
          <w:szCs w:val="24"/>
          <w:u w:val="single"/>
        </w:rPr>
        <w:t>Východiská</w:t>
      </w:r>
      <w:r w:rsidRPr="00D00F18">
        <w:rPr>
          <w:rFonts w:ascii="Times New Roman" w:hAnsi="Times New Roman"/>
          <w:i/>
          <w:iCs/>
          <w:sz w:val="24"/>
          <w:szCs w:val="24"/>
        </w:rPr>
        <w:t xml:space="preserve">: </w:t>
      </w:r>
    </w:p>
    <w:p w:rsidR="00D00F18" w:rsidRPr="00D00F18" w:rsidP="00AC2F0E">
      <w:pPr>
        <w:framePr w:hSpace="141" w:wrap="around" w:vAnchor="text" w:hAnchor="text" w:y="1"/>
        <w:widowControl w:val="0"/>
        <w:numPr>
          <w:ilvl w:val="0"/>
          <w:numId w:val="32"/>
        </w:numPr>
        <w:adjustRightInd w:val="0"/>
        <w:spacing w:after="60"/>
        <w:contextualSpacing/>
        <w:suppressOverlap/>
        <w:jc w:val="both"/>
        <w:rPr>
          <w:rFonts w:ascii="Times New Roman" w:eastAsia="Times New Roman" w:hAnsi="Times New Roman"/>
          <w:i/>
          <w:iCs/>
          <w:sz w:val="24"/>
          <w:szCs w:val="24"/>
          <w:lang w:eastAsia="cs-CZ"/>
        </w:rPr>
      </w:pPr>
      <w:r w:rsidRPr="00D00F18">
        <w:rPr>
          <w:rFonts w:ascii="Times New Roman" w:eastAsia="Times New Roman" w:hAnsi="Times New Roman"/>
          <w:i/>
          <w:iCs/>
          <w:sz w:val="24"/>
          <w:szCs w:val="24"/>
          <w:lang w:eastAsia="cs-CZ"/>
        </w:rPr>
        <w:t>Počet obci, ktoré prevádzkujú vlastný verejný vodovod (a majú tak štatút dodávateľa pitnej vody)</w:t>
      </w:r>
      <w:r w:rsidRPr="00D00F18">
        <w:rPr>
          <w:rFonts w:ascii="Times New Roman" w:eastAsia="Times New Roman" w:hAnsi="Times New Roman"/>
          <w:i/>
          <w:iCs/>
          <w:sz w:val="24"/>
          <w:szCs w:val="24"/>
          <w:lang w:eastAsia="cs-CZ"/>
        </w:rPr>
        <w:t xml:space="preserve"> je v SR cca 400. </w:t>
      </w:r>
    </w:p>
    <w:p w:rsidR="00D00F18" w:rsidRPr="00D00F18" w:rsidP="00D00F18">
      <w:pPr>
        <w:framePr w:hSpace="141" w:wrap="around" w:vAnchor="text" w:hAnchor="text" w:y="1"/>
        <w:spacing w:after="60"/>
        <w:ind w:left="708"/>
        <w:suppressOverlap/>
        <w:jc w:val="both"/>
        <w:rPr>
          <w:rFonts w:ascii="Times New Roman" w:hAnsi="Times New Roman"/>
          <w:i/>
          <w:iCs/>
          <w:sz w:val="24"/>
          <w:szCs w:val="24"/>
        </w:rPr>
      </w:pPr>
      <w:r w:rsidRPr="00D00F18">
        <w:rPr>
          <w:rFonts w:ascii="Times New Roman" w:hAnsi="Times New Roman"/>
          <w:i/>
          <w:iCs/>
          <w:sz w:val="24"/>
          <w:szCs w:val="24"/>
        </w:rPr>
        <w:t xml:space="preserve">(Zdroj: </w:t>
      </w:r>
      <w:r w:rsidRPr="00D00F18">
        <w:rPr>
          <w:sz w:val="24"/>
          <w:szCs w:val="24"/>
        </w:rPr>
        <w:t xml:space="preserve"> </w:t>
      </w:r>
      <w:r w:rsidRPr="00D00F18">
        <w:rPr>
          <w:rFonts w:ascii="Times New Roman" w:hAnsi="Times New Roman"/>
          <w:i/>
          <w:iCs/>
          <w:sz w:val="24"/>
          <w:szCs w:val="24"/>
        </w:rPr>
        <w:t>Plán rozvoja verejných vodovodov pre územie Slovenskej republiky na roky 2021 – 202, (r. 2019)</w:t>
      </w:r>
    </w:p>
    <w:p w:rsidR="00D00F18" w:rsidRPr="00D00F18" w:rsidP="00AC2F0E">
      <w:pPr>
        <w:framePr w:hSpace="141" w:wrap="around" w:vAnchor="text" w:hAnchor="text" w:y="1"/>
        <w:widowControl w:val="0"/>
        <w:numPr>
          <w:ilvl w:val="0"/>
          <w:numId w:val="32"/>
        </w:numPr>
        <w:adjustRightInd w:val="0"/>
        <w:spacing w:after="60"/>
        <w:contextualSpacing/>
        <w:suppressOverlap/>
        <w:jc w:val="both"/>
        <w:rPr>
          <w:rFonts w:ascii="Times New Roman" w:eastAsia="Times New Roman" w:hAnsi="Times New Roman"/>
          <w:i/>
          <w:iCs/>
          <w:sz w:val="24"/>
          <w:szCs w:val="24"/>
          <w:lang w:eastAsia="cs-CZ"/>
        </w:rPr>
      </w:pPr>
      <w:r w:rsidRPr="00D00F18">
        <w:rPr>
          <w:rFonts w:ascii="Times New Roman" w:eastAsia="Times New Roman" w:hAnsi="Times New Roman"/>
          <w:i/>
          <w:iCs/>
          <w:sz w:val="24"/>
          <w:szCs w:val="24"/>
          <w:lang w:eastAsia="cs-CZ"/>
        </w:rPr>
        <w:t xml:space="preserve">Odhad nákladov pre vytvorenie manažmentu rizík systému zásobovania pitnou vodou pre obecný vodovod (cca 3 000 zásobovaných obyvateľov) na základe českej štúdie z r. 2016 bol cca 65 000 Kč. </w:t>
      </w:r>
    </w:p>
    <w:p w:rsidR="00D00F18" w:rsidRPr="00D00F18" w:rsidP="00AC2F0E">
      <w:pPr>
        <w:framePr w:hSpace="141" w:wrap="around" w:vAnchor="text" w:hAnchor="text" w:y="1"/>
        <w:widowControl w:val="0"/>
        <w:numPr>
          <w:ilvl w:val="0"/>
          <w:numId w:val="32"/>
        </w:numPr>
        <w:adjustRightInd w:val="0"/>
        <w:spacing w:after="60"/>
        <w:contextualSpacing/>
        <w:suppressOverlap/>
        <w:jc w:val="both"/>
        <w:rPr>
          <w:rFonts w:ascii="Times New Roman" w:eastAsia="Times New Roman" w:hAnsi="Times New Roman"/>
          <w:i/>
          <w:iCs/>
          <w:sz w:val="24"/>
          <w:szCs w:val="24"/>
          <w:lang w:eastAsia="cs-CZ"/>
        </w:rPr>
      </w:pPr>
      <w:r w:rsidRPr="00D00F18">
        <w:rPr>
          <w:rFonts w:ascii="Times New Roman" w:eastAsia="Times New Roman" w:hAnsi="Times New Roman"/>
          <w:i/>
          <w:iCs/>
          <w:sz w:val="24"/>
          <w:szCs w:val="24"/>
          <w:lang w:eastAsia="cs-CZ"/>
        </w:rPr>
        <w:t xml:space="preserve">Odhad nákladov navrhujeme upraviť koeficientom 1,5 vzhľadom k nárastu cien od r. 2016. </w:t>
      </w:r>
    </w:p>
    <w:p w:rsidR="00D00F18" w:rsidRPr="00D00F18" w:rsidP="00AC2F0E">
      <w:pPr>
        <w:framePr w:hSpace="141" w:wrap="around" w:vAnchor="text" w:hAnchor="text" w:y="1"/>
        <w:numPr>
          <w:ilvl w:val="0"/>
          <w:numId w:val="32"/>
        </w:numPr>
        <w:spacing w:after="0" w:line="240" w:lineRule="auto"/>
        <w:suppressOverlap/>
        <w:rPr>
          <w:rFonts w:ascii="Times New Roman" w:eastAsia="Times New Roman" w:hAnsi="Times New Roman"/>
          <w:i/>
          <w:iCs/>
          <w:sz w:val="24"/>
          <w:szCs w:val="24"/>
          <w:lang w:eastAsia="cs-CZ"/>
        </w:rPr>
      </w:pPr>
      <w:r w:rsidRPr="00D00F18">
        <w:rPr>
          <w:rFonts w:ascii="Times New Roman" w:eastAsia="Times New Roman" w:hAnsi="Times New Roman"/>
          <w:i/>
          <w:iCs/>
          <w:sz w:val="24"/>
          <w:szCs w:val="24"/>
          <w:lang w:eastAsia="cs-CZ"/>
        </w:rPr>
        <w:t>Predpokladaná celková suma na obdobie 5 rokov (2023 – 2027) na vypracovanie manažmentu rizík systému zásobovania pitnou vodou pre 400 obcí, ktoré sú v SR dodávateľmi pitnej vody je približne 1 600 000 Eur  (teda na jeden rok pre 80 obcí 320 tis.).</w:t>
      </w:r>
    </w:p>
    <w:p w:rsidR="00D00F18" w:rsidRPr="00D00F18" w:rsidP="00D00F18">
      <w:pPr>
        <w:framePr w:hSpace="141" w:wrap="around" w:vAnchor="text" w:hAnchor="text" w:y="1"/>
        <w:widowControl w:val="0"/>
        <w:adjustRightInd w:val="0"/>
        <w:spacing w:after="60"/>
        <w:ind w:left="360"/>
        <w:contextualSpacing/>
        <w:suppressOverlap/>
        <w:jc w:val="both"/>
        <w:rPr>
          <w:i/>
          <w:iCs/>
        </w:rPr>
      </w:pPr>
    </w:p>
    <w:tbl>
      <w:tblPr>
        <w:tblStyle w:val="TableNormal"/>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6"/>
        <w:gridCol w:w="2143"/>
        <w:gridCol w:w="2143"/>
        <w:gridCol w:w="2143"/>
        <w:gridCol w:w="2143"/>
        <w:gridCol w:w="2145"/>
      </w:tblGrid>
      <w:tr w:rsidTr="00AC2F0E">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7"/>
        </w:trPr>
        <w:tc>
          <w:tcPr>
            <w:tcW w:w="2636" w:type="dxa"/>
            <w:shd w:val="clear" w:color="auto" w:fill="auto"/>
          </w:tcPr>
          <w:p w:rsidR="00D00F18" w:rsidRPr="00AC2F0E" w:rsidP="00AC2F0E">
            <w:pPr>
              <w:framePr w:hSpace="141" w:wrap="around" w:vAnchor="text" w:hAnchor="text" w:y="1"/>
              <w:spacing w:after="60"/>
              <w:suppressOverlap/>
              <w:jc w:val="center"/>
              <w:rPr>
                <w:rFonts w:ascii="Times New Roman" w:hAnsi="Times New Roman"/>
                <w:b/>
                <w:bCs/>
                <w:sz w:val="24"/>
                <w:szCs w:val="24"/>
                <w:lang w:eastAsia="sk-SK"/>
              </w:rPr>
            </w:pPr>
            <w:r w:rsidRPr="00AC2F0E">
              <w:rPr>
                <w:rFonts w:ascii="Times New Roman" w:hAnsi="Times New Roman"/>
                <w:b/>
                <w:bCs/>
                <w:sz w:val="24"/>
                <w:szCs w:val="24"/>
                <w:lang w:eastAsia="sk-SK"/>
              </w:rPr>
              <w:t>Rok</w:t>
            </w:r>
          </w:p>
        </w:tc>
        <w:tc>
          <w:tcPr>
            <w:tcW w:w="2143" w:type="dxa"/>
            <w:shd w:val="clear" w:color="auto" w:fill="auto"/>
          </w:tcPr>
          <w:p w:rsidR="00D00F18" w:rsidRPr="00AC2F0E" w:rsidP="00AC2F0E">
            <w:pPr>
              <w:framePr w:hSpace="141" w:wrap="around" w:vAnchor="text" w:hAnchor="text" w:y="1"/>
              <w:spacing w:after="60"/>
              <w:suppressOverlap/>
              <w:jc w:val="center"/>
              <w:rPr>
                <w:rFonts w:ascii="Times New Roman" w:hAnsi="Times New Roman"/>
                <w:sz w:val="24"/>
                <w:szCs w:val="24"/>
                <w:lang w:eastAsia="sk-SK"/>
              </w:rPr>
            </w:pPr>
            <w:r w:rsidRPr="00AC2F0E">
              <w:rPr>
                <w:rFonts w:ascii="Times New Roman" w:hAnsi="Times New Roman"/>
                <w:sz w:val="24"/>
                <w:szCs w:val="24"/>
                <w:lang w:eastAsia="sk-SK"/>
              </w:rPr>
              <w:t>2023</w:t>
            </w:r>
          </w:p>
        </w:tc>
        <w:tc>
          <w:tcPr>
            <w:tcW w:w="2143" w:type="dxa"/>
            <w:shd w:val="clear" w:color="auto" w:fill="auto"/>
          </w:tcPr>
          <w:p w:rsidR="00D00F18" w:rsidRPr="00AC2F0E" w:rsidP="00AC2F0E">
            <w:pPr>
              <w:framePr w:hSpace="141" w:wrap="around" w:vAnchor="text" w:hAnchor="text" w:y="1"/>
              <w:spacing w:after="60"/>
              <w:suppressOverlap/>
              <w:jc w:val="center"/>
              <w:rPr>
                <w:rFonts w:ascii="Times New Roman" w:hAnsi="Times New Roman"/>
                <w:sz w:val="24"/>
                <w:szCs w:val="24"/>
                <w:lang w:eastAsia="sk-SK"/>
              </w:rPr>
            </w:pPr>
            <w:r w:rsidRPr="00AC2F0E">
              <w:rPr>
                <w:rFonts w:ascii="Times New Roman" w:hAnsi="Times New Roman"/>
                <w:sz w:val="24"/>
                <w:szCs w:val="24"/>
                <w:lang w:eastAsia="sk-SK"/>
              </w:rPr>
              <w:t>2024</w:t>
            </w:r>
          </w:p>
        </w:tc>
        <w:tc>
          <w:tcPr>
            <w:tcW w:w="2143" w:type="dxa"/>
            <w:shd w:val="clear" w:color="auto" w:fill="auto"/>
          </w:tcPr>
          <w:p w:rsidR="00D00F18" w:rsidRPr="00AC2F0E" w:rsidP="00AC2F0E">
            <w:pPr>
              <w:framePr w:hSpace="141" w:wrap="around" w:vAnchor="text" w:hAnchor="text" w:y="1"/>
              <w:spacing w:after="60"/>
              <w:suppressOverlap/>
              <w:jc w:val="center"/>
              <w:rPr>
                <w:rFonts w:ascii="Times New Roman" w:hAnsi="Times New Roman"/>
                <w:sz w:val="24"/>
                <w:szCs w:val="24"/>
                <w:lang w:eastAsia="sk-SK"/>
              </w:rPr>
            </w:pPr>
            <w:r w:rsidRPr="00AC2F0E">
              <w:rPr>
                <w:rFonts w:ascii="Times New Roman" w:hAnsi="Times New Roman"/>
                <w:sz w:val="24"/>
                <w:szCs w:val="24"/>
                <w:lang w:eastAsia="sk-SK"/>
              </w:rPr>
              <w:t>2025</w:t>
            </w:r>
          </w:p>
        </w:tc>
        <w:tc>
          <w:tcPr>
            <w:tcW w:w="2143" w:type="dxa"/>
            <w:shd w:val="clear" w:color="auto" w:fill="auto"/>
          </w:tcPr>
          <w:p w:rsidR="00D00F18" w:rsidRPr="00AC2F0E" w:rsidP="00AC2F0E">
            <w:pPr>
              <w:framePr w:hSpace="141" w:wrap="around" w:vAnchor="text" w:hAnchor="text" w:y="1"/>
              <w:spacing w:after="60"/>
              <w:suppressOverlap/>
              <w:jc w:val="center"/>
              <w:rPr>
                <w:rFonts w:ascii="Times New Roman" w:hAnsi="Times New Roman"/>
                <w:sz w:val="24"/>
                <w:szCs w:val="24"/>
                <w:lang w:eastAsia="sk-SK"/>
              </w:rPr>
            </w:pPr>
            <w:r w:rsidRPr="00AC2F0E">
              <w:rPr>
                <w:rFonts w:ascii="Times New Roman" w:hAnsi="Times New Roman"/>
                <w:sz w:val="24"/>
                <w:szCs w:val="24"/>
                <w:lang w:eastAsia="sk-SK"/>
              </w:rPr>
              <w:t>2026</w:t>
            </w:r>
          </w:p>
        </w:tc>
        <w:tc>
          <w:tcPr>
            <w:tcW w:w="2145" w:type="dxa"/>
            <w:shd w:val="clear" w:color="auto" w:fill="auto"/>
          </w:tcPr>
          <w:p w:rsidR="00D00F18" w:rsidRPr="00AC2F0E" w:rsidP="00AC2F0E">
            <w:pPr>
              <w:framePr w:hSpace="141" w:wrap="around" w:vAnchor="text" w:hAnchor="text" w:y="1"/>
              <w:spacing w:after="60"/>
              <w:suppressOverlap/>
              <w:jc w:val="center"/>
              <w:rPr>
                <w:rFonts w:ascii="Times New Roman" w:hAnsi="Times New Roman"/>
                <w:sz w:val="24"/>
                <w:szCs w:val="24"/>
                <w:lang w:eastAsia="sk-SK"/>
              </w:rPr>
            </w:pPr>
            <w:r w:rsidRPr="00AC2F0E">
              <w:rPr>
                <w:rFonts w:ascii="Times New Roman" w:hAnsi="Times New Roman"/>
                <w:sz w:val="24"/>
                <w:szCs w:val="24"/>
                <w:lang w:eastAsia="sk-SK"/>
              </w:rPr>
              <w:t>2027</w:t>
            </w:r>
          </w:p>
        </w:tc>
      </w:tr>
      <w:tr w:rsidTr="00AC2F0E">
        <w:tblPrEx>
          <w:tblW w:w="0" w:type="auto"/>
          <w:tblInd w:w="250" w:type="dxa"/>
          <w:tblLook w:val="04A0"/>
        </w:tblPrEx>
        <w:trPr>
          <w:trHeight w:val="491"/>
        </w:trPr>
        <w:tc>
          <w:tcPr>
            <w:tcW w:w="2636" w:type="dxa"/>
            <w:shd w:val="clear" w:color="auto" w:fill="auto"/>
          </w:tcPr>
          <w:p w:rsidR="00D00F18" w:rsidRPr="00AC2F0E" w:rsidP="00AC2F0E">
            <w:pPr>
              <w:framePr w:hSpace="141" w:wrap="around" w:vAnchor="text" w:hAnchor="text" w:y="1"/>
              <w:spacing w:after="60"/>
              <w:suppressOverlap/>
              <w:jc w:val="center"/>
              <w:rPr>
                <w:rFonts w:ascii="Times New Roman" w:hAnsi="Times New Roman"/>
                <w:b/>
                <w:bCs/>
                <w:sz w:val="24"/>
                <w:szCs w:val="24"/>
                <w:lang w:eastAsia="sk-SK"/>
              </w:rPr>
            </w:pPr>
            <w:r w:rsidRPr="00AC2F0E">
              <w:rPr>
                <w:rFonts w:ascii="Times New Roman" w:hAnsi="Times New Roman"/>
                <w:b/>
                <w:bCs/>
                <w:sz w:val="24"/>
                <w:szCs w:val="24"/>
                <w:lang w:eastAsia="sk-SK"/>
              </w:rPr>
              <w:t>Výdavky [EUR]</w:t>
            </w:r>
          </w:p>
        </w:tc>
        <w:tc>
          <w:tcPr>
            <w:tcW w:w="2143" w:type="dxa"/>
            <w:shd w:val="clear" w:color="auto" w:fill="auto"/>
          </w:tcPr>
          <w:p w:rsidR="00D00F18" w:rsidRPr="00AC2F0E" w:rsidP="00AC2F0E">
            <w:pPr>
              <w:framePr w:hSpace="141" w:wrap="around" w:vAnchor="text" w:hAnchor="text" w:y="1"/>
              <w:spacing w:after="60"/>
              <w:suppressOverlap/>
              <w:jc w:val="center"/>
              <w:rPr>
                <w:rFonts w:ascii="Times New Roman" w:hAnsi="Times New Roman"/>
                <w:sz w:val="24"/>
                <w:szCs w:val="24"/>
                <w:lang w:eastAsia="sk-SK"/>
              </w:rPr>
            </w:pPr>
            <w:r w:rsidRPr="00AC2F0E">
              <w:rPr>
                <w:rFonts w:ascii="Times New Roman" w:hAnsi="Times New Roman"/>
                <w:sz w:val="24"/>
                <w:szCs w:val="24"/>
                <w:lang w:eastAsia="sk-SK"/>
              </w:rPr>
              <w:t>320 tis.</w:t>
            </w:r>
          </w:p>
        </w:tc>
        <w:tc>
          <w:tcPr>
            <w:tcW w:w="2143" w:type="dxa"/>
            <w:shd w:val="clear" w:color="auto" w:fill="auto"/>
          </w:tcPr>
          <w:p w:rsidR="00D00F18" w:rsidRPr="00AC2F0E" w:rsidP="00AC2F0E">
            <w:pPr>
              <w:framePr w:hSpace="141" w:wrap="around" w:vAnchor="text" w:hAnchor="text" w:y="1"/>
              <w:spacing w:after="60"/>
              <w:suppressOverlap/>
              <w:jc w:val="center"/>
              <w:rPr>
                <w:rFonts w:ascii="Times New Roman" w:hAnsi="Times New Roman"/>
                <w:sz w:val="24"/>
                <w:szCs w:val="24"/>
                <w:lang w:eastAsia="sk-SK"/>
              </w:rPr>
            </w:pPr>
            <w:r w:rsidRPr="00AC2F0E">
              <w:rPr>
                <w:rFonts w:ascii="Times New Roman" w:hAnsi="Times New Roman"/>
                <w:sz w:val="24"/>
                <w:szCs w:val="24"/>
                <w:lang w:eastAsia="sk-SK"/>
              </w:rPr>
              <w:t>320 tis.</w:t>
            </w:r>
          </w:p>
        </w:tc>
        <w:tc>
          <w:tcPr>
            <w:tcW w:w="2143" w:type="dxa"/>
            <w:shd w:val="clear" w:color="auto" w:fill="auto"/>
          </w:tcPr>
          <w:p w:rsidR="00D00F18" w:rsidRPr="00AC2F0E" w:rsidP="00AC2F0E">
            <w:pPr>
              <w:framePr w:hSpace="141" w:wrap="around" w:vAnchor="text" w:hAnchor="text" w:y="1"/>
              <w:spacing w:after="60"/>
              <w:suppressOverlap/>
              <w:jc w:val="center"/>
              <w:rPr>
                <w:rFonts w:ascii="Times New Roman" w:hAnsi="Times New Roman"/>
                <w:sz w:val="24"/>
                <w:szCs w:val="24"/>
                <w:lang w:eastAsia="sk-SK"/>
              </w:rPr>
            </w:pPr>
            <w:r w:rsidRPr="00AC2F0E">
              <w:rPr>
                <w:rFonts w:ascii="Times New Roman" w:hAnsi="Times New Roman"/>
                <w:sz w:val="24"/>
                <w:szCs w:val="24"/>
                <w:lang w:eastAsia="sk-SK"/>
              </w:rPr>
              <w:t>320 tis.</w:t>
            </w:r>
          </w:p>
        </w:tc>
        <w:tc>
          <w:tcPr>
            <w:tcW w:w="2143" w:type="dxa"/>
            <w:shd w:val="clear" w:color="auto" w:fill="auto"/>
          </w:tcPr>
          <w:p w:rsidR="00D00F18" w:rsidRPr="00AC2F0E" w:rsidP="00AC2F0E">
            <w:pPr>
              <w:framePr w:hSpace="141" w:wrap="around" w:vAnchor="text" w:hAnchor="text" w:y="1"/>
              <w:spacing w:after="60"/>
              <w:suppressOverlap/>
              <w:jc w:val="center"/>
              <w:rPr>
                <w:rFonts w:ascii="Times New Roman" w:hAnsi="Times New Roman"/>
                <w:sz w:val="24"/>
                <w:szCs w:val="24"/>
                <w:lang w:eastAsia="sk-SK"/>
              </w:rPr>
            </w:pPr>
            <w:r w:rsidRPr="00AC2F0E">
              <w:rPr>
                <w:rFonts w:ascii="Times New Roman" w:hAnsi="Times New Roman"/>
                <w:sz w:val="24"/>
                <w:szCs w:val="24"/>
                <w:lang w:eastAsia="sk-SK"/>
              </w:rPr>
              <w:t>320 tis.</w:t>
            </w:r>
          </w:p>
        </w:tc>
        <w:tc>
          <w:tcPr>
            <w:tcW w:w="2145" w:type="dxa"/>
            <w:shd w:val="clear" w:color="auto" w:fill="auto"/>
          </w:tcPr>
          <w:p w:rsidR="00D00F18" w:rsidRPr="00AC2F0E" w:rsidP="00AC2F0E">
            <w:pPr>
              <w:framePr w:hSpace="141" w:wrap="around" w:vAnchor="text" w:hAnchor="text" w:y="1"/>
              <w:spacing w:after="60"/>
              <w:suppressOverlap/>
              <w:jc w:val="center"/>
              <w:rPr>
                <w:rFonts w:ascii="Times New Roman" w:hAnsi="Times New Roman"/>
                <w:sz w:val="24"/>
                <w:szCs w:val="24"/>
                <w:lang w:eastAsia="sk-SK"/>
              </w:rPr>
            </w:pPr>
            <w:r w:rsidRPr="00AC2F0E">
              <w:rPr>
                <w:rFonts w:ascii="Times New Roman" w:hAnsi="Times New Roman"/>
                <w:sz w:val="24"/>
                <w:szCs w:val="24"/>
                <w:lang w:eastAsia="sk-SK"/>
              </w:rPr>
              <w:t>320 tis.</w:t>
            </w:r>
          </w:p>
        </w:tc>
      </w:tr>
    </w:tbl>
    <w:p w:rsidR="00D00F18" w:rsidRPr="00D00F18" w:rsidP="00D00F18">
      <w:pPr>
        <w:framePr w:hSpace="141" w:wrap="around" w:vAnchor="text" w:hAnchor="text" w:y="1"/>
        <w:spacing w:before="120" w:after="60"/>
        <w:suppressOverlap/>
        <w:jc w:val="both"/>
        <w:rPr>
          <w:rFonts w:ascii="Times New Roman" w:hAnsi="Times New Roman"/>
          <w:i/>
          <w:iCs/>
          <w:sz w:val="24"/>
          <w:szCs w:val="24"/>
        </w:rPr>
      </w:pPr>
    </w:p>
    <w:p w:rsidR="00D00F18" w:rsidRPr="00D00F18" w:rsidP="00D00F18">
      <w:pPr>
        <w:spacing w:after="60"/>
        <w:jc w:val="both"/>
        <w:rPr>
          <w:rFonts w:ascii="Times New Roman" w:eastAsia="Times New Roman" w:hAnsi="Times New Roman"/>
          <w:b/>
          <w:bCs/>
          <w:sz w:val="24"/>
          <w:szCs w:val="24"/>
          <w:lang w:eastAsia="sk-SK"/>
        </w:rPr>
      </w:pPr>
      <w:r w:rsidRPr="00D00F18">
        <w:rPr>
          <w:rFonts w:ascii="Times New Roman" w:hAnsi="Times New Roman"/>
          <w:bCs/>
          <w:i/>
          <w:sz w:val="24"/>
          <w:szCs w:val="24"/>
        </w:rPr>
        <w:t>Česká štúdia odporúča malým obciam, ktoré sú zároveň aj dodávateľmi pitnej vody, aby sa spojili s ďalšími takýmito obcami a manažment rizík systému zásobovania pitnou vodou si dali vykonať externej firme/osobe, ktorá sa problematikou zaoberá. Je to najmä z dôvodu, že v tomto prípade nie je možné predpokladať, že náklady na analýzu budú môcť byť zahrnuté v cene vodného, ale že ich bude musieť hradiť vlastník vodovodu. Pri premietnutí náklady do ceny vodného by mohli narásť ceny totiž až o 17 %.</w:t>
      </w:r>
    </w:p>
    <w:p w:rsidR="00D00F18" w:rsidRPr="00D00F18" w:rsidP="00D00F18">
      <w:pPr>
        <w:spacing w:after="60"/>
        <w:jc w:val="both"/>
        <w:rPr>
          <w:rFonts w:ascii="Times New Roman" w:hAnsi="Times New Roman"/>
          <w:bCs/>
          <w:i/>
          <w:sz w:val="24"/>
          <w:szCs w:val="24"/>
        </w:rPr>
      </w:pPr>
    </w:p>
    <w:p w:rsidR="00D00F18" w:rsidRPr="00D00F18" w:rsidP="00D00F18">
      <w:pPr>
        <w:spacing w:after="60"/>
        <w:jc w:val="both"/>
        <w:rPr>
          <w:rFonts w:ascii="Times New Roman" w:hAnsi="Times New Roman"/>
          <w:bCs/>
          <w:i/>
          <w:sz w:val="24"/>
          <w:szCs w:val="24"/>
        </w:rPr>
      </w:pPr>
      <w:r w:rsidRPr="00D00F18">
        <w:rPr>
          <w:rFonts w:ascii="Times New Roman" w:hAnsi="Times New Roman"/>
          <w:bCs/>
          <w:i/>
          <w:sz w:val="24"/>
          <w:szCs w:val="24"/>
        </w:rPr>
        <w:t>Zároveň treba zdôrazniť, že vyššie náklady za „manažment rizík systému zásobovania pitnou vodou“, v ktorom sa budú po prvýkrát vyčíslovať všetky riziká a ktorý sa bude následne každých 6 rokov aktualizovať by mal priniesť v ďalších rokoch pre dodávateľov pitnej vody zníženie nákladov na monitor</w:t>
      </w:r>
      <w:r w:rsidRPr="00D00F18">
        <w:rPr>
          <w:rFonts w:ascii="Times New Roman" w:hAnsi="Times New Roman"/>
          <w:bCs/>
          <w:i/>
          <w:sz w:val="24"/>
          <w:szCs w:val="24"/>
        </w:rPr>
        <w:t>ovanie u o cca 20%.</w:t>
      </w:r>
    </w:p>
    <w:p w:rsidR="00D00F18" w:rsidRPr="00D00F18" w:rsidP="00D00F18">
      <w:pPr>
        <w:spacing w:after="0" w:line="240" w:lineRule="auto"/>
        <w:rPr>
          <w:rFonts w:ascii="Times New Roman" w:eastAsia="Times New Roman" w:hAnsi="Times New Roman"/>
          <w:b/>
          <w:bCs/>
          <w:sz w:val="24"/>
          <w:szCs w:val="24"/>
          <w:lang w:eastAsia="sk-SK"/>
        </w:rPr>
        <w:sectPr w:rsidSect="00D00F18">
          <w:pgSz w:w="16838" w:h="11906" w:orient="landscape" w:code="9"/>
          <w:pgMar w:top="1418" w:right="1418" w:bottom="1418" w:left="1418" w:header="709" w:footer="709" w:gutter="0"/>
          <w:cols w:space="708"/>
          <w:docGrid w:linePitch="360"/>
        </w:sectPr>
      </w:pPr>
    </w:p>
    <w:p w:rsidR="00D00F18" w:rsidRPr="00D00F18" w:rsidP="00D00F18">
      <w:pPr>
        <w:jc w:val="center"/>
        <w:rPr>
          <w:rFonts w:ascii="Times New Roman" w:eastAsia="Times New Roman" w:hAnsi="Times New Roman"/>
          <w:b/>
          <w:bCs/>
          <w:sz w:val="24"/>
          <w:szCs w:val="24"/>
          <w:u w:val="single"/>
          <w:lang w:eastAsia="sk-SK"/>
        </w:rPr>
      </w:pPr>
      <w:r w:rsidRPr="00D00F18">
        <w:rPr>
          <w:rFonts w:ascii="Times New Roman" w:eastAsia="Times New Roman" w:hAnsi="Times New Roman"/>
          <w:b/>
          <w:bCs/>
          <w:sz w:val="24"/>
          <w:szCs w:val="24"/>
          <w:u w:val="single"/>
          <w:lang w:eastAsia="sk-SK"/>
        </w:rPr>
        <w:t>Ministerstvo vnútra SR</w:t>
      </w:r>
    </w:p>
    <w:p w:rsidR="00D00F18" w:rsidRPr="00D00F18" w:rsidP="00D00F18">
      <w:pP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2.3.1. Financovanie návrhu - Návrh na riešenie úbytku príjmov alebo zvýšených výdavkov podľa § 33 ods. 1 zákona č. 523/2004 Z. z. o rozpočtových pravidlách verejnej správy:</w:t>
      </w:r>
    </w:p>
    <w:p w:rsidR="00D00F18" w:rsidRPr="00D00F18" w:rsidP="00D00F1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sz w:val="20"/>
          <w:szCs w:val="20"/>
          <w:lang w:eastAsia="sk-SK"/>
        </w:rPr>
      </w:pPr>
    </w:p>
    <w:p w:rsidR="00D00F18" w:rsidRPr="00D00F18" w:rsidP="00D00F1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sz w:val="20"/>
          <w:szCs w:val="20"/>
          <w:lang w:eastAsia="sk-SK"/>
        </w:rPr>
      </w:pPr>
    </w:p>
    <w:p w:rsidR="00D00F18" w:rsidRPr="00D00F18" w:rsidP="00D00F1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sz w:val="20"/>
          <w:szCs w:val="20"/>
          <w:lang w:eastAsia="sk-SK"/>
        </w:rPr>
      </w:pPr>
    </w:p>
    <w:p w:rsidR="00D00F18" w:rsidRPr="00D00F18" w:rsidP="00D00F1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sz w:val="20"/>
          <w:szCs w:val="20"/>
          <w:lang w:eastAsia="sk-SK"/>
        </w:rPr>
      </w:pPr>
    </w:p>
    <w:p w:rsidR="00D00F18" w:rsidRPr="00D00F18" w:rsidP="00D00F1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sz w:val="20"/>
          <w:szCs w:val="20"/>
          <w:lang w:eastAsia="sk-SK"/>
        </w:rPr>
      </w:pPr>
    </w:p>
    <w:p w:rsidR="00D00F18" w:rsidRPr="00D00F18" w:rsidP="00D00F1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b/>
          <w:bCs/>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2.2. Popis a charakteristika návr</w:t>
      </w:r>
      <w:r w:rsidRPr="00D00F18">
        <w:rPr>
          <w:rFonts w:ascii="Times New Roman" w:eastAsia="Times New Roman" w:hAnsi="Times New Roman"/>
          <w:b/>
          <w:bCs/>
          <w:sz w:val="24"/>
          <w:szCs w:val="24"/>
          <w:lang w:eastAsia="sk-SK"/>
        </w:rPr>
        <w:t>hu</w:t>
      </w:r>
    </w:p>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jc w:val="both"/>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2.2.1. Popis návrhu:</w:t>
      </w:r>
    </w:p>
    <w:p w:rsidR="00D00F18" w:rsidRPr="00D00F18" w:rsidP="00D00F18">
      <w:pPr>
        <w:spacing w:after="0" w:line="240" w:lineRule="auto"/>
        <w:jc w:val="both"/>
        <w:rPr>
          <w:rFonts w:ascii="Times New Roman" w:eastAsia="Times New Roman" w:hAnsi="Times New Roman"/>
          <w:b/>
          <w:bCs/>
          <w:sz w:val="24"/>
          <w:szCs w:val="24"/>
          <w:lang w:eastAsia="sk-SK"/>
        </w:rPr>
      </w:pPr>
    </w:p>
    <w:p w:rsidR="00D00F18" w:rsidRPr="00D00F18" w:rsidP="00D00F18">
      <w:pPr>
        <w:spacing w:after="0" w:line="240" w:lineRule="auto"/>
        <w:ind w:firstLine="708"/>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Akú problematiku návrh rieši? Kto bude návrh implementovať? Kde sa budú služby poskytovať?</w:t>
      </w:r>
    </w:p>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2.2.2. Charakteristika návrhu:</w:t>
      </w:r>
    </w:p>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b/>
          <w:sz w:val="24"/>
          <w:szCs w:val="24"/>
          <w:bdr w:val="single" w:sz="4" w:space="0" w:color="auto"/>
          <w:lang w:eastAsia="sk-SK"/>
        </w:rPr>
        <w:t xml:space="preserve">     </w:t>
      </w:r>
      <w:r w:rsidRPr="00D00F18">
        <w:rPr>
          <w:rFonts w:ascii="Times New Roman" w:eastAsia="Times New Roman" w:hAnsi="Times New Roman"/>
          <w:b/>
          <w:sz w:val="24"/>
          <w:szCs w:val="24"/>
          <w:lang w:eastAsia="sk-SK"/>
        </w:rPr>
        <w:t xml:space="preserve">  </w:t>
      </w:r>
      <w:r w:rsidRPr="00D00F18">
        <w:rPr>
          <w:rFonts w:ascii="Times New Roman" w:eastAsia="Times New Roman" w:hAnsi="Times New Roman"/>
          <w:sz w:val="24"/>
          <w:szCs w:val="24"/>
          <w:lang w:eastAsia="sk-SK"/>
        </w:rPr>
        <w:t>zmena sadzby</w:t>
      </w: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bdr w:val="single" w:sz="4" w:space="0" w:color="auto"/>
          <w:lang w:eastAsia="sk-SK"/>
        </w:rPr>
        <w:t xml:space="preserve">     </w:t>
      </w:r>
      <w:r w:rsidRPr="00D00F18">
        <w:rPr>
          <w:rFonts w:ascii="Times New Roman" w:eastAsia="Times New Roman" w:hAnsi="Times New Roman"/>
          <w:sz w:val="24"/>
          <w:szCs w:val="24"/>
          <w:lang w:eastAsia="sk-SK"/>
        </w:rPr>
        <w:t xml:space="preserve">  zmena v nároku</w:t>
      </w: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bdr w:val="single" w:sz="4" w:space="0" w:color="auto"/>
          <w:lang w:eastAsia="sk-SK"/>
        </w:rPr>
        <w:t xml:space="preserve">     </w:t>
      </w:r>
      <w:r w:rsidRPr="00D00F18">
        <w:rPr>
          <w:rFonts w:ascii="Times New Roman" w:eastAsia="Times New Roman" w:hAnsi="Times New Roman"/>
          <w:sz w:val="24"/>
          <w:szCs w:val="24"/>
          <w:lang w:eastAsia="sk-SK"/>
        </w:rPr>
        <w:t xml:space="preserve">  nová služba alebo nariadenie (alebo ich zrušenie)</w:t>
      </w: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bdr w:val="single" w:sz="4" w:space="0" w:color="auto"/>
          <w:lang w:eastAsia="sk-SK"/>
        </w:rPr>
        <w:t xml:space="preserve">     </w:t>
      </w:r>
      <w:r w:rsidRPr="00D00F18">
        <w:rPr>
          <w:rFonts w:ascii="Times New Roman" w:eastAsia="Times New Roman" w:hAnsi="Times New Roman"/>
          <w:sz w:val="24"/>
          <w:szCs w:val="24"/>
          <w:lang w:eastAsia="sk-SK"/>
        </w:rPr>
        <w:t xml:space="preserve">  </w:t>
      </w:r>
      <w:r w:rsidRPr="00D00F18">
        <w:rPr>
          <w:rFonts w:ascii="Times New Roman" w:eastAsia="Times New Roman" w:hAnsi="Times New Roman"/>
          <w:sz w:val="24"/>
          <w:szCs w:val="24"/>
          <w:lang w:eastAsia="sk-SK"/>
        </w:rPr>
        <w:t>kombinovaný návrh</w:t>
      </w: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bdr w:val="single" w:sz="4" w:space="0" w:color="auto"/>
          <w:lang w:eastAsia="sk-SK"/>
        </w:rPr>
        <w:t xml:space="preserve">     </w:t>
      </w:r>
      <w:r w:rsidRPr="00D00F18">
        <w:rPr>
          <w:rFonts w:ascii="Times New Roman" w:eastAsia="Times New Roman" w:hAnsi="Times New Roman"/>
          <w:sz w:val="24"/>
          <w:szCs w:val="24"/>
          <w:lang w:eastAsia="sk-SK"/>
        </w:rPr>
        <w:t xml:space="preserve">  iné </w:t>
      </w:r>
    </w:p>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b/>
          <w:bCs/>
          <w:sz w:val="24"/>
          <w:szCs w:val="24"/>
          <w:lang w:eastAsia="sk-SK"/>
        </w:rPr>
        <w:t>2.2.3. Predpoklady vývoja objemu aktivít:</w:t>
      </w:r>
    </w:p>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ind w:firstLine="708"/>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Jasne popíšte, v prípade potreby použite nižšie uvedenú tabuľku. Uveďte aj odhady základov daní a/alebo poplatkov, ak sa ich táto zmena týka.</w:t>
      </w:r>
    </w:p>
    <w:p w:rsidR="00D00F18" w:rsidRPr="00D00F18" w:rsidP="00D00F18">
      <w:pPr>
        <w:spacing w:after="0" w:line="240" w:lineRule="auto"/>
        <w:jc w:val="right"/>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Tabuľka č. 12 </w:t>
      </w:r>
    </w:p>
    <w:tbl>
      <w:tblPr>
        <w:tblStyle w:val="TableNormal"/>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0"/>
        <w:gridCol w:w="1134"/>
        <w:gridCol w:w="1134"/>
        <w:gridCol w:w="1134"/>
        <w:gridCol w:w="1134"/>
      </w:tblGrid>
      <w:tr w:rsidTr="00D00F18">
        <w:tblPrEx>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70"/>
        </w:trPr>
        <w:tc>
          <w:tcPr>
            <w:tcW w:w="4530" w:type="dxa"/>
            <w:vMerge w:val="restart"/>
            <w:shd w:val="clear" w:color="auto" w:fill="BFBFBF"/>
            <w:vAlign w:val="center"/>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Objem aktivít</w:t>
            </w:r>
          </w:p>
        </w:tc>
        <w:tc>
          <w:tcPr>
            <w:tcW w:w="4536" w:type="dxa"/>
            <w:gridSpan w:val="4"/>
            <w:shd w:val="clear" w:color="auto" w:fill="BFBFBF"/>
            <w:vAlign w:val="center"/>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Odhadované</w:t>
            </w:r>
            <w:r w:rsidRPr="00D00F18">
              <w:rPr>
                <w:rFonts w:ascii="Times New Roman" w:eastAsia="Times New Roman" w:hAnsi="Times New Roman"/>
                <w:b/>
                <w:bCs/>
                <w:sz w:val="24"/>
                <w:szCs w:val="24"/>
                <w:lang w:eastAsia="sk-SK"/>
              </w:rPr>
              <w:t xml:space="preserve"> objemy</w:t>
            </w:r>
          </w:p>
        </w:tc>
      </w:tr>
      <w:tr w:rsidTr="00D00F18">
        <w:tblPrEx>
          <w:tblW w:w="9066" w:type="dxa"/>
          <w:tblInd w:w="78" w:type="dxa"/>
          <w:tblLayout w:type="fixed"/>
          <w:tblLook w:val="0000"/>
        </w:tblPrEx>
        <w:trPr>
          <w:cantSplit/>
          <w:trHeight w:val="70"/>
        </w:trPr>
        <w:tc>
          <w:tcPr>
            <w:tcW w:w="4530" w:type="dxa"/>
            <w:vMerge/>
            <w:shd w:val="clear" w:color="auto" w:fill="BFBFBF"/>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p>
        </w:tc>
        <w:tc>
          <w:tcPr>
            <w:tcW w:w="1134" w:type="dxa"/>
            <w:shd w:val="clear" w:color="auto" w:fill="BFBFBF"/>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2023</w:t>
            </w:r>
          </w:p>
        </w:tc>
        <w:tc>
          <w:tcPr>
            <w:tcW w:w="1134" w:type="dxa"/>
            <w:shd w:val="clear" w:color="auto" w:fill="BFBFBF"/>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2024</w:t>
            </w:r>
          </w:p>
        </w:tc>
        <w:tc>
          <w:tcPr>
            <w:tcW w:w="1134" w:type="dxa"/>
            <w:shd w:val="clear" w:color="auto" w:fill="BFBFBF"/>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2025</w:t>
            </w:r>
          </w:p>
        </w:tc>
        <w:tc>
          <w:tcPr>
            <w:tcW w:w="1134" w:type="dxa"/>
            <w:shd w:val="clear" w:color="auto" w:fill="BFBFBF"/>
          </w:tcPr>
          <w:p w:rsidR="00D00F18" w:rsidRPr="00D00F18" w:rsidP="00D00F18">
            <w:pPr>
              <w:autoSpaceDE w:val="0"/>
              <w:autoSpaceDN w:val="0"/>
              <w:adjustRightInd w:val="0"/>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2026</w:t>
            </w:r>
          </w:p>
        </w:tc>
      </w:tr>
      <w:tr w:rsidTr="00D00F18">
        <w:tblPrEx>
          <w:tblW w:w="9066" w:type="dxa"/>
          <w:tblInd w:w="78" w:type="dxa"/>
          <w:tblLayout w:type="fixed"/>
          <w:tblLook w:val="0000"/>
        </w:tblPrEx>
        <w:trPr>
          <w:trHeight w:val="70"/>
        </w:trPr>
        <w:tc>
          <w:tcPr>
            <w:tcW w:w="4530" w:type="dxa"/>
          </w:tcPr>
          <w:p w:rsidR="00D00F18" w:rsidRPr="00D00F18" w:rsidP="00D00F18">
            <w:pPr>
              <w:autoSpaceDE w:val="0"/>
              <w:autoSpaceDN w:val="0"/>
              <w:adjustRightInd w:val="0"/>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Indikátor ABC</w:t>
            </w: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r>
      <w:tr w:rsidTr="00D00F18">
        <w:tblPrEx>
          <w:tblW w:w="9066" w:type="dxa"/>
          <w:tblInd w:w="78" w:type="dxa"/>
          <w:tblLayout w:type="fixed"/>
          <w:tblLook w:val="0000"/>
        </w:tblPrEx>
        <w:trPr>
          <w:trHeight w:val="70"/>
        </w:trPr>
        <w:tc>
          <w:tcPr>
            <w:tcW w:w="4530" w:type="dxa"/>
          </w:tcPr>
          <w:p w:rsidR="00D00F18" w:rsidRPr="00D00F18" w:rsidP="00D00F18">
            <w:pPr>
              <w:autoSpaceDE w:val="0"/>
              <w:autoSpaceDN w:val="0"/>
              <w:adjustRightInd w:val="0"/>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Indikátor KLM</w:t>
            </w: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r>
      <w:tr w:rsidTr="00D00F18">
        <w:tblPrEx>
          <w:tblW w:w="9066" w:type="dxa"/>
          <w:tblInd w:w="78" w:type="dxa"/>
          <w:tblLayout w:type="fixed"/>
          <w:tblLook w:val="0000"/>
        </w:tblPrEx>
        <w:trPr>
          <w:trHeight w:val="70"/>
        </w:trPr>
        <w:tc>
          <w:tcPr>
            <w:tcW w:w="4530" w:type="dxa"/>
          </w:tcPr>
          <w:p w:rsidR="00D00F18" w:rsidRPr="00D00F18" w:rsidP="00D00F18">
            <w:pPr>
              <w:autoSpaceDE w:val="0"/>
              <w:autoSpaceDN w:val="0"/>
              <w:adjustRightInd w:val="0"/>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Indikátor XYZ</w:t>
            </w: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D00F18" w:rsidRPr="00D00F18" w:rsidP="00D00F18">
            <w:pPr>
              <w:autoSpaceDE w:val="0"/>
              <w:autoSpaceDN w:val="0"/>
              <w:adjustRightInd w:val="0"/>
              <w:spacing w:after="0" w:line="240" w:lineRule="auto"/>
              <w:jc w:val="right"/>
              <w:rPr>
                <w:rFonts w:ascii="Times New Roman" w:eastAsia="Times New Roman" w:hAnsi="Times New Roman"/>
                <w:sz w:val="24"/>
                <w:szCs w:val="24"/>
                <w:lang w:eastAsia="sk-SK"/>
              </w:rPr>
            </w:pPr>
          </w:p>
        </w:tc>
      </w:tr>
    </w:tbl>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2.2.4. Výpočty vplyvov na verejné financie</w:t>
      </w:r>
    </w:p>
    <w:p w:rsidR="00D00F18" w:rsidRPr="00D00F18" w:rsidP="00D00F18">
      <w:pPr>
        <w:spacing w:after="0" w:line="240" w:lineRule="auto"/>
        <w:rPr>
          <w:rFonts w:ascii="Times New Roman" w:eastAsia="Times New Roman" w:hAnsi="Times New Roman"/>
          <w:sz w:val="24"/>
          <w:szCs w:val="24"/>
          <w:lang w:eastAsia="sk-SK"/>
        </w:rPr>
      </w:pPr>
    </w:p>
    <w:p w:rsidR="00D00F18" w:rsidRPr="00D00F18" w:rsidP="00D00F18">
      <w:pPr>
        <w:spacing w:after="0" w:line="240" w:lineRule="auto"/>
        <w:ind w:firstLine="708"/>
        <w:jc w:val="both"/>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D00F18" w:rsidRPr="00D00F18" w:rsidP="00D00F18">
      <w:pPr>
        <w:spacing w:after="0" w:line="240" w:lineRule="auto"/>
        <w:jc w:val="both"/>
        <w:rPr>
          <w:rFonts w:ascii="Times New Roman" w:eastAsia="Times New Roman" w:hAnsi="Times New Roman"/>
          <w:sz w:val="24"/>
          <w:szCs w:val="24"/>
          <w:lang w:eastAsia="sk-SK"/>
        </w:rPr>
      </w:pPr>
    </w:p>
    <w:p w:rsidR="00D00F18" w:rsidRPr="00D00F18" w:rsidP="00D00F18">
      <w:pPr>
        <w:tabs>
          <w:tab w:val="num" w:pos="1080"/>
        </w:tabs>
        <w:spacing w:after="0" w:line="240" w:lineRule="auto"/>
        <w:jc w:val="both"/>
        <w:rPr>
          <w:rFonts w:ascii="Times New Roman" w:eastAsia="Times New Roman" w:hAnsi="Times New Roman"/>
          <w:bCs/>
          <w:sz w:val="24"/>
          <w:szCs w:val="24"/>
          <w:lang w:eastAsia="sk-SK"/>
        </w:rPr>
      </w:pPr>
    </w:p>
    <w:p w:rsidR="00D00F18" w:rsidRPr="00D00F18" w:rsidP="00D00F18">
      <w:pPr>
        <w:tabs>
          <w:tab w:val="num" w:pos="1080"/>
        </w:tabs>
        <w:spacing w:after="0" w:line="240" w:lineRule="auto"/>
        <w:jc w:val="both"/>
        <w:rPr>
          <w:rFonts w:ascii="Times New Roman" w:eastAsia="Times New Roman" w:hAnsi="Times New Roman"/>
          <w:bCs/>
          <w:sz w:val="24"/>
          <w:szCs w:val="24"/>
          <w:lang w:eastAsia="sk-SK"/>
        </w:rPr>
      </w:pPr>
    </w:p>
    <w:p w:rsidR="00D00F18" w:rsidRPr="00D00F18" w:rsidP="00D00F18">
      <w:pPr>
        <w:tabs>
          <w:tab w:val="num" w:pos="1080"/>
        </w:tabs>
        <w:spacing w:after="0" w:line="240" w:lineRule="auto"/>
        <w:jc w:val="both"/>
        <w:rPr>
          <w:rFonts w:ascii="Times New Roman" w:eastAsia="Times New Roman" w:hAnsi="Times New Roman"/>
          <w:bCs/>
          <w:sz w:val="24"/>
          <w:szCs w:val="20"/>
          <w:lang w:eastAsia="sk-SK"/>
        </w:rPr>
        <w:sectPr w:rsidSect="00B30C7E">
          <w:headerReference w:type="even" r:id="rId18"/>
          <w:headerReference w:type="default" r:id="rId19"/>
          <w:footerReference w:type="even" r:id="rId20"/>
          <w:headerReference w:type="first" r:id="rId21"/>
          <w:footerReference w:type="first" r:id="rId22"/>
          <w:pgSz w:w="11906" w:h="16838"/>
          <w:pgMar w:top="1417" w:right="1417" w:bottom="1276" w:left="1417" w:header="708" w:footer="708" w:gutter="0"/>
          <w:cols w:space="708"/>
          <w:docGrid w:linePitch="360"/>
        </w:sectPr>
      </w:pPr>
    </w:p>
    <w:p w:rsidR="00D00F18" w:rsidRPr="00D00F18" w:rsidP="00D00F18">
      <w:pPr>
        <w:tabs>
          <w:tab w:val="num" w:pos="1080"/>
        </w:tabs>
        <w:spacing w:after="0" w:line="240" w:lineRule="auto"/>
        <w:jc w:val="right"/>
        <w:rPr>
          <w:rFonts w:ascii="Times New Roman" w:eastAsia="Times New Roman" w:hAnsi="Times New Roman"/>
          <w:bCs/>
          <w:sz w:val="24"/>
          <w:szCs w:val="24"/>
          <w:lang w:eastAsia="sk-SK"/>
        </w:rPr>
      </w:pPr>
      <w:r w:rsidRPr="00D00F18">
        <w:rPr>
          <w:rFonts w:ascii="Times New Roman" w:eastAsia="Times New Roman" w:hAnsi="Times New Roman"/>
          <w:bCs/>
          <w:sz w:val="24"/>
          <w:szCs w:val="24"/>
          <w:lang w:eastAsia="sk-SK"/>
        </w:rPr>
        <w:t xml:space="preserve">Tabuľka č. 13 </w:t>
      </w:r>
    </w:p>
    <w:p w:rsidR="00D00F18" w:rsidRPr="00D00F18" w:rsidP="00D00F18">
      <w:pPr>
        <w:tabs>
          <w:tab w:val="num" w:pos="1080"/>
        </w:tabs>
        <w:spacing w:after="0" w:line="240" w:lineRule="auto"/>
        <w:jc w:val="both"/>
        <w:rPr>
          <w:rFonts w:ascii="Times New Roman" w:eastAsia="Times New Roman" w:hAnsi="Times New Roman"/>
          <w:bCs/>
          <w:sz w:val="24"/>
          <w:szCs w:val="20"/>
          <w:lang w:eastAsia="sk-SK"/>
        </w:rPr>
      </w:pPr>
    </w:p>
    <w:tbl>
      <w:tblPr>
        <w:tblStyle w:val="TableNormal"/>
        <w:tblpPr w:leftFromText="141" w:rightFromText="141" w:horzAnchor="margin" w:tblpXSpec="center" w:tblpX="1" w:tblpY="533"/>
        <w:tblW w:w="13950" w:type="dxa"/>
        <w:tblCellMar>
          <w:left w:w="70" w:type="dxa"/>
          <w:right w:w="70" w:type="dxa"/>
        </w:tblCellMar>
        <w:tblLook w:val="0000"/>
      </w:tblPr>
      <w:tblGrid>
        <w:gridCol w:w="4950"/>
        <w:gridCol w:w="1500"/>
        <w:gridCol w:w="1500"/>
        <w:gridCol w:w="1500"/>
        <w:gridCol w:w="1500"/>
        <w:gridCol w:w="3000"/>
      </w:tblGrid>
      <w:tr w:rsidTr="00D00F18">
        <w:tblPrEx>
          <w:tblW w:w="13950" w:type="dxa"/>
          <w:tblCellMar>
            <w:left w:w="70" w:type="dxa"/>
            <w:right w:w="70" w:type="dxa"/>
          </w:tblCellMar>
          <w:tblLook w:val="0000"/>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poznámka</w:t>
            </w:r>
          </w:p>
        </w:tc>
      </w:tr>
      <w:tr w:rsidTr="00D00F18">
        <w:tblPrEx>
          <w:tblW w:w="13950" w:type="dxa"/>
          <w:tblCellMar>
            <w:left w:w="70" w:type="dxa"/>
            <w:right w:w="70" w:type="dxa"/>
          </w:tblCellMar>
          <w:tblLook w:val="0000"/>
        </w:tblPrEx>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D00F18" w:rsidRPr="00D00F18" w:rsidP="00D00F18">
            <w:pPr>
              <w:spacing w:after="0" w:line="240" w:lineRule="auto"/>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D00F18" w:rsidRPr="00D00F18" w:rsidP="00D00F18">
            <w:pPr>
              <w:spacing w:after="0" w:line="240" w:lineRule="auto"/>
              <w:rPr>
                <w:rFonts w:ascii="Times New Roman" w:eastAsia="Times New Roman" w:hAnsi="Times New Roman"/>
                <w:b/>
                <w:bCs/>
                <w:sz w:val="24"/>
                <w:szCs w:val="24"/>
                <w:lang w:eastAsia="sk-SK"/>
              </w:rPr>
            </w:pPr>
          </w:p>
        </w:tc>
      </w:tr>
      <w:tr w:rsidTr="00D00F18">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vertAlign w:val="superscript"/>
                <w:lang w:eastAsia="sk-SK"/>
              </w:rPr>
            </w:pPr>
            <w:r w:rsidRPr="00D00F18">
              <w:rPr>
                <w:rFonts w:ascii="Times New Roman" w:eastAsia="Times New Roman" w:hAnsi="Times New Roman"/>
                <w:b/>
                <w:bCs/>
                <w:sz w:val="24"/>
                <w:szCs w:val="24"/>
                <w:lang w:eastAsia="sk-SK"/>
              </w:rPr>
              <w:t>Daňové príjmy (</w:t>
            </w:r>
            <w:r w:rsidRPr="00D00F18">
              <w:rPr>
                <w:rFonts w:ascii="Times New Roman" w:eastAsia="Times New Roman" w:hAnsi="Times New Roman"/>
                <w:b/>
                <w:bCs/>
                <w:sz w:val="24"/>
                <w:szCs w:val="24"/>
                <w:lang w:eastAsia="sk-SK"/>
              </w:rPr>
              <w:t>100)</w:t>
            </w:r>
            <w:r w:rsidRPr="00D00F18">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Nedaňové príjmy (200)</w:t>
            </w:r>
            <w:r w:rsidRPr="00D00F18">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Granty a transfery (300)</w:t>
            </w:r>
            <w:r w:rsidRPr="00D00F18">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3950" w:type="dxa"/>
          <w:tblCellMar>
            <w:left w:w="70" w:type="dxa"/>
            <w:right w:w="70" w:type="dxa"/>
          </w:tblCellMar>
          <w:tblLook w:val="0000"/>
        </w:tblPrEx>
        <w:trPr>
          <w:trHeight w:val="255"/>
        </w:trPr>
        <w:tc>
          <w:tcPr>
            <w:tcW w:w="4950" w:type="dxa"/>
            <w:tcBorders>
              <w:top w:val="nil"/>
              <w:left w:val="single" w:sz="4" w:space="0" w:color="auto"/>
              <w:bottom w:val="single" w:sz="4" w:space="0" w:color="auto"/>
              <w:right w:val="single" w:sz="4" w:space="0" w:color="auto"/>
            </w:tcBorders>
            <w:shd w:val="clear" w:color="auto" w:fill="BFBFBF"/>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Dopad na príjmy verejnej správ</w:t>
            </w:r>
            <w:r w:rsidRPr="00D00F18">
              <w:rPr>
                <w:rFonts w:ascii="Times New Roman" w:eastAsia="Times New Roman" w:hAnsi="Times New Roman"/>
                <w:b/>
                <w:bCs/>
                <w:sz w:val="24"/>
                <w:szCs w:val="24"/>
                <w:lang w:eastAsia="sk-SK"/>
              </w:rPr>
              <w:t>y celkom</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bl>
    <w:p w:rsidR="00D00F18" w:rsidRPr="00D00F18" w:rsidP="00D00F18">
      <w:pPr>
        <w:tabs>
          <w:tab w:val="num" w:pos="1080"/>
        </w:tabs>
        <w:spacing w:after="0" w:line="240" w:lineRule="auto"/>
        <w:jc w:val="both"/>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1 –  príjmy rozpísať až do položiek platnej ekonomickej klasifikácie</w:t>
      </w:r>
    </w:p>
    <w:p w:rsidR="00D00F18" w:rsidRPr="00D00F18" w:rsidP="00D00F18">
      <w:pPr>
        <w:tabs>
          <w:tab w:val="num" w:pos="1080"/>
        </w:tabs>
        <w:spacing w:after="0" w:line="240" w:lineRule="auto"/>
        <w:jc w:val="both"/>
        <w:rPr>
          <w:rFonts w:ascii="Times New Roman" w:eastAsia="Times New Roman" w:hAnsi="Times New Roman"/>
          <w:bCs/>
          <w:sz w:val="24"/>
          <w:szCs w:val="20"/>
          <w:lang w:eastAsia="sk-SK"/>
        </w:rPr>
      </w:pPr>
    </w:p>
    <w:p w:rsidR="00D00F18" w:rsidRPr="00D00F18" w:rsidP="00D00F18">
      <w:pPr>
        <w:tabs>
          <w:tab w:val="num" w:pos="1080"/>
        </w:tabs>
        <w:spacing w:after="0" w:line="240" w:lineRule="auto"/>
        <w:jc w:val="both"/>
        <w:rPr>
          <w:rFonts w:ascii="Times New Roman" w:eastAsia="Times New Roman" w:hAnsi="Times New Roman"/>
          <w:b/>
          <w:bCs/>
          <w:sz w:val="24"/>
          <w:szCs w:val="20"/>
          <w:lang w:eastAsia="sk-SK"/>
        </w:rPr>
      </w:pPr>
      <w:r w:rsidRPr="00D00F18">
        <w:rPr>
          <w:rFonts w:ascii="Times New Roman" w:eastAsia="Times New Roman" w:hAnsi="Times New Roman"/>
          <w:b/>
          <w:bCs/>
          <w:sz w:val="24"/>
          <w:szCs w:val="20"/>
          <w:lang w:eastAsia="sk-SK"/>
        </w:rPr>
        <w:t>Poznámka:</w:t>
      </w:r>
    </w:p>
    <w:p w:rsidR="00D00F18" w:rsidRPr="00D00F18" w:rsidP="00D00F18">
      <w:pPr>
        <w:tabs>
          <w:tab w:val="num" w:pos="1080"/>
        </w:tabs>
        <w:spacing w:after="0" w:line="240" w:lineRule="auto"/>
        <w:jc w:val="both"/>
        <w:rPr>
          <w:rFonts w:ascii="Times New Roman" w:eastAsia="Times New Roman" w:hAnsi="Times New Roman"/>
          <w:bCs/>
          <w:sz w:val="24"/>
          <w:szCs w:val="20"/>
          <w:lang w:eastAsia="sk-SK"/>
        </w:rPr>
      </w:pPr>
      <w:r w:rsidRPr="00D00F18">
        <w:rPr>
          <w:rFonts w:ascii="Times New Roman" w:eastAsia="Times New Roman" w:hAnsi="Times New Roman"/>
          <w:bCs/>
          <w:sz w:val="24"/>
          <w:szCs w:val="20"/>
          <w:lang w:eastAsia="sk-SK"/>
        </w:rPr>
        <w:t>Ak sa vplyv týka viacerých subjektov verejnej správy, vypĺňa sa samostatná tabuľka za každý subjekt.</w:t>
      </w: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r w:rsidRPr="00D00F18">
        <w:rPr>
          <w:rFonts w:ascii="Times New Roman" w:eastAsia="Times New Roman" w:hAnsi="Times New Roman"/>
          <w:bCs/>
          <w:sz w:val="24"/>
          <w:szCs w:val="24"/>
          <w:lang w:eastAsia="sk-SK"/>
        </w:rPr>
        <w:t xml:space="preserve"> </w:t>
      </w: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B30C7E" w:rsidP="00D00F18">
      <w:pPr>
        <w:tabs>
          <w:tab w:val="num" w:pos="1080"/>
        </w:tabs>
        <w:spacing w:after="0" w:line="240" w:lineRule="auto"/>
        <w:ind w:right="-578"/>
        <w:jc w:val="right"/>
        <w:rPr>
          <w:rFonts w:ascii="Times New Roman" w:eastAsia="Times New Roman" w:hAnsi="Times New Roman"/>
          <w:bCs/>
          <w:sz w:val="24"/>
          <w:szCs w:val="24"/>
          <w:lang w:eastAsia="sk-SK"/>
        </w:rPr>
      </w:pPr>
    </w:p>
    <w:p w:rsidR="00B30C7E" w:rsidP="00D00F18">
      <w:pPr>
        <w:tabs>
          <w:tab w:val="num" w:pos="1080"/>
        </w:tabs>
        <w:spacing w:after="0" w:line="240" w:lineRule="auto"/>
        <w:ind w:right="-578"/>
        <w:jc w:val="right"/>
        <w:rPr>
          <w:rFonts w:ascii="Times New Roman" w:eastAsia="Times New Roman" w:hAnsi="Times New Roman"/>
          <w:bCs/>
          <w:sz w:val="24"/>
          <w:szCs w:val="24"/>
          <w:lang w:eastAsia="sk-SK"/>
        </w:rPr>
      </w:pPr>
    </w:p>
    <w:p w:rsidR="00B30C7E"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578"/>
        <w:jc w:val="right"/>
        <w:rPr>
          <w:rFonts w:ascii="Times New Roman" w:eastAsia="Times New Roman" w:hAnsi="Times New Roman"/>
          <w:bCs/>
          <w:sz w:val="24"/>
          <w:szCs w:val="24"/>
          <w:lang w:eastAsia="sk-SK"/>
        </w:rPr>
      </w:pPr>
    </w:p>
    <w:p w:rsidR="00D00F18" w:rsidRPr="00D00F18" w:rsidP="00D00F18">
      <w:pPr>
        <w:tabs>
          <w:tab w:val="num" w:pos="1080"/>
        </w:tabs>
        <w:spacing w:after="0" w:line="240" w:lineRule="auto"/>
        <w:ind w:right="-32"/>
        <w:jc w:val="right"/>
        <w:rPr>
          <w:rFonts w:ascii="Times New Roman" w:eastAsia="Times New Roman" w:hAnsi="Times New Roman"/>
          <w:bCs/>
          <w:sz w:val="24"/>
          <w:szCs w:val="24"/>
          <w:lang w:eastAsia="sk-SK"/>
        </w:rPr>
      </w:pPr>
      <w:r w:rsidRPr="00D00F18">
        <w:rPr>
          <w:rFonts w:ascii="Times New Roman" w:eastAsia="Times New Roman" w:hAnsi="Times New Roman"/>
          <w:bCs/>
          <w:sz w:val="24"/>
          <w:szCs w:val="24"/>
          <w:lang w:eastAsia="sk-SK"/>
        </w:rPr>
        <w:t xml:space="preserve">Tabuľka č. 14 </w:t>
      </w:r>
    </w:p>
    <w:p w:rsidR="00D00F18" w:rsidRPr="00D00F18" w:rsidP="00D00F18">
      <w:pPr>
        <w:tabs>
          <w:tab w:val="num" w:pos="1080"/>
        </w:tabs>
        <w:spacing w:after="0" w:line="240" w:lineRule="auto"/>
        <w:jc w:val="both"/>
        <w:rPr>
          <w:rFonts w:ascii="Times New Roman" w:eastAsia="Times New Roman" w:hAnsi="Times New Roman"/>
          <w:bCs/>
          <w:sz w:val="24"/>
          <w:szCs w:val="20"/>
          <w:lang w:eastAsia="sk-SK"/>
        </w:rPr>
      </w:pPr>
    </w:p>
    <w:tbl>
      <w:tblPr>
        <w:tblStyle w:val="TableNormal"/>
        <w:tblpPr w:leftFromText="141" w:rightFromText="141" w:vertAnchor="text" w:horzAnchor="page" w:tblpX="629" w:tblpY="2"/>
        <w:tblW w:w="15450" w:type="dxa"/>
        <w:tblCellMar>
          <w:left w:w="70" w:type="dxa"/>
          <w:right w:w="70" w:type="dxa"/>
        </w:tblCellMar>
        <w:tblLook w:val="0000"/>
      </w:tblPr>
      <w:tblGrid>
        <w:gridCol w:w="7070"/>
        <w:gridCol w:w="1540"/>
        <w:gridCol w:w="1540"/>
        <w:gridCol w:w="1540"/>
        <w:gridCol w:w="1540"/>
        <w:gridCol w:w="2220"/>
      </w:tblGrid>
      <w:tr w:rsidTr="00D00F18">
        <w:tblPrEx>
          <w:tblW w:w="15450" w:type="dxa"/>
          <w:tblCellMar>
            <w:left w:w="70" w:type="dxa"/>
            <w:right w:w="70" w:type="dxa"/>
          </w:tblCellMar>
          <w:tblLook w:val="0000"/>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Vply</w:t>
            </w:r>
            <w:r w:rsidRPr="00D00F18">
              <w:rPr>
                <w:rFonts w:ascii="Times New Roman" w:eastAsia="Times New Roman" w:hAnsi="Times New Roman"/>
                <w:b/>
                <w:bCs/>
                <w:sz w:val="20"/>
                <w:szCs w:val="20"/>
                <w:lang w:eastAsia="sk-SK"/>
              </w:rPr>
              <w:t>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poznámka</w:t>
            </w:r>
          </w:p>
        </w:tc>
      </w:tr>
      <w:tr w:rsidTr="00D00F18">
        <w:tblPrEx>
          <w:tblW w:w="15450" w:type="dxa"/>
          <w:tblCellMar>
            <w:left w:w="70" w:type="dxa"/>
            <w:right w:w="70" w:type="dxa"/>
          </w:tblCellMar>
          <w:tblLook w:val="0000"/>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D00F18" w:rsidRPr="00D00F18" w:rsidP="00D00F18">
            <w:pPr>
              <w:spacing w:after="0" w:line="240" w:lineRule="auto"/>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4"/>
                <w:szCs w:val="24"/>
                <w:lang w:eastAsia="sk-SK"/>
              </w:rPr>
              <w:t>2023</w:t>
            </w: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4"/>
                <w:szCs w:val="24"/>
                <w:lang w:eastAsia="sk-SK"/>
              </w:rPr>
              <w:t>2024</w:t>
            </w: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4"/>
                <w:szCs w:val="24"/>
                <w:lang w:eastAsia="sk-SK"/>
              </w:rPr>
              <w:t>2025</w:t>
            </w:r>
          </w:p>
        </w:tc>
        <w:tc>
          <w:tcPr>
            <w:tcW w:w="1540"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rsidR="00D00F18" w:rsidRPr="00D00F18" w:rsidP="00D00F18">
            <w:pPr>
              <w:spacing w:after="0" w:line="240" w:lineRule="auto"/>
              <w:rPr>
                <w:rFonts w:ascii="Times New Roman" w:eastAsia="Times New Roman" w:hAnsi="Times New Roman"/>
                <w:b/>
                <w:bCs/>
                <w:sz w:val="24"/>
                <w:szCs w:val="24"/>
                <w:lang w:eastAsia="sk-SK"/>
              </w:rPr>
            </w:pP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180 510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1 083 060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1 083 060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1 083 060</w:t>
            </w: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133 760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802 560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802 560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r w:rsidRPr="00D00F18">
              <w:rPr>
                <w:rFonts w:ascii="Times New Roman" w:eastAsia="Times New Roman" w:hAnsi="Times New Roman"/>
                <w:sz w:val="20"/>
                <w:szCs w:val="20"/>
                <w:lang w:eastAsia="sk-SK"/>
              </w:rPr>
              <w:t>802 560</w:t>
            </w: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vertAlign w:val="superscript"/>
                <w:lang w:eastAsia="sk-SK"/>
              </w:rPr>
            </w:pPr>
            <w:r w:rsidRPr="00D00F18">
              <w:rPr>
                <w:rFonts w:ascii="Times New Roman" w:eastAsia="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46 750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280 500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280 500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r w:rsidRPr="00D00F18">
              <w:rPr>
                <w:rFonts w:ascii="Times New Roman" w:eastAsia="Times New Roman" w:hAnsi="Times New Roman"/>
                <w:sz w:val="20"/>
                <w:szCs w:val="20"/>
                <w:lang w:eastAsia="sk-SK"/>
              </w:rPr>
              <w:t>280 500</w:t>
            </w: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vertAlign w:val="superscript"/>
                <w:lang w:eastAsia="sk-SK"/>
              </w:rPr>
            </w:pPr>
            <w:r w:rsidRPr="00D00F18">
              <w:rPr>
                <w:rFonts w:ascii="Times New Roman" w:eastAsia="Times New Roman" w:hAnsi="Times New Roman"/>
                <w:sz w:val="20"/>
                <w:szCs w:val="20"/>
                <w:lang w:eastAsia="sk-SK"/>
              </w:rPr>
              <w:t xml:space="preserve">  Tovary a služby (630)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Bežné transfery (640)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vAlign w:val="center"/>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Splácanie úrokov a ostatné platby súvisiace s </w:t>
            </w:r>
            <w:r w:rsidRPr="00D00F18">
              <w:t xml:space="preserve"> </w:t>
            </w:r>
            <w:r w:rsidRPr="00D00F18">
              <w:rPr>
                <w:rFonts w:ascii="Times New Roman" w:eastAsia="Times New Roman" w:hAnsi="Times New Roman"/>
                <w:sz w:val="20"/>
                <w:szCs w:val="20"/>
                <w:lang w:eastAsia="sk-SK"/>
              </w:rPr>
              <w:t>úverom, pôžičkou, návratnou finančnou výpomocou a finančným prenájmom (650)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Kapitálové výdavk</w:t>
            </w:r>
            <w:r w:rsidRPr="00D00F18">
              <w:rPr>
                <w:rFonts w:ascii="Times New Roman" w:eastAsia="Times New Roman" w:hAnsi="Times New Roman"/>
                <w:b/>
                <w:bCs/>
                <w:sz w:val="20"/>
                <w:szCs w:val="20"/>
                <w:lang w:eastAsia="sk-SK"/>
              </w:rPr>
              <w:t>y (700)</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Obstarávanie kapitálových aktív (710)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  Kapitálové transfery (720)</w:t>
            </w:r>
            <w:r w:rsidRPr="00D00F18">
              <w:rPr>
                <w:rFonts w:ascii="Times New Roman" w:eastAsia="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50" w:type="dxa"/>
          <w:tblCellMar>
            <w:left w:w="70" w:type="dxa"/>
            <w:right w:w="70" w:type="dxa"/>
          </w:tblCellMar>
          <w:tblLook w:val="0000"/>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D00F18" w:rsidRPr="00D00F18" w:rsidP="00D00F18">
            <w:pPr>
              <w:spacing w:after="0" w:line="240" w:lineRule="auto"/>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180 510</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1 083 060</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1 083 060</w:t>
            </w:r>
          </w:p>
        </w:tc>
        <w:tc>
          <w:tcPr>
            <w:tcW w:w="1540" w:type="dxa"/>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0"/>
                <w:szCs w:val="20"/>
                <w:lang w:eastAsia="sk-SK"/>
              </w:rPr>
              <w:t xml:space="preserve">1 083 </w:t>
            </w:r>
            <w:r w:rsidRPr="00D00F18">
              <w:rPr>
                <w:rFonts w:ascii="Times New Roman" w:eastAsia="Times New Roman" w:hAnsi="Times New Roman"/>
                <w:b/>
                <w:bCs/>
                <w:sz w:val="20"/>
                <w:szCs w:val="20"/>
                <w:lang w:eastAsia="sk-SK"/>
              </w:rPr>
              <w:t>060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bl>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2 –  výdavky rozpísať až do položiek platnej ekonomickej klasifikácie</w:t>
      </w:r>
    </w:p>
    <w:p w:rsidR="00D00F18" w:rsidRPr="00D00F18" w:rsidP="00D00F18">
      <w:pPr>
        <w:tabs>
          <w:tab w:val="num" w:pos="1080"/>
        </w:tabs>
        <w:spacing w:after="0" w:line="240" w:lineRule="auto"/>
        <w:ind w:left="-900"/>
        <w:jc w:val="both"/>
        <w:rPr>
          <w:rFonts w:ascii="Times New Roman" w:eastAsia="Times New Roman" w:hAnsi="Times New Roman"/>
          <w:bCs/>
          <w:sz w:val="24"/>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
          <w:bCs/>
          <w:sz w:val="20"/>
          <w:szCs w:val="20"/>
          <w:lang w:eastAsia="sk-SK"/>
        </w:rPr>
      </w:pPr>
      <w:r w:rsidRPr="00D00F18">
        <w:rPr>
          <w:rFonts w:ascii="Times New Roman" w:eastAsia="Times New Roman" w:hAnsi="Times New Roman"/>
          <w:b/>
          <w:bCs/>
          <w:sz w:val="24"/>
          <w:szCs w:val="20"/>
          <w:lang w:eastAsia="sk-SK"/>
        </w:rPr>
        <w:t>Poznámka:</w:t>
      </w: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r w:rsidRPr="00D00F18">
        <w:rPr>
          <w:rFonts w:ascii="Times New Roman" w:eastAsia="Times New Roman" w:hAnsi="Times New Roman"/>
          <w:bCs/>
          <w:sz w:val="24"/>
          <w:szCs w:val="20"/>
          <w:lang w:eastAsia="sk-SK"/>
        </w:rPr>
        <w:t>Ak sa vplyv týka viacerých subjektov verejnej správy, vypĺňa sa samostatná tabuľka za každý subjekt.</w:t>
      </w: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B30C7E" w:rsidP="00D00F18">
      <w:pPr>
        <w:tabs>
          <w:tab w:val="num" w:pos="1080"/>
        </w:tabs>
        <w:spacing w:after="0" w:line="240" w:lineRule="auto"/>
        <w:ind w:left="-900"/>
        <w:jc w:val="both"/>
        <w:rPr>
          <w:rFonts w:ascii="Times New Roman" w:eastAsia="Times New Roman" w:hAnsi="Times New Roman"/>
          <w:bCs/>
          <w:sz w:val="20"/>
          <w:szCs w:val="20"/>
          <w:lang w:eastAsia="sk-SK"/>
        </w:rPr>
      </w:pPr>
    </w:p>
    <w:p w:rsidR="00B30C7E" w:rsidP="00D00F18">
      <w:pPr>
        <w:tabs>
          <w:tab w:val="num" w:pos="1080"/>
        </w:tabs>
        <w:spacing w:after="0" w:line="240" w:lineRule="auto"/>
        <w:ind w:left="-900"/>
        <w:jc w:val="both"/>
        <w:rPr>
          <w:rFonts w:ascii="Times New Roman" w:eastAsia="Times New Roman" w:hAnsi="Times New Roman"/>
          <w:bCs/>
          <w:sz w:val="20"/>
          <w:szCs w:val="20"/>
          <w:lang w:eastAsia="sk-SK"/>
        </w:rPr>
      </w:pPr>
    </w:p>
    <w:p w:rsidR="00B30C7E" w:rsidP="00D00F18">
      <w:pPr>
        <w:tabs>
          <w:tab w:val="num" w:pos="1080"/>
        </w:tabs>
        <w:spacing w:after="0" w:line="240" w:lineRule="auto"/>
        <w:ind w:left="-900"/>
        <w:jc w:val="both"/>
        <w:rPr>
          <w:rFonts w:ascii="Times New Roman" w:eastAsia="Times New Roman" w:hAnsi="Times New Roman"/>
          <w:bCs/>
          <w:sz w:val="20"/>
          <w:szCs w:val="20"/>
          <w:lang w:eastAsia="sk-SK"/>
        </w:rPr>
      </w:pPr>
    </w:p>
    <w:p w:rsidR="00B30C7E"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ind w:left="-900"/>
        <w:jc w:val="both"/>
        <w:rPr>
          <w:rFonts w:ascii="Times New Roman" w:eastAsia="Times New Roman" w:hAnsi="Times New Roman"/>
          <w:bCs/>
          <w:sz w:val="20"/>
          <w:szCs w:val="20"/>
          <w:lang w:eastAsia="sk-SK"/>
        </w:rPr>
      </w:pPr>
    </w:p>
    <w:p w:rsidR="00D00F18" w:rsidRPr="00D00F18" w:rsidP="00D00F18">
      <w:pPr>
        <w:tabs>
          <w:tab w:val="num" w:pos="1080"/>
        </w:tabs>
        <w:spacing w:after="0" w:line="240" w:lineRule="auto"/>
        <w:jc w:val="right"/>
        <w:rPr>
          <w:rFonts w:ascii="Times New Roman" w:eastAsia="Times New Roman" w:hAnsi="Times New Roman"/>
          <w:bCs/>
          <w:sz w:val="24"/>
          <w:szCs w:val="24"/>
          <w:lang w:eastAsia="sk-SK"/>
        </w:rPr>
      </w:pPr>
      <w:r w:rsidRPr="00D00F18">
        <w:rPr>
          <w:rFonts w:ascii="Times New Roman" w:eastAsia="Times New Roman" w:hAnsi="Times New Roman"/>
          <w:bCs/>
          <w:sz w:val="24"/>
          <w:szCs w:val="24"/>
          <w:lang w:eastAsia="sk-SK"/>
        </w:rPr>
        <w:t xml:space="preserve">                 Tabuľka č. 15 </w:t>
      </w:r>
    </w:p>
    <w:p w:rsidR="00D00F18" w:rsidRPr="00D00F18" w:rsidP="00D00F18">
      <w:pPr>
        <w:tabs>
          <w:tab w:val="num" w:pos="1080"/>
        </w:tabs>
        <w:spacing w:after="0" w:line="240" w:lineRule="auto"/>
        <w:jc w:val="both"/>
        <w:rPr>
          <w:rFonts w:ascii="Times New Roman" w:eastAsia="Times New Roman" w:hAnsi="Times New Roman"/>
          <w:bCs/>
          <w:sz w:val="24"/>
          <w:szCs w:val="20"/>
          <w:lang w:eastAsia="sk-SK"/>
        </w:rPr>
      </w:pPr>
    </w:p>
    <w:tbl>
      <w:tblPr>
        <w:tblStyle w:val="TableNormal"/>
        <w:tblW w:w="15434" w:type="dxa"/>
        <w:tblInd w:w="-794" w:type="dxa"/>
        <w:tblCellMar>
          <w:left w:w="70" w:type="dxa"/>
          <w:right w:w="70" w:type="dxa"/>
        </w:tblCellMar>
        <w:tblLook w:val="0000"/>
      </w:tblPr>
      <w:tblGrid>
        <w:gridCol w:w="6188"/>
        <w:gridCol w:w="1698"/>
        <w:gridCol w:w="1788"/>
        <w:gridCol w:w="720"/>
        <w:gridCol w:w="1698"/>
        <w:gridCol w:w="1722"/>
        <w:gridCol w:w="630"/>
        <w:gridCol w:w="990"/>
      </w:tblGrid>
      <w:tr w:rsidTr="00D00F18">
        <w:tblPrEx>
          <w:tblW w:w="15434" w:type="dxa"/>
          <w:tblInd w:w="-794" w:type="dxa"/>
          <w:tblCellMar>
            <w:left w:w="70" w:type="dxa"/>
            <w:right w:w="70" w:type="dxa"/>
          </w:tblCellMar>
          <w:tblLook w:val="0000"/>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xml:space="preserve">Vplyv </w:t>
            </w:r>
            <w:r w:rsidRPr="00D00F18">
              <w:rPr>
                <w:rFonts w:ascii="Times New Roman" w:eastAsia="Times New Roman" w:hAnsi="Times New Roman"/>
                <w:b/>
                <w:bCs/>
                <w:sz w:val="24"/>
                <w:szCs w:val="24"/>
                <w:lang w:eastAsia="sk-SK"/>
              </w:rPr>
              <w:t>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poznámka</w:t>
            </w:r>
          </w:p>
        </w:tc>
      </w:tr>
      <w:tr w:rsidTr="00D00F18">
        <w:tblPrEx>
          <w:tblW w:w="15434" w:type="dxa"/>
          <w:tblInd w:w="-794" w:type="dxa"/>
          <w:tblCellMar>
            <w:left w:w="70" w:type="dxa"/>
            <w:right w:w="70" w:type="dxa"/>
          </w:tblCellMar>
          <w:tblLook w:val="0000"/>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D00F18" w:rsidRPr="00D00F18" w:rsidP="00D00F18">
            <w:pPr>
              <w:spacing w:after="0" w:line="240" w:lineRule="auto"/>
              <w:rPr>
                <w:rFonts w:ascii="Times New Roman" w:eastAsia="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2023</w:t>
            </w:r>
          </w:p>
        </w:tc>
        <w:tc>
          <w:tcPr>
            <w:tcW w:w="1788"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2024</w:t>
            </w:r>
          </w:p>
        </w:tc>
        <w:tc>
          <w:tcPr>
            <w:tcW w:w="2418" w:type="dxa"/>
            <w:gridSpan w:val="2"/>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2025</w:t>
            </w:r>
          </w:p>
        </w:tc>
        <w:tc>
          <w:tcPr>
            <w:tcW w:w="1722"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2026</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D00F18" w:rsidRPr="00D00F18" w:rsidP="00D00F18">
            <w:pPr>
              <w:spacing w:after="0" w:line="240" w:lineRule="auto"/>
              <w:rPr>
                <w:rFonts w:ascii="Times New Roman" w:eastAsia="Times New Roman" w:hAnsi="Times New Roman"/>
                <w:b/>
                <w:bCs/>
                <w:sz w:val="24"/>
                <w:szCs w:val="24"/>
                <w:lang w:eastAsia="sk-SK"/>
              </w:rPr>
            </w:pPr>
          </w:p>
        </w:tc>
      </w:tr>
      <w:tr w:rsidTr="00D00F18">
        <w:tblPrEx>
          <w:tblW w:w="15434" w:type="dxa"/>
          <w:tblInd w:w="-79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55</w:t>
            </w:r>
          </w:p>
        </w:tc>
        <w:tc>
          <w:tcPr>
            <w:tcW w:w="178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55</w:t>
            </w:r>
          </w:p>
        </w:tc>
        <w:tc>
          <w:tcPr>
            <w:tcW w:w="2418" w:type="dxa"/>
            <w:gridSpan w:val="2"/>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55</w:t>
            </w:r>
          </w:p>
        </w:tc>
        <w:tc>
          <w:tcPr>
            <w:tcW w:w="1722"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55</w:t>
            </w: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34" w:type="dxa"/>
          <w:tblInd w:w="-79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55</w:t>
            </w:r>
          </w:p>
        </w:tc>
        <w:tc>
          <w:tcPr>
            <w:tcW w:w="1788"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55</w:t>
            </w:r>
          </w:p>
        </w:tc>
        <w:tc>
          <w:tcPr>
            <w:tcW w:w="2418" w:type="dxa"/>
            <w:gridSpan w:val="2"/>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55</w:t>
            </w:r>
          </w:p>
        </w:tc>
        <w:tc>
          <w:tcPr>
            <w:tcW w:w="1722"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55</w:t>
            </w: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r w:rsidTr="00D00F18">
        <w:tblPrEx>
          <w:tblW w:w="15434" w:type="dxa"/>
          <w:tblInd w:w="-79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1 216</w:t>
            </w:r>
          </w:p>
        </w:tc>
        <w:tc>
          <w:tcPr>
            <w:tcW w:w="1788"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1 216</w:t>
            </w:r>
          </w:p>
        </w:tc>
        <w:tc>
          <w:tcPr>
            <w:tcW w:w="2418" w:type="dxa"/>
            <w:gridSpan w:val="2"/>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1 216</w:t>
            </w:r>
          </w:p>
        </w:tc>
        <w:tc>
          <w:tcPr>
            <w:tcW w:w="1722"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1 216</w:t>
            </w: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34" w:type="dxa"/>
          <w:tblInd w:w="-79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r w:rsidRPr="00D00F18">
              <w:rPr>
                <w:rFonts w:ascii="Times New Roman" w:eastAsia="Times New Roman" w:hAnsi="Times New Roman"/>
                <w:b/>
                <w:bCs/>
                <w:sz w:val="24"/>
                <w:szCs w:val="24"/>
                <w:lang w:eastAsia="sk-SK"/>
              </w:rPr>
              <w:t>1 216</w:t>
            </w:r>
          </w:p>
        </w:tc>
        <w:tc>
          <w:tcPr>
            <w:tcW w:w="1788"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r w:rsidRPr="00D00F18">
              <w:rPr>
                <w:rFonts w:ascii="Times New Roman" w:eastAsia="Times New Roman" w:hAnsi="Times New Roman"/>
                <w:b/>
                <w:bCs/>
                <w:sz w:val="24"/>
                <w:szCs w:val="24"/>
                <w:lang w:eastAsia="sk-SK"/>
              </w:rPr>
              <w:t xml:space="preserve"> 1 216</w:t>
            </w:r>
            <w:r w:rsidRPr="00D00F18">
              <w:rPr>
                <w:rFonts w:ascii="Times New Roman" w:eastAsia="Times New Roman" w:hAnsi="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r w:rsidRPr="00D00F18">
              <w:rPr>
                <w:rFonts w:ascii="Times New Roman" w:eastAsia="Times New Roman" w:hAnsi="Times New Roman"/>
                <w:b/>
                <w:bCs/>
                <w:sz w:val="24"/>
                <w:szCs w:val="24"/>
                <w:lang w:eastAsia="sk-SK"/>
              </w:rPr>
              <w:t xml:space="preserve"> 1 216</w:t>
            </w:r>
            <w:r w:rsidRPr="00D00F18">
              <w:rPr>
                <w:rFonts w:ascii="Times New Roman" w:eastAsia="Times New Roman" w:hAnsi="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r w:rsidRPr="00D00F18">
              <w:rPr>
                <w:rFonts w:ascii="Times New Roman" w:eastAsia="Times New Roman" w:hAnsi="Times New Roman"/>
                <w:b/>
                <w:bCs/>
                <w:sz w:val="24"/>
                <w:szCs w:val="24"/>
                <w:lang w:eastAsia="sk-SK"/>
              </w:rPr>
              <w:t xml:space="preserve"> 1 216</w:t>
            </w:r>
            <w:r w:rsidRPr="00D00F18">
              <w:rPr>
                <w:rFonts w:ascii="Times New Roman" w:eastAsia="Times New Roman" w:hAnsi="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34" w:type="dxa"/>
          <w:tblInd w:w="-79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shd w:val="clear" w:color="auto" w:fill="BFBFBF"/>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0"/>
                <w:szCs w:val="20"/>
                <w:lang w:eastAsia="sk-SK"/>
              </w:rPr>
              <w:t>180 510</w:t>
            </w:r>
          </w:p>
        </w:tc>
        <w:tc>
          <w:tcPr>
            <w:tcW w:w="1788"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0"/>
                <w:szCs w:val="20"/>
                <w:lang w:eastAsia="sk-SK"/>
              </w:rPr>
              <w:t>1 083 060</w:t>
            </w:r>
          </w:p>
        </w:tc>
        <w:tc>
          <w:tcPr>
            <w:tcW w:w="2418" w:type="dxa"/>
            <w:gridSpan w:val="2"/>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0"/>
                <w:szCs w:val="20"/>
                <w:lang w:eastAsia="sk-SK"/>
              </w:rPr>
              <w:t>1 083 060</w:t>
            </w:r>
          </w:p>
        </w:tc>
        <w:tc>
          <w:tcPr>
            <w:tcW w:w="1722" w:type="dxa"/>
            <w:tcBorders>
              <w:top w:val="nil"/>
              <w:left w:val="nil"/>
              <w:bottom w:val="single" w:sz="4" w:space="0" w:color="auto"/>
              <w:right w:val="single" w:sz="4" w:space="0" w:color="auto"/>
            </w:tcBorders>
            <w:shd w:val="clear" w:color="auto" w:fill="BFBFBF"/>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0"/>
                <w:szCs w:val="20"/>
                <w:lang w:eastAsia="sk-SK"/>
              </w:rPr>
              <w:t>1 083 060</w:t>
            </w:r>
          </w:p>
        </w:tc>
        <w:tc>
          <w:tcPr>
            <w:tcW w:w="1620" w:type="dxa"/>
            <w:gridSpan w:val="2"/>
            <w:tcBorders>
              <w:top w:val="nil"/>
              <w:left w:val="nil"/>
              <w:bottom w:val="single" w:sz="4" w:space="0" w:color="auto"/>
              <w:right w:val="single" w:sz="4" w:space="0" w:color="auto"/>
            </w:tcBorders>
            <w:shd w:val="clear" w:color="auto" w:fill="BFBFBF"/>
            <w:noWrap/>
            <w:vAlign w:val="bottom"/>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r>
      <w:tr w:rsidTr="00D00F18">
        <w:tblPrEx>
          <w:tblW w:w="15434" w:type="dxa"/>
          <w:tblInd w:w="-79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sz w:val="20"/>
                <w:szCs w:val="20"/>
                <w:lang w:eastAsia="sk-SK"/>
              </w:rPr>
              <w:t>133 760</w:t>
            </w:r>
          </w:p>
        </w:tc>
        <w:tc>
          <w:tcPr>
            <w:tcW w:w="178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sz w:val="20"/>
                <w:szCs w:val="20"/>
                <w:lang w:eastAsia="sk-SK"/>
              </w:rPr>
              <w:t>802 560</w:t>
            </w:r>
          </w:p>
        </w:tc>
        <w:tc>
          <w:tcPr>
            <w:tcW w:w="2418" w:type="dxa"/>
            <w:gridSpan w:val="2"/>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sz w:val="20"/>
                <w:szCs w:val="20"/>
                <w:lang w:eastAsia="sk-SK"/>
              </w:rPr>
              <w:t>802 560</w:t>
            </w:r>
          </w:p>
        </w:tc>
        <w:tc>
          <w:tcPr>
            <w:tcW w:w="1722"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sz w:val="20"/>
                <w:szCs w:val="20"/>
                <w:lang w:eastAsia="sk-SK"/>
              </w:rPr>
              <w:t>802 560</w:t>
            </w: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r>
      <w:tr w:rsidTr="00D00F18">
        <w:tblPrEx>
          <w:tblW w:w="15434" w:type="dxa"/>
          <w:tblInd w:w="-79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r w:rsidRPr="00D00F18">
              <w:rPr>
                <w:rFonts w:ascii="Times New Roman" w:eastAsia="Times New Roman" w:hAnsi="Times New Roman"/>
                <w:sz w:val="20"/>
                <w:szCs w:val="20"/>
                <w:lang w:eastAsia="sk-SK"/>
              </w:rPr>
              <w:t>133 760</w:t>
            </w:r>
          </w:p>
        </w:tc>
        <w:tc>
          <w:tcPr>
            <w:tcW w:w="178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r w:rsidRPr="00D00F18">
              <w:rPr>
                <w:rFonts w:ascii="Times New Roman" w:eastAsia="Times New Roman" w:hAnsi="Times New Roman"/>
                <w:sz w:val="20"/>
                <w:szCs w:val="20"/>
                <w:lang w:eastAsia="sk-SK"/>
              </w:rPr>
              <w:t>802 560</w:t>
            </w:r>
          </w:p>
        </w:tc>
        <w:tc>
          <w:tcPr>
            <w:tcW w:w="2418" w:type="dxa"/>
            <w:gridSpan w:val="2"/>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r w:rsidRPr="00D00F18">
              <w:rPr>
                <w:rFonts w:ascii="Times New Roman" w:eastAsia="Times New Roman" w:hAnsi="Times New Roman"/>
                <w:sz w:val="20"/>
                <w:szCs w:val="20"/>
                <w:lang w:eastAsia="sk-SK"/>
              </w:rPr>
              <w:t>802 560</w:t>
            </w:r>
          </w:p>
        </w:tc>
        <w:tc>
          <w:tcPr>
            <w:tcW w:w="1722"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r w:rsidRPr="00D00F18">
              <w:rPr>
                <w:rFonts w:ascii="Times New Roman" w:eastAsia="Times New Roman" w:hAnsi="Times New Roman"/>
                <w:sz w:val="20"/>
                <w:szCs w:val="20"/>
                <w:lang w:eastAsia="sk-SK"/>
              </w:rPr>
              <w:t>802 560</w:t>
            </w: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34" w:type="dxa"/>
          <w:tblInd w:w="-79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sz w:val="20"/>
                <w:szCs w:val="20"/>
                <w:lang w:eastAsia="sk-SK"/>
              </w:rPr>
              <w:t>46 750</w:t>
            </w:r>
          </w:p>
        </w:tc>
        <w:tc>
          <w:tcPr>
            <w:tcW w:w="178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sz w:val="20"/>
                <w:szCs w:val="20"/>
                <w:lang w:eastAsia="sk-SK"/>
              </w:rPr>
              <w:t>280 500</w:t>
            </w:r>
          </w:p>
        </w:tc>
        <w:tc>
          <w:tcPr>
            <w:tcW w:w="2418" w:type="dxa"/>
            <w:gridSpan w:val="2"/>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sz w:val="20"/>
                <w:szCs w:val="20"/>
                <w:lang w:eastAsia="sk-SK"/>
              </w:rPr>
              <w:t>280 500</w:t>
            </w:r>
          </w:p>
        </w:tc>
        <w:tc>
          <w:tcPr>
            <w:tcW w:w="1722"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sz w:val="20"/>
                <w:szCs w:val="20"/>
                <w:lang w:eastAsia="sk-SK"/>
              </w:rPr>
              <w:t>280 500</w:t>
            </w: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 </w:t>
            </w:r>
          </w:p>
        </w:tc>
      </w:tr>
      <w:tr w:rsidTr="00D00F18">
        <w:tblPrEx>
          <w:tblW w:w="15434" w:type="dxa"/>
          <w:tblInd w:w="-794" w:type="dxa"/>
          <w:tblCellMar>
            <w:left w:w="70" w:type="dxa"/>
            <w:right w:w="70" w:type="dxa"/>
          </w:tblCellMar>
          <w:tblLook w:val="0000"/>
        </w:tblPrEx>
        <w:trPr>
          <w:trHeight w:val="255"/>
        </w:trPr>
        <w:tc>
          <w:tcPr>
            <w:tcW w:w="6188" w:type="dxa"/>
            <w:tcBorders>
              <w:top w:val="nil"/>
              <w:left w:val="single" w:sz="4" w:space="0" w:color="auto"/>
              <w:bottom w:val="single" w:sz="4" w:space="0" w:color="auto"/>
              <w:right w:val="single" w:sz="4" w:space="0" w:color="auto"/>
            </w:tcBorders>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r w:rsidRPr="00D00F18">
              <w:rPr>
                <w:rFonts w:ascii="Times New Roman" w:eastAsia="Times New Roman" w:hAnsi="Times New Roman"/>
                <w:sz w:val="20"/>
                <w:szCs w:val="20"/>
                <w:lang w:eastAsia="sk-SK"/>
              </w:rPr>
              <w:t>46 750</w:t>
            </w:r>
          </w:p>
        </w:tc>
        <w:tc>
          <w:tcPr>
            <w:tcW w:w="1788"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r w:rsidRPr="00D00F18">
              <w:rPr>
                <w:rFonts w:ascii="Times New Roman" w:eastAsia="Times New Roman" w:hAnsi="Times New Roman"/>
                <w:sz w:val="20"/>
                <w:szCs w:val="20"/>
                <w:lang w:eastAsia="sk-SK"/>
              </w:rPr>
              <w:t>280 500</w:t>
            </w:r>
          </w:p>
        </w:tc>
        <w:tc>
          <w:tcPr>
            <w:tcW w:w="2418" w:type="dxa"/>
            <w:gridSpan w:val="2"/>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r w:rsidRPr="00D00F18">
              <w:rPr>
                <w:rFonts w:ascii="Times New Roman" w:eastAsia="Times New Roman" w:hAnsi="Times New Roman"/>
                <w:sz w:val="20"/>
                <w:szCs w:val="20"/>
                <w:lang w:eastAsia="sk-SK"/>
              </w:rPr>
              <w:t>280 500</w:t>
            </w:r>
          </w:p>
        </w:tc>
        <w:tc>
          <w:tcPr>
            <w:tcW w:w="1722" w:type="dxa"/>
            <w:tcBorders>
              <w:top w:val="nil"/>
              <w:left w:val="nil"/>
              <w:bottom w:val="single" w:sz="4" w:space="0" w:color="auto"/>
              <w:right w:val="single" w:sz="4" w:space="0" w:color="auto"/>
            </w:tcBorders>
          </w:tcPr>
          <w:p w:rsidR="00D00F18" w:rsidRPr="00D00F18" w:rsidP="00D00F18">
            <w:pPr>
              <w:spacing w:after="0" w:line="240" w:lineRule="auto"/>
              <w:jc w:val="center"/>
              <w:rPr>
                <w:rFonts w:ascii="Times New Roman" w:eastAsia="Times New Roman" w:hAnsi="Times New Roman"/>
                <w:sz w:val="24"/>
                <w:szCs w:val="24"/>
                <w:lang w:eastAsia="sk-SK"/>
              </w:rPr>
            </w:pPr>
            <w:r w:rsidRPr="00D00F18">
              <w:rPr>
                <w:rFonts w:ascii="Times New Roman" w:eastAsia="Times New Roman" w:hAnsi="Times New Roman"/>
                <w:sz w:val="20"/>
                <w:szCs w:val="20"/>
                <w:lang w:eastAsia="sk-SK"/>
              </w:rPr>
              <w:t>280 500</w:t>
            </w:r>
          </w:p>
        </w:tc>
        <w:tc>
          <w:tcPr>
            <w:tcW w:w="1620" w:type="dxa"/>
            <w:gridSpan w:val="2"/>
            <w:tcBorders>
              <w:top w:val="nil"/>
              <w:left w:val="nil"/>
              <w:bottom w:val="single" w:sz="4" w:space="0" w:color="auto"/>
              <w:right w:val="single" w:sz="4" w:space="0" w:color="auto"/>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 </w:t>
            </w:r>
          </w:p>
        </w:tc>
      </w:tr>
      <w:tr w:rsidTr="00D00F18">
        <w:tblPrEx>
          <w:tblW w:w="15434" w:type="dxa"/>
          <w:tblInd w:w="-794" w:type="dxa"/>
          <w:tblCellMar>
            <w:left w:w="70" w:type="dxa"/>
            <w:right w:w="70" w:type="dxa"/>
          </w:tblCellMar>
          <w:tblLook w:val="0000"/>
        </w:tblPrEx>
        <w:trPr>
          <w:trHeight w:val="255"/>
        </w:trPr>
        <w:tc>
          <w:tcPr>
            <w:tcW w:w="6188"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698"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788"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2418" w:type="dxa"/>
            <w:gridSpan w:val="2"/>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722"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620" w:type="dxa"/>
            <w:gridSpan w:val="2"/>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r w:rsidTr="00D00F18">
        <w:tblPrEx>
          <w:tblW w:w="15434" w:type="dxa"/>
          <w:tblInd w:w="-794" w:type="dxa"/>
          <w:tblCellMar>
            <w:left w:w="70" w:type="dxa"/>
            <w:right w:w="70" w:type="dxa"/>
          </w:tblCellMar>
          <w:tblLook w:val="0000"/>
        </w:tblPrEx>
        <w:trPr>
          <w:trHeight w:val="255"/>
        </w:trPr>
        <w:tc>
          <w:tcPr>
            <w:tcW w:w="6188" w:type="dxa"/>
            <w:tcBorders>
              <w:top w:val="nil"/>
              <w:left w:val="nil"/>
              <w:bottom w:val="nil"/>
              <w:right w:val="nil"/>
            </w:tcBorders>
          </w:tcPr>
          <w:p w:rsidR="00D00F18" w:rsidRPr="00D00F18" w:rsidP="00D00F18">
            <w:pPr>
              <w:spacing w:after="0" w:line="240" w:lineRule="auto"/>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Poznámky:</w:t>
            </w:r>
          </w:p>
        </w:tc>
        <w:tc>
          <w:tcPr>
            <w:tcW w:w="1698"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788"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2418" w:type="dxa"/>
            <w:gridSpan w:val="2"/>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722"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1620" w:type="dxa"/>
            <w:gridSpan w:val="2"/>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r w:rsidTr="00D00F18">
        <w:tblPrEx>
          <w:tblW w:w="15434" w:type="dxa"/>
          <w:tblInd w:w="-794" w:type="dxa"/>
          <w:tblCellMar>
            <w:left w:w="70" w:type="dxa"/>
            <w:right w:w="70" w:type="dxa"/>
          </w:tblCellMar>
          <w:tblLook w:val="0000"/>
        </w:tblPrEx>
        <w:trPr>
          <w:trHeight w:val="255"/>
        </w:trPr>
        <w:tc>
          <w:tcPr>
            <w:tcW w:w="13814" w:type="dxa"/>
            <w:gridSpan w:val="6"/>
            <w:tcBorders>
              <w:top w:val="nil"/>
              <w:left w:val="nil"/>
              <w:bottom w:val="nil"/>
              <w:right w:val="nil"/>
            </w:tcBorders>
            <w:noWrap/>
          </w:tcPr>
          <w:p w:rsidR="00D00F18" w:rsidRPr="00D00F18" w:rsidP="00D00F18">
            <w:pPr>
              <w:tabs>
                <w:tab w:val="num" w:pos="1080"/>
              </w:tabs>
              <w:spacing w:after="0" w:line="240" w:lineRule="auto"/>
              <w:jc w:val="both"/>
              <w:rPr>
                <w:rFonts w:ascii="Times New Roman" w:eastAsia="Times New Roman" w:hAnsi="Times New Roman"/>
                <w:bCs/>
                <w:sz w:val="24"/>
                <w:szCs w:val="20"/>
                <w:lang w:eastAsia="sk-SK"/>
              </w:rPr>
            </w:pPr>
            <w:r w:rsidRPr="00D00F18">
              <w:rPr>
                <w:rFonts w:ascii="Times New Roman" w:eastAsia="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r w:rsidTr="00D00F18">
        <w:tblPrEx>
          <w:tblW w:w="15434" w:type="dxa"/>
          <w:tblInd w:w="-794" w:type="dxa"/>
          <w:tblCellMar>
            <w:left w:w="70" w:type="dxa"/>
            <w:right w:w="70" w:type="dxa"/>
          </w:tblCellMar>
          <w:tblLook w:val="0000"/>
        </w:tblPrEx>
        <w:trPr>
          <w:trHeight w:val="255"/>
        </w:trPr>
        <w:tc>
          <w:tcPr>
            <w:tcW w:w="10394" w:type="dxa"/>
            <w:gridSpan w:val="4"/>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sz w:val="24"/>
                <w:szCs w:val="24"/>
                <w:lang w:eastAsia="sk-SK"/>
              </w:rPr>
              <w:t>Kateg</w:t>
            </w:r>
            <w:r w:rsidRPr="00D00F18">
              <w:rPr>
                <w:rFonts w:ascii="Times New Roman" w:eastAsia="Times New Roman" w:hAnsi="Times New Roman"/>
                <w:sz w:val="24"/>
                <w:szCs w:val="24"/>
                <w:lang w:eastAsia="sk-SK"/>
              </w:rPr>
              <w:t>órie 610 a 620 sú z tejto prílohy prenášané do príslušných kategórií prílohy „výdavky“.</w:t>
            </w:r>
          </w:p>
        </w:tc>
        <w:tc>
          <w:tcPr>
            <w:tcW w:w="1698"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2352" w:type="dxa"/>
            <w:gridSpan w:val="2"/>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c>
          <w:tcPr>
            <w:tcW w:w="990" w:type="dxa"/>
            <w:tcBorders>
              <w:top w:val="nil"/>
              <w:left w:val="nil"/>
              <w:bottom w:val="nil"/>
              <w:right w:val="nil"/>
            </w:tcBorders>
            <w:noWrap/>
            <w:vAlign w:val="bottom"/>
          </w:tcPr>
          <w:p w:rsidR="00D00F18" w:rsidRPr="00D00F18" w:rsidP="00D00F18">
            <w:pPr>
              <w:spacing w:after="0" w:line="240" w:lineRule="auto"/>
              <w:rPr>
                <w:rFonts w:ascii="Times New Roman" w:eastAsia="Times New Roman" w:hAnsi="Times New Roman"/>
                <w:sz w:val="24"/>
                <w:szCs w:val="24"/>
                <w:lang w:eastAsia="sk-SK"/>
              </w:rPr>
            </w:pPr>
          </w:p>
        </w:tc>
      </w:tr>
    </w:tbl>
    <w:p w:rsidR="00D00F18" w:rsidRPr="00D00F18" w:rsidP="00D00F18">
      <w:pPr>
        <w:rPr>
          <w:rFonts w:ascii="Times New Roman" w:hAnsi="Times New Roman"/>
          <w:b/>
          <w:sz w:val="28"/>
          <w:szCs w:val="28"/>
        </w:rPr>
        <w:sectPr w:rsidSect="00D00F18">
          <w:headerReference w:type="default" r:id="rId23"/>
          <w:pgSz w:w="16838" w:h="11906" w:orient="landscape"/>
          <w:pgMar w:top="1418" w:right="992" w:bottom="1418" w:left="1418" w:header="709" w:footer="709" w:gutter="0"/>
          <w:cols w:space="708"/>
          <w:docGrid w:linePitch="360"/>
        </w:sectPr>
      </w:pPr>
    </w:p>
    <w:p w:rsidR="00D00F18" w:rsidRPr="00D00F18" w:rsidP="00D00F18">
      <w:pPr>
        <w:jc w:val="center"/>
        <w:rPr>
          <w:rFonts w:ascii="Times New Roman" w:hAnsi="Times New Roman"/>
          <w:b/>
          <w:sz w:val="28"/>
          <w:szCs w:val="28"/>
        </w:rPr>
      </w:pPr>
      <w:r w:rsidRPr="00D00F18">
        <w:rPr>
          <w:rFonts w:ascii="Times New Roman" w:hAnsi="Times New Roman"/>
          <w:b/>
          <w:sz w:val="28"/>
          <w:szCs w:val="28"/>
        </w:rPr>
        <w:t>Analýza vplyvov na podnikateľské prostredie</w:t>
      </w:r>
    </w:p>
    <w:p w:rsidR="00D00F18" w:rsidRPr="00D00F18" w:rsidP="00D00F18">
      <w:pPr>
        <w:jc w:val="both"/>
      </w:pPr>
      <w:r w:rsidRPr="00D00F18">
        <w:rPr>
          <w:rFonts w:ascii="Times New Roman" w:hAnsi="Times New Roman"/>
          <w:b/>
          <w:sz w:val="24"/>
          <w:szCs w:val="24"/>
        </w:rPr>
        <w:t xml:space="preserve">Názov materiálu: </w:t>
      </w:r>
      <w:r w:rsidRPr="00D00F18">
        <w:rPr>
          <w:rFonts w:ascii="Times New Roman" w:eastAsia="Times New Roman" w:hAnsi="Times New Roman"/>
          <w:sz w:val="20"/>
          <w:szCs w:val="20"/>
          <w:lang w:eastAsia="sk-SK"/>
        </w:rPr>
        <w:t>Návrh zákona, ktorým sa mení a dopĺňa zákon č. 355/2007 Z. z. o ochrane, podpore a rozvoji verejného zdravia a o zmene a doplnení niektorých zákonov v znení neskorších predpisov a ktorým sa  menia a dopĺňajú niektoré zákony (ďalej len „zákon č. 355/2007 Z. z.“)</w:t>
      </w:r>
    </w:p>
    <w:p w:rsidR="00D00F18" w:rsidRPr="00D00F18" w:rsidP="00D00F18">
      <w:r w:rsidRPr="00D00F18">
        <w:rPr>
          <w:rFonts w:ascii="Times New Roman" w:hAnsi="Times New Roman"/>
          <w:b/>
          <w:sz w:val="24"/>
          <w:szCs w:val="24"/>
        </w:rPr>
        <w:t xml:space="preserve">Predkladateľ: </w:t>
      </w:r>
      <w:r w:rsidRPr="00D00F18">
        <w:rPr>
          <w:rFonts w:ascii="Times New Roman" w:eastAsia="Times New Roman" w:hAnsi="Times New Roman"/>
          <w:sz w:val="20"/>
          <w:szCs w:val="20"/>
          <w:lang w:eastAsia="sk-SK"/>
        </w:rPr>
        <w:t>Ministerstvo zdravotníctva Slovenskej republiky</w:t>
      </w:r>
    </w:p>
    <w:p w:rsidR="00D00F18" w:rsidRPr="00D00F18" w:rsidP="00D00F18">
      <w:pPr>
        <w:jc w:val="both"/>
        <w:rPr>
          <w:rFonts w:ascii="Times New Roman" w:hAnsi="Times New Roman"/>
          <w:b/>
          <w:sz w:val="24"/>
          <w:szCs w:val="24"/>
        </w:rPr>
      </w:pPr>
    </w:p>
    <w:p w:rsidR="00D00F18" w:rsidRPr="00D00F18" w:rsidP="00D00F18">
      <w:pPr>
        <w:jc w:val="both"/>
        <w:rPr>
          <w:rFonts w:ascii="Times New Roman" w:hAnsi="Times New Roman"/>
          <w:b/>
          <w:sz w:val="24"/>
          <w:szCs w:val="24"/>
        </w:rPr>
      </w:pPr>
      <w:r w:rsidRPr="00D00F18">
        <w:rPr>
          <w:rFonts w:ascii="Times New Roman" w:hAnsi="Times New Roman"/>
          <w:b/>
          <w:sz w:val="24"/>
          <w:szCs w:val="24"/>
        </w:rPr>
        <w:t>3.1 Náklady regulácie</w:t>
      </w:r>
    </w:p>
    <w:p w:rsidR="00D00F18" w:rsidRPr="00D00F18" w:rsidP="00D00F18">
      <w:pPr>
        <w:tabs>
          <w:tab w:val="left" w:pos="8025"/>
        </w:tabs>
        <w:rPr>
          <w:rFonts w:ascii="Times New Roman" w:hAnsi="Times New Roman"/>
          <w:bCs/>
          <w:i/>
          <w:iCs/>
          <w:sz w:val="24"/>
          <w:szCs w:val="24"/>
        </w:rPr>
      </w:pPr>
      <w:r w:rsidRPr="00D00F18">
        <w:rPr>
          <w:rFonts w:ascii="Times New Roman" w:hAnsi="Times New Roman"/>
          <w:b/>
          <w:i/>
          <w:iCs/>
          <w:sz w:val="24"/>
          <w:szCs w:val="24"/>
        </w:rPr>
        <w:t>3.1.1 Súhrn</w:t>
      </w:r>
      <w:r w:rsidRPr="00D00F18">
        <w:rPr>
          <w:rFonts w:ascii="Times New Roman" w:hAnsi="Times New Roman"/>
          <w:b/>
          <w:i/>
          <w:iCs/>
          <w:sz w:val="24"/>
          <w:szCs w:val="24"/>
        </w:rPr>
        <w:t xml:space="preserve">ná tabuľka nákladov regulácie </w:t>
        <w:tab/>
      </w:r>
    </w:p>
    <w:p w:rsidR="00D00F18" w:rsidRPr="00D00F18" w:rsidP="00D00F18">
      <w:pPr>
        <w:spacing w:after="0"/>
        <w:jc w:val="both"/>
        <w:rPr>
          <w:rFonts w:ascii="Times New Roman" w:hAnsi="Times New Roman"/>
          <w:b/>
          <w:sz w:val="24"/>
          <w:szCs w:val="24"/>
        </w:rPr>
      </w:pPr>
    </w:p>
    <w:p w:rsidR="00D00F18" w:rsidRPr="00D00F18" w:rsidP="00D00F18">
      <w:pPr>
        <w:jc w:val="both"/>
        <w:rPr>
          <w:rFonts w:ascii="Times New Roman" w:hAnsi="Times New Roman"/>
          <w:i/>
          <w:sz w:val="24"/>
          <w:szCs w:val="24"/>
        </w:rPr>
      </w:pPr>
      <w:r w:rsidRPr="00D00F18">
        <w:rPr>
          <w:rFonts w:ascii="Times New Roman" w:hAnsi="Times New Roman"/>
          <w:i/>
          <w:sz w:val="24"/>
          <w:szCs w:val="24"/>
        </w:rPr>
        <w:t xml:space="preserve">Tabuľka č. 1: Zmeny nákladov (ročne) v prepočte na podnikateľské prostredie (PP), vyhodnotenie mechanizmu znižovania byrokracie a nákladov. </w:t>
      </w:r>
    </w:p>
    <w:p w:rsidR="00D00F18" w:rsidRPr="00D00F18" w:rsidP="00D00F18">
      <w:pPr>
        <w:jc w:val="both"/>
        <w:rPr>
          <w:rFonts w:ascii="Times New Roman" w:hAnsi="Times New Roman"/>
          <w:i/>
          <w:sz w:val="24"/>
          <w:szCs w:val="24"/>
        </w:rPr>
      </w:pPr>
      <w:r w:rsidRPr="00D00F18">
        <w:rPr>
          <w:rFonts w:ascii="Times New Roman" w:hAnsi="Times New Roman"/>
          <w:i/>
          <w:sz w:val="24"/>
          <w:szCs w:val="24"/>
        </w:rPr>
        <w:t xml:space="preserve">Nahraďte rovnakou tabuľkou po vyplnení Kalkulačky nákladov podnikateľského prostredia, ktorá je povinnou prílohou tejto analýzy a nájdete ju na </w:t>
      </w:r>
      <w:hyperlink r:id="rId24" w:history="1">
        <w:r w:rsidRPr="00D00F18">
          <w:rPr>
            <w:rFonts w:ascii="Times New Roman" w:hAnsi="Times New Roman"/>
            <w:i/>
            <w:sz w:val="24"/>
            <w:szCs w:val="24"/>
            <w:u w:val="single"/>
          </w:rPr>
          <w:t>webovom sídle MH SR</w:t>
        </w:r>
      </w:hyperlink>
      <w:r w:rsidRPr="00D00F18">
        <w:rPr>
          <w:rFonts w:ascii="Times New Roman" w:hAnsi="Times New Roman"/>
          <w:i/>
          <w:sz w:val="24"/>
          <w:szCs w:val="24"/>
        </w:rPr>
        <w:t>, (ďalej len „Kalkulačka nákladov“):</w:t>
      </w:r>
    </w:p>
    <w:p w:rsidR="00D00F18" w:rsidRPr="00D00F18" w:rsidP="00D00F18">
      <w:pPr>
        <w:spacing w:after="0"/>
        <w:rPr>
          <w:rFonts w:ascii="Times New Roman" w:hAnsi="Times New Roman"/>
          <w:i/>
        </w:rPr>
      </w:pPr>
    </w:p>
    <w:tbl>
      <w:tblPr>
        <w:tblStyle w:val="TableNormal"/>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1"/>
        <w:gridCol w:w="2693"/>
        <w:gridCol w:w="2693"/>
      </w:tblGrid>
      <w:tr w:rsidTr="00AC2F0E">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81" w:type="dxa"/>
            <w:shd w:val="clear" w:color="auto" w:fill="auto"/>
          </w:tcPr>
          <w:p w:rsidR="00D00F18" w:rsidRPr="00AC2F0E" w:rsidP="00D00F18">
            <w:pPr>
              <w:rPr>
                <w:rFonts w:ascii="Times New Roman" w:hAnsi="Times New Roman"/>
                <w:b/>
                <w:bCs/>
                <w:i/>
                <w:sz w:val="20"/>
              </w:rPr>
            </w:pPr>
            <w:r w:rsidRPr="00AC2F0E">
              <w:rPr>
                <w:rFonts w:ascii="Times New Roman" w:hAnsi="Times New Roman"/>
                <w:b/>
                <w:bCs/>
                <w:i/>
                <w:sz w:val="20"/>
              </w:rPr>
              <w:t>TYP NÁKLA</w:t>
            </w:r>
            <w:r w:rsidRPr="00AC2F0E">
              <w:rPr>
                <w:rFonts w:ascii="Times New Roman" w:hAnsi="Times New Roman"/>
                <w:b/>
                <w:bCs/>
                <w:i/>
                <w:sz w:val="20"/>
              </w:rPr>
              <w:t>DOV</w:t>
            </w:r>
          </w:p>
        </w:tc>
        <w:tc>
          <w:tcPr>
            <w:tcW w:w="2693" w:type="dxa"/>
            <w:shd w:val="clear" w:color="auto" w:fill="FFC000"/>
          </w:tcPr>
          <w:p w:rsidR="00D00F18" w:rsidRPr="00AC2F0E" w:rsidP="00AC2F0E">
            <w:pPr>
              <w:jc w:val="center"/>
              <w:rPr>
                <w:rFonts w:ascii="Times New Roman" w:hAnsi="Times New Roman"/>
                <w:i/>
                <w:sz w:val="20"/>
              </w:rPr>
            </w:pPr>
            <w:r w:rsidRPr="00AC2F0E">
              <w:rPr>
                <w:rFonts w:ascii="Times New Roman" w:hAnsi="Times New Roman"/>
                <w:b/>
                <w:bCs/>
                <w:sz w:val="20"/>
              </w:rPr>
              <w:t>Zvýšenie nákladov v € na PP</w:t>
            </w:r>
          </w:p>
        </w:tc>
        <w:tc>
          <w:tcPr>
            <w:tcW w:w="2693" w:type="dxa"/>
            <w:shd w:val="clear" w:color="auto" w:fill="92D050"/>
          </w:tcPr>
          <w:p w:rsidR="00D00F18" w:rsidRPr="00AC2F0E" w:rsidP="00AC2F0E">
            <w:pPr>
              <w:jc w:val="center"/>
              <w:rPr>
                <w:rFonts w:ascii="Times New Roman" w:hAnsi="Times New Roman"/>
                <w:b/>
                <w:bCs/>
                <w:sz w:val="20"/>
              </w:rPr>
            </w:pPr>
            <w:r w:rsidRPr="00AC2F0E">
              <w:rPr>
                <w:rFonts w:ascii="Times New Roman" w:hAnsi="Times New Roman"/>
                <w:b/>
                <w:bCs/>
                <w:sz w:val="20"/>
              </w:rPr>
              <w:t>Zníženie nákladov v € na PP</w:t>
            </w:r>
          </w:p>
        </w:tc>
      </w:tr>
      <w:tr w:rsidTr="00AC2F0E">
        <w:tblPrEx>
          <w:tblW w:w="9067" w:type="dxa"/>
          <w:tblLook w:val="04A0"/>
        </w:tblPrEx>
        <w:trPr>
          <w:trHeight w:val="227"/>
        </w:trPr>
        <w:tc>
          <w:tcPr>
            <w:tcW w:w="3681" w:type="dxa"/>
            <w:shd w:val="clear" w:color="auto" w:fill="auto"/>
          </w:tcPr>
          <w:p w:rsidR="00D00F18" w:rsidRPr="00AC2F0E" w:rsidP="00D00F18">
            <w:pPr>
              <w:rPr>
                <w:rFonts w:ascii="Times New Roman" w:hAnsi="Times New Roman"/>
                <w:i/>
                <w:iCs/>
                <w:sz w:val="20"/>
              </w:rPr>
            </w:pPr>
            <w:r w:rsidRPr="00AC2F0E">
              <w:rPr>
                <w:rFonts w:ascii="Times New Roman" w:hAnsi="Times New Roman"/>
                <w:i/>
                <w:iCs/>
                <w:sz w:val="20"/>
              </w:rPr>
              <w:t>A. Dane, odvody, clá a poplatky</w:t>
            </w:r>
            <w:r w:rsidRPr="00AC2F0E">
              <w:rPr>
                <w:rFonts w:ascii="Times New Roman" w:hAnsi="Times New Roman"/>
                <w:sz w:val="24"/>
                <w:szCs w:val="24"/>
              </w:rPr>
              <w:t>,</w:t>
            </w:r>
            <w:r w:rsidRPr="00AC2F0E">
              <w:rPr>
                <w:rFonts w:ascii="Times New Roman" w:hAnsi="Times New Roman"/>
                <w:b/>
                <w:bCs/>
                <w:sz w:val="24"/>
                <w:szCs w:val="24"/>
              </w:rPr>
              <w:t xml:space="preserve"> </w:t>
            </w:r>
            <w:r w:rsidRPr="00AC2F0E">
              <w:rPr>
                <w:rFonts w:ascii="Times New Roman" w:hAnsi="Times New Roman"/>
                <w:i/>
                <w:iCs/>
                <w:sz w:val="20"/>
              </w:rPr>
              <w:t>ktorých cieľom je znižovať negatívne externality</w:t>
            </w:r>
          </w:p>
        </w:tc>
        <w:tc>
          <w:tcPr>
            <w:tcW w:w="2693" w:type="dxa"/>
            <w:shd w:val="clear" w:color="auto" w:fill="FFC000"/>
          </w:tcPr>
          <w:p w:rsidR="00D00F18" w:rsidRPr="00AC2F0E" w:rsidP="00AC2F0E">
            <w:pPr>
              <w:jc w:val="center"/>
              <w:rPr>
                <w:rFonts w:ascii="Times New Roman" w:hAnsi="Times New Roman"/>
                <w:i/>
                <w:sz w:val="20"/>
              </w:rPr>
            </w:pPr>
            <w:r w:rsidRPr="00AC2F0E">
              <w:rPr>
                <w:rFonts w:ascii="Times New Roman" w:hAnsi="Times New Roman"/>
                <w:i/>
                <w:sz w:val="20"/>
              </w:rPr>
              <w:t>0</w:t>
            </w:r>
          </w:p>
        </w:tc>
        <w:tc>
          <w:tcPr>
            <w:tcW w:w="2693" w:type="dxa"/>
            <w:shd w:val="clear" w:color="auto" w:fill="92D050"/>
          </w:tcPr>
          <w:p w:rsidR="00D00F18" w:rsidRPr="00AC2F0E" w:rsidP="00AC2F0E">
            <w:pPr>
              <w:jc w:val="center"/>
              <w:rPr>
                <w:rFonts w:ascii="Times New Roman" w:hAnsi="Times New Roman"/>
                <w:i/>
                <w:sz w:val="20"/>
              </w:rPr>
            </w:pPr>
            <w:r w:rsidRPr="00AC2F0E">
              <w:rPr>
                <w:rFonts w:ascii="Times New Roman" w:hAnsi="Times New Roman"/>
                <w:i/>
                <w:sz w:val="20"/>
              </w:rPr>
              <w:t>0</w:t>
            </w:r>
          </w:p>
        </w:tc>
      </w:tr>
      <w:tr w:rsidTr="00AC2F0E">
        <w:tblPrEx>
          <w:tblW w:w="9067" w:type="dxa"/>
          <w:tblLook w:val="04A0"/>
        </w:tblPrEx>
        <w:tc>
          <w:tcPr>
            <w:tcW w:w="3681" w:type="dxa"/>
            <w:shd w:val="clear" w:color="auto" w:fill="auto"/>
          </w:tcPr>
          <w:p w:rsidR="00D00F18" w:rsidRPr="00AC2F0E" w:rsidP="00D00F18">
            <w:pPr>
              <w:rPr>
                <w:rFonts w:ascii="Times New Roman" w:hAnsi="Times New Roman"/>
                <w:i/>
                <w:sz w:val="20"/>
              </w:rPr>
            </w:pPr>
            <w:r w:rsidRPr="00AC2F0E">
              <w:rPr>
                <w:rFonts w:ascii="Times New Roman" w:hAnsi="Times New Roman"/>
                <w:i/>
                <w:sz w:val="20"/>
              </w:rPr>
              <w:t>B. Iné poplatky</w:t>
            </w:r>
          </w:p>
        </w:tc>
        <w:tc>
          <w:tcPr>
            <w:tcW w:w="2693" w:type="dxa"/>
            <w:shd w:val="clear" w:color="auto" w:fill="FFC000"/>
          </w:tcPr>
          <w:p w:rsidR="00D00F18" w:rsidRPr="00AC2F0E" w:rsidP="00AC2F0E">
            <w:pPr>
              <w:jc w:val="center"/>
              <w:rPr>
                <w:rFonts w:ascii="Times New Roman" w:hAnsi="Times New Roman"/>
                <w:i/>
                <w:sz w:val="20"/>
              </w:rPr>
            </w:pPr>
            <w:r w:rsidRPr="00AC2F0E">
              <w:rPr>
                <w:rFonts w:ascii="Times New Roman" w:hAnsi="Times New Roman"/>
                <w:i/>
                <w:sz w:val="20"/>
              </w:rPr>
              <w:t>0</w:t>
            </w:r>
          </w:p>
        </w:tc>
        <w:tc>
          <w:tcPr>
            <w:tcW w:w="2693" w:type="dxa"/>
            <w:shd w:val="clear" w:color="auto" w:fill="92D050"/>
          </w:tcPr>
          <w:p w:rsidR="00D00F18" w:rsidRPr="00AC2F0E" w:rsidP="00AC2F0E">
            <w:pPr>
              <w:jc w:val="center"/>
              <w:rPr>
                <w:rFonts w:ascii="Times New Roman" w:hAnsi="Times New Roman"/>
                <w:i/>
                <w:sz w:val="20"/>
              </w:rPr>
            </w:pPr>
            <w:r w:rsidRPr="00AC2F0E">
              <w:rPr>
                <w:rFonts w:ascii="Times New Roman" w:hAnsi="Times New Roman"/>
                <w:i/>
                <w:sz w:val="20"/>
              </w:rPr>
              <w:t>0</w:t>
            </w:r>
          </w:p>
        </w:tc>
      </w:tr>
      <w:tr w:rsidTr="00AC2F0E">
        <w:tblPrEx>
          <w:tblW w:w="9067" w:type="dxa"/>
          <w:tblLook w:val="04A0"/>
        </w:tblPrEx>
        <w:tc>
          <w:tcPr>
            <w:tcW w:w="3681" w:type="dxa"/>
            <w:shd w:val="clear" w:color="auto" w:fill="auto"/>
          </w:tcPr>
          <w:p w:rsidR="00D00F18" w:rsidRPr="00AC2F0E" w:rsidP="00D00F18">
            <w:pPr>
              <w:rPr>
                <w:rFonts w:ascii="Times New Roman" w:hAnsi="Times New Roman"/>
                <w:i/>
                <w:sz w:val="20"/>
              </w:rPr>
            </w:pPr>
            <w:r w:rsidRPr="00AC2F0E">
              <w:rPr>
                <w:rFonts w:ascii="Times New Roman" w:hAnsi="Times New Roman"/>
                <w:i/>
                <w:sz w:val="20"/>
              </w:rPr>
              <w:t>C. Nepriame finančné náklady</w:t>
            </w:r>
          </w:p>
        </w:tc>
        <w:tc>
          <w:tcPr>
            <w:tcW w:w="2693" w:type="dxa"/>
            <w:shd w:val="clear" w:color="auto" w:fill="FFC000"/>
          </w:tcPr>
          <w:p w:rsidR="00D00F18" w:rsidRPr="00AC2F0E" w:rsidP="00AC2F0E">
            <w:pPr>
              <w:jc w:val="center"/>
              <w:rPr>
                <w:rFonts w:ascii="Times New Roman" w:hAnsi="Times New Roman"/>
                <w:i/>
                <w:sz w:val="20"/>
              </w:rPr>
            </w:pPr>
            <w:r w:rsidRPr="00AC2F0E">
              <w:rPr>
                <w:rFonts w:ascii="Times New Roman" w:hAnsi="Times New Roman"/>
                <w:i/>
                <w:sz w:val="20"/>
              </w:rPr>
              <w:t>0</w:t>
            </w:r>
          </w:p>
        </w:tc>
        <w:tc>
          <w:tcPr>
            <w:tcW w:w="2693" w:type="dxa"/>
            <w:shd w:val="clear" w:color="auto" w:fill="92D050"/>
          </w:tcPr>
          <w:p w:rsidR="00D00F18" w:rsidRPr="00AC2F0E" w:rsidP="00AC2F0E">
            <w:pPr>
              <w:jc w:val="center"/>
              <w:rPr>
                <w:rFonts w:ascii="Times New Roman" w:hAnsi="Times New Roman"/>
                <w:i/>
                <w:sz w:val="20"/>
              </w:rPr>
            </w:pPr>
            <w:r w:rsidRPr="00AC2F0E">
              <w:rPr>
                <w:rFonts w:ascii="Times New Roman" w:hAnsi="Times New Roman"/>
                <w:i/>
                <w:sz w:val="20"/>
              </w:rPr>
              <w:t>0</w:t>
            </w:r>
          </w:p>
        </w:tc>
      </w:tr>
      <w:tr w:rsidTr="00AC2F0E">
        <w:tblPrEx>
          <w:tblW w:w="9067" w:type="dxa"/>
          <w:tblLook w:val="04A0"/>
        </w:tblPrEx>
        <w:tc>
          <w:tcPr>
            <w:tcW w:w="3681" w:type="dxa"/>
            <w:shd w:val="clear" w:color="auto" w:fill="auto"/>
          </w:tcPr>
          <w:p w:rsidR="00D00F18" w:rsidRPr="00AC2F0E" w:rsidP="00D00F18">
            <w:pPr>
              <w:rPr>
                <w:rFonts w:ascii="Times New Roman" w:hAnsi="Times New Roman"/>
                <w:i/>
                <w:sz w:val="20"/>
              </w:rPr>
            </w:pPr>
            <w:r w:rsidRPr="00AC2F0E">
              <w:rPr>
                <w:rFonts w:ascii="Times New Roman" w:hAnsi="Times New Roman"/>
                <w:i/>
                <w:sz w:val="20"/>
              </w:rPr>
              <w:t>D. Administratívne náklady</w:t>
            </w:r>
          </w:p>
        </w:tc>
        <w:tc>
          <w:tcPr>
            <w:tcW w:w="2693" w:type="dxa"/>
            <w:shd w:val="clear" w:color="auto" w:fill="FFC000"/>
          </w:tcPr>
          <w:p w:rsidR="00D00F18" w:rsidRPr="00AC2F0E" w:rsidP="00AC2F0E">
            <w:pPr>
              <w:jc w:val="center"/>
              <w:rPr>
                <w:rFonts w:ascii="Times New Roman" w:hAnsi="Times New Roman"/>
                <w:i/>
                <w:sz w:val="20"/>
              </w:rPr>
            </w:pPr>
            <w:r w:rsidRPr="00AC2F0E">
              <w:rPr>
                <w:rFonts w:ascii="Times New Roman" w:hAnsi="Times New Roman"/>
                <w:i/>
                <w:sz w:val="20"/>
              </w:rPr>
              <w:t>0</w:t>
            </w:r>
          </w:p>
        </w:tc>
        <w:tc>
          <w:tcPr>
            <w:tcW w:w="2693" w:type="dxa"/>
            <w:shd w:val="clear" w:color="auto" w:fill="92D050"/>
          </w:tcPr>
          <w:p w:rsidR="00D00F18" w:rsidRPr="00AC2F0E" w:rsidP="00AC2F0E">
            <w:pPr>
              <w:jc w:val="center"/>
              <w:rPr>
                <w:rFonts w:ascii="Times New Roman" w:hAnsi="Times New Roman"/>
                <w:i/>
                <w:sz w:val="20"/>
              </w:rPr>
            </w:pPr>
            <w:r w:rsidRPr="00AC2F0E">
              <w:rPr>
                <w:rFonts w:ascii="Times New Roman" w:hAnsi="Times New Roman"/>
                <w:i/>
                <w:sz w:val="20"/>
              </w:rPr>
              <w:t>0</w:t>
            </w:r>
          </w:p>
        </w:tc>
      </w:tr>
      <w:tr w:rsidTr="00AC2F0E">
        <w:tblPrEx>
          <w:tblW w:w="9067" w:type="dxa"/>
          <w:tblLook w:val="04A0"/>
        </w:tblPrEx>
        <w:tc>
          <w:tcPr>
            <w:tcW w:w="3681" w:type="dxa"/>
            <w:shd w:val="clear" w:color="auto" w:fill="auto"/>
          </w:tcPr>
          <w:p w:rsidR="00D00F18" w:rsidRPr="00AC2F0E" w:rsidP="00D00F18">
            <w:pPr>
              <w:rPr>
                <w:rFonts w:ascii="Times New Roman" w:hAnsi="Times New Roman"/>
                <w:b/>
                <w:i/>
                <w:sz w:val="20"/>
              </w:rPr>
            </w:pPr>
            <w:r w:rsidRPr="00AC2F0E">
              <w:rPr>
                <w:rFonts w:ascii="Times New Roman" w:hAnsi="Times New Roman"/>
                <w:b/>
                <w:i/>
                <w:sz w:val="20"/>
              </w:rPr>
              <w:t>Spolu = A+B+C+D</w:t>
            </w:r>
          </w:p>
        </w:tc>
        <w:tc>
          <w:tcPr>
            <w:tcW w:w="2693" w:type="dxa"/>
            <w:shd w:val="clear" w:color="auto" w:fill="FFC000"/>
          </w:tcPr>
          <w:p w:rsidR="00D00F18" w:rsidRPr="00AC2F0E" w:rsidP="00AC2F0E">
            <w:pPr>
              <w:jc w:val="center"/>
              <w:rPr>
                <w:rFonts w:ascii="Times New Roman" w:hAnsi="Times New Roman"/>
                <w:b/>
                <w:i/>
                <w:sz w:val="20"/>
              </w:rPr>
            </w:pPr>
            <w:r w:rsidRPr="00AC2F0E">
              <w:rPr>
                <w:rFonts w:ascii="Times New Roman" w:hAnsi="Times New Roman"/>
                <w:b/>
                <w:i/>
                <w:sz w:val="20"/>
              </w:rPr>
              <w:t>0</w:t>
            </w:r>
          </w:p>
        </w:tc>
        <w:tc>
          <w:tcPr>
            <w:tcW w:w="2693" w:type="dxa"/>
            <w:shd w:val="clear" w:color="auto" w:fill="92D050"/>
          </w:tcPr>
          <w:p w:rsidR="00D00F18" w:rsidRPr="00AC2F0E" w:rsidP="00AC2F0E">
            <w:pPr>
              <w:jc w:val="center"/>
              <w:rPr>
                <w:rFonts w:ascii="Times New Roman" w:hAnsi="Times New Roman"/>
                <w:b/>
                <w:i/>
                <w:sz w:val="20"/>
              </w:rPr>
            </w:pPr>
            <w:r w:rsidRPr="00AC2F0E">
              <w:rPr>
                <w:rFonts w:ascii="Times New Roman" w:hAnsi="Times New Roman"/>
                <w:b/>
                <w:i/>
                <w:sz w:val="20"/>
              </w:rPr>
              <w:t>0</w:t>
            </w:r>
          </w:p>
        </w:tc>
      </w:tr>
      <w:tr w:rsidTr="00AC2F0E">
        <w:tblPrEx>
          <w:tblW w:w="9067" w:type="dxa"/>
          <w:tblLook w:val="04A0"/>
        </w:tblPrEx>
        <w:tc>
          <w:tcPr>
            <w:tcW w:w="3681" w:type="dxa"/>
            <w:shd w:val="clear" w:color="auto" w:fill="auto"/>
          </w:tcPr>
          <w:p w:rsidR="00D00F18" w:rsidRPr="00AC2F0E" w:rsidP="00D00F18">
            <w:pPr>
              <w:rPr>
                <w:rFonts w:ascii="Times New Roman" w:hAnsi="Times New Roman"/>
                <w:b/>
                <w:i/>
                <w:sz w:val="20"/>
              </w:rPr>
            </w:pPr>
            <w:r w:rsidRPr="00AC2F0E">
              <w:rPr>
                <w:rFonts w:ascii="Times New Roman" w:hAnsi="Times New Roman"/>
                <w:b/>
                <w:i/>
                <w:sz w:val="20"/>
              </w:rPr>
              <w:t xml:space="preserve"> z toho</w:t>
            </w:r>
          </w:p>
        </w:tc>
        <w:tc>
          <w:tcPr>
            <w:tcW w:w="2693" w:type="dxa"/>
            <w:shd w:val="clear" w:color="auto" w:fill="FFC000"/>
          </w:tcPr>
          <w:p w:rsidR="00D00F18" w:rsidRPr="00AC2F0E" w:rsidP="00AC2F0E">
            <w:pPr>
              <w:jc w:val="center"/>
              <w:rPr>
                <w:rFonts w:ascii="Times New Roman" w:hAnsi="Times New Roman"/>
                <w:b/>
                <w:i/>
                <w:sz w:val="20"/>
              </w:rPr>
            </w:pPr>
          </w:p>
        </w:tc>
        <w:tc>
          <w:tcPr>
            <w:tcW w:w="2693" w:type="dxa"/>
            <w:shd w:val="clear" w:color="auto" w:fill="92D050"/>
          </w:tcPr>
          <w:p w:rsidR="00D00F18" w:rsidRPr="00AC2F0E" w:rsidP="00AC2F0E">
            <w:pPr>
              <w:jc w:val="center"/>
              <w:rPr>
                <w:rFonts w:ascii="Times New Roman" w:hAnsi="Times New Roman"/>
                <w:b/>
                <w:i/>
                <w:sz w:val="20"/>
              </w:rPr>
            </w:pPr>
          </w:p>
        </w:tc>
      </w:tr>
      <w:tr w:rsidTr="00AC2F0E">
        <w:tblPrEx>
          <w:tblW w:w="9067" w:type="dxa"/>
          <w:tblLook w:val="04A0"/>
        </w:tblPrEx>
        <w:tc>
          <w:tcPr>
            <w:tcW w:w="3681" w:type="dxa"/>
            <w:shd w:val="clear" w:color="auto" w:fill="auto"/>
          </w:tcPr>
          <w:p w:rsidR="00D00F18" w:rsidRPr="00AC2F0E" w:rsidP="00D00F18">
            <w:pPr>
              <w:rPr>
                <w:rFonts w:ascii="Times New Roman" w:hAnsi="Times New Roman"/>
                <w:i/>
                <w:sz w:val="20"/>
              </w:rPr>
            </w:pPr>
            <w:r w:rsidRPr="00AC2F0E">
              <w:rPr>
                <w:rFonts w:ascii="Times New Roman" w:hAnsi="Times New Roman"/>
                <w:i/>
                <w:sz w:val="20"/>
              </w:rPr>
              <w:t>E. Vplyv na mikro, malé a stredné podniky</w:t>
            </w:r>
          </w:p>
        </w:tc>
        <w:tc>
          <w:tcPr>
            <w:tcW w:w="2693" w:type="dxa"/>
            <w:shd w:val="clear" w:color="auto" w:fill="FFC000"/>
          </w:tcPr>
          <w:p w:rsidR="00D00F18" w:rsidRPr="00AC2F0E" w:rsidP="00AC2F0E">
            <w:pPr>
              <w:jc w:val="center"/>
              <w:rPr>
                <w:rFonts w:ascii="Times New Roman" w:hAnsi="Times New Roman"/>
                <w:b/>
                <w:i/>
                <w:sz w:val="20"/>
              </w:rPr>
            </w:pPr>
            <w:r w:rsidRPr="00AC2F0E">
              <w:rPr>
                <w:rFonts w:ascii="Times New Roman" w:hAnsi="Times New Roman"/>
                <w:i/>
                <w:sz w:val="20"/>
              </w:rPr>
              <w:t>0</w:t>
            </w:r>
          </w:p>
        </w:tc>
        <w:tc>
          <w:tcPr>
            <w:tcW w:w="2693" w:type="dxa"/>
            <w:shd w:val="clear" w:color="auto" w:fill="92D050"/>
          </w:tcPr>
          <w:p w:rsidR="00D00F18" w:rsidRPr="00AC2F0E" w:rsidP="00AC2F0E">
            <w:pPr>
              <w:jc w:val="center"/>
              <w:rPr>
                <w:rFonts w:ascii="Times New Roman" w:hAnsi="Times New Roman"/>
                <w:b/>
                <w:i/>
                <w:sz w:val="20"/>
              </w:rPr>
            </w:pPr>
            <w:r w:rsidRPr="00AC2F0E">
              <w:rPr>
                <w:rFonts w:ascii="Times New Roman" w:hAnsi="Times New Roman"/>
                <w:i/>
                <w:sz w:val="20"/>
              </w:rPr>
              <w:t>0</w:t>
            </w:r>
          </w:p>
        </w:tc>
      </w:tr>
      <w:tr w:rsidTr="00AC2F0E">
        <w:tblPrEx>
          <w:tblW w:w="9067" w:type="dxa"/>
          <w:tblLook w:val="04A0"/>
        </w:tblPrEx>
        <w:tc>
          <w:tcPr>
            <w:tcW w:w="3681" w:type="dxa"/>
            <w:shd w:val="clear" w:color="auto" w:fill="auto"/>
          </w:tcPr>
          <w:p w:rsidR="00D00F18" w:rsidRPr="00AC2F0E" w:rsidP="00D00F18">
            <w:pPr>
              <w:rPr>
                <w:rFonts w:ascii="Times New Roman" w:hAnsi="Times New Roman"/>
                <w:i/>
                <w:sz w:val="20"/>
              </w:rPr>
            </w:pPr>
            <w:r w:rsidRPr="00AC2F0E">
              <w:rPr>
                <w:rFonts w:ascii="Times New Roman" w:hAnsi="Times New Roman"/>
                <w:i/>
                <w:sz w:val="20"/>
              </w:rPr>
              <w:t>F. Úplná harmonizácia práva EÚ</w:t>
            </w:r>
          </w:p>
        </w:tc>
        <w:tc>
          <w:tcPr>
            <w:tcW w:w="2693" w:type="dxa"/>
            <w:shd w:val="clear" w:color="auto" w:fill="FFC000"/>
          </w:tcPr>
          <w:p w:rsidR="00D00F18" w:rsidRPr="00AC2F0E" w:rsidP="00AC2F0E">
            <w:pPr>
              <w:jc w:val="center"/>
              <w:rPr>
                <w:rFonts w:ascii="Times New Roman" w:hAnsi="Times New Roman"/>
                <w:b/>
                <w:i/>
                <w:sz w:val="20"/>
              </w:rPr>
            </w:pPr>
            <w:r w:rsidRPr="00AC2F0E">
              <w:rPr>
                <w:rFonts w:ascii="Times New Roman" w:hAnsi="Times New Roman"/>
                <w:i/>
                <w:sz w:val="20"/>
              </w:rPr>
              <w:t>0</w:t>
            </w:r>
          </w:p>
        </w:tc>
        <w:tc>
          <w:tcPr>
            <w:tcW w:w="2693" w:type="dxa"/>
            <w:shd w:val="clear" w:color="auto" w:fill="92D050"/>
          </w:tcPr>
          <w:p w:rsidR="00D00F18" w:rsidRPr="00AC2F0E" w:rsidP="00AC2F0E">
            <w:pPr>
              <w:jc w:val="center"/>
              <w:rPr>
                <w:rFonts w:ascii="Times New Roman" w:hAnsi="Times New Roman"/>
                <w:b/>
                <w:i/>
                <w:sz w:val="20"/>
              </w:rPr>
            </w:pPr>
            <w:r w:rsidRPr="00AC2F0E">
              <w:rPr>
                <w:rFonts w:ascii="Times New Roman" w:hAnsi="Times New Roman"/>
                <w:i/>
                <w:sz w:val="20"/>
              </w:rPr>
              <w:t>0</w:t>
            </w:r>
          </w:p>
        </w:tc>
      </w:tr>
      <w:tr w:rsidTr="00AC2F0E">
        <w:tblPrEx>
          <w:tblW w:w="9067" w:type="dxa"/>
          <w:tblLook w:val="04A0"/>
        </w:tblPrEx>
        <w:tc>
          <w:tcPr>
            <w:tcW w:w="9067" w:type="dxa"/>
            <w:gridSpan w:val="3"/>
            <w:shd w:val="clear" w:color="auto" w:fill="auto"/>
          </w:tcPr>
          <w:p w:rsidR="00D00F18" w:rsidRPr="00AC2F0E" w:rsidP="00AC2F0E">
            <w:pPr>
              <w:jc w:val="center"/>
              <w:rPr>
                <w:rFonts w:ascii="Times New Roman" w:hAnsi="Times New Roman"/>
                <w:b/>
                <w:bCs/>
                <w:i/>
                <w:sz w:val="20"/>
              </w:rPr>
            </w:pPr>
          </w:p>
        </w:tc>
      </w:tr>
      <w:tr w:rsidTr="00AC2F0E">
        <w:tblPrEx>
          <w:tblW w:w="9067" w:type="dxa"/>
          <w:tblLook w:val="04A0"/>
        </w:tblPrEx>
        <w:tc>
          <w:tcPr>
            <w:tcW w:w="3681" w:type="dxa"/>
            <w:shd w:val="clear" w:color="auto" w:fill="auto"/>
          </w:tcPr>
          <w:p w:rsidR="00D00F18" w:rsidRPr="00AC2F0E" w:rsidP="00D00F18">
            <w:pPr>
              <w:rPr>
                <w:rFonts w:ascii="Times New Roman" w:hAnsi="Times New Roman"/>
                <w:b/>
                <w:i/>
                <w:sz w:val="20"/>
              </w:rPr>
            </w:pPr>
            <w:r w:rsidRPr="00AC2F0E">
              <w:rPr>
                <w:rFonts w:ascii="Times New Roman" w:hAnsi="Times New Roman"/>
                <w:b/>
                <w:bCs/>
                <w:i/>
                <w:sz w:val="20"/>
              </w:rPr>
              <w:t>VÝPOČET mechanizmu znižovania byrokracie a nákladov</w:t>
            </w:r>
          </w:p>
        </w:tc>
        <w:tc>
          <w:tcPr>
            <w:tcW w:w="2693" w:type="dxa"/>
            <w:shd w:val="clear" w:color="auto" w:fill="FFC000"/>
          </w:tcPr>
          <w:p w:rsidR="00D00F18" w:rsidRPr="00AC2F0E" w:rsidP="00AC2F0E">
            <w:pPr>
              <w:jc w:val="center"/>
              <w:rPr>
                <w:rFonts w:ascii="Times New Roman" w:hAnsi="Times New Roman"/>
                <w:b/>
                <w:bCs/>
                <w:i/>
                <w:sz w:val="20"/>
              </w:rPr>
            </w:pPr>
            <w:r w:rsidRPr="00AC2F0E">
              <w:rPr>
                <w:rFonts w:ascii="Times New Roman" w:hAnsi="Times New Roman"/>
                <w:b/>
                <w:bCs/>
                <w:i/>
                <w:sz w:val="20"/>
              </w:rPr>
              <w:t>IN</w:t>
            </w:r>
          </w:p>
        </w:tc>
        <w:tc>
          <w:tcPr>
            <w:tcW w:w="2693" w:type="dxa"/>
            <w:shd w:val="clear" w:color="auto" w:fill="92D050"/>
          </w:tcPr>
          <w:p w:rsidR="00D00F18" w:rsidRPr="00AC2F0E" w:rsidP="00AC2F0E">
            <w:pPr>
              <w:jc w:val="center"/>
              <w:rPr>
                <w:rFonts w:ascii="Times New Roman" w:hAnsi="Times New Roman"/>
                <w:b/>
                <w:bCs/>
                <w:i/>
                <w:sz w:val="20"/>
              </w:rPr>
            </w:pPr>
            <w:r w:rsidRPr="00AC2F0E">
              <w:rPr>
                <w:rFonts w:ascii="Times New Roman" w:hAnsi="Times New Roman"/>
                <w:b/>
                <w:bCs/>
                <w:i/>
                <w:sz w:val="20"/>
              </w:rPr>
              <w:t>OUT</w:t>
            </w:r>
          </w:p>
        </w:tc>
      </w:tr>
      <w:tr w:rsidTr="00AC2F0E">
        <w:tblPrEx>
          <w:tblW w:w="9067" w:type="dxa"/>
          <w:tblLook w:val="04A0"/>
        </w:tblPrEx>
        <w:tc>
          <w:tcPr>
            <w:tcW w:w="3681" w:type="dxa"/>
            <w:shd w:val="clear" w:color="auto" w:fill="auto"/>
          </w:tcPr>
          <w:p w:rsidR="00D00F18" w:rsidRPr="00AC2F0E" w:rsidP="00D00F18">
            <w:pPr>
              <w:rPr>
                <w:rFonts w:ascii="Times New Roman" w:hAnsi="Times New Roman"/>
                <w:b/>
                <w:i/>
                <w:sz w:val="20"/>
              </w:rPr>
            </w:pPr>
            <w:r w:rsidRPr="00AC2F0E">
              <w:rPr>
                <w:rFonts w:ascii="Times New Roman" w:hAnsi="Times New Roman"/>
                <w:b/>
                <w:i/>
                <w:sz w:val="20"/>
              </w:rPr>
              <w:t>G. Náklady okrem výnimiek = B+C+D-F</w:t>
            </w:r>
          </w:p>
        </w:tc>
        <w:tc>
          <w:tcPr>
            <w:tcW w:w="2693" w:type="dxa"/>
            <w:shd w:val="clear" w:color="auto" w:fill="FFC000"/>
          </w:tcPr>
          <w:p w:rsidR="00D00F18" w:rsidRPr="00AC2F0E" w:rsidP="00AC2F0E">
            <w:pPr>
              <w:jc w:val="center"/>
              <w:rPr>
                <w:rFonts w:ascii="Times New Roman" w:hAnsi="Times New Roman"/>
                <w:b/>
                <w:bCs/>
                <w:i/>
                <w:sz w:val="20"/>
              </w:rPr>
            </w:pPr>
            <w:r w:rsidRPr="00AC2F0E">
              <w:rPr>
                <w:rFonts w:ascii="Times New Roman" w:hAnsi="Times New Roman"/>
                <w:b/>
                <w:bCs/>
                <w:i/>
                <w:sz w:val="20"/>
              </w:rPr>
              <w:t>0</w:t>
            </w:r>
          </w:p>
        </w:tc>
        <w:tc>
          <w:tcPr>
            <w:tcW w:w="2693" w:type="dxa"/>
            <w:shd w:val="clear" w:color="auto" w:fill="92D050"/>
          </w:tcPr>
          <w:p w:rsidR="00D00F18" w:rsidRPr="00AC2F0E" w:rsidP="00AC2F0E">
            <w:pPr>
              <w:jc w:val="center"/>
              <w:rPr>
                <w:rFonts w:ascii="Times New Roman" w:hAnsi="Times New Roman"/>
                <w:b/>
                <w:bCs/>
                <w:i/>
                <w:sz w:val="20"/>
              </w:rPr>
            </w:pPr>
            <w:r w:rsidRPr="00AC2F0E">
              <w:rPr>
                <w:rFonts w:ascii="Times New Roman" w:hAnsi="Times New Roman"/>
                <w:b/>
                <w:bCs/>
                <w:i/>
                <w:sz w:val="20"/>
              </w:rPr>
              <w:t>0</w:t>
            </w:r>
          </w:p>
        </w:tc>
      </w:tr>
    </w:tbl>
    <w:p w:rsidR="00D00F18" w:rsidRPr="00D00F18" w:rsidP="00D00F18">
      <w:pPr>
        <w:rPr>
          <w:rFonts w:ascii="Times New Roman" w:hAnsi="Times New Roman"/>
          <w:b/>
          <w:sz w:val="24"/>
          <w:szCs w:val="24"/>
        </w:rPr>
        <w:sectPr w:rsidSect="00D00F18">
          <w:pgSz w:w="11906" w:h="16838"/>
          <w:pgMar w:top="993" w:right="1417" w:bottom="1417" w:left="1417" w:header="708" w:footer="708" w:gutter="0"/>
          <w:cols w:space="708"/>
          <w:docGrid w:linePitch="360"/>
        </w:sectPr>
      </w:pPr>
    </w:p>
    <w:p w:rsidR="00D00F18" w:rsidRPr="00D00F18" w:rsidP="00D00F18">
      <w:pPr>
        <w:rPr>
          <w:rFonts w:ascii="Times New Roman" w:hAnsi="Times New Roman"/>
          <w:b/>
          <w:i/>
          <w:iCs/>
          <w:sz w:val="24"/>
          <w:szCs w:val="24"/>
        </w:rPr>
      </w:pPr>
      <w:r w:rsidRPr="00D00F18">
        <w:rPr>
          <w:rFonts w:ascii="Times New Roman" w:hAnsi="Times New Roman"/>
          <w:b/>
          <w:i/>
          <w:iCs/>
          <w:sz w:val="24"/>
          <w:szCs w:val="24"/>
        </w:rPr>
        <w:t>3.1.2 Výpočty vplyvov jednotlivých regulácií na zmeny v nákladoch podnikateľov</w:t>
      </w:r>
      <w:r w:rsidRPr="00D00F18">
        <w:rPr>
          <w:rFonts w:ascii="Times New Roman" w:hAnsi="Times New Roman"/>
          <w:i/>
          <w:sz w:val="24"/>
          <w:szCs w:val="24"/>
        </w:rPr>
        <w:tab/>
        <w:tab/>
        <w:tab/>
        <w:tab/>
        <w:tab/>
        <w:tab/>
        <w:tab/>
        <w:tab/>
      </w:r>
    </w:p>
    <w:p w:rsidR="00D00F18" w:rsidRPr="00D00F18" w:rsidP="00D00F18">
      <w:pPr>
        <w:jc w:val="both"/>
        <w:rPr>
          <w:rFonts w:ascii="Times New Roman" w:hAnsi="Times New Roman"/>
          <w:i/>
          <w:sz w:val="24"/>
          <w:szCs w:val="24"/>
        </w:rPr>
      </w:pPr>
      <w:r w:rsidRPr="00D00F18">
        <w:rPr>
          <w:rFonts w:ascii="Times New Roman" w:hAnsi="Times New Roman"/>
          <w:i/>
          <w:sz w:val="24"/>
          <w:szCs w:val="24"/>
        </w:rPr>
        <w:t>Tabuľka č. 2: Výpočet vplyvov jednotlivých regulácií (nahraďte rovnakou tabuľkou po vyplnení Kalkulačky nákladov):</w:t>
      </w:r>
    </w:p>
    <w:tbl>
      <w:tblPr>
        <w:tblStyle w:val="TableNormal"/>
        <w:tblW w:w="1439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4"/>
        <w:gridCol w:w="3348"/>
        <w:gridCol w:w="1003"/>
        <w:gridCol w:w="1129"/>
        <w:gridCol w:w="1257"/>
        <w:gridCol w:w="934"/>
        <w:gridCol w:w="1279"/>
        <w:gridCol w:w="974"/>
        <w:gridCol w:w="974"/>
        <w:gridCol w:w="951"/>
        <w:gridCol w:w="974"/>
        <w:gridCol w:w="1084"/>
      </w:tblGrid>
      <w:tr w:rsidTr="00D00F18">
        <w:tblPrEx>
          <w:tblW w:w="1439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1613"/>
        </w:trPr>
        <w:tc>
          <w:tcPr>
            <w:tcW w:w="485" w:type="dxa"/>
            <w:shd w:val="clear" w:color="auto" w:fill="BFBFBF"/>
            <w:vAlign w:val="center"/>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P.č.</w:t>
            </w:r>
          </w:p>
        </w:tc>
        <w:tc>
          <w:tcPr>
            <w:tcW w:w="3445" w:type="dxa"/>
            <w:shd w:val="clear" w:color="auto" w:fill="BFBFBF"/>
            <w:vAlign w:val="center"/>
            <w:hideMark/>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Zrozumiteľný a stručný opis regulácie vyjadrujúci dôvod zvýšenia/zníženia nákladov na PP</w:t>
            </w:r>
          </w:p>
        </w:tc>
        <w:tc>
          <w:tcPr>
            <w:tcW w:w="1011" w:type="dxa"/>
            <w:shd w:val="clear" w:color="auto" w:fill="BFBFBF"/>
          </w:tcPr>
          <w:p w:rsidR="00D00F18" w:rsidRPr="00D00F18" w:rsidP="00D00F18">
            <w:pPr>
              <w:spacing w:after="0" w:line="240" w:lineRule="auto"/>
              <w:jc w:val="center"/>
              <w:rPr>
                <w:rFonts w:ascii="Times New Roman" w:eastAsia="Times New Roman" w:hAnsi="Times New Roman"/>
                <w:b/>
                <w:bCs/>
                <w:sz w:val="20"/>
                <w:szCs w:val="20"/>
                <w:lang w:eastAsia="sk-SK"/>
              </w:rPr>
            </w:pPr>
          </w:p>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Číslo normy</w:t>
            </w:r>
          </w:p>
          <w:p w:rsidR="00D00F18" w:rsidRPr="00D00F18" w:rsidP="00D00F18">
            <w:pPr>
              <w:spacing w:after="0" w:line="240" w:lineRule="auto"/>
              <w:jc w:val="center"/>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(záko</w:t>
            </w:r>
            <w:r w:rsidRPr="00D00F18">
              <w:rPr>
                <w:rFonts w:ascii="Times New Roman" w:eastAsia="Times New Roman" w:hAnsi="Times New Roman"/>
                <w:bCs/>
                <w:sz w:val="20"/>
                <w:szCs w:val="20"/>
                <w:lang w:eastAsia="sk-SK"/>
              </w:rPr>
              <w:t>na, vyhlášky a pod.)</w:t>
            </w:r>
          </w:p>
        </w:tc>
        <w:tc>
          <w:tcPr>
            <w:tcW w:w="1093" w:type="dxa"/>
            <w:shd w:val="clear" w:color="auto" w:fill="BFBFBF"/>
            <w:vAlign w:val="center"/>
            <w:hideMark/>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 xml:space="preserve">Lokalizácia </w:t>
            </w:r>
            <w:r w:rsidRPr="00D00F18">
              <w:rPr>
                <w:rFonts w:ascii="Times New Roman" w:eastAsia="Times New Roman" w:hAnsi="Times New Roman"/>
                <w:bCs/>
                <w:sz w:val="20"/>
                <w:szCs w:val="20"/>
                <w:lang w:eastAsia="sk-SK"/>
              </w:rPr>
              <w:t>(§, ods.)</w:t>
            </w:r>
          </w:p>
        </w:tc>
        <w:tc>
          <w:tcPr>
            <w:tcW w:w="1262" w:type="dxa"/>
            <w:shd w:val="clear" w:color="auto" w:fill="BFBFBF"/>
            <w:vAlign w:val="center"/>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Pôvod regulácie:</w:t>
            </w:r>
          </w:p>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SK/EÚ úplná harm./EÚ harm. s možnosťou voľby</w:t>
            </w:r>
          </w:p>
        </w:tc>
        <w:tc>
          <w:tcPr>
            <w:tcW w:w="904" w:type="dxa"/>
            <w:shd w:val="clear" w:color="auto" w:fill="BFBFBF"/>
            <w:vAlign w:val="center"/>
            <w:hideMark/>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Účinnosť</w:t>
            </w:r>
          </w:p>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regulácie</w:t>
            </w:r>
          </w:p>
          <w:p w:rsidR="00D00F18" w:rsidRPr="00D00F18" w:rsidP="00D00F18">
            <w:pPr>
              <w:spacing w:after="0" w:line="240" w:lineRule="auto"/>
              <w:jc w:val="center"/>
              <w:rPr>
                <w:rFonts w:ascii="Times New Roman" w:eastAsia="Times New Roman" w:hAnsi="Times New Roman"/>
                <w:bCs/>
                <w:sz w:val="20"/>
                <w:szCs w:val="20"/>
                <w:lang w:eastAsia="sk-SK"/>
              </w:rPr>
            </w:pPr>
          </w:p>
        </w:tc>
        <w:tc>
          <w:tcPr>
            <w:tcW w:w="1295" w:type="dxa"/>
            <w:shd w:val="clear" w:color="auto" w:fill="BFBFBF"/>
            <w:vAlign w:val="center"/>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Kategória dotk. subjektov</w:t>
            </w:r>
          </w:p>
        </w:tc>
        <w:tc>
          <w:tcPr>
            <w:tcW w:w="943" w:type="dxa"/>
            <w:shd w:val="clear" w:color="auto" w:fill="BFBFBF"/>
            <w:vAlign w:val="center"/>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 xml:space="preserve">Počet  subjektov v dotk. kategórii </w:t>
            </w:r>
          </w:p>
        </w:tc>
        <w:tc>
          <w:tcPr>
            <w:tcW w:w="943" w:type="dxa"/>
            <w:shd w:val="clear" w:color="auto" w:fill="BFBFBF"/>
            <w:vAlign w:val="center"/>
            <w:hideMark/>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 xml:space="preserve">Počet subjektov MSP v dotk. kategórii </w:t>
            </w:r>
          </w:p>
        </w:tc>
        <w:tc>
          <w:tcPr>
            <w:tcW w:w="951" w:type="dxa"/>
            <w:shd w:val="clear" w:color="auto" w:fill="BFBFBF"/>
            <w:vAlign w:val="center"/>
            <w:hideMark/>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Vplyv na 1 podnik. v €</w:t>
            </w:r>
          </w:p>
        </w:tc>
        <w:tc>
          <w:tcPr>
            <w:tcW w:w="961" w:type="dxa"/>
            <w:shd w:val="clear" w:color="auto" w:fill="BFBFBF"/>
            <w:vAlign w:val="center"/>
            <w:hideMark/>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Vplyv n</w:t>
            </w:r>
            <w:r w:rsidRPr="00D00F18">
              <w:rPr>
                <w:rFonts w:ascii="Times New Roman" w:eastAsia="Times New Roman" w:hAnsi="Times New Roman"/>
                <w:b/>
                <w:bCs/>
                <w:sz w:val="20"/>
                <w:szCs w:val="20"/>
                <w:lang w:eastAsia="sk-SK"/>
              </w:rPr>
              <w:t>a kategóriu dotk. subjektov v €</w:t>
            </w:r>
          </w:p>
        </w:tc>
        <w:tc>
          <w:tcPr>
            <w:tcW w:w="1098" w:type="dxa"/>
            <w:shd w:val="clear" w:color="auto" w:fill="BFBFBF"/>
            <w:vAlign w:val="center"/>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Druh vplyvu</w:t>
            </w:r>
          </w:p>
          <w:p w:rsidR="00D00F18" w:rsidRPr="00D00F18" w:rsidP="00D00F18">
            <w:pPr>
              <w:spacing w:after="0" w:line="240" w:lineRule="auto"/>
              <w:jc w:val="center"/>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 xml:space="preserve">In (zvyšuje náklady) / </w:t>
            </w:r>
          </w:p>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Cs/>
                <w:sz w:val="20"/>
                <w:szCs w:val="20"/>
                <w:lang w:eastAsia="sk-SK"/>
              </w:rPr>
              <w:t>Out (znižuje náklady</w:t>
            </w:r>
            <w:r w:rsidRPr="00D00F18">
              <w:rPr>
                <w:rFonts w:ascii="Times New Roman" w:eastAsia="Times New Roman" w:hAnsi="Times New Roman"/>
                <w:b/>
                <w:bCs/>
                <w:sz w:val="20"/>
                <w:szCs w:val="20"/>
                <w:lang w:eastAsia="sk-SK"/>
              </w:rPr>
              <w:t>)</w:t>
            </w:r>
          </w:p>
          <w:p w:rsidR="00D00F18" w:rsidRPr="00D00F18" w:rsidP="00D00F18">
            <w:pPr>
              <w:spacing w:after="0" w:line="240" w:lineRule="auto"/>
              <w:jc w:val="center"/>
              <w:rPr>
                <w:rFonts w:ascii="Times New Roman" w:eastAsia="Times New Roman" w:hAnsi="Times New Roman"/>
                <w:b/>
                <w:bCs/>
                <w:sz w:val="20"/>
                <w:szCs w:val="20"/>
                <w:lang w:eastAsia="sk-SK"/>
              </w:rPr>
            </w:pPr>
          </w:p>
        </w:tc>
      </w:tr>
      <w:tr w:rsidTr="00D00F18">
        <w:tblPrEx>
          <w:tblW w:w="14391" w:type="dxa"/>
          <w:tblInd w:w="-549" w:type="dxa"/>
          <w:tblCellMar>
            <w:left w:w="70" w:type="dxa"/>
            <w:right w:w="70" w:type="dxa"/>
          </w:tblCellMar>
          <w:tblLook w:val="04A0"/>
        </w:tblPrEx>
        <w:trPr>
          <w:trHeight w:val="523"/>
        </w:trPr>
        <w:tc>
          <w:tcPr>
            <w:tcW w:w="485"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3445" w:type="dxa"/>
            <w:shd w:val="clear" w:color="auto" w:fill="auto"/>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011" w:type="dxa"/>
          </w:tcPr>
          <w:p w:rsidR="00D00F18" w:rsidRPr="00D00F18" w:rsidP="00D00F18">
            <w:pPr>
              <w:spacing w:after="0" w:line="240" w:lineRule="auto"/>
              <w:rPr>
                <w:rFonts w:ascii="Times New Roman" w:eastAsia="Times New Roman" w:hAnsi="Times New Roman"/>
                <w:sz w:val="20"/>
                <w:szCs w:val="20"/>
                <w:lang w:eastAsia="sk-SK"/>
              </w:rPr>
            </w:pPr>
          </w:p>
        </w:tc>
        <w:tc>
          <w:tcPr>
            <w:tcW w:w="1093" w:type="dxa"/>
            <w:shd w:val="clear" w:color="auto" w:fill="auto"/>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262"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04"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295"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43"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43"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51"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61"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098" w:type="dxa"/>
            <w:vAlign w:val="center"/>
          </w:tcPr>
          <w:p w:rsidR="00D00F18" w:rsidRPr="00D00F18" w:rsidP="00D00F18">
            <w:pPr>
              <w:spacing w:after="0" w:line="240" w:lineRule="auto"/>
              <w:rPr>
                <w:rFonts w:ascii="Times New Roman" w:eastAsia="Times New Roman" w:hAnsi="Times New Roman"/>
                <w:sz w:val="20"/>
                <w:szCs w:val="20"/>
                <w:lang w:eastAsia="sk-SK"/>
              </w:rPr>
            </w:pPr>
          </w:p>
        </w:tc>
      </w:tr>
      <w:tr w:rsidTr="00D00F18">
        <w:tblPrEx>
          <w:tblW w:w="14391" w:type="dxa"/>
          <w:tblInd w:w="-549" w:type="dxa"/>
          <w:tblCellMar>
            <w:left w:w="70" w:type="dxa"/>
            <w:right w:w="70" w:type="dxa"/>
          </w:tblCellMar>
          <w:tblLook w:val="04A0"/>
        </w:tblPrEx>
        <w:trPr>
          <w:trHeight w:val="513"/>
        </w:trPr>
        <w:tc>
          <w:tcPr>
            <w:tcW w:w="485"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3445" w:type="dxa"/>
            <w:shd w:val="clear" w:color="auto" w:fill="auto"/>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011" w:type="dxa"/>
          </w:tcPr>
          <w:p w:rsidR="00D00F18" w:rsidRPr="00D00F18" w:rsidP="00D00F18">
            <w:pPr>
              <w:spacing w:after="0" w:line="240" w:lineRule="auto"/>
              <w:rPr>
                <w:rFonts w:ascii="Times New Roman" w:eastAsia="Times New Roman" w:hAnsi="Times New Roman"/>
                <w:sz w:val="20"/>
                <w:szCs w:val="20"/>
                <w:lang w:eastAsia="sk-SK"/>
              </w:rPr>
            </w:pPr>
          </w:p>
        </w:tc>
        <w:tc>
          <w:tcPr>
            <w:tcW w:w="1093" w:type="dxa"/>
            <w:shd w:val="clear" w:color="auto" w:fill="auto"/>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262"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04"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295"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43"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43"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51"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61"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098" w:type="dxa"/>
            <w:vAlign w:val="center"/>
          </w:tcPr>
          <w:p w:rsidR="00D00F18" w:rsidRPr="00D00F18" w:rsidP="00D00F18">
            <w:pPr>
              <w:spacing w:after="0" w:line="240" w:lineRule="auto"/>
              <w:rPr>
                <w:rFonts w:ascii="Times New Roman" w:eastAsia="Times New Roman" w:hAnsi="Times New Roman"/>
                <w:sz w:val="20"/>
                <w:szCs w:val="20"/>
                <w:lang w:eastAsia="sk-SK"/>
              </w:rPr>
            </w:pPr>
          </w:p>
        </w:tc>
      </w:tr>
      <w:tr w:rsidTr="00D00F18">
        <w:tblPrEx>
          <w:tblW w:w="14391" w:type="dxa"/>
          <w:tblInd w:w="-549" w:type="dxa"/>
          <w:tblCellMar>
            <w:left w:w="70" w:type="dxa"/>
            <w:right w:w="70" w:type="dxa"/>
          </w:tblCellMar>
          <w:tblLook w:val="04A0"/>
        </w:tblPrEx>
        <w:trPr>
          <w:trHeight w:val="513"/>
        </w:trPr>
        <w:tc>
          <w:tcPr>
            <w:tcW w:w="485"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3445" w:type="dxa"/>
            <w:shd w:val="clear" w:color="auto" w:fill="auto"/>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011" w:type="dxa"/>
          </w:tcPr>
          <w:p w:rsidR="00D00F18" w:rsidRPr="00D00F18" w:rsidP="00D00F18">
            <w:pPr>
              <w:spacing w:after="0" w:line="240" w:lineRule="auto"/>
              <w:rPr>
                <w:rFonts w:ascii="Times New Roman" w:eastAsia="Times New Roman" w:hAnsi="Times New Roman"/>
                <w:sz w:val="20"/>
                <w:szCs w:val="20"/>
                <w:lang w:eastAsia="sk-SK"/>
              </w:rPr>
            </w:pPr>
          </w:p>
        </w:tc>
        <w:tc>
          <w:tcPr>
            <w:tcW w:w="1093" w:type="dxa"/>
            <w:shd w:val="clear" w:color="auto" w:fill="auto"/>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262"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04"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295"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43"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43"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51"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61"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098" w:type="dxa"/>
            <w:vAlign w:val="center"/>
          </w:tcPr>
          <w:p w:rsidR="00D00F18" w:rsidRPr="00D00F18" w:rsidP="00D00F18">
            <w:pPr>
              <w:spacing w:after="0" w:line="240" w:lineRule="auto"/>
              <w:rPr>
                <w:rFonts w:ascii="Times New Roman" w:eastAsia="Times New Roman" w:hAnsi="Times New Roman"/>
                <w:sz w:val="20"/>
                <w:szCs w:val="20"/>
                <w:lang w:eastAsia="sk-SK"/>
              </w:rPr>
            </w:pPr>
          </w:p>
        </w:tc>
      </w:tr>
      <w:tr w:rsidTr="00D00F18">
        <w:tblPrEx>
          <w:tblW w:w="14391" w:type="dxa"/>
          <w:tblInd w:w="-549" w:type="dxa"/>
          <w:tblCellMar>
            <w:left w:w="70" w:type="dxa"/>
            <w:right w:w="70" w:type="dxa"/>
          </w:tblCellMar>
          <w:tblLook w:val="04A0"/>
        </w:tblPrEx>
        <w:trPr>
          <w:trHeight w:val="513"/>
        </w:trPr>
        <w:tc>
          <w:tcPr>
            <w:tcW w:w="485"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3445" w:type="dxa"/>
            <w:shd w:val="clear" w:color="auto" w:fill="auto"/>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011" w:type="dxa"/>
          </w:tcPr>
          <w:p w:rsidR="00D00F18" w:rsidRPr="00D00F18" w:rsidP="00D00F18">
            <w:pPr>
              <w:spacing w:after="0" w:line="240" w:lineRule="auto"/>
              <w:rPr>
                <w:rFonts w:ascii="Times New Roman" w:eastAsia="Times New Roman" w:hAnsi="Times New Roman"/>
                <w:sz w:val="20"/>
                <w:szCs w:val="20"/>
                <w:lang w:eastAsia="sk-SK"/>
              </w:rPr>
            </w:pPr>
          </w:p>
        </w:tc>
        <w:tc>
          <w:tcPr>
            <w:tcW w:w="1093" w:type="dxa"/>
            <w:shd w:val="clear" w:color="auto" w:fill="auto"/>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262"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04"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295"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43"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43"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51"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61"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098" w:type="dxa"/>
            <w:vAlign w:val="center"/>
          </w:tcPr>
          <w:p w:rsidR="00D00F18" w:rsidRPr="00D00F18" w:rsidP="00D00F18">
            <w:pPr>
              <w:spacing w:after="0" w:line="240" w:lineRule="auto"/>
              <w:rPr>
                <w:rFonts w:ascii="Times New Roman" w:eastAsia="Times New Roman" w:hAnsi="Times New Roman"/>
                <w:sz w:val="20"/>
                <w:szCs w:val="20"/>
                <w:lang w:eastAsia="sk-SK"/>
              </w:rPr>
            </w:pPr>
          </w:p>
        </w:tc>
      </w:tr>
      <w:tr w:rsidTr="00D00F18">
        <w:tblPrEx>
          <w:tblW w:w="14391" w:type="dxa"/>
          <w:tblInd w:w="-549" w:type="dxa"/>
          <w:tblCellMar>
            <w:left w:w="70" w:type="dxa"/>
            <w:right w:w="70" w:type="dxa"/>
          </w:tblCellMar>
          <w:tblLook w:val="04A0"/>
        </w:tblPrEx>
        <w:trPr>
          <w:trHeight w:val="513"/>
        </w:trPr>
        <w:tc>
          <w:tcPr>
            <w:tcW w:w="485"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3445" w:type="dxa"/>
            <w:shd w:val="clear" w:color="auto" w:fill="auto"/>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011" w:type="dxa"/>
          </w:tcPr>
          <w:p w:rsidR="00D00F18" w:rsidRPr="00D00F18" w:rsidP="00D00F18">
            <w:pPr>
              <w:spacing w:after="0" w:line="240" w:lineRule="auto"/>
              <w:rPr>
                <w:rFonts w:ascii="Times New Roman" w:eastAsia="Times New Roman" w:hAnsi="Times New Roman"/>
                <w:sz w:val="20"/>
                <w:szCs w:val="20"/>
                <w:lang w:eastAsia="sk-SK"/>
              </w:rPr>
            </w:pPr>
          </w:p>
        </w:tc>
        <w:tc>
          <w:tcPr>
            <w:tcW w:w="1093" w:type="dxa"/>
            <w:shd w:val="clear" w:color="auto" w:fill="auto"/>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262"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04"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295"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43"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43"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51"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61"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098" w:type="dxa"/>
            <w:vAlign w:val="center"/>
          </w:tcPr>
          <w:p w:rsidR="00D00F18" w:rsidRPr="00D00F18" w:rsidP="00D00F18">
            <w:pPr>
              <w:spacing w:after="0" w:line="240" w:lineRule="auto"/>
              <w:rPr>
                <w:rFonts w:ascii="Times New Roman" w:eastAsia="Times New Roman" w:hAnsi="Times New Roman"/>
                <w:sz w:val="20"/>
                <w:szCs w:val="20"/>
                <w:lang w:eastAsia="sk-SK"/>
              </w:rPr>
            </w:pPr>
          </w:p>
        </w:tc>
      </w:tr>
      <w:tr w:rsidTr="00D00F18">
        <w:tblPrEx>
          <w:tblW w:w="14391" w:type="dxa"/>
          <w:tblInd w:w="-549" w:type="dxa"/>
          <w:tblCellMar>
            <w:left w:w="70" w:type="dxa"/>
            <w:right w:w="70" w:type="dxa"/>
          </w:tblCellMar>
          <w:tblLook w:val="04A0"/>
        </w:tblPrEx>
        <w:trPr>
          <w:trHeight w:val="560"/>
        </w:trPr>
        <w:tc>
          <w:tcPr>
            <w:tcW w:w="485"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3445" w:type="dxa"/>
            <w:shd w:val="clear" w:color="auto" w:fill="auto"/>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011" w:type="dxa"/>
          </w:tcPr>
          <w:p w:rsidR="00D00F18" w:rsidRPr="00D00F18" w:rsidP="00D00F18">
            <w:pPr>
              <w:spacing w:after="0" w:line="240" w:lineRule="auto"/>
              <w:rPr>
                <w:rFonts w:ascii="Times New Roman" w:eastAsia="Times New Roman" w:hAnsi="Times New Roman"/>
                <w:sz w:val="20"/>
                <w:szCs w:val="20"/>
                <w:lang w:eastAsia="sk-SK"/>
              </w:rPr>
            </w:pPr>
          </w:p>
        </w:tc>
        <w:tc>
          <w:tcPr>
            <w:tcW w:w="1093" w:type="dxa"/>
            <w:shd w:val="clear" w:color="auto" w:fill="auto"/>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262"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04"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295"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43"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43"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51"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61"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098" w:type="dxa"/>
            <w:vAlign w:val="center"/>
          </w:tcPr>
          <w:p w:rsidR="00D00F18" w:rsidRPr="00D00F18" w:rsidP="00D00F18">
            <w:pPr>
              <w:spacing w:after="0" w:line="240" w:lineRule="auto"/>
              <w:rPr>
                <w:rFonts w:ascii="Times New Roman" w:eastAsia="Times New Roman" w:hAnsi="Times New Roman"/>
                <w:sz w:val="20"/>
                <w:szCs w:val="20"/>
                <w:lang w:eastAsia="sk-SK"/>
              </w:rPr>
            </w:pPr>
          </w:p>
        </w:tc>
      </w:tr>
      <w:tr w:rsidTr="00D00F18">
        <w:tblPrEx>
          <w:tblW w:w="14391" w:type="dxa"/>
          <w:tblInd w:w="-549" w:type="dxa"/>
          <w:tblCellMar>
            <w:left w:w="70" w:type="dxa"/>
            <w:right w:w="70" w:type="dxa"/>
          </w:tblCellMar>
          <w:tblLook w:val="04A0"/>
        </w:tblPrEx>
        <w:trPr>
          <w:trHeight w:val="494"/>
        </w:trPr>
        <w:tc>
          <w:tcPr>
            <w:tcW w:w="485"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3445" w:type="dxa"/>
            <w:shd w:val="clear" w:color="auto" w:fill="auto"/>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011" w:type="dxa"/>
          </w:tcPr>
          <w:p w:rsidR="00D00F18" w:rsidRPr="00D00F18" w:rsidP="00D00F18">
            <w:pPr>
              <w:spacing w:after="0" w:line="240" w:lineRule="auto"/>
              <w:rPr>
                <w:rFonts w:ascii="Times New Roman" w:eastAsia="Times New Roman" w:hAnsi="Times New Roman"/>
                <w:sz w:val="20"/>
                <w:szCs w:val="20"/>
                <w:lang w:eastAsia="sk-SK"/>
              </w:rPr>
            </w:pPr>
          </w:p>
        </w:tc>
        <w:tc>
          <w:tcPr>
            <w:tcW w:w="1093" w:type="dxa"/>
            <w:shd w:val="clear" w:color="auto" w:fill="auto"/>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262"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04"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295"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43"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43"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51"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61"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098" w:type="dxa"/>
            <w:vAlign w:val="center"/>
          </w:tcPr>
          <w:p w:rsidR="00D00F18" w:rsidRPr="00D00F18" w:rsidP="00D00F18">
            <w:pPr>
              <w:spacing w:after="0" w:line="240" w:lineRule="auto"/>
              <w:rPr>
                <w:rFonts w:ascii="Times New Roman" w:eastAsia="Times New Roman" w:hAnsi="Times New Roman"/>
                <w:sz w:val="20"/>
                <w:szCs w:val="20"/>
                <w:lang w:eastAsia="sk-SK"/>
              </w:rPr>
            </w:pPr>
          </w:p>
        </w:tc>
      </w:tr>
      <w:tr w:rsidTr="00D00F18">
        <w:tblPrEx>
          <w:tblW w:w="14391" w:type="dxa"/>
          <w:tblInd w:w="-549" w:type="dxa"/>
          <w:tblCellMar>
            <w:left w:w="70" w:type="dxa"/>
            <w:right w:w="70" w:type="dxa"/>
          </w:tblCellMar>
          <w:tblLook w:val="04A0"/>
        </w:tblPrEx>
        <w:trPr>
          <w:trHeight w:val="494"/>
        </w:trPr>
        <w:tc>
          <w:tcPr>
            <w:tcW w:w="485"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3445" w:type="dxa"/>
            <w:shd w:val="clear" w:color="auto" w:fill="auto"/>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011" w:type="dxa"/>
          </w:tcPr>
          <w:p w:rsidR="00D00F18" w:rsidRPr="00D00F18" w:rsidP="00D00F18">
            <w:pPr>
              <w:spacing w:after="0" w:line="240" w:lineRule="auto"/>
              <w:rPr>
                <w:rFonts w:ascii="Times New Roman" w:eastAsia="Times New Roman" w:hAnsi="Times New Roman"/>
                <w:sz w:val="20"/>
                <w:szCs w:val="20"/>
                <w:lang w:eastAsia="sk-SK"/>
              </w:rPr>
            </w:pPr>
          </w:p>
        </w:tc>
        <w:tc>
          <w:tcPr>
            <w:tcW w:w="1093" w:type="dxa"/>
            <w:shd w:val="clear" w:color="auto" w:fill="auto"/>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262"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04"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295"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43"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43"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51"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61"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098" w:type="dxa"/>
            <w:vAlign w:val="center"/>
          </w:tcPr>
          <w:p w:rsidR="00D00F18" w:rsidRPr="00D00F18" w:rsidP="00D00F18">
            <w:pPr>
              <w:spacing w:after="0" w:line="240" w:lineRule="auto"/>
              <w:rPr>
                <w:rFonts w:ascii="Times New Roman" w:eastAsia="Times New Roman" w:hAnsi="Times New Roman"/>
                <w:sz w:val="20"/>
                <w:szCs w:val="20"/>
                <w:lang w:eastAsia="sk-SK"/>
              </w:rPr>
            </w:pPr>
          </w:p>
        </w:tc>
      </w:tr>
      <w:tr w:rsidTr="00D00F18">
        <w:tblPrEx>
          <w:tblW w:w="14391" w:type="dxa"/>
          <w:tblInd w:w="-549" w:type="dxa"/>
          <w:tblCellMar>
            <w:left w:w="70" w:type="dxa"/>
            <w:right w:w="70" w:type="dxa"/>
          </w:tblCellMar>
          <w:tblLook w:val="04A0"/>
        </w:tblPrEx>
        <w:trPr>
          <w:trHeight w:val="494"/>
        </w:trPr>
        <w:tc>
          <w:tcPr>
            <w:tcW w:w="485"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3445" w:type="dxa"/>
            <w:shd w:val="clear" w:color="auto" w:fill="auto"/>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011" w:type="dxa"/>
          </w:tcPr>
          <w:p w:rsidR="00D00F18" w:rsidRPr="00D00F18" w:rsidP="00D00F18">
            <w:pPr>
              <w:spacing w:after="0" w:line="240" w:lineRule="auto"/>
              <w:rPr>
                <w:rFonts w:ascii="Times New Roman" w:eastAsia="Times New Roman" w:hAnsi="Times New Roman"/>
                <w:sz w:val="20"/>
                <w:szCs w:val="20"/>
                <w:lang w:eastAsia="sk-SK"/>
              </w:rPr>
            </w:pPr>
          </w:p>
        </w:tc>
        <w:tc>
          <w:tcPr>
            <w:tcW w:w="1093" w:type="dxa"/>
            <w:shd w:val="clear" w:color="auto" w:fill="auto"/>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262"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04"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295" w:type="dxa"/>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43"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43"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51"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961" w:type="dxa"/>
            <w:shd w:val="clear" w:color="auto" w:fill="auto"/>
            <w:noWrap/>
            <w:vAlign w:val="center"/>
          </w:tcPr>
          <w:p w:rsidR="00D00F18" w:rsidRPr="00D00F18" w:rsidP="00D00F18">
            <w:pPr>
              <w:spacing w:after="0" w:line="240" w:lineRule="auto"/>
              <w:rPr>
                <w:rFonts w:ascii="Times New Roman" w:eastAsia="Times New Roman" w:hAnsi="Times New Roman"/>
                <w:sz w:val="20"/>
                <w:szCs w:val="20"/>
                <w:lang w:eastAsia="sk-SK"/>
              </w:rPr>
            </w:pPr>
          </w:p>
        </w:tc>
        <w:tc>
          <w:tcPr>
            <w:tcW w:w="1098" w:type="dxa"/>
            <w:vAlign w:val="center"/>
          </w:tcPr>
          <w:p w:rsidR="00D00F18" w:rsidRPr="00D00F18" w:rsidP="00D00F18">
            <w:pPr>
              <w:spacing w:after="0" w:line="240" w:lineRule="auto"/>
              <w:rPr>
                <w:rFonts w:ascii="Times New Roman" w:eastAsia="Times New Roman" w:hAnsi="Times New Roman"/>
                <w:sz w:val="20"/>
                <w:szCs w:val="20"/>
                <w:lang w:eastAsia="sk-SK"/>
              </w:rPr>
            </w:pPr>
          </w:p>
        </w:tc>
      </w:tr>
    </w:tbl>
    <w:p w:rsidR="00D00F18" w:rsidRPr="00D00F18" w:rsidP="00D00F18">
      <w:pPr>
        <w:jc w:val="both"/>
        <w:rPr>
          <w:rFonts w:ascii="Times New Roman" w:hAnsi="Times New Roman"/>
          <w:i/>
        </w:rPr>
      </w:pPr>
    </w:p>
    <w:p w:rsidR="00D00F18" w:rsidRPr="00D00F18" w:rsidP="00D00F18">
      <w:pPr>
        <w:jc w:val="both"/>
        <w:rPr>
          <w:rFonts w:ascii="Times New Roman" w:hAnsi="Times New Roman"/>
          <w:b/>
          <w:bCs/>
          <w:i/>
          <w:sz w:val="24"/>
          <w:szCs w:val="24"/>
        </w:rPr>
        <w:sectPr w:rsidSect="00D00F18">
          <w:pgSz w:w="16838" w:h="11906" w:orient="landscape"/>
          <w:pgMar w:top="1417" w:right="1417" w:bottom="1417" w:left="1417" w:header="708" w:footer="708" w:gutter="0"/>
          <w:cols w:space="708"/>
          <w:docGrid w:linePitch="360"/>
        </w:sectPr>
      </w:pPr>
    </w:p>
    <w:p w:rsidR="00D00F18" w:rsidRPr="00D00F18" w:rsidP="00D00F18">
      <w:pPr>
        <w:jc w:val="both"/>
        <w:rPr>
          <w:rFonts w:ascii="Times New Roman" w:hAnsi="Times New Roman"/>
          <w:b/>
          <w:bCs/>
          <w:i/>
          <w:sz w:val="24"/>
          <w:szCs w:val="24"/>
          <w:u w:val="single"/>
        </w:rPr>
      </w:pPr>
      <w:r w:rsidRPr="00D00F18">
        <w:rPr>
          <w:rFonts w:ascii="Times New Roman" w:hAnsi="Times New Roman"/>
          <w:b/>
          <w:bCs/>
          <w:i/>
          <w:sz w:val="24"/>
          <w:szCs w:val="24"/>
          <w:u w:val="single"/>
        </w:rPr>
        <w:t xml:space="preserve">Doplňujúce informácie k spôsobu výpočtu vplyvov jednotlivých regulácií na zmenu nákladov </w:t>
      </w:r>
    </w:p>
    <w:p w:rsidR="00D00F18" w:rsidRPr="00D00F18" w:rsidP="00D00F18">
      <w:pPr>
        <w:jc w:val="both"/>
        <w:rPr>
          <w:rFonts w:ascii="Times New Roman" w:hAnsi="Times New Roman"/>
          <w:bCs/>
          <w:i/>
          <w:iCs/>
          <w:sz w:val="24"/>
          <w:szCs w:val="24"/>
        </w:rPr>
      </w:pPr>
      <w:r w:rsidRPr="00D00F18">
        <w:rPr>
          <w:rFonts w:ascii="Times New Roman" w:hAnsi="Times New Roman"/>
          <w:bCs/>
          <w:i/>
          <w:iCs/>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externality, B. Iné poplatky, C. Nepriame finančné náklady, D. Administratívne náklady). Rozčleňte ich a vypočítajte v súlade s metodickým postupom. </w:t>
      </w:r>
    </w:p>
    <w:p w:rsidR="00D00F18" w:rsidRPr="00D00F18" w:rsidP="00D00F18">
      <w:pPr>
        <w:jc w:val="both"/>
        <w:rPr>
          <w:rFonts w:ascii="Times New Roman" w:hAnsi="Times New Roman"/>
          <w:b/>
          <w:sz w:val="24"/>
          <w:szCs w:val="24"/>
        </w:rPr>
      </w:pPr>
      <w:r w:rsidRPr="00D00F18">
        <w:rPr>
          <w:rFonts w:ascii="Times New Roman" w:hAnsi="Times New Roman"/>
          <w:b/>
          <w:sz w:val="24"/>
          <w:szCs w:val="24"/>
        </w:rPr>
        <w:t>3.2 Vyhodnotenie konzultácií s podnikateľskými subjektmi pred predbežným pripomienkovým konaním</w:t>
      </w:r>
    </w:p>
    <w:p w:rsidR="00D00F18" w:rsidRPr="00D00F18" w:rsidP="00D00F18">
      <w:pPr>
        <w:spacing w:after="0"/>
        <w:jc w:val="both"/>
        <w:rPr>
          <w:rFonts w:ascii="Times New Roman" w:hAnsi="Times New Roman"/>
          <w:i/>
          <w:sz w:val="24"/>
          <w:szCs w:val="24"/>
        </w:rPr>
      </w:pPr>
      <w:r w:rsidRPr="00D00F18">
        <w:rPr>
          <w:rFonts w:ascii="Times New Roman" w:hAnsi="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D00F18" w:rsidRPr="00D00F18" w:rsidP="00D00F18">
      <w:pPr>
        <w:spacing w:after="0"/>
        <w:jc w:val="both"/>
        <w:rPr>
          <w:rFonts w:ascii="Times New Roman" w:hAnsi="Times New Roman"/>
          <w:i/>
          <w:sz w:val="24"/>
          <w:szCs w:val="24"/>
        </w:rPr>
      </w:pPr>
      <w:r w:rsidRPr="00D00F18">
        <w:rPr>
          <w:rFonts w:ascii="Times New Roman" w:hAnsi="Times New Roman"/>
          <w:i/>
          <w:sz w:val="24"/>
          <w:szCs w:val="24"/>
        </w:rPr>
        <w:t xml:space="preserve">Uveďte hlavné body konzultácií a ich závery. </w:t>
      </w:r>
    </w:p>
    <w:p w:rsidR="00D00F18" w:rsidRPr="00D00F18" w:rsidP="00D00F18">
      <w:pPr>
        <w:spacing w:after="0"/>
        <w:jc w:val="both"/>
        <w:rPr>
          <w:rFonts w:ascii="Times New Roman" w:hAnsi="Times New Roman"/>
          <w:i/>
          <w:sz w:val="24"/>
          <w:szCs w:val="24"/>
        </w:rPr>
      </w:pPr>
      <w:r w:rsidRPr="00D00F18">
        <w:rPr>
          <w:rFonts w:ascii="Times New Roman" w:hAnsi="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D00F18" w:rsidRPr="00D00F18" w:rsidP="00D00F18">
      <w:pPr>
        <w:spacing w:after="0"/>
        <w:jc w:val="both"/>
        <w:rPr>
          <w:rFonts w:ascii="Times New Roman" w:hAnsi="Times New Roman"/>
          <w:i/>
          <w:sz w:val="24"/>
          <w:szCs w:val="24"/>
        </w:rPr>
      </w:pPr>
      <w:r w:rsidRPr="00D00F18">
        <w:rPr>
          <w:rFonts w:ascii="Times New Roman" w:hAnsi="Times New Roman"/>
          <w:i/>
          <w:sz w:val="24"/>
          <w:szCs w:val="24"/>
        </w:rPr>
        <w:t xml:space="preserve">Alternatívne namiesto vypĺňania bodu 3.2 môžete uviesť ako samostatnú prílohu tejto analýzy Záznam z konzultácií obsahujúci požadované informácie. </w:t>
      </w:r>
    </w:p>
    <w:p w:rsidR="00D00F18" w:rsidRPr="00D00F18" w:rsidP="00D00F18">
      <w:pPr>
        <w:spacing w:after="0"/>
        <w:jc w:val="both"/>
        <w:rPr>
          <w:rFonts w:ascii="Times New Roman" w:hAnsi="Times New Roman"/>
          <w:i/>
          <w:sz w:val="24"/>
          <w:szCs w:val="24"/>
        </w:rPr>
      </w:pPr>
    </w:p>
    <w:p w:rsidR="00D00F18" w:rsidRPr="00D00F18" w:rsidP="00D00F18">
      <w:pPr>
        <w:jc w:val="both"/>
        <w:rPr>
          <w:rFonts w:ascii="Times New Roman" w:hAnsi="Times New Roman"/>
          <w:b/>
          <w:sz w:val="24"/>
          <w:szCs w:val="24"/>
        </w:rPr>
      </w:pPr>
      <w:bookmarkStart w:id="3" w:name="_Hlk47698091"/>
      <w:r w:rsidRPr="00D00F18">
        <w:rPr>
          <w:rFonts w:ascii="Times New Roman" w:hAnsi="Times New Roman"/>
          <w:b/>
          <w:sz w:val="24"/>
          <w:szCs w:val="24"/>
        </w:rPr>
        <w:t>3.3 Vplyvy na konkurencieschopnosť a produktivitu</w:t>
      </w:r>
    </w:p>
    <w:p w:rsidR="00D00F18" w:rsidRPr="00D00F18" w:rsidP="00D00F18">
      <w:pPr>
        <w:spacing w:after="0"/>
        <w:jc w:val="both"/>
        <w:rPr>
          <w:rFonts w:ascii="Times New Roman" w:hAnsi="Times New Roman"/>
          <w:i/>
          <w:sz w:val="24"/>
          <w:szCs w:val="24"/>
        </w:rPr>
      </w:pPr>
      <w:bookmarkEnd w:id="3"/>
      <w:r w:rsidRPr="00D00F18">
        <w:rPr>
          <w:rFonts w:ascii="Times New Roman" w:hAnsi="Times New Roman"/>
          <w:i/>
          <w:sz w:val="24"/>
          <w:szCs w:val="24"/>
        </w:rPr>
        <w:t xml:space="preserve">Dochádza k vytvoreniu resp. k zmene bariér na trhu? </w:t>
      </w:r>
    </w:p>
    <w:p w:rsidR="00D00F18" w:rsidRPr="00D00F18" w:rsidP="00D00F18">
      <w:pPr>
        <w:spacing w:after="0"/>
        <w:jc w:val="both"/>
        <w:rPr>
          <w:rFonts w:ascii="Times New Roman" w:hAnsi="Times New Roman"/>
          <w:i/>
          <w:sz w:val="24"/>
          <w:szCs w:val="24"/>
        </w:rPr>
      </w:pPr>
      <w:r w:rsidRPr="00D00F18">
        <w:rPr>
          <w:rFonts w:ascii="Times New Roman" w:hAnsi="Times New Roman"/>
          <w:i/>
          <w:sz w:val="24"/>
          <w:szCs w:val="24"/>
        </w:rPr>
        <w:t>Bude sa s niektorými podnikmi a</w:t>
      </w:r>
      <w:r w:rsidRPr="00D00F18">
        <w:rPr>
          <w:rFonts w:ascii="Times New Roman" w:hAnsi="Times New Roman"/>
          <w:i/>
          <w:sz w:val="24"/>
          <w:szCs w:val="24"/>
        </w:rPr>
        <w:t xml:space="preserve">lebo produktmi zaobchádzať v porovnateľnej situácii rôzne (napr. špeciálne režimy pre mikro, malé a stredné podniky tzv. MSP)? </w:t>
      </w:r>
    </w:p>
    <w:p w:rsidR="00D00F18" w:rsidRPr="00D00F18" w:rsidP="00D00F18">
      <w:pPr>
        <w:spacing w:after="0"/>
        <w:jc w:val="both"/>
        <w:rPr>
          <w:rFonts w:ascii="Times New Roman" w:hAnsi="Times New Roman"/>
          <w:i/>
          <w:sz w:val="24"/>
          <w:szCs w:val="24"/>
        </w:rPr>
      </w:pPr>
      <w:r w:rsidRPr="00D00F18">
        <w:rPr>
          <w:rFonts w:ascii="Times New Roman" w:hAnsi="Times New Roman"/>
          <w:i/>
          <w:sz w:val="24"/>
          <w:szCs w:val="24"/>
        </w:rPr>
        <w:t xml:space="preserve">Ovplyvňuje zmena regulácie cezhraničné investície (príliv/odliv zahraničných investícií resp. uplatnenie slovenských podnikov na zahraničných trhoch)? </w:t>
      </w:r>
    </w:p>
    <w:p w:rsidR="00D00F18" w:rsidRPr="00D00F18" w:rsidP="00D00F18">
      <w:pPr>
        <w:spacing w:after="0"/>
        <w:jc w:val="both"/>
        <w:rPr>
          <w:rFonts w:ascii="Times New Roman" w:hAnsi="Times New Roman"/>
          <w:i/>
          <w:sz w:val="24"/>
          <w:szCs w:val="24"/>
        </w:rPr>
      </w:pPr>
      <w:r w:rsidRPr="00D00F18">
        <w:rPr>
          <w:rFonts w:ascii="Times New Roman" w:hAnsi="Times New Roman"/>
          <w:i/>
          <w:sz w:val="24"/>
          <w:szCs w:val="24"/>
        </w:rPr>
        <w:t xml:space="preserve">Ovplyvní dostupnosť základných zdrojov (financie, pracovná sila, suroviny, mechanizmy, energie atď.)? </w:t>
      </w:r>
    </w:p>
    <w:p w:rsidR="00D00F18" w:rsidRPr="00D00F18" w:rsidP="00D00F18">
      <w:pPr>
        <w:spacing w:after="0"/>
        <w:jc w:val="both"/>
        <w:rPr>
          <w:rFonts w:ascii="Times New Roman" w:hAnsi="Times New Roman"/>
          <w:i/>
          <w:sz w:val="24"/>
          <w:szCs w:val="24"/>
        </w:rPr>
      </w:pPr>
      <w:r w:rsidRPr="00D00F18">
        <w:rPr>
          <w:rFonts w:ascii="Times New Roman" w:hAnsi="Times New Roman"/>
          <w:i/>
          <w:sz w:val="24"/>
          <w:szCs w:val="24"/>
        </w:rPr>
        <w:t>Ovplyvňuje zmena regulácie inovácie, vedu a výskum?</w:t>
      </w:r>
    </w:p>
    <w:p w:rsidR="00D00F18" w:rsidRPr="00D00F18" w:rsidP="00D00F18">
      <w:pPr>
        <w:spacing w:after="0"/>
        <w:jc w:val="both"/>
        <w:rPr>
          <w:rFonts w:ascii="Times New Roman" w:hAnsi="Times New Roman"/>
          <w:i/>
          <w:sz w:val="24"/>
          <w:szCs w:val="24"/>
        </w:rPr>
      </w:pPr>
      <w:r w:rsidRPr="00D00F18">
        <w:rPr>
          <w:rFonts w:ascii="Times New Roman" w:hAnsi="Times New Roman"/>
          <w:i/>
          <w:iCs/>
          <w:sz w:val="24"/>
          <w:szCs w:val="24"/>
        </w:rPr>
        <w:t>Ako prispieva zmena regulácie k cieľu Slovenska mať najlepšie podnikateľské prostredie spomedzi susediacich krajín EÚ?</w:t>
      </w:r>
    </w:p>
    <w:p w:rsidR="00D00F18" w:rsidRPr="00D00F18" w:rsidP="00D00F18">
      <w:pPr>
        <w:spacing w:after="0"/>
        <w:jc w:val="both"/>
        <w:rPr>
          <w:rFonts w:ascii="Times New Roman" w:hAnsi="Times New Roman"/>
          <w:i/>
          <w:sz w:val="24"/>
          <w:szCs w:val="24"/>
        </w:rPr>
      </w:pPr>
    </w:p>
    <w:p w:rsidR="00D00F18" w:rsidRPr="00D00F18" w:rsidP="00D00F18">
      <w:pPr>
        <w:spacing w:after="0"/>
        <w:jc w:val="both"/>
        <w:rPr>
          <w:rFonts w:ascii="Times New Roman" w:hAnsi="Times New Roman"/>
          <w:b/>
          <w:i/>
          <w:sz w:val="24"/>
          <w:szCs w:val="24"/>
        </w:rPr>
      </w:pPr>
      <w:r w:rsidRPr="00D00F18">
        <w:rPr>
          <w:rFonts w:ascii="Times New Roman" w:hAnsi="Times New Roman"/>
          <w:b/>
          <w:i/>
          <w:sz w:val="24"/>
          <w:szCs w:val="24"/>
        </w:rPr>
        <w:t>Konkurencieschopnosť:</w:t>
      </w:r>
    </w:p>
    <w:p w:rsidR="00D00F18" w:rsidRPr="00D00F18" w:rsidP="00D00F18">
      <w:pPr>
        <w:spacing w:after="0"/>
        <w:jc w:val="both"/>
        <w:rPr>
          <w:rFonts w:ascii="Times New Roman" w:hAnsi="Times New Roman"/>
          <w:i/>
          <w:sz w:val="24"/>
          <w:szCs w:val="24"/>
        </w:rPr>
      </w:pPr>
      <w:r w:rsidRPr="00D00F18">
        <w:rPr>
          <w:rFonts w:ascii="Times New Roman" w:hAnsi="Times New Roman"/>
          <w:i/>
          <w:sz w:val="24"/>
          <w:szCs w:val="24"/>
        </w:rPr>
        <w:t>Na základe uvedených odpovedí zaškrtnite a popíšte, či materiál konkurencieschopnosť:</w:t>
      </w:r>
    </w:p>
    <w:p w:rsidR="00D00F18" w:rsidRPr="00D00F18" w:rsidP="00D00F18">
      <w:pPr>
        <w:spacing w:after="0"/>
        <w:jc w:val="both"/>
        <w:rPr>
          <w:rFonts w:ascii="Times New Roman" w:hAnsi="Times New Roman"/>
          <w:i/>
          <w:sz w:val="24"/>
          <w:szCs w:val="24"/>
        </w:rPr>
      </w:pPr>
      <w:r w:rsidRPr="00D00F18">
        <w:rPr>
          <w:rFonts w:ascii="Segoe UI Symbol" w:hAnsi="Segoe UI Symbol" w:cs="Segoe UI Symbol"/>
          <w:i/>
          <w:sz w:val="24"/>
          <w:szCs w:val="24"/>
        </w:rPr>
        <w:t>☐</w:t>
      </w:r>
      <w:r w:rsidRPr="00D00F18">
        <w:rPr>
          <w:rFonts w:ascii="Times New Roman" w:hAnsi="Times New Roman"/>
          <w:i/>
          <w:sz w:val="24"/>
          <w:szCs w:val="24"/>
        </w:rPr>
        <w:t xml:space="preserve"> zvyšuje  </w:t>
        <w:tab/>
      </w:r>
      <w:r w:rsidRPr="00D00F18">
        <w:rPr>
          <w:rFonts w:ascii="Segoe UI Symbol" w:hAnsi="Segoe UI Symbol" w:cs="Segoe UI Symbol"/>
          <w:i/>
          <w:sz w:val="24"/>
          <w:szCs w:val="24"/>
        </w:rPr>
        <w:t>☐</w:t>
      </w:r>
      <w:r w:rsidRPr="00D00F18">
        <w:rPr>
          <w:rFonts w:ascii="Times New Roman" w:hAnsi="Times New Roman"/>
          <w:i/>
          <w:sz w:val="24"/>
          <w:szCs w:val="24"/>
        </w:rPr>
        <w:t xml:space="preserve"> nemení</w:t>
        <w:tab/>
      </w:r>
      <w:r w:rsidRPr="00D00F18">
        <w:rPr>
          <w:rFonts w:ascii="Segoe UI Symbol" w:hAnsi="Segoe UI Symbol" w:cs="Segoe UI Symbol"/>
          <w:i/>
          <w:sz w:val="24"/>
          <w:szCs w:val="24"/>
        </w:rPr>
        <w:t>☐</w:t>
      </w:r>
      <w:r w:rsidRPr="00D00F18">
        <w:rPr>
          <w:rFonts w:ascii="Times New Roman" w:hAnsi="Times New Roman"/>
          <w:i/>
          <w:sz w:val="24"/>
          <w:szCs w:val="24"/>
        </w:rPr>
        <w:t xml:space="preserve"> znižuje</w:t>
      </w:r>
    </w:p>
    <w:p w:rsidR="00D00F18" w:rsidRPr="00D00F18" w:rsidP="00D00F18">
      <w:pPr>
        <w:spacing w:after="0"/>
        <w:jc w:val="both"/>
        <w:rPr>
          <w:rFonts w:ascii="Times New Roman" w:hAnsi="Times New Roman"/>
          <w:i/>
          <w:sz w:val="24"/>
          <w:szCs w:val="24"/>
        </w:rPr>
      </w:pPr>
    </w:p>
    <w:p w:rsidR="00D00F18" w:rsidRPr="00D00F18" w:rsidP="00D00F18">
      <w:pPr>
        <w:spacing w:after="0"/>
        <w:jc w:val="both"/>
        <w:rPr>
          <w:rFonts w:ascii="Times New Roman" w:hAnsi="Times New Roman"/>
          <w:b/>
          <w:i/>
          <w:sz w:val="24"/>
          <w:szCs w:val="24"/>
        </w:rPr>
      </w:pPr>
      <w:r w:rsidRPr="00D00F18">
        <w:rPr>
          <w:rFonts w:ascii="Times New Roman" w:hAnsi="Times New Roman"/>
          <w:b/>
          <w:i/>
          <w:sz w:val="24"/>
          <w:szCs w:val="24"/>
        </w:rPr>
        <w:t>Produktivita:</w:t>
      </w:r>
    </w:p>
    <w:p w:rsidR="00D00F18" w:rsidRPr="00D00F18" w:rsidP="00D00F18">
      <w:pPr>
        <w:spacing w:after="0"/>
        <w:jc w:val="both"/>
        <w:rPr>
          <w:rFonts w:ascii="Times New Roman" w:hAnsi="Times New Roman"/>
          <w:i/>
          <w:sz w:val="24"/>
          <w:szCs w:val="24"/>
        </w:rPr>
      </w:pPr>
      <w:r w:rsidRPr="00D00F18">
        <w:rPr>
          <w:rFonts w:ascii="Times New Roman" w:hAnsi="Times New Roman"/>
          <w:i/>
          <w:sz w:val="24"/>
          <w:szCs w:val="24"/>
        </w:rPr>
        <w:t>Aký má materiál vplyv na zmenu pomeru medzi produkciou podn</w:t>
      </w:r>
      <w:r w:rsidRPr="00D00F18">
        <w:rPr>
          <w:rFonts w:ascii="Times New Roman" w:hAnsi="Times New Roman"/>
          <w:i/>
          <w:sz w:val="24"/>
          <w:szCs w:val="24"/>
        </w:rPr>
        <w:t xml:space="preserve">ikov a ich nákladmi? </w:t>
      </w:r>
    </w:p>
    <w:p w:rsidR="00D00F18" w:rsidRPr="00D00F18" w:rsidP="00D00F18">
      <w:pPr>
        <w:spacing w:after="0"/>
        <w:jc w:val="both"/>
        <w:rPr>
          <w:rFonts w:ascii="Times New Roman" w:hAnsi="Times New Roman"/>
          <w:i/>
          <w:sz w:val="24"/>
          <w:szCs w:val="24"/>
        </w:rPr>
      </w:pPr>
    </w:p>
    <w:p w:rsidR="00D00F18" w:rsidRPr="00D00F18" w:rsidP="00D00F18">
      <w:pPr>
        <w:spacing w:after="0"/>
        <w:jc w:val="both"/>
        <w:rPr>
          <w:rFonts w:ascii="Times New Roman" w:hAnsi="Times New Roman"/>
          <w:i/>
          <w:sz w:val="24"/>
          <w:szCs w:val="24"/>
        </w:rPr>
      </w:pPr>
      <w:r w:rsidRPr="00D00F18">
        <w:rPr>
          <w:rFonts w:ascii="Times New Roman" w:hAnsi="Times New Roman"/>
          <w:i/>
          <w:sz w:val="24"/>
          <w:szCs w:val="24"/>
        </w:rPr>
        <w:t>Na základe uvedenej odpovede zaškrtnite a popíšte, či materiál produktivitu:</w:t>
      </w:r>
    </w:p>
    <w:p w:rsidR="00D00F18" w:rsidRPr="00D00F18" w:rsidP="00D00F18">
      <w:pPr>
        <w:spacing w:after="0"/>
        <w:jc w:val="both"/>
        <w:rPr>
          <w:rFonts w:ascii="Times New Roman" w:hAnsi="Times New Roman"/>
          <w:i/>
          <w:sz w:val="24"/>
          <w:szCs w:val="24"/>
        </w:rPr>
      </w:pPr>
      <w:r w:rsidRPr="00D00F18">
        <w:rPr>
          <w:rFonts w:ascii="Segoe UI Symbol" w:hAnsi="Segoe UI Symbol" w:cs="Segoe UI Symbol"/>
          <w:i/>
          <w:sz w:val="24"/>
          <w:szCs w:val="24"/>
        </w:rPr>
        <w:t>☐</w:t>
      </w:r>
      <w:r w:rsidRPr="00D00F18">
        <w:rPr>
          <w:rFonts w:ascii="Times New Roman" w:hAnsi="Times New Roman"/>
          <w:i/>
          <w:sz w:val="24"/>
          <w:szCs w:val="24"/>
        </w:rPr>
        <w:t xml:space="preserve"> zvyšuje  </w:t>
        <w:tab/>
      </w:r>
      <w:r w:rsidRPr="00D00F18">
        <w:rPr>
          <w:rFonts w:ascii="Segoe UI Symbol" w:hAnsi="Segoe UI Symbol" w:cs="Segoe UI Symbol"/>
          <w:i/>
          <w:sz w:val="24"/>
          <w:szCs w:val="24"/>
        </w:rPr>
        <w:t>☐</w:t>
      </w:r>
      <w:r w:rsidRPr="00D00F18">
        <w:rPr>
          <w:rFonts w:ascii="Times New Roman" w:hAnsi="Times New Roman"/>
          <w:i/>
          <w:sz w:val="24"/>
          <w:szCs w:val="24"/>
        </w:rPr>
        <w:t xml:space="preserve"> nemení</w:t>
        <w:tab/>
      </w:r>
      <w:r w:rsidRPr="00D00F18">
        <w:rPr>
          <w:rFonts w:ascii="Segoe UI Symbol" w:hAnsi="Segoe UI Symbol" w:cs="Segoe UI Symbol"/>
          <w:i/>
          <w:sz w:val="24"/>
          <w:szCs w:val="24"/>
        </w:rPr>
        <w:t>☐</w:t>
      </w:r>
      <w:r w:rsidRPr="00D00F18">
        <w:rPr>
          <w:rFonts w:ascii="Times New Roman" w:hAnsi="Times New Roman"/>
          <w:i/>
          <w:sz w:val="24"/>
          <w:szCs w:val="24"/>
        </w:rPr>
        <w:t xml:space="preserve"> znižuje</w:t>
      </w:r>
    </w:p>
    <w:p w:rsidR="00D00F18" w:rsidRPr="00D00F18" w:rsidP="00D00F18">
      <w:pPr>
        <w:spacing w:after="0"/>
        <w:jc w:val="both"/>
        <w:rPr>
          <w:rFonts w:ascii="Times New Roman" w:hAnsi="Times New Roman"/>
          <w:i/>
          <w:sz w:val="24"/>
          <w:szCs w:val="24"/>
        </w:rPr>
      </w:pPr>
    </w:p>
    <w:p w:rsidR="00D00F18" w:rsidRPr="00D00F18" w:rsidP="00D00F18">
      <w:pPr>
        <w:jc w:val="both"/>
        <w:rPr>
          <w:rFonts w:ascii="Times New Roman" w:hAnsi="Times New Roman"/>
          <w:b/>
          <w:sz w:val="24"/>
          <w:szCs w:val="24"/>
        </w:rPr>
      </w:pPr>
      <w:r w:rsidRPr="00D00F18">
        <w:rPr>
          <w:rFonts w:ascii="Times New Roman" w:hAnsi="Times New Roman"/>
          <w:b/>
          <w:sz w:val="24"/>
          <w:szCs w:val="24"/>
        </w:rPr>
        <w:t xml:space="preserve">3.4  Iné vplyvy na podnikateľské prostredie </w:t>
      </w:r>
    </w:p>
    <w:p w:rsidR="00D00F18" w:rsidRPr="00D00F18" w:rsidP="00D00F18">
      <w:pPr>
        <w:spacing w:after="0"/>
        <w:jc w:val="both"/>
        <w:rPr>
          <w:rFonts w:ascii="Times New Roman" w:hAnsi="Times New Roman"/>
          <w:i/>
          <w:sz w:val="24"/>
          <w:szCs w:val="24"/>
        </w:rPr>
      </w:pPr>
      <w:r w:rsidRPr="00D00F18">
        <w:rPr>
          <w:rFonts w:ascii="Times New Roman" w:hAnsi="Times New Roman"/>
          <w:i/>
          <w:sz w:val="24"/>
          <w:szCs w:val="24"/>
        </w:rPr>
        <w:t xml:space="preserve">Ak má materiál vplyvy na PP, ktoré nemožno zaradiť do predchádzajúcich častí, či už pozitívne alebo negatívne, tu ich uveďte.  Patria sem: </w:t>
      </w:r>
    </w:p>
    <w:p w:rsidR="00D00F18" w:rsidRPr="00D00F18" w:rsidP="00AC2F0E">
      <w:pPr>
        <w:numPr>
          <w:ilvl w:val="0"/>
          <w:numId w:val="28"/>
        </w:numPr>
        <w:spacing w:after="0" w:line="254" w:lineRule="auto"/>
        <w:contextualSpacing/>
        <w:jc w:val="both"/>
        <w:rPr>
          <w:rFonts w:ascii="Times New Roman" w:hAnsi="Times New Roman"/>
          <w:i/>
          <w:sz w:val="24"/>
          <w:szCs w:val="24"/>
          <w:lang w:eastAsia="cs-CZ"/>
        </w:rPr>
      </w:pPr>
      <w:r w:rsidRPr="00D00F18">
        <w:rPr>
          <w:rFonts w:ascii="Times New Roman" w:hAnsi="Times New Roman"/>
          <w:i/>
          <w:sz w:val="24"/>
          <w:szCs w:val="24"/>
          <w:lang w:eastAsia="cs-CZ"/>
        </w:rPr>
        <w:t>sankcie alebo pokuty, ako dôsledok porušenia právne záväzných ustanovení;</w:t>
      </w:r>
    </w:p>
    <w:p w:rsidR="00D00F18" w:rsidRPr="00D00F18" w:rsidP="00AC2F0E">
      <w:pPr>
        <w:numPr>
          <w:ilvl w:val="0"/>
          <w:numId w:val="28"/>
        </w:numPr>
        <w:spacing w:after="0" w:line="254" w:lineRule="auto"/>
        <w:contextualSpacing/>
        <w:jc w:val="both"/>
        <w:rPr>
          <w:rFonts w:ascii="Times New Roman" w:hAnsi="Times New Roman"/>
          <w:i/>
          <w:sz w:val="24"/>
          <w:szCs w:val="24"/>
          <w:lang w:eastAsia="cs-CZ"/>
        </w:rPr>
      </w:pPr>
      <w:r w:rsidRPr="00D00F18">
        <w:rPr>
          <w:rFonts w:ascii="Times New Roman" w:hAnsi="Times New Roman"/>
          <w:i/>
          <w:sz w:val="24"/>
          <w:szCs w:val="24"/>
          <w:lang w:eastAsia="cs-CZ"/>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D00F18" w:rsidRPr="00D00F18" w:rsidP="00AC2F0E">
      <w:pPr>
        <w:numPr>
          <w:ilvl w:val="0"/>
          <w:numId w:val="28"/>
        </w:numPr>
        <w:spacing w:after="0" w:line="254" w:lineRule="auto"/>
        <w:contextualSpacing/>
        <w:jc w:val="both"/>
        <w:rPr>
          <w:rFonts w:ascii="Times New Roman" w:hAnsi="Times New Roman"/>
          <w:i/>
          <w:sz w:val="24"/>
          <w:szCs w:val="24"/>
          <w:lang w:eastAsia="cs-CZ"/>
        </w:rPr>
      </w:pPr>
      <w:r w:rsidRPr="00D00F18">
        <w:rPr>
          <w:rFonts w:ascii="Times New Roman" w:hAnsi="Times New Roman"/>
          <w:i/>
          <w:sz w:val="24"/>
          <w:szCs w:val="24"/>
          <w:lang w:eastAsia="cs-CZ"/>
        </w:rPr>
        <w:t>regulované ceny podľa zákona č. 18/1996 Z. z. o cenách;</w:t>
      </w:r>
    </w:p>
    <w:p w:rsidR="00D00F18" w:rsidRPr="00D00F18" w:rsidP="00AC2F0E">
      <w:pPr>
        <w:numPr>
          <w:ilvl w:val="0"/>
          <w:numId w:val="28"/>
        </w:numPr>
        <w:spacing w:after="0" w:line="254" w:lineRule="auto"/>
        <w:contextualSpacing/>
        <w:jc w:val="both"/>
        <w:rPr>
          <w:rFonts w:ascii="Times New Roman" w:hAnsi="Times New Roman"/>
          <w:i/>
          <w:sz w:val="24"/>
          <w:szCs w:val="24"/>
          <w:lang w:eastAsia="cs-CZ"/>
        </w:rPr>
      </w:pPr>
      <w:r w:rsidRPr="00D00F18">
        <w:rPr>
          <w:rFonts w:ascii="Times New Roman" w:hAnsi="Times New Roman"/>
          <w:i/>
          <w:sz w:val="24"/>
          <w:szCs w:val="24"/>
          <w:lang w:eastAsia="cs-CZ"/>
        </w:rPr>
        <w:t>iné vplyvy, k</w:t>
      </w:r>
      <w:r w:rsidRPr="00D00F18">
        <w:rPr>
          <w:rFonts w:ascii="Times New Roman" w:hAnsi="Times New Roman"/>
          <w:i/>
          <w:sz w:val="24"/>
          <w:szCs w:val="24"/>
          <w:lang w:eastAsia="cs-CZ"/>
        </w:rPr>
        <w:t xml:space="preserve">toré predpokladá materiál, ale nemožno ich zaradiť do častí 3.1 a 3.3. </w:t>
      </w:r>
    </w:p>
    <w:p w:rsidR="00D00F18" w:rsidRPr="00D00F18" w:rsidP="00D00F18">
      <w:pPr>
        <w:spacing w:after="0" w:line="240" w:lineRule="auto"/>
        <w:rPr>
          <w:rFonts w:ascii="Times New Roman" w:eastAsia="Times New Roman" w:hAnsi="Times New Roman"/>
          <w:b/>
          <w:bCs/>
          <w:sz w:val="24"/>
          <w:szCs w:val="24"/>
          <w:lang w:eastAsia="sk-SK"/>
        </w:rPr>
      </w:pPr>
    </w:p>
    <w:p w:rsidR="00D00F18" w:rsidRPr="00D00F18" w:rsidP="00D00F18">
      <w:pPr>
        <w:spacing w:after="0" w:line="240" w:lineRule="auto"/>
        <w:rPr>
          <w:rFonts w:ascii="Times New Roman" w:eastAsia="Times New Roman" w:hAnsi="Times New Roman"/>
          <w:b/>
          <w:bCs/>
          <w:sz w:val="24"/>
          <w:szCs w:val="24"/>
          <w:lang w:eastAsia="sk-SK"/>
        </w:rPr>
      </w:pPr>
    </w:p>
    <w:p w:rsidR="00D00F18" w:rsidRPr="00D00F18" w:rsidP="00D00F18">
      <w:pPr>
        <w:spacing w:after="0" w:line="240" w:lineRule="auto"/>
        <w:rPr>
          <w:rFonts w:ascii="Times New Roman" w:eastAsia="Times New Roman" w:hAnsi="Times New Roman"/>
          <w:bCs/>
          <w:sz w:val="24"/>
          <w:szCs w:val="24"/>
          <w:lang w:eastAsia="sk-SK"/>
        </w:rPr>
      </w:pPr>
      <w:r w:rsidRPr="00D00F18">
        <w:rPr>
          <w:rFonts w:ascii="Times New Roman" w:eastAsia="Times New Roman" w:hAnsi="Times New Roman"/>
          <w:bCs/>
          <w:sz w:val="24"/>
          <w:szCs w:val="24"/>
          <w:lang w:eastAsia="sk-SK"/>
        </w:rPr>
        <w:t>Dodávateľmi pitnej vody v SR je 14 veľkých vodárenských spoločností a cca 400 obcí.</w:t>
      </w:r>
    </w:p>
    <w:p w:rsidR="00D00F18" w:rsidRPr="00D00F18" w:rsidP="00D00F18">
      <w:pPr>
        <w:spacing w:after="0" w:line="240" w:lineRule="auto"/>
        <w:rPr>
          <w:rFonts w:ascii="Times New Roman" w:eastAsia="Times New Roman" w:hAnsi="Times New Roman"/>
          <w:b/>
          <w:bCs/>
          <w:sz w:val="24"/>
          <w:szCs w:val="24"/>
          <w:lang w:eastAsia="sk-SK"/>
        </w:rPr>
      </w:pPr>
    </w:p>
    <w:p w:rsidR="00D00F18" w:rsidRPr="00D00F18" w:rsidP="00D00F18">
      <w:pPr>
        <w:spacing w:after="60"/>
        <w:jc w:val="both"/>
        <w:rPr>
          <w:rFonts w:ascii="Times New Roman" w:hAnsi="Times New Roman"/>
          <w:bCs/>
          <w:iCs/>
          <w:sz w:val="24"/>
          <w:szCs w:val="24"/>
        </w:rPr>
      </w:pPr>
      <w:r w:rsidRPr="00D00F18">
        <w:rPr>
          <w:rFonts w:ascii="Times New Roman" w:hAnsi="Times New Roman"/>
          <w:bCs/>
          <w:iCs/>
          <w:sz w:val="24"/>
          <w:szCs w:val="24"/>
        </w:rPr>
        <w:t>Nakoľko ani z Asociácie vodárenských spoločností (AVS) ako organizácie, zastrešujúcej veľké vodárenské spoločnosti, ani zo ZMOS-u, SK8 a Únie miest a obcí Slovenska neboli poskytnuté žiadne podklady na vyčíslenie vplyvov v súvislosti s novými povinnosťami, ktoré smernica (EÚ) 2020/2184 prináša (napriek prizvaniu do pracovnej skupiny MZ SR k jej transpozícií a opakovaným písomným výzvam), MZ SR vykonalo prieskum na základe skúsenosti z iných krajín.</w:t>
      </w:r>
    </w:p>
    <w:p w:rsidR="00D00F18" w:rsidRPr="00D00F18" w:rsidP="00D00F18">
      <w:pPr>
        <w:spacing w:after="60"/>
        <w:jc w:val="both"/>
        <w:rPr>
          <w:rFonts w:ascii="Times New Roman" w:hAnsi="Times New Roman"/>
          <w:bCs/>
          <w:iCs/>
          <w:sz w:val="24"/>
          <w:szCs w:val="24"/>
        </w:rPr>
      </w:pPr>
      <w:r w:rsidRPr="00D00F18">
        <w:rPr>
          <w:rFonts w:ascii="Times New Roman" w:hAnsi="Times New Roman"/>
          <w:bCs/>
          <w:iCs/>
          <w:sz w:val="24"/>
          <w:szCs w:val="24"/>
        </w:rPr>
        <w:t xml:space="preserve">Ako príklad možno uviesť Českú republiku, ktorá povinný manažment rizík systému zásobovania pitnou vodou zaviedla  už v roku 2018. Pre veľké vodárenské systémy česká štúdia z roku 2016 odhadovala, že náklady by sa mohli pohybovať pod 2% z ceny vodného. Toto tvrdenie potvrdili aj ďalšie štúdie vykonané pre Európsku Komisiu napr. štúdia z Nemecka z roku 2016 odhaduje, že náklady pre väčšie vodárenské spoločnosti nepresiahnu 3% z ceny vodného. </w:t>
      </w:r>
    </w:p>
    <w:p w:rsidR="00D00F18" w:rsidRPr="00D00F18" w:rsidP="00D00F18">
      <w:pPr>
        <w:spacing w:after="60"/>
        <w:jc w:val="both"/>
        <w:rPr>
          <w:rFonts w:ascii="Times New Roman" w:hAnsi="Times New Roman"/>
          <w:bCs/>
          <w:iCs/>
          <w:sz w:val="24"/>
          <w:szCs w:val="24"/>
        </w:rPr>
      </w:pPr>
      <w:r w:rsidRPr="00D00F18">
        <w:rPr>
          <w:rFonts w:ascii="Times New Roman" w:hAnsi="Times New Roman"/>
          <w:bCs/>
          <w:iCs/>
          <w:sz w:val="24"/>
          <w:szCs w:val="24"/>
        </w:rPr>
        <w:t>Zároveň treba zdôrazniť, že vyššie náklady za „manažment rizík systému zásobovania pitnou vodou“, v ktorom sa budú po prvýkrát vyčíslovať všetky riziká a ktorý sa bude následne každých 6 rokov aktualizovať by mal priniesť v ďalších rokoch pre dodávateľov pitnej vody zníženie nákladov na monitorovanie o cca 20 %.</w:t>
      </w:r>
    </w:p>
    <w:p w:rsidR="00D00F18" w:rsidRPr="00D00F18" w:rsidP="00D00F18">
      <w:pPr>
        <w:spacing w:after="60"/>
        <w:jc w:val="both"/>
        <w:rPr>
          <w:rFonts w:ascii="Times New Roman" w:hAnsi="Times New Roman"/>
          <w:bCs/>
          <w:iCs/>
          <w:sz w:val="24"/>
          <w:szCs w:val="24"/>
        </w:rPr>
      </w:pPr>
      <w:r w:rsidRPr="00D00F18">
        <w:rPr>
          <w:rFonts w:ascii="Times New Roman" w:hAnsi="Times New Roman"/>
          <w:bCs/>
          <w:iCs/>
          <w:sz w:val="24"/>
          <w:szCs w:val="24"/>
        </w:rPr>
        <w:t>Vzhľadom na nedodanie ďalších potrebných podkladov zo strany AVS nie je možné presnejšie vyčísliť vplyv na podnikateľské prostredie pre tieto subjekty.</w:t>
      </w:r>
    </w:p>
    <w:p w:rsidR="00D00F18" w:rsidRPr="00D00F18" w:rsidP="00D00F18">
      <w:pPr>
        <w:spacing w:after="60"/>
        <w:jc w:val="both"/>
        <w:rPr>
          <w:rFonts w:ascii="Times New Roman" w:hAnsi="Times New Roman"/>
          <w:bCs/>
          <w:iCs/>
          <w:sz w:val="24"/>
          <w:szCs w:val="24"/>
        </w:rPr>
      </w:pPr>
    </w:p>
    <w:p w:rsidR="00D00F18" w:rsidRPr="00D00F18" w:rsidP="00D00F18">
      <w:pPr>
        <w:spacing w:after="60"/>
        <w:jc w:val="both"/>
        <w:rPr>
          <w:rFonts w:ascii="Times New Roman" w:hAnsi="Times New Roman"/>
          <w:bCs/>
          <w:iCs/>
          <w:sz w:val="24"/>
          <w:szCs w:val="24"/>
        </w:rPr>
      </w:pPr>
      <w:r w:rsidRPr="00D00F18">
        <w:rPr>
          <w:rFonts w:ascii="Times New Roman" w:hAnsi="Times New Roman"/>
          <w:bCs/>
          <w:iCs/>
          <w:sz w:val="24"/>
          <w:szCs w:val="24"/>
        </w:rPr>
        <w:t>MZ SR na zá</w:t>
      </w:r>
      <w:r w:rsidRPr="00D00F18">
        <w:rPr>
          <w:rFonts w:ascii="Times New Roman" w:hAnsi="Times New Roman"/>
          <w:bCs/>
          <w:iCs/>
          <w:sz w:val="24"/>
          <w:szCs w:val="24"/>
        </w:rPr>
        <w:t>klade odhadov českej štúdie vypracovalo modelový príklad pre obce v SR – sú uvedené v časti Vplyv na verejnú správu.</w:t>
      </w:r>
    </w:p>
    <w:p w:rsidR="00D00F18" w:rsidRPr="00D00F18" w:rsidP="00D00F18">
      <w:pPr>
        <w:spacing w:after="60"/>
        <w:jc w:val="both"/>
        <w:rPr>
          <w:rFonts w:ascii="Times New Roman" w:hAnsi="Times New Roman"/>
          <w:bCs/>
          <w:iCs/>
          <w:sz w:val="24"/>
          <w:szCs w:val="24"/>
        </w:rPr>
      </w:pPr>
    </w:p>
    <w:p w:rsidR="00D00F18" w:rsidRPr="00D00F18" w:rsidP="00D00F18">
      <w:pPr>
        <w:spacing w:after="60"/>
        <w:jc w:val="both"/>
        <w:rPr>
          <w:rFonts w:ascii="Times New Roman" w:hAnsi="Times New Roman"/>
          <w:b/>
          <w:iCs/>
          <w:sz w:val="24"/>
          <w:szCs w:val="24"/>
        </w:rPr>
      </w:pPr>
      <w:r w:rsidRPr="00D00F18">
        <w:rPr>
          <w:rFonts w:ascii="Times New Roman" w:hAnsi="Times New Roman"/>
          <w:b/>
          <w:iCs/>
          <w:sz w:val="24"/>
          <w:szCs w:val="24"/>
        </w:rPr>
        <w:t>Vplyv na monitorovanie prioritných priestorov (Legionella + olovo)</w:t>
      </w:r>
    </w:p>
    <w:p w:rsidR="00D00F18" w:rsidRPr="00D00F18" w:rsidP="00D00F18">
      <w:pPr>
        <w:spacing w:after="60"/>
        <w:jc w:val="both"/>
        <w:rPr>
          <w:rFonts w:ascii="Times New Roman" w:hAnsi="Times New Roman"/>
          <w:bCs/>
          <w:iCs/>
          <w:sz w:val="24"/>
          <w:szCs w:val="24"/>
        </w:rPr>
      </w:pPr>
      <w:r w:rsidRPr="00D00F18">
        <w:rPr>
          <w:rFonts w:ascii="Times New Roman" w:hAnsi="Times New Roman"/>
          <w:bCs/>
          <w:iCs/>
          <w:sz w:val="24"/>
          <w:szCs w:val="24"/>
        </w:rPr>
        <w:t xml:space="preserve">Vplyvy na subjekty, ktoré sú majiteľmi prioritných priestorov na monitoring olova a baktérií rodu Legionella. Ide o novú povinnosť vykonávať monitoring priestorov využívaných veľkým počet užívateľov, ktorí môžu byť vystavení rizikám spojeným s vodou. Monitorovanie má byť zavedené po roku 2029, kedy sa všeobecnou analýzou ÚVZ SR na národnej úrovni potvrdí rozsah prioritných priestorov. </w:t>
      </w:r>
    </w:p>
    <w:p w:rsidR="00D00F18" w:rsidRPr="00D00F18" w:rsidP="00D00F18">
      <w:pPr>
        <w:spacing w:after="60"/>
        <w:jc w:val="both"/>
        <w:rPr>
          <w:rFonts w:ascii="Times New Roman" w:hAnsi="Times New Roman"/>
          <w:bCs/>
          <w:iCs/>
          <w:sz w:val="24"/>
          <w:szCs w:val="24"/>
        </w:rPr>
      </w:pPr>
    </w:p>
    <w:p w:rsidR="00D00F18" w:rsidRPr="00D00F18" w:rsidP="00D00F18">
      <w:pPr>
        <w:spacing w:after="60"/>
        <w:jc w:val="both"/>
        <w:rPr>
          <w:rFonts w:ascii="Times New Roman" w:hAnsi="Times New Roman"/>
          <w:bCs/>
          <w:iCs/>
          <w:sz w:val="24"/>
          <w:szCs w:val="24"/>
        </w:rPr>
      </w:pPr>
      <w:r w:rsidRPr="00D00F18">
        <w:rPr>
          <w:rFonts w:ascii="Times New Roman" w:hAnsi="Times New Roman"/>
          <w:bCs/>
          <w:iCs/>
          <w:sz w:val="24"/>
          <w:szCs w:val="24"/>
        </w:rPr>
        <w:t xml:space="preserve">Za prioritné priestory je z hľadiska rizika prítomnosti olova v pitnej vode navrhnuté považovať: zariadenia pre deti a mládež,  zariadenia spoločného stravovania, ubytovacie zariadenia sociálnych služieb a ubytovacie zariadenia,  zdravotnícke zariadenie ústavnej zdravotnej starostlivosti. </w:t>
      </w:r>
    </w:p>
    <w:p w:rsidR="00D00F18" w:rsidRPr="00D00F18" w:rsidP="00D00F18">
      <w:pPr>
        <w:spacing w:after="60"/>
        <w:jc w:val="both"/>
        <w:rPr>
          <w:rFonts w:ascii="Times New Roman" w:hAnsi="Times New Roman"/>
          <w:bCs/>
          <w:iCs/>
          <w:sz w:val="24"/>
          <w:szCs w:val="24"/>
        </w:rPr>
      </w:pPr>
      <w:r w:rsidRPr="00D00F18">
        <w:rPr>
          <w:rFonts w:ascii="Times New Roman" w:hAnsi="Times New Roman"/>
          <w:bCs/>
          <w:iCs/>
          <w:sz w:val="24"/>
          <w:szCs w:val="24"/>
        </w:rPr>
        <w:t>Za prioritné priestory je  z hľadiska rizika prítomnosti legionel v pitnej vode navrhnuté považovať: zdravotnícke zariadenie ústavnej zdravotnej starostlivosti, ubytovacie zariadenia, zariadenia starostlivosti o ľudské teplo, telovýchovné zariadenia a umelé kúpaliská.</w:t>
      </w:r>
    </w:p>
    <w:p w:rsidR="00D00F18" w:rsidRPr="00D00F18" w:rsidP="00D00F18">
      <w:pPr>
        <w:spacing w:after="60"/>
        <w:jc w:val="both"/>
        <w:rPr>
          <w:rFonts w:ascii="Times New Roman" w:hAnsi="Times New Roman"/>
          <w:bCs/>
          <w:iCs/>
          <w:sz w:val="24"/>
          <w:szCs w:val="24"/>
        </w:rPr>
      </w:pPr>
    </w:p>
    <w:p w:rsidR="00D00F18" w:rsidRPr="00D00F18" w:rsidP="00D00F18">
      <w:pPr>
        <w:spacing w:after="60"/>
        <w:jc w:val="both"/>
        <w:rPr>
          <w:rFonts w:ascii="Times New Roman" w:hAnsi="Times New Roman"/>
          <w:bCs/>
          <w:iCs/>
          <w:sz w:val="24"/>
          <w:szCs w:val="24"/>
        </w:rPr>
      </w:pPr>
      <w:r w:rsidRPr="00D00F18">
        <w:rPr>
          <w:rFonts w:ascii="Times New Roman" w:hAnsi="Times New Roman"/>
          <w:b/>
          <w:iCs/>
          <w:sz w:val="24"/>
          <w:szCs w:val="24"/>
          <w:u w:val="single"/>
        </w:rPr>
        <w:t>Cena za analýzu ukazovateľa olovo</w:t>
      </w:r>
      <w:r w:rsidRPr="00D00F18">
        <w:rPr>
          <w:rFonts w:ascii="Times New Roman" w:hAnsi="Times New Roman"/>
          <w:bCs/>
          <w:iCs/>
          <w:sz w:val="24"/>
          <w:szCs w:val="24"/>
        </w:rPr>
        <w:t>: cca 15 EUR</w:t>
      </w:r>
    </w:p>
    <w:p w:rsidR="00D00F18" w:rsidRPr="00D00F18" w:rsidP="00D00F18">
      <w:pPr>
        <w:spacing w:after="60"/>
        <w:jc w:val="both"/>
        <w:rPr>
          <w:rFonts w:ascii="Times New Roman" w:hAnsi="Times New Roman"/>
          <w:bCs/>
          <w:iCs/>
          <w:sz w:val="24"/>
          <w:szCs w:val="24"/>
        </w:rPr>
      </w:pPr>
      <w:r w:rsidRPr="00D00F18">
        <w:rPr>
          <w:rFonts w:ascii="Times New Roman" w:hAnsi="Times New Roman"/>
          <w:b/>
          <w:iCs/>
          <w:sz w:val="24"/>
          <w:szCs w:val="24"/>
          <w:u w:val="single"/>
        </w:rPr>
        <w:t>Cena za analýzu ukazovateľa Legionella</w:t>
      </w:r>
      <w:r w:rsidRPr="00D00F18">
        <w:rPr>
          <w:rFonts w:ascii="Times New Roman" w:hAnsi="Times New Roman"/>
          <w:bCs/>
          <w:iCs/>
          <w:sz w:val="24"/>
          <w:szCs w:val="24"/>
        </w:rPr>
        <w:t>: 40 – 90 EUR</w:t>
      </w:r>
    </w:p>
    <w:p w:rsidR="00D00F18" w:rsidRPr="00D00F18" w:rsidP="00D00F18">
      <w:pPr>
        <w:spacing w:after="0" w:line="240" w:lineRule="auto"/>
        <w:rPr>
          <w:rFonts w:ascii="Times New Roman" w:eastAsia="Times New Roman" w:hAnsi="Times New Roman"/>
          <w:b/>
          <w:bCs/>
          <w:iCs/>
          <w:sz w:val="24"/>
          <w:szCs w:val="24"/>
          <w:lang w:eastAsia="sk-SK"/>
        </w:rPr>
      </w:pPr>
    </w:p>
    <w:p w:rsidR="00D00F18" w:rsidRPr="00D00F18" w:rsidP="00D00F18">
      <w:pPr>
        <w:spacing w:after="0" w:line="240" w:lineRule="auto"/>
        <w:rPr>
          <w:rFonts w:ascii="Times New Roman" w:eastAsia="Times New Roman" w:hAnsi="Times New Roman"/>
          <w:b/>
          <w:bCs/>
          <w:iCs/>
          <w:sz w:val="24"/>
          <w:szCs w:val="24"/>
          <w:lang w:eastAsia="sk-SK"/>
        </w:rPr>
      </w:pPr>
    </w:p>
    <w:p w:rsidR="00D00F18" w:rsidRPr="00D00F18" w:rsidP="00D00F18">
      <w:pPr>
        <w:spacing w:after="60"/>
        <w:jc w:val="both"/>
        <w:rPr>
          <w:rFonts w:ascii="Times New Roman" w:hAnsi="Times New Roman"/>
          <w:b/>
          <w:iCs/>
          <w:sz w:val="24"/>
          <w:szCs w:val="24"/>
        </w:rPr>
      </w:pPr>
      <w:r w:rsidRPr="00D00F18">
        <w:rPr>
          <w:rFonts w:ascii="Times New Roman" w:hAnsi="Times New Roman"/>
          <w:b/>
          <w:iCs/>
          <w:sz w:val="24"/>
          <w:szCs w:val="24"/>
        </w:rPr>
        <w:t xml:space="preserve">Vplyv na dodávateľov teplej vody: </w:t>
      </w:r>
    </w:p>
    <w:p w:rsidR="00D00F18" w:rsidRPr="00D00F18" w:rsidP="00D00F18">
      <w:pPr>
        <w:spacing w:after="60"/>
        <w:jc w:val="both"/>
        <w:rPr>
          <w:rFonts w:ascii="Times New Roman" w:hAnsi="Times New Roman"/>
          <w:bCs/>
          <w:iCs/>
          <w:sz w:val="24"/>
          <w:szCs w:val="24"/>
        </w:rPr>
      </w:pPr>
      <w:r w:rsidRPr="00D00F18">
        <w:rPr>
          <w:rFonts w:ascii="Times New Roman" w:hAnsi="Times New Roman"/>
          <w:bCs/>
          <w:iCs/>
          <w:sz w:val="24"/>
          <w:szCs w:val="24"/>
        </w:rPr>
        <w:t xml:space="preserve">Nemá iba </w:t>
      </w:r>
      <w:r w:rsidRPr="00D00F18">
        <w:rPr>
          <w:rFonts w:ascii="Times New Roman" w:hAnsi="Times New Roman"/>
          <w:bCs/>
          <w:iCs/>
          <w:sz w:val="24"/>
          <w:szCs w:val="24"/>
        </w:rPr>
        <w:t xml:space="preserve">v prípade ochorení </w:t>
      </w:r>
    </w:p>
    <w:p w:rsidR="00D00F18" w:rsidRPr="00D00F18" w:rsidP="00D00F18">
      <w:pPr>
        <w:spacing w:after="60"/>
        <w:jc w:val="both"/>
        <w:rPr>
          <w:rFonts w:ascii="Times New Roman" w:hAnsi="Times New Roman"/>
          <w:bCs/>
          <w:i/>
          <w:sz w:val="24"/>
          <w:szCs w:val="24"/>
        </w:rPr>
      </w:pPr>
      <w:r w:rsidRPr="00D00F18">
        <w:rPr>
          <w:rFonts w:ascii="Times New Roman" w:hAnsi="Times New Roman"/>
          <w:bCs/>
          <w:i/>
          <w:sz w:val="24"/>
          <w:szCs w:val="24"/>
        </w:rPr>
        <w:t xml:space="preserve"> </w:t>
      </w:r>
    </w:p>
    <w:p w:rsidR="00D00F18" w:rsidRPr="00D00F18" w:rsidP="00D00F18">
      <w:pPr>
        <w:spacing w:after="60"/>
        <w:jc w:val="both"/>
        <w:rPr>
          <w:rFonts w:ascii="Times New Roman" w:hAnsi="Times New Roman"/>
          <w:bCs/>
          <w:i/>
          <w:sz w:val="24"/>
          <w:szCs w:val="24"/>
        </w:rPr>
        <w:sectPr w:rsidSect="00D00F18">
          <w:pgSz w:w="11906" w:h="16838"/>
          <w:pgMar w:top="1418" w:right="1418" w:bottom="1418" w:left="1418" w:header="709" w:footer="709" w:gutter="0"/>
          <w:cols w:space="708"/>
          <w:docGrid w:linePitch="360"/>
        </w:sectPr>
      </w:pPr>
    </w:p>
    <w:tbl>
      <w:tblPr>
        <w:tblStyle w:val="TableNormal"/>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tblPr>
      <w:tblGrid>
        <w:gridCol w:w="248"/>
        <w:gridCol w:w="3151"/>
        <w:gridCol w:w="6196"/>
      </w:tblGrid>
      <w:tr w:rsidTr="00D00F18">
        <w:tblPrEx>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tblPrEx>
        <w:trPr>
          <w:trHeight w:val="534"/>
          <w:jc w:val="center"/>
        </w:trPr>
        <w:tc>
          <w:tcPr>
            <w:tcW w:w="5000" w:type="pct"/>
            <w:gridSpan w:val="3"/>
            <w:tcBorders>
              <w:bottom w:val="single" w:sz="4" w:space="0" w:color="auto"/>
            </w:tcBorders>
            <w:shd w:val="clear" w:color="auto" w:fill="808080"/>
          </w:tcPr>
          <w:p w:rsidR="00D00F18" w:rsidRPr="00D00F18" w:rsidP="00D00F18">
            <w:pPr>
              <w:spacing w:after="0" w:line="240" w:lineRule="auto"/>
              <w:ind w:left="-284" w:firstLine="284"/>
              <w:jc w:val="center"/>
              <w:rPr>
                <w:rFonts w:ascii="Times New Roman" w:hAnsi="Times New Roman"/>
                <w:b/>
                <w:lang w:eastAsia="sk-SK"/>
              </w:rPr>
            </w:pPr>
            <w:r w:rsidRPr="00D00F18">
              <w:rPr>
                <w:rFonts w:ascii="Times New Roman" w:hAnsi="Times New Roman"/>
                <w:b/>
                <w:sz w:val="28"/>
                <w:lang w:eastAsia="sk-SK"/>
              </w:rPr>
              <w:t>Analýza sociálnych vplyvov</w:t>
            </w:r>
          </w:p>
          <w:p w:rsidR="00D00F18" w:rsidRPr="00D00F18" w:rsidP="00D00F18">
            <w:pPr>
              <w:spacing w:after="0" w:line="240" w:lineRule="auto"/>
              <w:jc w:val="center"/>
              <w:rPr>
                <w:rFonts w:ascii="Times New Roman" w:hAnsi="Times New Roman"/>
                <w:b/>
                <w:sz w:val="24"/>
                <w:lang w:eastAsia="sk-SK"/>
              </w:rPr>
            </w:pPr>
            <w:r w:rsidRPr="00D00F18">
              <w:rPr>
                <w:rFonts w:ascii="Times New Roman" w:hAnsi="Times New Roman"/>
                <w:b/>
                <w:sz w:val="24"/>
                <w:lang w:eastAsia="sk-SK"/>
              </w:rPr>
              <w:t>Vplyvy na hospodárenie domácností, prístup k zdrojom, právam, tovarom a službám, sociálnu inklúziu, rovnosť príležitostí a rovnosť žien a mužov a vplyvy na zamestnanosť</w:t>
            </w:r>
          </w:p>
          <w:p w:rsidR="00D00F18" w:rsidRPr="00D00F18" w:rsidP="00D00F18">
            <w:pPr>
              <w:spacing w:after="0" w:line="240" w:lineRule="auto"/>
              <w:jc w:val="both"/>
              <w:rPr>
                <w:rFonts w:ascii="Times New Roman" w:hAnsi="Times New Roman"/>
                <w:b/>
                <w:lang w:eastAsia="sk-SK"/>
              </w:rPr>
            </w:pPr>
            <w:r w:rsidRPr="00D00F18">
              <w:rPr>
                <w:rFonts w:ascii="Times New Roman" w:hAnsi="Times New Roman"/>
                <w:b/>
                <w:sz w:val="18"/>
                <w:lang w:eastAsia="sk-SK"/>
              </w:rPr>
              <w:t>(</w:t>
            </w:r>
            <w:r w:rsidRPr="00D00F18">
              <w:rPr>
                <w:rFonts w:ascii="Times New Roman" w:hAnsi="Times New Roman"/>
                <w:sz w:val="18"/>
                <w:lang w:eastAsia="sk-SK"/>
              </w:rPr>
              <w:t>Ak v niektorej z hodnotených oblastí</w:t>
            </w:r>
            <w:r w:rsidRPr="00D00F18">
              <w:rPr>
                <w:rFonts w:ascii="Times New Roman" w:hAnsi="Times New Roman"/>
                <w:sz w:val="18"/>
                <w:lang w:eastAsia="sk-SK"/>
              </w:rPr>
              <w:t xml:space="preserve"> sociálnych vplyvov (bodov 4.1 až 4.4) nebol identifikovaný vplyv, uveďte v príslušnom riadku analýzy poznámku „Bez vplyvu.“.)</w:t>
            </w:r>
          </w:p>
        </w:tc>
      </w:tr>
      <w:tr w:rsidTr="00D00F18">
        <w:tblPrEx>
          <w:tblW w:w="5239" w:type="pct"/>
          <w:jc w:val="center"/>
          <w:tblLayout w:type="fixed"/>
          <w:tblCellMar>
            <w:left w:w="28" w:type="dxa"/>
            <w:right w:w="57" w:type="dxa"/>
          </w:tblCellMar>
          <w:tblLook w:val="04A0"/>
        </w:tblPrEx>
        <w:trPr>
          <w:jc w:val="center"/>
        </w:trPr>
        <w:tc>
          <w:tcPr>
            <w:tcW w:w="5000" w:type="pct"/>
            <w:gridSpan w:val="3"/>
            <w:tcBorders>
              <w:bottom w:val="single" w:sz="4" w:space="0" w:color="auto"/>
            </w:tcBorders>
            <w:shd w:val="clear" w:color="auto" w:fill="A6A6A6"/>
          </w:tcPr>
          <w:p w:rsidR="00D00F18" w:rsidRPr="00D00F18" w:rsidP="00D00F18">
            <w:pPr>
              <w:spacing w:after="0" w:line="240" w:lineRule="auto"/>
              <w:rPr>
                <w:rFonts w:ascii="Times New Roman" w:hAnsi="Times New Roman"/>
                <w:b/>
                <w:sz w:val="24"/>
                <w:lang w:eastAsia="sk-SK"/>
              </w:rPr>
            </w:pPr>
            <w:r w:rsidRPr="00D00F18">
              <w:rPr>
                <w:rFonts w:ascii="Times New Roman" w:hAnsi="Times New Roman"/>
                <w:b/>
                <w:lang w:eastAsia="sk-SK"/>
              </w:rPr>
              <w:t xml:space="preserve">4.1 </w:t>
            </w:r>
            <w:r w:rsidRPr="00D00F18">
              <w:rPr>
                <w:rFonts w:ascii="Times New Roman" w:hAnsi="Times New Roman"/>
                <w:b/>
                <w:sz w:val="24"/>
                <w:lang w:eastAsia="sk-SK"/>
              </w:rPr>
              <w:t xml:space="preserve">Identifikujte, popíšte a kvantifikujte vplyv na hospodárenie domácností a špecifikujte ovplyvnené skupiny domácností, ktoré </w:t>
            </w:r>
            <w:r w:rsidRPr="00D00F18">
              <w:rPr>
                <w:rFonts w:ascii="Times New Roman" w:hAnsi="Times New Roman"/>
                <w:b/>
                <w:sz w:val="24"/>
                <w:lang w:eastAsia="sk-SK"/>
              </w:rPr>
              <w:t>budú pozitívne/negatívne ovplyvnené.</w:t>
            </w:r>
          </w:p>
        </w:tc>
      </w:tr>
      <w:tr w:rsidTr="00D00F18">
        <w:tblPrEx>
          <w:tblW w:w="5239" w:type="pct"/>
          <w:jc w:val="center"/>
          <w:tblLayout w:type="fixed"/>
          <w:tblCellMar>
            <w:left w:w="28" w:type="dxa"/>
            <w:right w:w="57" w:type="dxa"/>
          </w:tblCellMar>
          <w:tblLook w:val="04A0"/>
        </w:tblPrEx>
        <w:trPr>
          <w:jc w:val="center"/>
        </w:trPr>
        <w:tc>
          <w:tcPr>
            <w:tcW w:w="5000" w:type="pct"/>
            <w:gridSpan w:val="3"/>
            <w:tcBorders>
              <w:bottom w:val="single" w:sz="4" w:space="0" w:color="auto"/>
            </w:tcBorders>
            <w:shd w:val="clear" w:color="auto" w:fill="F2F2F2"/>
          </w:tcPr>
          <w:p w:rsidR="00D00F18" w:rsidRPr="00D00F18" w:rsidP="00D00F18">
            <w:pPr>
              <w:spacing w:after="0" w:line="240" w:lineRule="auto"/>
              <w:rPr>
                <w:rFonts w:ascii="Times New Roman" w:hAnsi="Times New Roman"/>
                <w:i/>
                <w:sz w:val="20"/>
                <w:lang w:eastAsia="sk-SK"/>
              </w:rPr>
            </w:pPr>
            <w:r w:rsidRPr="00D00F18">
              <w:rPr>
                <w:rFonts w:ascii="Times New Roman" w:hAnsi="Times New Roman"/>
                <w:i/>
                <w:sz w:val="20"/>
                <w:lang w:eastAsia="sk-SK"/>
              </w:rPr>
              <w:t xml:space="preserve">Vedie návrh k zvýšeniu alebo zníženiu príjmov alebo výdavkov domácností? </w:t>
            </w:r>
          </w:p>
          <w:p w:rsidR="00D00F18" w:rsidRPr="00D00F18" w:rsidP="00D00F18">
            <w:pPr>
              <w:spacing w:after="0" w:line="240" w:lineRule="auto"/>
              <w:rPr>
                <w:rFonts w:ascii="Times New Roman" w:hAnsi="Times New Roman"/>
                <w:i/>
                <w:sz w:val="20"/>
                <w:lang w:eastAsia="sk-SK"/>
              </w:rPr>
            </w:pPr>
            <w:r w:rsidRPr="00D00F18">
              <w:rPr>
                <w:rFonts w:ascii="Times New Roman" w:hAnsi="Times New Roman"/>
                <w:i/>
                <w:sz w:val="20"/>
                <w:lang w:eastAsia="sk-SK"/>
              </w:rPr>
              <w:t xml:space="preserve">Ktoré skupiny domácností/obyvateľstva sú takto ovplyvnené a akým spôsobom? </w:t>
            </w:r>
          </w:p>
          <w:p w:rsidR="00D00F18" w:rsidRPr="00D00F18" w:rsidP="00D00F18">
            <w:pPr>
              <w:spacing w:after="0" w:line="240" w:lineRule="auto"/>
              <w:rPr>
                <w:rFonts w:ascii="Times New Roman" w:hAnsi="Times New Roman"/>
                <w:i/>
                <w:sz w:val="20"/>
                <w:lang w:eastAsia="sk-SK"/>
              </w:rPr>
            </w:pPr>
            <w:r w:rsidRPr="00D00F18">
              <w:rPr>
                <w:rFonts w:ascii="Times New Roman" w:hAnsi="Times New Roman"/>
                <w:i/>
                <w:sz w:val="20"/>
                <w:lang w:eastAsia="sk-SK"/>
              </w:rPr>
              <w:t>Sú medzi potenciálne ovplyvnenými skupinami skupiny v riziku chudoby</w:t>
            </w:r>
            <w:r w:rsidRPr="00D00F18">
              <w:rPr>
                <w:rFonts w:ascii="Times New Roman" w:hAnsi="Times New Roman"/>
                <w:i/>
                <w:sz w:val="20"/>
                <w:lang w:eastAsia="sk-SK"/>
              </w:rPr>
              <w:t xml:space="preserve"> alebo sociálneho vylúčenia?</w:t>
            </w:r>
          </w:p>
          <w:p w:rsidR="00D00F18" w:rsidRPr="00D00F18" w:rsidP="00D00F18">
            <w:pPr>
              <w:spacing w:after="0" w:line="240" w:lineRule="auto"/>
              <w:rPr>
                <w:rFonts w:ascii="Times New Roman" w:hAnsi="Times New Roman"/>
                <w:b/>
                <w:sz w:val="18"/>
                <w:lang w:eastAsia="sk-SK"/>
              </w:rPr>
            </w:pPr>
            <w:r w:rsidRPr="00D00F18">
              <w:rPr>
                <w:rFonts w:ascii="Times New Roman" w:hAnsi="Times New Roman"/>
                <w:b/>
                <w:sz w:val="18"/>
                <w:lang w:eastAsia="sk-SK"/>
              </w:rPr>
              <w:t>(V prípade vyššieho počtu hodnotených opatrení doplňte podľa potreby do tabuľky pred bod 4.2 ďalšie sekcie - 4.1.1 Pozitívny vplyv/4.1.2 Negatívny vplyv).</w:t>
            </w:r>
          </w:p>
        </w:tc>
      </w:tr>
      <w:tr w:rsidTr="00D00F18">
        <w:tblPrEx>
          <w:tblW w:w="5239" w:type="pct"/>
          <w:jc w:val="center"/>
          <w:tblLayout w:type="fixed"/>
          <w:tblCellMar>
            <w:left w:w="28" w:type="dxa"/>
            <w:right w:w="57" w:type="dxa"/>
          </w:tblCellMar>
          <w:tblLook w:val="04A0"/>
        </w:tblPrEx>
        <w:trPr>
          <w:trHeight w:val="170"/>
          <w:jc w:val="center"/>
        </w:trPr>
        <w:tc>
          <w:tcPr>
            <w:tcW w:w="129" w:type="pct"/>
            <w:tcBorders>
              <w:top w:val="single" w:sz="4" w:space="0" w:color="auto"/>
              <w:bottom w:val="single" w:sz="4" w:space="0" w:color="auto"/>
            </w:tcBorders>
            <w:shd w:val="clear" w:color="auto" w:fill="DDDDDD"/>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D00F18" w:rsidRPr="00D00F18" w:rsidP="00D00F18">
            <w:pPr>
              <w:spacing w:after="0" w:line="240" w:lineRule="auto"/>
              <w:jc w:val="center"/>
              <w:rPr>
                <w:rFonts w:ascii="Times New Roman" w:hAnsi="Times New Roman"/>
                <w:b/>
                <w:sz w:val="20"/>
                <w:szCs w:val="20"/>
                <w:lang w:eastAsia="sk-SK"/>
              </w:rPr>
            </w:pPr>
            <w:r w:rsidRPr="00D00F18">
              <w:rPr>
                <w:rFonts w:ascii="Times New Roman" w:hAnsi="Times New Roman"/>
                <w:b/>
                <w:i/>
                <w:sz w:val="20"/>
                <w:szCs w:val="20"/>
                <w:lang w:eastAsia="sk-SK"/>
              </w:rPr>
              <w:t>4.1.1 Pozitívny vplyv</w:t>
            </w:r>
          </w:p>
        </w:tc>
      </w:tr>
      <w:tr w:rsidTr="00D00F18">
        <w:tblPrEx>
          <w:tblW w:w="5239" w:type="pct"/>
          <w:jc w:val="center"/>
          <w:tblLayout w:type="fixed"/>
          <w:tblCellMar>
            <w:left w:w="28" w:type="dxa"/>
            <w:right w:w="57" w:type="dxa"/>
          </w:tblCellMar>
          <w:tblLook w:val="04A0"/>
        </w:tblPrEx>
        <w:trPr>
          <w:trHeight w:val="759"/>
          <w:jc w:val="center"/>
        </w:trPr>
        <w:tc>
          <w:tcPr>
            <w:tcW w:w="129" w:type="pct"/>
            <w:tcBorders>
              <w:top w:val="single" w:sz="4" w:space="0" w:color="auto"/>
              <w:bottom w:val="single" w:sz="4" w:space="0" w:color="auto"/>
            </w:tcBorders>
            <w:shd w:val="clear" w:color="auto" w:fill="auto"/>
            <w:vAlign w:val="center"/>
          </w:tcPr>
          <w:p w:rsidR="00D00F18" w:rsidRPr="00D00F18" w:rsidP="00D00F18">
            <w:pPr>
              <w:spacing w:after="0" w:line="240" w:lineRule="auto"/>
              <w:contextualSpacing/>
              <w:jc w:val="center"/>
              <w:rPr>
                <w:rFonts w:ascii="Times New Roman" w:hAnsi="Times New Roman"/>
                <w:i/>
                <w:sz w:val="18"/>
                <w:szCs w:val="18"/>
                <w:lang w:eastAsia="sk-SK"/>
              </w:rPr>
            </w:pPr>
            <w:r w:rsidRPr="00D00F18">
              <w:rPr>
                <w:rFonts w:ascii="Times New Roman" w:hAnsi="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D00F18" w:rsidRPr="00D00F18" w:rsidP="00D00F18">
            <w:pPr>
              <w:spacing w:after="0" w:line="240" w:lineRule="auto"/>
              <w:jc w:val="both"/>
              <w:rPr>
                <w:rFonts w:ascii="Times New Roman" w:hAnsi="Times New Roman"/>
                <w:i/>
                <w:sz w:val="20"/>
                <w:szCs w:val="20"/>
                <w:lang w:eastAsia="sk-SK"/>
              </w:rPr>
            </w:pPr>
            <w:r w:rsidRPr="00D00F18">
              <w:rPr>
                <w:rFonts w:ascii="Times New Roman" w:hAnsi="Times New Roman"/>
                <w:b/>
                <w:i/>
                <w:sz w:val="20"/>
                <w:szCs w:val="20"/>
                <w:lang w:eastAsia="sk-SK"/>
              </w:rPr>
              <w:t xml:space="preserve">Popíšte </w:t>
            </w:r>
            <w:r w:rsidRPr="00D00F18">
              <w:rPr>
                <w:rFonts w:ascii="Times New Roman" w:hAnsi="Times New Roman"/>
                <w:i/>
                <w:sz w:val="20"/>
                <w:szCs w:val="20"/>
                <w:lang w:eastAsia="sk-SK"/>
              </w:rPr>
              <w:t>opatrenie a jeho vplyv na hospodár</w:t>
            </w:r>
            <w:r w:rsidRPr="00D00F18">
              <w:rPr>
                <w:rFonts w:ascii="Times New Roman" w:hAnsi="Times New Roman"/>
                <w:i/>
                <w:sz w:val="20"/>
                <w:szCs w:val="20"/>
                <w:lang w:eastAsia="sk-SK"/>
              </w:rPr>
              <w:t>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D00F18" w:rsidRPr="00D00F18" w:rsidP="00D00F18">
            <w:pPr>
              <w:spacing w:after="0" w:line="240" w:lineRule="auto"/>
              <w:contextualSpacing/>
              <w:jc w:val="both"/>
              <w:rPr>
                <w:rFonts w:ascii="Times New Roman" w:hAnsi="Times New Roman"/>
                <w:sz w:val="20"/>
                <w:szCs w:val="20"/>
                <w:lang w:eastAsia="sk-SK"/>
              </w:rPr>
            </w:pPr>
            <w:r w:rsidRPr="00D00F18">
              <w:rPr>
                <w:rFonts w:ascii="Times New Roman" w:hAnsi="Times New Roman"/>
                <w:sz w:val="20"/>
                <w:szCs w:val="20"/>
                <w:lang w:eastAsia="sk-SK"/>
              </w:rPr>
              <w:t>Pozitívny vplyv predstavuje zvýšenie dostupnosti pitnej vody pre skupiny obyvateľstva bez prístupu k pitnej vode alebo s obmedzeným prístupom k pitnej vode, zvýšenie kvality dodávanej pitnej vody a zníženie zdravotných rizík z používania pitnej vody, ktorá nie je zdravotne bezpečná.</w:t>
            </w:r>
          </w:p>
          <w:p w:rsidR="00D00F18" w:rsidRPr="00D00F18" w:rsidP="00D00F18">
            <w:pPr>
              <w:spacing w:after="0" w:line="240" w:lineRule="auto"/>
              <w:contextualSpacing/>
              <w:jc w:val="both"/>
              <w:rPr>
                <w:rFonts w:ascii="Times New Roman" w:hAnsi="Times New Roman"/>
                <w:sz w:val="20"/>
                <w:szCs w:val="20"/>
                <w:lang w:eastAsia="sk-SK"/>
              </w:rPr>
            </w:pPr>
          </w:p>
          <w:p w:rsidR="00D00F18" w:rsidRPr="00D00F18" w:rsidP="00D00F18">
            <w:pPr>
              <w:spacing w:after="0" w:line="240" w:lineRule="auto"/>
              <w:contextualSpacing/>
              <w:jc w:val="both"/>
              <w:rPr>
                <w:rFonts w:ascii="Times New Roman" w:hAnsi="Times New Roman"/>
                <w:sz w:val="20"/>
                <w:szCs w:val="20"/>
                <w:lang w:eastAsia="sk-SK"/>
              </w:rPr>
            </w:pPr>
            <w:r w:rsidRPr="00D00F18">
              <w:rPr>
                <w:rFonts w:ascii="Times New Roman" w:hAnsi="Times New Roman"/>
                <w:sz w:val="20"/>
                <w:szCs w:val="20"/>
                <w:lang w:eastAsia="sk-SK"/>
              </w:rPr>
              <w:t xml:space="preserve">Východiská pre pozitíva: </w:t>
            </w:r>
          </w:p>
          <w:p w:rsidR="00D00F18" w:rsidRPr="00D00F18" w:rsidP="00AC2F0E">
            <w:pPr>
              <w:numPr>
                <w:ilvl w:val="0"/>
                <w:numId w:val="31"/>
              </w:numPr>
              <w:spacing w:after="0" w:line="240" w:lineRule="auto"/>
              <w:contextualSpacing/>
              <w:jc w:val="both"/>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predchádzanie nákladov spojených s liečbou ochorení – liečba napr. legionelóz trvá niekoľko týždňov, obyčajne 3 týždne, čo môže viesť k poklesu príjmu – na 50 - 60%</w:t>
            </w:r>
          </w:p>
          <w:p w:rsidR="00D00F18" w:rsidRPr="00D00F18" w:rsidP="00AC2F0E">
            <w:pPr>
              <w:numPr>
                <w:ilvl w:val="0"/>
                <w:numId w:val="31"/>
              </w:numPr>
              <w:spacing w:after="0" w:line="240" w:lineRule="auto"/>
              <w:contextualSpacing/>
              <w:jc w:val="both"/>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predchádzanie nákladov na hospitalizáciu – 50 % prípadov s ochorením legionelózy si vyžaduje hospitalizáciu </w:t>
            </w:r>
          </w:p>
        </w:tc>
      </w:tr>
      <w:tr w:rsidTr="00D00F18">
        <w:tblPrEx>
          <w:tblW w:w="5239" w:type="pct"/>
          <w:jc w:val="center"/>
          <w:tblLayout w:type="fixed"/>
          <w:tblCellMar>
            <w:left w:w="28" w:type="dxa"/>
            <w:right w:w="57" w:type="dxa"/>
          </w:tblCellMar>
          <w:tblLook w:val="04A0"/>
        </w:tblPrEx>
        <w:trPr>
          <w:trHeight w:val="397"/>
          <w:jc w:val="center"/>
        </w:trPr>
        <w:tc>
          <w:tcPr>
            <w:tcW w:w="129" w:type="pct"/>
            <w:tcBorders>
              <w:top w:val="single" w:sz="4" w:space="0" w:color="auto"/>
            </w:tcBorders>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c)</w:t>
            </w:r>
          </w:p>
        </w:tc>
        <w:tc>
          <w:tcPr>
            <w:tcW w:w="1642" w:type="pct"/>
            <w:tcBorders>
              <w:top w:val="single" w:sz="4" w:space="0" w:color="auto"/>
            </w:tcBorders>
            <w:shd w:val="clear" w:color="auto" w:fill="auto"/>
          </w:tcPr>
          <w:p w:rsidR="00D00F18" w:rsidRPr="00D00F18" w:rsidP="00D00F18">
            <w:pPr>
              <w:spacing w:after="0" w:line="240" w:lineRule="auto"/>
              <w:rPr>
                <w:rFonts w:ascii="Times New Roman" w:hAnsi="Times New Roman"/>
                <w:i/>
                <w:sz w:val="20"/>
                <w:szCs w:val="20"/>
                <w:lang w:eastAsia="sk-SK"/>
              </w:rPr>
            </w:pPr>
            <w:r w:rsidRPr="00D00F18">
              <w:rPr>
                <w:rFonts w:ascii="Times New Roman" w:hAnsi="Times New Roman"/>
                <w:b/>
                <w:i/>
                <w:sz w:val="20"/>
                <w:szCs w:val="20"/>
                <w:lang w:eastAsia="sk-SK"/>
              </w:rPr>
              <w:t xml:space="preserve">Špecifikujte </w:t>
            </w:r>
            <w:r w:rsidRPr="00D00F18">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rsidR="00D00F18" w:rsidRPr="00D00F18" w:rsidP="00D00F18">
            <w:pPr>
              <w:spacing w:after="0" w:line="240" w:lineRule="auto"/>
              <w:rPr>
                <w:rFonts w:ascii="Times New Roman" w:hAnsi="Times New Roman"/>
                <w:i/>
                <w:sz w:val="20"/>
                <w:szCs w:val="20"/>
                <w:lang w:eastAsia="sk-SK"/>
              </w:rPr>
            </w:pPr>
            <w:r w:rsidRPr="00D00F18">
              <w:rPr>
                <w:rFonts w:ascii="Times New Roman" w:hAnsi="Times New Roman"/>
                <w:sz w:val="20"/>
                <w:szCs w:val="20"/>
              </w:rPr>
              <w:t>Všetci obyvatelia z hľadiska kvality vody a vo zvýšenej miere obyvatelia bez prístupu a s obmedzeným prístupom k pitnej vody.</w:t>
            </w:r>
          </w:p>
        </w:tc>
      </w:tr>
      <w:tr w:rsidTr="00D00F18">
        <w:tblPrEx>
          <w:tblW w:w="5239" w:type="pct"/>
          <w:jc w:val="center"/>
          <w:tblLayout w:type="fixed"/>
          <w:tblCellMar>
            <w:left w:w="28" w:type="dxa"/>
            <w:right w:w="57" w:type="dxa"/>
          </w:tblCellMar>
          <w:tblLook w:val="04A0"/>
        </w:tblPrEx>
        <w:trPr>
          <w:trHeight w:val="454"/>
          <w:jc w:val="center"/>
        </w:trPr>
        <w:tc>
          <w:tcPr>
            <w:tcW w:w="129" w:type="pct"/>
            <w:tcBorders>
              <w:top w:val="dotted" w:sz="4" w:space="0" w:color="auto"/>
            </w:tcBorders>
            <w:shd w:val="clear" w:color="auto" w:fill="F2F2F2"/>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d)</w:t>
            </w:r>
          </w:p>
        </w:tc>
        <w:tc>
          <w:tcPr>
            <w:tcW w:w="4871" w:type="pct"/>
            <w:gridSpan w:val="2"/>
            <w:tcBorders>
              <w:top w:val="dotted" w:sz="4" w:space="0" w:color="auto"/>
            </w:tcBorders>
            <w:shd w:val="clear" w:color="auto" w:fill="F2F2F2"/>
            <w:vAlign w:val="center"/>
          </w:tcPr>
          <w:p w:rsidR="00D00F18" w:rsidRPr="00D00F18" w:rsidP="00D00F18">
            <w:pPr>
              <w:spacing w:after="0" w:line="240" w:lineRule="auto"/>
              <w:rPr>
                <w:rFonts w:ascii="Times New Roman" w:hAnsi="Times New Roman"/>
                <w:sz w:val="20"/>
                <w:szCs w:val="20"/>
                <w:lang w:eastAsia="sk-SK"/>
              </w:rPr>
            </w:pPr>
            <w:r w:rsidRPr="00D00F18">
              <w:rPr>
                <w:rFonts w:ascii="Times New Roman" w:hAnsi="Times New Roman"/>
                <w:b/>
                <w:i/>
                <w:sz w:val="20"/>
                <w:szCs w:val="20"/>
                <w:lang w:eastAsia="sk-SK"/>
              </w:rPr>
              <w:t>Kvantifikujte</w:t>
            </w:r>
            <w:r w:rsidRPr="00D00F18">
              <w:rPr>
                <w:rFonts w:ascii="Times New Roman" w:hAnsi="Times New Roman"/>
                <w:i/>
                <w:sz w:val="20"/>
                <w:szCs w:val="20"/>
                <w:lang w:eastAsia="sk-SK"/>
              </w:rPr>
              <w:t xml:space="preserve"> rast príjmov alebo pokles výdavkov </w:t>
            </w:r>
            <w:r w:rsidRPr="00D00F18">
              <w:rPr>
                <w:rFonts w:ascii="Times New Roman" w:hAnsi="Times New Roman"/>
                <w:b/>
                <w:i/>
                <w:sz w:val="20"/>
                <w:szCs w:val="20"/>
                <w:lang w:eastAsia="sk-SK"/>
              </w:rPr>
              <w:t>za jednotlivé</w:t>
            </w:r>
            <w:r w:rsidRPr="00D00F18">
              <w:rPr>
                <w:rFonts w:ascii="Times New Roman" w:hAnsi="Times New Roman"/>
                <w:i/>
                <w:sz w:val="20"/>
                <w:szCs w:val="20"/>
                <w:lang w:eastAsia="sk-SK"/>
              </w:rPr>
              <w:t xml:space="preserve"> </w:t>
            </w:r>
            <w:r w:rsidRPr="00D00F18">
              <w:rPr>
                <w:rFonts w:ascii="Times New Roman" w:hAnsi="Times New Roman"/>
                <w:b/>
                <w:i/>
                <w:sz w:val="20"/>
                <w:szCs w:val="20"/>
                <w:lang w:eastAsia="sk-SK"/>
              </w:rPr>
              <w:t>ovplyvnené</w:t>
            </w:r>
            <w:r w:rsidRPr="00D00F18">
              <w:rPr>
                <w:rFonts w:ascii="Times New Roman" w:hAnsi="Times New Roman"/>
                <w:i/>
                <w:sz w:val="20"/>
                <w:szCs w:val="20"/>
                <w:lang w:eastAsia="sk-SK"/>
              </w:rPr>
              <w:t xml:space="preserve"> </w:t>
            </w:r>
            <w:r w:rsidRPr="00D00F18">
              <w:rPr>
                <w:rFonts w:ascii="Times New Roman" w:hAnsi="Times New Roman"/>
                <w:b/>
                <w:i/>
                <w:sz w:val="20"/>
                <w:szCs w:val="20"/>
                <w:lang w:eastAsia="sk-SK"/>
              </w:rPr>
              <w:t>skupiny</w:t>
            </w:r>
            <w:r w:rsidRPr="00D00F18">
              <w:rPr>
                <w:rFonts w:ascii="Times New Roman" w:hAnsi="Times New Roman"/>
                <w:i/>
                <w:sz w:val="20"/>
                <w:szCs w:val="20"/>
                <w:lang w:eastAsia="sk-SK"/>
              </w:rPr>
              <w:t xml:space="preserve"> domácností / skupiny jednotlivcov a počet obyvateľstva/domácností ovplyvnených predkladaným návrhom.</w:t>
            </w:r>
          </w:p>
        </w:tc>
      </w:tr>
      <w:tr w:rsidTr="00D00F18">
        <w:tblPrEx>
          <w:tblW w:w="5239" w:type="pct"/>
          <w:jc w:val="center"/>
          <w:tblLayout w:type="fixed"/>
          <w:tblCellMar>
            <w:left w:w="28" w:type="dxa"/>
            <w:right w:w="57" w:type="dxa"/>
          </w:tblCellMar>
          <w:tblLook w:val="04A0"/>
        </w:tblPrEx>
        <w:trPr>
          <w:trHeight w:val="680"/>
          <w:jc w:val="center"/>
        </w:trPr>
        <w:tc>
          <w:tcPr>
            <w:tcW w:w="129" w:type="pct"/>
            <w:vMerge w:val="restart"/>
            <w:tcBorders>
              <w:top w:val="dotted" w:sz="4" w:space="0" w:color="auto"/>
            </w:tcBorders>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e)</w:t>
            </w:r>
          </w:p>
        </w:tc>
        <w:tc>
          <w:tcPr>
            <w:tcW w:w="1642" w:type="pct"/>
            <w:tcBorders>
              <w:top w:val="dotted" w:sz="4" w:space="0" w:color="auto"/>
            </w:tcBorders>
            <w:shd w:val="clear" w:color="auto" w:fill="auto"/>
          </w:tcPr>
          <w:p w:rsidR="00D00F18" w:rsidRPr="00D00F18" w:rsidP="00AC2F0E">
            <w:pPr>
              <w:numPr>
                <w:ilvl w:val="0"/>
                <w:numId w:val="22"/>
              </w:numPr>
              <w:spacing w:after="0" w:line="240" w:lineRule="auto"/>
              <w:contextualSpacing/>
              <w:jc w:val="both"/>
              <w:rPr>
                <w:rFonts w:ascii="Times New Roman" w:hAnsi="Times New Roman"/>
                <w:i/>
                <w:sz w:val="18"/>
                <w:szCs w:val="20"/>
                <w:lang w:eastAsia="sk-SK"/>
              </w:rPr>
            </w:pPr>
            <w:r w:rsidRPr="00D00F18">
              <w:rPr>
                <w:rFonts w:ascii="Times New Roman" w:hAnsi="Times New Roman"/>
                <w:i/>
                <w:sz w:val="18"/>
                <w:szCs w:val="20"/>
                <w:lang w:eastAsia="sk-SK"/>
              </w:rPr>
              <w:t>priemerný rast príjmov/ pokles výdavkov v skupine v eurách a/alebo v % / obdobie:</w:t>
            </w:r>
          </w:p>
          <w:p w:rsidR="00D00F18" w:rsidRPr="00D00F18" w:rsidP="00AC2F0E">
            <w:pPr>
              <w:numPr>
                <w:ilvl w:val="0"/>
                <w:numId w:val="22"/>
              </w:numPr>
              <w:spacing w:after="0" w:line="240" w:lineRule="auto"/>
              <w:contextualSpacing/>
              <w:jc w:val="both"/>
              <w:rPr>
                <w:rFonts w:ascii="Times New Roman" w:hAnsi="Times New Roman"/>
                <w:i/>
                <w:sz w:val="20"/>
                <w:szCs w:val="20"/>
                <w:lang w:eastAsia="sk-SK"/>
              </w:rPr>
            </w:pPr>
            <w:r w:rsidRPr="00D00F18">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i/>
                <w:sz w:val="18"/>
                <w:szCs w:val="20"/>
                <w:lang w:eastAsia="sk-SK"/>
              </w:rPr>
              <w:t>Ovplyvnená skupina č. 1</w:t>
            </w:r>
          </w:p>
          <w:p w:rsidR="00D00F18" w:rsidRPr="00D00F18" w:rsidP="00D00F18">
            <w:pPr>
              <w:spacing w:after="0" w:line="240" w:lineRule="auto"/>
              <w:rPr>
                <w:rFonts w:ascii="Times New Roman" w:hAnsi="Times New Roman"/>
                <w:sz w:val="20"/>
                <w:szCs w:val="20"/>
                <w:lang w:eastAsia="sk-SK"/>
              </w:rPr>
            </w:pPr>
            <w:r w:rsidRPr="00D00F18">
              <w:rPr>
                <w:rFonts w:ascii="Times New Roman" w:hAnsi="Times New Roman"/>
                <w:sz w:val="18"/>
                <w:lang w:eastAsia="sk-SK"/>
              </w:rPr>
              <w:t>Bez vplyvu.</w:t>
            </w:r>
          </w:p>
        </w:tc>
      </w:tr>
      <w:tr w:rsidTr="00D00F18">
        <w:tblPrEx>
          <w:tblW w:w="5239" w:type="pct"/>
          <w:jc w:val="center"/>
          <w:tblLayout w:type="fixed"/>
          <w:tblCellMar>
            <w:left w:w="28" w:type="dxa"/>
            <w:right w:w="57" w:type="dxa"/>
          </w:tblCellMar>
          <w:tblLook w:val="04A0"/>
        </w:tblPrEx>
        <w:trPr>
          <w:trHeight w:val="680"/>
          <w:jc w:val="center"/>
        </w:trPr>
        <w:tc>
          <w:tcPr>
            <w:tcW w:w="129" w:type="pct"/>
            <w:vMerge/>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p>
        </w:tc>
        <w:tc>
          <w:tcPr>
            <w:tcW w:w="1642" w:type="pct"/>
            <w:shd w:val="clear" w:color="auto" w:fill="auto"/>
          </w:tcPr>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i/>
                <w:sz w:val="18"/>
                <w:szCs w:val="20"/>
                <w:lang w:eastAsia="sk-SK"/>
              </w:rPr>
              <w:t>Ovplyvnená skupina č. 3</w:t>
            </w:r>
          </w:p>
          <w:p w:rsidR="00D00F18" w:rsidRPr="00D00F18" w:rsidP="00D00F18">
            <w:pPr>
              <w:spacing w:after="0" w:line="240" w:lineRule="auto"/>
              <w:rPr>
                <w:rFonts w:ascii="Times New Roman" w:hAnsi="Times New Roman"/>
                <w:i/>
                <w:sz w:val="20"/>
                <w:szCs w:val="20"/>
                <w:lang w:eastAsia="sk-SK"/>
              </w:rPr>
            </w:pPr>
            <w:r w:rsidRPr="00D00F18">
              <w:rPr>
                <w:rFonts w:ascii="Times New Roman" w:hAnsi="Times New Roman"/>
                <w:sz w:val="18"/>
                <w:lang w:eastAsia="sk-SK"/>
              </w:rPr>
              <w:t>Bez vplyvu.</w:t>
            </w:r>
          </w:p>
        </w:tc>
        <w:tc>
          <w:tcPr>
            <w:tcW w:w="3229" w:type="pct"/>
            <w:tcBorders>
              <w:top w:val="dotted" w:sz="4" w:space="0" w:color="auto"/>
            </w:tcBorders>
            <w:shd w:val="clear" w:color="auto" w:fill="auto"/>
          </w:tcPr>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i/>
                <w:sz w:val="18"/>
                <w:szCs w:val="20"/>
                <w:lang w:eastAsia="sk-SK"/>
              </w:rPr>
              <w:t>Ovplyvnená skupina č. 2</w:t>
            </w:r>
          </w:p>
          <w:p w:rsidR="00D00F18" w:rsidRPr="00D00F18" w:rsidP="00D00F18">
            <w:pPr>
              <w:spacing w:after="0" w:line="240" w:lineRule="auto"/>
              <w:rPr>
                <w:rFonts w:ascii="Times New Roman" w:hAnsi="Times New Roman"/>
                <w:sz w:val="20"/>
                <w:szCs w:val="20"/>
                <w:lang w:eastAsia="sk-SK"/>
              </w:rPr>
            </w:pPr>
            <w:r w:rsidRPr="00D00F18">
              <w:rPr>
                <w:rFonts w:ascii="Times New Roman" w:hAnsi="Times New Roman"/>
                <w:sz w:val="18"/>
                <w:lang w:eastAsia="sk-SK"/>
              </w:rPr>
              <w:t>Bez vplyvu.</w:t>
            </w:r>
          </w:p>
        </w:tc>
      </w:tr>
      <w:tr w:rsidTr="00D00F18">
        <w:tblPrEx>
          <w:tblW w:w="5239" w:type="pct"/>
          <w:jc w:val="center"/>
          <w:tblLayout w:type="fixed"/>
          <w:tblCellMar>
            <w:left w:w="28" w:type="dxa"/>
            <w:right w:w="57" w:type="dxa"/>
          </w:tblCellMar>
          <w:tblLook w:val="04A0"/>
        </w:tblPrEx>
        <w:trPr>
          <w:trHeight w:val="397"/>
          <w:jc w:val="center"/>
        </w:trPr>
        <w:tc>
          <w:tcPr>
            <w:tcW w:w="129" w:type="pct"/>
            <w:tcBorders>
              <w:top w:val="dotted" w:sz="4" w:space="0" w:color="auto"/>
            </w:tcBorders>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f)</w:t>
            </w:r>
          </w:p>
        </w:tc>
        <w:tc>
          <w:tcPr>
            <w:tcW w:w="1642" w:type="pct"/>
            <w:tcBorders>
              <w:top w:val="dotted" w:sz="4" w:space="0" w:color="auto"/>
            </w:tcBorders>
            <w:shd w:val="clear" w:color="auto" w:fill="auto"/>
          </w:tcPr>
          <w:p w:rsidR="00D00F18" w:rsidRPr="00D00F18" w:rsidP="00D00F18">
            <w:pPr>
              <w:spacing w:after="0" w:line="240" w:lineRule="auto"/>
              <w:rPr>
                <w:rFonts w:ascii="Times New Roman" w:hAnsi="Times New Roman"/>
                <w:i/>
                <w:sz w:val="20"/>
                <w:szCs w:val="20"/>
                <w:lang w:eastAsia="sk-SK"/>
              </w:rPr>
            </w:pPr>
            <w:r w:rsidRPr="00D00F18">
              <w:rPr>
                <w:rFonts w:ascii="Times New Roman" w:hAnsi="Times New Roman"/>
                <w:i/>
                <w:sz w:val="20"/>
                <w:szCs w:val="20"/>
                <w:lang w:eastAsia="sk-SK"/>
              </w:rPr>
              <w:t>Dôvod chýbajúcej kvantifikácie:</w:t>
            </w:r>
          </w:p>
        </w:tc>
        <w:tc>
          <w:tcPr>
            <w:tcW w:w="3229" w:type="pct"/>
            <w:tcBorders>
              <w:top w:val="dotted" w:sz="4" w:space="0" w:color="auto"/>
            </w:tcBorders>
            <w:shd w:val="clear" w:color="auto" w:fill="auto"/>
          </w:tcPr>
          <w:p w:rsidR="00D00F18" w:rsidRPr="00D00F18" w:rsidP="00D00F18">
            <w:pPr>
              <w:spacing w:after="0" w:line="240" w:lineRule="auto"/>
              <w:rPr>
                <w:rFonts w:ascii="Times New Roman" w:hAnsi="Times New Roman"/>
                <w:sz w:val="20"/>
                <w:szCs w:val="20"/>
                <w:lang w:eastAsia="sk-SK"/>
              </w:rPr>
            </w:pPr>
            <w:r w:rsidRPr="00D00F18">
              <w:rPr>
                <w:rFonts w:ascii="Times New Roman" w:hAnsi="Times New Roman"/>
                <w:sz w:val="20"/>
                <w:szCs w:val="20"/>
                <w:lang w:eastAsia="sk-SK"/>
              </w:rPr>
              <w:t>Žiaden z dodávateľov nevyčíslil vplyv návrhu na cenu vody, preto nie je možné vplyvy kvantifikovať.</w:t>
            </w:r>
          </w:p>
        </w:tc>
      </w:tr>
      <w:tr w:rsidTr="00D00F18">
        <w:tblPrEx>
          <w:tblW w:w="5239" w:type="pct"/>
          <w:jc w:val="center"/>
          <w:tblLayout w:type="fixed"/>
          <w:tblCellMar>
            <w:left w:w="28" w:type="dxa"/>
            <w:right w:w="57" w:type="dxa"/>
          </w:tblCellMar>
          <w:tblLook w:val="04A0"/>
        </w:tblPrEx>
        <w:trPr>
          <w:trHeight w:val="170"/>
          <w:jc w:val="center"/>
        </w:trPr>
        <w:tc>
          <w:tcPr>
            <w:tcW w:w="129" w:type="pct"/>
            <w:tcBorders>
              <w:top w:val="nil"/>
              <w:bottom w:val="single" w:sz="4" w:space="0" w:color="auto"/>
            </w:tcBorders>
            <w:shd w:val="clear" w:color="auto" w:fill="F2F2F2"/>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D00F18" w:rsidRPr="00D00F18" w:rsidP="00D00F18">
            <w:pPr>
              <w:spacing w:after="0" w:line="240" w:lineRule="auto"/>
              <w:rPr>
                <w:rFonts w:ascii="Times New Roman" w:hAnsi="Times New Roman"/>
                <w:b/>
                <w:i/>
                <w:sz w:val="20"/>
                <w:szCs w:val="20"/>
                <w:lang w:eastAsia="sk-SK"/>
              </w:rPr>
            </w:pPr>
            <w:r w:rsidRPr="00D00F18">
              <w:rPr>
                <w:rFonts w:ascii="Times New Roman" w:hAnsi="Times New Roman"/>
                <w:b/>
                <w:i/>
                <w:sz w:val="20"/>
                <w:szCs w:val="20"/>
                <w:lang w:eastAsia="sk-SK"/>
              </w:rPr>
              <w:t>4.1.1.1</w:t>
            </w:r>
            <w:r w:rsidRPr="00D00F18">
              <w:rPr>
                <w:rFonts w:ascii="Times New Roman" w:hAnsi="Times New Roman"/>
                <w:i/>
                <w:sz w:val="20"/>
                <w:szCs w:val="20"/>
                <w:lang w:eastAsia="sk-SK"/>
              </w:rPr>
              <w:t xml:space="preserve"> </w:t>
            </w:r>
            <w:r w:rsidRPr="00D00F18">
              <w:rPr>
                <w:rFonts w:ascii="Times New Roman" w:hAnsi="Times New Roman"/>
                <w:b/>
                <w:i/>
                <w:sz w:val="20"/>
                <w:szCs w:val="20"/>
                <w:lang w:eastAsia="sk-SK"/>
              </w:rPr>
              <w:t>Z toho pozitívny vplyv na skupiny v riziku chudoby alebo sociálneho vylúčenia</w:t>
            </w:r>
          </w:p>
          <w:p w:rsidR="00D00F18" w:rsidRPr="00D00F18" w:rsidP="00D00F18">
            <w:pPr>
              <w:spacing w:after="0" w:line="240" w:lineRule="auto"/>
              <w:rPr>
                <w:rFonts w:ascii="Times New Roman" w:hAnsi="Times New Roman"/>
                <w:b/>
                <w:sz w:val="20"/>
                <w:szCs w:val="20"/>
                <w:lang w:eastAsia="sk-SK"/>
              </w:rPr>
            </w:pPr>
            <w:r w:rsidRPr="00D00F18">
              <w:rPr>
                <w:rFonts w:ascii="Times New Roman" w:hAnsi="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Tr="00D00F18">
        <w:tblPrEx>
          <w:tblW w:w="5239" w:type="pct"/>
          <w:jc w:val="center"/>
          <w:tblLayout w:type="fixed"/>
          <w:tblCellMar>
            <w:left w:w="28" w:type="dxa"/>
            <w:right w:w="57" w:type="dxa"/>
          </w:tblCellMar>
          <w:tblLook w:val="04A0"/>
        </w:tblPrEx>
        <w:trPr>
          <w:trHeight w:val="759"/>
          <w:jc w:val="center"/>
        </w:trPr>
        <w:tc>
          <w:tcPr>
            <w:tcW w:w="129" w:type="pct"/>
            <w:tcBorders>
              <w:top w:val="single" w:sz="4" w:space="0" w:color="auto"/>
              <w:bottom w:val="single" w:sz="4" w:space="0" w:color="auto"/>
            </w:tcBorders>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h)</w:t>
            </w:r>
          </w:p>
        </w:tc>
        <w:tc>
          <w:tcPr>
            <w:tcW w:w="1642" w:type="pct"/>
            <w:tcBorders>
              <w:top w:val="single" w:sz="4" w:space="0" w:color="auto"/>
              <w:bottom w:val="single" w:sz="4" w:space="0" w:color="auto"/>
            </w:tcBorders>
            <w:shd w:val="clear" w:color="auto" w:fill="auto"/>
          </w:tcPr>
          <w:p w:rsidR="00D00F18" w:rsidRPr="00D00F18" w:rsidP="00D00F18">
            <w:pPr>
              <w:spacing w:after="0" w:line="240" w:lineRule="auto"/>
              <w:jc w:val="both"/>
              <w:rPr>
                <w:rFonts w:ascii="Times New Roman" w:hAnsi="Times New Roman"/>
                <w:i/>
                <w:sz w:val="20"/>
                <w:szCs w:val="20"/>
                <w:lang w:eastAsia="sk-SK"/>
              </w:rPr>
            </w:pPr>
            <w:r w:rsidRPr="00D00F18">
              <w:rPr>
                <w:rFonts w:ascii="Times New Roman" w:hAnsi="Times New Roman"/>
                <w:b/>
                <w:i/>
                <w:sz w:val="20"/>
                <w:szCs w:val="20"/>
                <w:lang w:eastAsia="sk-SK"/>
              </w:rPr>
              <w:t xml:space="preserve">Popíšte </w:t>
            </w:r>
            <w:r w:rsidRPr="00D00F18">
              <w:rPr>
                <w:rFonts w:ascii="Times New Roman" w:hAnsi="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D00F18" w:rsidRPr="00D00F18" w:rsidP="00D00F18">
            <w:pPr>
              <w:spacing w:after="0" w:line="240" w:lineRule="auto"/>
              <w:rPr>
                <w:rFonts w:ascii="Times New Roman" w:hAnsi="Times New Roman"/>
                <w:sz w:val="20"/>
                <w:szCs w:val="20"/>
                <w:lang w:eastAsia="sk-SK"/>
              </w:rPr>
            </w:pPr>
            <w:r w:rsidRPr="00D00F18">
              <w:rPr>
                <w:rFonts w:ascii="Times New Roman" w:hAnsi="Times New Roman"/>
                <w:sz w:val="18"/>
                <w:lang w:eastAsia="sk-SK"/>
              </w:rPr>
              <w:t>Bez vplyvu.</w:t>
            </w:r>
          </w:p>
        </w:tc>
      </w:tr>
      <w:tr w:rsidTr="00D00F18">
        <w:tblPrEx>
          <w:tblW w:w="5239" w:type="pct"/>
          <w:jc w:val="center"/>
          <w:tblLayout w:type="fixed"/>
          <w:tblCellMar>
            <w:left w:w="28" w:type="dxa"/>
            <w:right w:w="57" w:type="dxa"/>
          </w:tblCellMar>
          <w:tblLook w:val="04A0"/>
        </w:tblPrEx>
        <w:trPr>
          <w:trHeight w:val="397"/>
          <w:jc w:val="center"/>
        </w:trPr>
        <w:tc>
          <w:tcPr>
            <w:tcW w:w="129" w:type="pct"/>
            <w:vMerge w:val="restart"/>
            <w:tcBorders>
              <w:top w:val="single" w:sz="4" w:space="0" w:color="auto"/>
            </w:tcBorders>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i)</w:t>
            </w:r>
          </w:p>
        </w:tc>
        <w:tc>
          <w:tcPr>
            <w:tcW w:w="1642" w:type="pct"/>
            <w:tcBorders>
              <w:top w:val="single" w:sz="4" w:space="0" w:color="auto"/>
            </w:tcBorders>
            <w:shd w:val="clear" w:color="auto" w:fill="auto"/>
          </w:tcPr>
          <w:p w:rsidR="00D00F18" w:rsidRPr="00D00F18" w:rsidP="00D00F18">
            <w:pPr>
              <w:spacing w:after="0" w:line="240" w:lineRule="auto"/>
              <w:rPr>
                <w:rFonts w:ascii="Times New Roman" w:hAnsi="Times New Roman"/>
                <w:i/>
                <w:sz w:val="20"/>
                <w:szCs w:val="20"/>
                <w:lang w:eastAsia="sk-SK"/>
              </w:rPr>
            </w:pPr>
            <w:r w:rsidRPr="00D00F18">
              <w:rPr>
                <w:rFonts w:ascii="Times New Roman" w:hAnsi="Times New Roman"/>
                <w:b/>
                <w:i/>
                <w:sz w:val="20"/>
                <w:szCs w:val="20"/>
                <w:lang w:eastAsia="sk-SK"/>
              </w:rPr>
              <w:t xml:space="preserve">Špecifikujte </w:t>
            </w:r>
            <w:r w:rsidRPr="00D00F18">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i/>
                <w:sz w:val="18"/>
                <w:szCs w:val="20"/>
                <w:lang w:eastAsia="sk-SK"/>
              </w:rPr>
              <w:t>Ovplyvnená skupina č. 1</w:t>
            </w:r>
          </w:p>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sz w:val="18"/>
                <w:lang w:eastAsia="sk-SK"/>
              </w:rPr>
              <w:t>Bez vplyvu.</w:t>
            </w:r>
          </w:p>
        </w:tc>
      </w:tr>
      <w:tr w:rsidTr="00D00F18">
        <w:tblPrEx>
          <w:tblW w:w="5239" w:type="pct"/>
          <w:jc w:val="center"/>
          <w:tblLayout w:type="fixed"/>
          <w:tblCellMar>
            <w:left w:w="28" w:type="dxa"/>
            <w:right w:w="57" w:type="dxa"/>
          </w:tblCellMar>
          <w:tblLook w:val="04A0"/>
        </w:tblPrEx>
        <w:trPr>
          <w:trHeight w:val="397"/>
          <w:jc w:val="center"/>
        </w:trPr>
        <w:tc>
          <w:tcPr>
            <w:tcW w:w="129" w:type="pct"/>
            <w:vMerge/>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p>
        </w:tc>
        <w:tc>
          <w:tcPr>
            <w:tcW w:w="1642" w:type="pct"/>
            <w:shd w:val="clear" w:color="auto" w:fill="auto"/>
          </w:tcPr>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i/>
                <w:sz w:val="18"/>
                <w:szCs w:val="20"/>
                <w:lang w:eastAsia="sk-SK"/>
              </w:rPr>
              <w:t>Ovplyvnená skupina č. 3</w:t>
            </w:r>
          </w:p>
          <w:p w:rsidR="00D00F18" w:rsidRPr="00D00F18" w:rsidP="00D00F18">
            <w:pPr>
              <w:spacing w:after="0" w:line="240" w:lineRule="auto"/>
              <w:rPr>
                <w:rFonts w:ascii="Times New Roman" w:hAnsi="Times New Roman"/>
                <w:i/>
                <w:sz w:val="20"/>
                <w:szCs w:val="20"/>
                <w:lang w:eastAsia="sk-SK"/>
              </w:rPr>
            </w:pPr>
            <w:r w:rsidRPr="00D00F18">
              <w:rPr>
                <w:rFonts w:ascii="Times New Roman" w:hAnsi="Times New Roman"/>
                <w:sz w:val="18"/>
                <w:lang w:eastAsia="sk-SK"/>
              </w:rPr>
              <w:t>Bez vplyvu.</w:t>
            </w:r>
          </w:p>
        </w:tc>
        <w:tc>
          <w:tcPr>
            <w:tcW w:w="3229" w:type="pct"/>
            <w:tcBorders>
              <w:top w:val="dotted" w:sz="4" w:space="0" w:color="auto"/>
            </w:tcBorders>
            <w:shd w:val="clear" w:color="auto" w:fill="auto"/>
          </w:tcPr>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i/>
                <w:sz w:val="18"/>
                <w:szCs w:val="20"/>
                <w:lang w:eastAsia="sk-SK"/>
              </w:rPr>
              <w:t>Ovplyvnená skupina č. 2</w:t>
            </w:r>
          </w:p>
          <w:p w:rsidR="00D00F18" w:rsidRPr="00D00F18" w:rsidP="00D00F18">
            <w:pPr>
              <w:spacing w:after="0" w:line="240" w:lineRule="auto"/>
              <w:rPr>
                <w:rFonts w:ascii="Times New Roman" w:hAnsi="Times New Roman"/>
                <w:sz w:val="20"/>
                <w:szCs w:val="20"/>
                <w:lang w:eastAsia="sk-SK"/>
              </w:rPr>
            </w:pPr>
            <w:r w:rsidRPr="00D00F18">
              <w:rPr>
                <w:rFonts w:ascii="Times New Roman" w:hAnsi="Times New Roman"/>
                <w:sz w:val="18"/>
                <w:lang w:eastAsia="sk-SK"/>
              </w:rPr>
              <w:t>Bez vplyvu.</w:t>
            </w:r>
          </w:p>
        </w:tc>
      </w:tr>
      <w:tr w:rsidTr="00D00F18">
        <w:tblPrEx>
          <w:tblW w:w="5239" w:type="pct"/>
          <w:jc w:val="center"/>
          <w:tblLayout w:type="fixed"/>
          <w:tblCellMar>
            <w:left w:w="28" w:type="dxa"/>
            <w:right w:w="57" w:type="dxa"/>
          </w:tblCellMar>
          <w:tblLook w:val="04A0"/>
        </w:tblPrEx>
        <w:trPr>
          <w:trHeight w:val="397"/>
          <w:jc w:val="center"/>
        </w:trPr>
        <w:tc>
          <w:tcPr>
            <w:tcW w:w="129" w:type="pct"/>
            <w:tcBorders>
              <w:top w:val="dotted" w:sz="4" w:space="0" w:color="auto"/>
            </w:tcBorders>
            <w:shd w:val="clear" w:color="auto" w:fill="F2F2F2"/>
            <w:vAlign w:val="center"/>
          </w:tcPr>
          <w:p w:rsidR="00D00F18" w:rsidRPr="00D00F18" w:rsidP="00D00F18">
            <w:pPr>
              <w:spacing w:after="0" w:line="240" w:lineRule="auto"/>
              <w:jc w:val="center"/>
              <w:rPr>
                <w:rFonts w:ascii="Times New Roman" w:hAnsi="Times New Roman"/>
                <w:sz w:val="18"/>
                <w:szCs w:val="18"/>
                <w:lang w:eastAsia="sk-SK"/>
              </w:rPr>
            </w:pPr>
            <w:r w:rsidRPr="00D00F18">
              <w:rPr>
                <w:rFonts w:ascii="Times New Roman" w:hAnsi="Times New Roman"/>
                <w:i/>
                <w:sz w:val="18"/>
                <w:szCs w:val="18"/>
                <w:lang w:eastAsia="sk-SK"/>
              </w:rPr>
              <w:t>j</w:t>
            </w:r>
            <w:r w:rsidRPr="00D00F18">
              <w:rPr>
                <w:rFonts w:ascii="Times New Roman" w:hAnsi="Times New Roman"/>
                <w:sz w:val="18"/>
                <w:szCs w:val="18"/>
                <w:lang w:eastAsia="sk-SK"/>
              </w:rPr>
              <w:t>)</w:t>
            </w:r>
          </w:p>
        </w:tc>
        <w:tc>
          <w:tcPr>
            <w:tcW w:w="4871" w:type="pct"/>
            <w:gridSpan w:val="2"/>
            <w:tcBorders>
              <w:top w:val="dotted" w:sz="4" w:space="0" w:color="auto"/>
            </w:tcBorders>
            <w:shd w:val="clear" w:color="auto" w:fill="F2F2F2"/>
          </w:tcPr>
          <w:p w:rsidR="00D00F18" w:rsidRPr="00D00F18" w:rsidP="00D00F18">
            <w:pPr>
              <w:spacing w:after="0" w:line="240" w:lineRule="auto"/>
              <w:rPr>
                <w:rFonts w:ascii="Times New Roman" w:hAnsi="Times New Roman"/>
                <w:i/>
                <w:sz w:val="20"/>
                <w:szCs w:val="20"/>
                <w:lang w:eastAsia="sk-SK"/>
              </w:rPr>
            </w:pPr>
            <w:r w:rsidRPr="00D00F18">
              <w:rPr>
                <w:rFonts w:ascii="Times New Roman" w:hAnsi="Times New Roman"/>
                <w:b/>
                <w:i/>
                <w:sz w:val="20"/>
                <w:szCs w:val="20"/>
                <w:lang w:eastAsia="sk-SK"/>
              </w:rPr>
              <w:t xml:space="preserve">Kvantifikujte </w:t>
            </w:r>
            <w:r w:rsidRPr="00D00F18">
              <w:rPr>
                <w:rFonts w:ascii="Times New Roman" w:hAnsi="Times New Roman"/>
                <w:i/>
                <w:sz w:val="20"/>
                <w:szCs w:val="20"/>
                <w:lang w:eastAsia="sk-SK"/>
              </w:rPr>
              <w:t xml:space="preserve">rast príjmov alebo pokles výdavkov </w:t>
            </w:r>
            <w:r w:rsidRPr="00D00F18">
              <w:rPr>
                <w:rFonts w:ascii="Times New Roman" w:hAnsi="Times New Roman"/>
                <w:b/>
                <w:i/>
                <w:sz w:val="20"/>
                <w:szCs w:val="20"/>
                <w:lang w:eastAsia="sk-SK"/>
              </w:rPr>
              <w:t>za jednotlivé ovplyvnené skupiny</w:t>
            </w:r>
            <w:r w:rsidRPr="00D00F18">
              <w:rPr>
                <w:rFonts w:ascii="Times New Roman" w:hAnsi="Times New Roman"/>
                <w:i/>
                <w:sz w:val="20"/>
                <w:szCs w:val="20"/>
                <w:lang w:eastAsia="sk-SK"/>
              </w:rPr>
              <w:t xml:space="preserve"> domácností / skupiny jednotlivcov a počet obyvateľstva/domácností ovplyvnených predkladaným návrhom.</w:t>
            </w:r>
          </w:p>
        </w:tc>
      </w:tr>
      <w:tr w:rsidTr="00D00F18">
        <w:tblPrEx>
          <w:tblW w:w="5239" w:type="pct"/>
          <w:jc w:val="center"/>
          <w:tblLayout w:type="fixed"/>
          <w:tblCellMar>
            <w:left w:w="28" w:type="dxa"/>
            <w:right w:w="57" w:type="dxa"/>
          </w:tblCellMar>
          <w:tblLook w:val="04A0"/>
        </w:tblPrEx>
        <w:trPr>
          <w:trHeight w:val="680"/>
          <w:jc w:val="center"/>
        </w:trPr>
        <w:tc>
          <w:tcPr>
            <w:tcW w:w="129" w:type="pct"/>
            <w:vMerge w:val="restart"/>
            <w:tcBorders>
              <w:top w:val="dotted" w:sz="4" w:space="0" w:color="auto"/>
            </w:tcBorders>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k)</w:t>
            </w:r>
          </w:p>
        </w:tc>
        <w:tc>
          <w:tcPr>
            <w:tcW w:w="1642" w:type="pct"/>
            <w:tcBorders>
              <w:top w:val="dotted" w:sz="4" w:space="0" w:color="auto"/>
            </w:tcBorders>
            <w:shd w:val="clear" w:color="auto" w:fill="auto"/>
          </w:tcPr>
          <w:p w:rsidR="00D00F18" w:rsidRPr="00D00F18" w:rsidP="00AC2F0E">
            <w:pPr>
              <w:numPr>
                <w:ilvl w:val="0"/>
                <w:numId w:val="22"/>
              </w:numPr>
              <w:spacing w:after="0" w:line="240" w:lineRule="auto"/>
              <w:contextualSpacing/>
              <w:rPr>
                <w:rFonts w:ascii="Times New Roman" w:hAnsi="Times New Roman"/>
                <w:i/>
                <w:sz w:val="18"/>
                <w:szCs w:val="20"/>
                <w:lang w:eastAsia="sk-SK"/>
              </w:rPr>
            </w:pPr>
            <w:r w:rsidRPr="00D00F18">
              <w:rPr>
                <w:rFonts w:ascii="Times New Roman" w:hAnsi="Times New Roman"/>
                <w:i/>
                <w:sz w:val="18"/>
                <w:szCs w:val="20"/>
                <w:lang w:eastAsia="sk-SK"/>
              </w:rPr>
              <w:t>priemerný rast príjmov/ pokles výdavkov v skupine v eurách a/alebo v % / obdobie:</w:t>
            </w:r>
          </w:p>
          <w:p w:rsidR="00D00F18" w:rsidRPr="00D00F18" w:rsidP="00AC2F0E">
            <w:pPr>
              <w:numPr>
                <w:ilvl w:val="0"/>
                <w:numId w:val="22"/>
              </w:numPr>
              <w:spacing w:after="0" w:line="240" w:lineRule="auto"/>
              <w:contextualSpacing/>
              <w:rPr>
                <w:rFonts w:ascii="Times New Roman" w:hAnsi="Times New Roman"/>
                <w:i/>
                <w:sz w:val="20"/>
                <w:szCs w:val="20"/>
                <w:lang w:eastAsia="sk-SK"/>
              </w:rPr>
            </w:pPr>
            <w:r w:rsidRPr="00D00F18">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i/>
                <w:sz w:val="18"/>
                <w:szCs w:val="20"/>
                <w:lang w:eastAsia="sk-SK"/>
              </w:rPr>
              <w:t>Ovplyvnená skupina č. 1</w:t>
            </w:r>
          </w:p>
          <w:p w:rsidR="00D00F18" w:rsidRPr="00D00F18" w:rsidP="00D00F18">
            <w:pPr>
              <w:spacing w:after="0" w:line="240" w:lineRule="auto"/>
              <w:rPr>
                <w:rFonts w:ascii="Times New Roman" w:hAnsi="Times New Roman"/>
                <w:sz w:val="20"/>
                <w:szCs w:val="20"/>
                <w:lang w:eastAsia="sk-SK"/>
              </w:rPr>
            </w:pPr>
            <w:r w:rsidRPr="00D00F18">
              <w:rPr>
                <w:rFonts w:ascii="Times New Roman" w:hAnsi="Times New Roman"/>
                <w:sz w:val="18"/>
                <w:lang w:eastAsia="sk-SK"/>
              </w:rPr>
              <w:t>Bez vplyvu.</w:t>
            </w:r>
          </w:p>
        </w:tc>
      </w:tr>
      <w:tr w:rsidTr="00D00F18">
        <w:tblPrEx>
          <w:tblW w:w="5239" w:type="pct"/>
          <w:jc w:val="center"/>
          <w:tblLayout w:type="fixed"/>
          <w:tblCellMar>
            <w:left w:w="28" w:type="dxa"/>
            <w:right w:w="57" w:type="dxa"/>
          </w:tblCellMar>
          <w:tblLook w:val="04A0"/>
        </w:tblPrEx>
        <w:trPr>
          <w:trHeight w:val="680"/>
          <w:jc w:val="center"/>
        </w:trPr>
        <w:tc>
          <w:tcPr>
            <w:tcW w:w="129" w:type="pct"/>
            <w:vMerge/>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p>
        </w:tc>
        <w:tc>
          <w:tcPr>
            <w:tcW w:w="1642" w:type="pct"/>
            <w:shd w:val="clear" w:color="auto" w:fill="auto"/>
          </w:tcPr>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i/>
                <w:sz w:val="18"/>
                <w:szCs w:val="20"/>
                <w:lang w:eastAsia="sk-SK"/>
              </w:rPr>
              <w:t>Ovplyvnená skupina č. 3</w:t>
            </w:r>
          </w:p>
          <w:p w:rsidR="00D00F18" w:rsidRPr="00D00F18" w:rsidP="00D00F18">
            <w:pPr>
              <w:spacing w:after="0" w:line="240" w:lineRule="auto"/>
              <w:rPr>
                <w:rFonts w:ascii="Times New Roman" w:hAnsi="Times New Roman"/>
                <w:i/>
                <w:sz w:val="20"/>
                <w:szCs w:val="20"/>
                <w:lang w:eastAsia="sk-SK"/>
              </w:rPr>
            </w:pPr>
            <w:r w:rsidRPr="00D00F18">
              <w:rPr>
                <w:rFonts w:ascii="Times New Roman" w:hAnsi="Times New Roman"/>
                <w:sz w:val="18"/>
                <w:lang w:eastAsia="sk-SK"/>
              </w:rPr>
              <w:t>Bez vplyvu.</w:t>
            </w:r>
          </w:p>
        </w:tc>
        <w:tc>
          <w:tcPr>
            <w:tcW w:w="3229" w:type="pct"/>
            <w:tcBorders>
              <w:top w:val="dotted" w:sz="4" w:space="0" w:color="auto"/>
            </w:tcBorders>
            <w:shd w:val="clear" w:color="auto" w:fill="auto"/>
          </w:tcPr>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i/>
                <w:sz w:val="18"/>
                <w:szCs w:val="20"/>
                <w:lang w:eastAsia="sk-SK"/>
              </w:rPr>
              <w:t>Ovplyvnená skupina č. 2</w:t>
            </w:r>
          </w:p>
          <w:p w:rsidR="00D00F18" w:rsidRPr="00D00F18" w:rsidP="00D00F18">
            <w:pPr>
              <w:spacing w:after="0" w:line="240" w:lineRule="auto"/>
              <w:rPr>
                <w:rFonts w:ascii="Times New Roman" w:hAnsi="Times New Roman"/>
                <w:sz w:val="20"/>
                <w:szCs w:val="20"/>
                <w:lang w:eastAsia="sk-SK"/>
              </w:rPr>
            </w:pPr>
            <w:r w:rsidRPr="00D00F18">
              <w:rPr>
                <w:rFonts w:ascii="Times New Roman" w:hAnsi="Times New Roman"/>
                <w:sz w:val="18"/>
                <w:lang w:eastAsia="sk-SK"/>
              </w:rPr>
              <w:t>Bez vplyvu.</w:t>
            </w:r>
          </w:p>
        </w:tc>
      </w:tr>
      <w:tr w:rsidTr="00D00F18">
        <w:tblPrEx>
          <w:tblW w:w="5239" w:type="pct"/>
          <w:jc w:val="center"/>
          <w:tblLayout w:type="fixed"/>
          <w:tblCellMar>
            <w:left w:w="28" w:type="dxa"/>
            <w:right w:w="57" w:type="dxa"/>
          </w:tblCellMar>
          <w:tblLook w:val="04A0"/>
        </w:tblPrEx>
        <w:trPr>
          <w:trHeight w:val="350"/>
          <w:jc w:val="center"/>
        </w:trPr>
        <w:tc>
          <w:tcPr>
            <w:tcW w:w="129" w:type="pct"/>
            <w:tcBorders>
              <w:top w:val="dotted" w:sz="4" w:space="0" w:color="auto"/>
              <w:bottom w:val="single" w:sz="4" w:space="0" w:color="auto"/>
            </w:tcBorders>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l)</w:t>
            </w:r>
          </w:p>
        </w:tc>
        <w:tc>
          <w:tcPr>
            <w:tcW w:w="1642" w:type="pct"/>
            <w:tcBorders>
              <w:top w:val="dotted" w:sz="4" w:space="0" w:color="auto"/>
              <w:bottom w:val="single" w:sz="4" w:space="0" w:color="auto"/>
            </w:tcBorders>
            <w:shd w:val="clear" w:color="auto" w:fill="auto"/>
          </w:tcPr>
          <w:p w:rsidR="00D00F18" w:rsidRPr="00D00F18" w:rsidP="00D00F18">
            <w:pPr>
              <w:spacing w:after="0" w:line="240" w:lineRule="auto"/>
              <w:rPr>
                <w:rFonts w:ascii="Times New Roman" w:hAnsi="Times New Roman"/>
                <w:i/>
                <w:sz w:val="20"/>
                <w:szCs w:val="20"/>
                <w:lang w:eastAsia="sk-SK"/>
              </w:rPr>
            </w:pPr>
            <w:r w:rsidRPr="00D00F18">
              <w:rPr>
                <w:rFonts w:ascii="Times New Roman" w:hAnsi="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D00F18" w:rsidRPr="00D00F18" w:rsidP="00D00F18">
            <w:pPr>
              <w:spacing w:after="0" w:line="240" w:lineRule="auto"/>
              <w:rPr>
                <w:rFonts w:ascii="Times New Roman" w:hAnsi="Times New Roman"/>
                <w:sz w:val="20"/>
                <w:szCs w:val="20"/>
                <w:lang w:eastAsia="sk-SK"/>
              </w:rPr>
            </w:pPr>
            <w:r w:rsidRPr="00D00F18">
              <w:rPr>
                <w:rFonts w:ascii="Times New Roman" w:hAnsi="Times New Roman"/>
                <w:sz w:val="20"/>
                <w:szCs w:val="20"/>
                <w:lang w:eastAsia="sk-SK"/>
              </w:rPr>
              <w:t>Žiaden z dodávateľov nevyčíslil vplyv návrhu na cenu vody, preto nie je možné vplyvy kvantifikovať.</w:t>
            </w:r>
          </w:p>
          <w:p w:rsidR="00D00F18" w:rsidRPr="00D00F18" w:rsidP="00D00F18">
            <w:pPr>
              <w:spacing w:after="0" w:line="240" w:lineRule="auto"/>
              <w:rPr>
                <w:rFonts w:ascii="Times New Roman" w:hAnsi="Times New Roman"/>
                <w:sz w:val="20"/>
                <w:szCs w:val="20"/>
                <w:lang w:eastAsia="sk-SK"/>
              </w:rPr>
            </w:pPr>
          </w:p>
        </w:tc>
      </w:tr>
      <w:tr w:rsidTr="00D00F18">
        <w:tblPrEx>
          <w:tblW w:w="5239" w:type="pct"/>
          <w:jc w:val="center"/>
          <w:tblLayout w:type="fixed"/>
          <w:tblCellMar>
            <w:left w:w="28" w:type="dxa"/>
            <w:right w:w="57" w:type="dxa"/>
          </w:tblCellMar>
          <w:tblLook w:val="04A0"/>
        </w:tblPrEx>
        <w:trPr>
          <w:trHeight w:val="170"/>
          <w:jc w:val="center"/>
        </w:trPr>
        <w:tc>
          <w:tcPr>
            <w:tcW w:w="129" w:type="pct"/>
            <w:tcBorders>
              <w:top w:val="single" w:sz="4" w:space="0" w:color="auto"/>
              <w:bottom w:val="single" w:sz="4" w:space="0" w:color="auto"/>
            </w:tcBorders>
            <w:shd w:val="clear" w:color="auto" w:fill="DDDDDD"/>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D00F18" w:rsidRPr="00D00F18" w:rsidP="00D00F18">
            <w:pPr>
              <w:spacing w:after="0" w:line="240" w:lineRule="auto"/>
              <w:jc w:val="center"/>
              <w:rPr>
                <w:rFonts w:ascii="Times New Roman" w:hAnsi="Times New Roman"/>
                <w:b/>
                <w:sz w:val="20"/>
                <w:szCs w:val="20"/>
                <w:lang w:eastAsia="sk-SK"/>
              </w:rPr>
            </w:pPr>
            <w:r w:rsidRPr="00D00F18">
              <w:rPr>
                <w:rFonts w:ascii="Times New Roman" w:hAnsi="Times New Roman"/>
                <w:b/>
                <w:i/>
                <w:sz w:val="20"/>
                <w:szCs w:val="20"/>
                <w:lang w:eastAsia="sk-SK"/>
              </w:rPr>
              <w:t>4.1.2 Negatívny vplyv</w:t>
            </w:r>
          </w:p>
        </w:tc>
      </w:tr>
      <w:tr w:rsidTr="00D00F18">
        <w:tblPrEx>
          <w:tblW w:w="5239" w:type="pct"/>
          <w:jc w:val="center"/>
          <w:tblLayout w:type="fixed"/>
          <w:tblCellMar>
            <w:left w:w="28" w:type="dxa"/>
            <w:right w:w="57" w:type="dxa"/>
          </w:tblCellMar>
          <w:tblLook w:val="04A0"/>
        </w:tblPrEx>
        <w:trPr>
          <w:trHeight w:val="759"/>
          <w:jc w:val="center"/>
        </w:trPr>
        <w:tc>
          <w:tcPr>
            <w:tcW w:w="129" w:type="pct"/>
            <w:tcBorders>
              <w:top w:val="single" w:sz="4" w:space="0" w:color="auto"/>
              <w:bottom w:val="single" w:sz="4" w:space="0" w:color="auto"/>
            </w:tcBorders>
            <w:shd w:val="clear" w:color="auto" w:fill="auto"/>
            <w:vAlign w:val="center"/>
          </w:tcPr>
          <w:p w:rsidR="00D00F18" w:rsidRPr="00D00F18" w:rsidP="00D00F18">
            <w:pPr>
              <w:spacing w:after="0" w:line="240" w:lineRule="auto"/>
              <w:contextualSpacing/>
              <w:jc w:val="center"/>
              <w:rPr>
                <w:rFonts w:ascii="Times New Roman" w:hAnsi="Times New Roman"/>
                <w:i/>
                <w:sz w:val="18"/>
                <w:szCs w:val="18"/>
                <w:lang w:eastAsia="sk-SK"/>
              </w:rPr>
            </w:pPr>
            <w:r w:rsidRPr="00D00F18">
              <w:rPr>
                <w:rFonts w:ascii="Times New Roman" w:hAnsi="Times New Roman"/>
                <w:i/>
                <w:sz w:val="18"/>
                <w:szCs w:val="18"/>
                <w:lang w:eastAsia="sk-SK"/>
              </w:rPr>
              <w:t>b)</w:t>
            </w:r>
          </w:p>
          <w:p w:rsidR="00D00F18" w:rsidRPr="00D00F18" w:rsidP="00D00F18">
            <w:pPr>
              <w:spacing w:after="0" w:line="240" w:lineRule="auto"/>
              <w:ind w:left="360"/>
              <w:contextualSpacing/>
              <w:jc w:val="center"/>
              <w:rPr>
                <w:rFonts w:ascii="Times New Roman" w:hAnsi="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D00F18" w:rsidRPr="00D00F18" w:rsidP="00D00F18">
            <w:pPr>
              <w:spacing w:after="0" w:line="240" w:lineRule="auto"/>
              <w:jc w:val="both"/>
              <w:rPr>
                <w:rFonts w:ascii="Times New Roman" w:hAnsi="Times New Roman"/>
                <w:i/>
                <w:sz w:val="20"/>
                <w:szCs w:val="20"/>
                <w:lang w:eastAsia="sk-SK"/>
              </w:rPr>
            </w:pPr>
            <w:r w:rsidRPr="00D00F18">
              <w:rPr>
                <w:rFonts w:ascii="Times New Roman" w:hAnsi="Times New Roman"/>
                <w:b/>
                <w:i/>
                <w:sz w:val="20"/>
                <w:szCs w:val="20"/>
                <w:lang w:eastAsia="sk-SK"/>
              </w:rPr>
              <w:t xml:space="preserve">Popíšte </w:t>
            </w:r>
            <w:r w:rsidRPr="00D00F18">
              <w:rPr>
                <w:rFonts w:ascii="Times New Roman" w:hAnsi="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D00F18" w:rsidRPr="00D00F18" w:rsidP="00D00F18">
            <w:pPr>
              <w:spacing w:after="0" w:line="240" w:lineRule="auto"/>
              <w:contextualSpacing/>
              <w:jc w:val="both"/>
              <w:rPr>
                <w:rFonts w:ascii="Times New Roman" w:hAnsi="Times New Roman"/>
                <w:sz w:val="20"/>
                <w:szCs w:val="20"/>
                <w:lang w:eastAsia="sk-SK"/>
              </w:rPr>
            </w:pPr>
            <w:r w:rsidRPr="00D00F18">
              <w:rPr>
                <w:rFonts w:ascii="Times New Roman" w:hAnsi="Times New Roman"/>
                <w:sz w:val="20"/>
                <w:szCs w:val="20"/>
                <w:lang w:eastAsia="sk-SK"/>
              </w:rPr>
              <w:t xml:space="preserve">Negatívny vplyv môže mať zvýšenie ceny za pitnú vodu v dôsledku zavedenia nových požiadaviek </w:t>
            </w:r>
            <w:r w:rsidRPr="00D00F18">
              <w:rPr>
                <w:rFonts w:ascii="Times New Roman" w:hAnsi="Times New Roman"/>
                <w:sz w:val="20"/>
                <w:szCs w:val="20"/>
              </w:rPr>
              <w:t xml:space="preserve">smernice (EÚ) 2020/2184 </w:t>
            </w:r>
            <w:r w:rsidRPr="00D00F18">
              <w:rPr>
                <w:rFonts w:ascii="Times New Roman" w:hAnsi="Times New Roman"/>
                <w:sz w:val="20"/>
                <w:szCs w:val="20"/>
                <w:lang w:eastAsia="sk-SK"/>
              </w:rPr>
              <w:t xml:space="preserve">dodávateľmi pitnej vody, čo môže viesť k zvýšeniu ceny pitnej vody. </w:t>
            </w:r>
          </w:p>
          <w:p w:rsidR="00D00F18" w:rsidRPr="00D00F18" w:rsidP="00D00F18">
            <w:pPr>
              <w:spacing w:after="0" w:line="240" w:lineRule="auto"/>
              <w:contextualSpacing/>
              <w:jc w:val="both"/>
              <w:rPr>
                <w:rFonts w:ascii="Times New Roman" w:hAnsi="Times New Roman"/>
                <w:sz w:val="20"/>
                <w:szCs w:val="20"/>
                <w:lang w:eastAsia="sk-SK"/>
              </w:rPr>
            </w:pPr>
          </w:p>
          <w:p w:rsidR="00D00F18" w:rsidRPr="00D00F18" w:rsidP="00D00F18">
            <w:pPr>
              <w:spacing w:after="0" w:line="240" w:lineRule="auto"/>
              <w:contextualSpacing/>
              <w:jc w:val="both"/>
              <w:rPr>
                <w:rFonts w:ascii="Times New Roman" w:hAnsi="Times New Roman"/>
                <w:sz w:val="20"/>
                <w:szCs w:val="20"/>
                <w:lang w:eastAsia="sk-SK"/>
              </w:rPr>
            </w:pPr>
            <w:r w:rsidRPr="00D00F18">
              <w:rPr>
                <w:rFonts w:ascii="Times New Roman" w:hAnsi="Times New Roman"/>
                <w:sz w:val="20"/>
                <w:szCs w:val="20"/>
                <w:lang w:eastAsia="sk-SK"/>
              </w:rPr>
              <w:t>Východiská pre negatívny vplyv:</w:t>
            </w:r>
          </w:p>
          <w:p w:rsidR="00D00F18" w:rsidRPr="00D00F18" w:rsidP="00AC2F0E">
            <w:pPr>
              <w:numPr>
                <w:ilvl w:val="0"/>
                <w:numId w:val="30"/>
              </w:numPr>
              <w:spacing w:after="0" w:line="240" w:lineRule="auto"/>
              <w:contextualSpacing/>
              <w:jc w:val="both"/>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 xml:space="preserve">dotkne sa cca 600-tisíc osôb, žijúcich pod hranicou príjmovej chudoby vyše </w:t>
            </w:r>
          </w:p>
          <w:p w:rsidR="00D00F18" w:rsidRPr="00D00F18" w:rsidP="00AC2F0E">
            <w:pPr>
              <w:numPr>
                <w:ilvl w:val="0"/>
                <w:numId w:val="30"/>
              </w:numPr>
              <w:spacing w:after="0" w:line="240" w:lineRule="auto"/>
              <w:contextualSpacing/>
              <w:jc w:val="both"/>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predpokladaná  spotreba pitnej vody 80 l/osoba/deň; štvorčlenná rodinná = 320 l/osoba/deň = 115,2 m</w:t>
            </w:r>
            <w:r w:rsidRPr="00D00F18">
              <w:rPr>
                <w:rFonts w:ascii="Times New Roman" w:eastAsia="Times New Roman" w:hAnsi="Times New Roman"/>
                <w:sz w:val="20"/>
                <w:szCs w:val="20"/>
                <w:vertAlign w:val="superscript"/>
                <w:lang w:eastAsia="sk-SK"/>
              </w:rPr>
              <w:t>3</w:t>
            </w:r>
            <w:r w:rsidRPr="00D00F18">
              <w:rPr>
                <w:rFonts w:ascii="Times New Roman" w:eastAsia="Times New Roman" w:hAnsi="Times New Roman"/>
                <w:sz w:val="20"/>
                <w:szCs w:val="20"/>
                <w:lang w:eastAsia="sk-SK"/>
              </w:rPr>
              <w:t xml:space="preserve">/4 osoby/rok </w:t>
            </w:r>
          </w:p>
          <w:p w:rsidR="00D00F18" w:rsidRPr="00D00F18" w:rsidP="00AC2F0E">
            <w:pPr>
              <w:numPr>
                <w:ilvl w:val="0"/>
                <w:numId w:val="30"/>
              </w:numPr>
              <w:spacing w:after="0" w:line="240" w:lineRule="auto"/>
              <w:contextualSpacing/>
              <w:jc w:val="both"/>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max. cena vody za m</w:t>
            </w:r>
            <w:r w:rsidRPr="00D00F18">
              <w:rPr>
                <w:rFonts w:ascii="Times New Roman" w:eastAsia="Times New Roman" w:hAnsi="Times New Roman"/>
                <w:sz w:val="20"/>
                <w:szCs w:val="20"/>
                <w:vertAlign w:val="superscript"/>
                <w:lang w:eastAsia="sk-SK"/>
              </w:rPr>
              <w:t xml:space="preserve">3 </w:t>
            </w:r>
            <w:r w:rsidRPr="00D00F18">
              <w:rPr>
                <w:rFonts w:ascii="Times New Roman" w:eastAsia="Times New Roman" w:hAnsi="Times New Roman"/>
                <w:sz w:val="20"/>
                <w:szCs w:val="20"/>
                <w:lang w:eastAsia="sk-SK"/>
              </w:rPr>
              <w:t>– 1,5 Eur</w:t>
            </w:r>
          </w:p>
          <w:p w:rsidR="00D00F18" w:rsidRPr="00D00F18" w:rsidP="00AC2F0E">
            <w:pPr>
              <w:numPr>
                <w:ilvl w:val="0"/>
                <w:numId w:val="30"/>
              </w:numPr>
              <w:spacing w:after="0" w:line="240" w:lineRule="auto"/>
              <w:contextualSpacing/>
              <w:jc w:val="both"/>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predpoklad navýšenia ceny vodného v dôsledku nových povinnosti smernice (EK) č. 2020/2184 o 2 až 20 % (rok 2018) za rok = 117,5 až 138,24 m</w:t>
            </w:r>
            <w:r w:rsidRPr="00D00F18">
              <w:rPr>
                <w:rFonts w:ascii="Times New Roman" w:eastAsia="Times New Roman" w:hAnsi="Times New Roman"/>
                <w:sz w:val="20"/>
                <w:szCs w:val="20"/>
                <w:vertAlign w:val="superscript"/>
                <w:lang w:eastAsia="sk-SK"/>
              </w:rPr>
              <w:t>3</w:t>
            </w:r>
            <w:r w:rsidRPr="00D00F18">
              <w:rPr>
                <w:rFonts w:ascii="Times New Roman" w:eastAsia="Times New Roman" w:hAnsi="Times New Roman"/>
                <w:sz w:val="20"/>
                <w:szCs w:val="20"/>
                <w:lang w:eastAsia="sk-SK"/>
              </w:rPr>
              <w:t>/4 osoby/rok</w:t>
            </w:r>
          </w:p>
        </w:tc>
      </w:tr>
      <w:tr w:rsidTr="00D00F18">
        <w:tblPrEx>
          <w:tblW w:w="5239" w:type="pct"/>
          <w:jc w:val="center"/>
          <w:tblLayout w:type="fixed"/>
          <w:tblCellMar>
            <w:left w:w="28" w:type="dxa"/>
            <w:right w:w="57" w:type="dxa"/>
          </w:tblCellMar>
          <w:tblLook w:val="04A0"/>
        </w:tblPrEx>
        <w:trPr>
          <w:trHeight w:val="397"/>
          <w:jc w:val="center"/>
        </w:trPr>
        <w:tc>
          <w:tcPr>
            <w:tcW w:w="129" w:type="pct"/>
            <w:tcBorders>
              <w:top w:val="single" w:sz="4" w:space="0" w:color="auto"/>
            </w:tcBorders>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c)</w:t>
            </w:r>
          </w:p>
        </w:tc>
        <w:tc>
          <w:tcPr>
            <w:tcW w:w="1642" w:type="pct"/>
            <w:tcBorders>
              <w:top w:val="single" w:sz="4" w:space="0" w:color="auto"/>
            </w:tcBorders>
            <w:shd w:val="clear" w:color="auto" w:fill="auto"/>
          </w:tcPr>
          <w:p w:rsidR="00D00F18" w:rsidRPr="00D00F18" w:rsidP="00D00F18">
            <w:pPr>
              <w:spacing w:after="0" w:line="240" w:lineRule="auto"/>
              <w:rPr>
                <w:rFonts w:ascii="Times New Roman" w:hAnsi="Times New Roman"/>
                <w:i/>
                <w:sz w:val="20"/>
                <w:szCs w:val="20"/>
                <w:lang w:eastAsia="sk-SK"/>
              </w:rPr>
            </w:pPr>
            <w:r w:rsidRPr="00D00F18">
              <w:rPr>
                <w:rFonts w:ascii="Times New Roman" w:hAnsi="Times New Roman"/>
                <w:b/>
                <w:i/>
                <w:sz w:val="20"/>
                <w:szCs w:val="20"/>
                <w:lang w:eastAsia="sk-SK"/>
              </w:rPr>
              <w:t>Špecifikujte</w:t>
            </w:r>
            <w:r w:rsidRPr="00D00F18">
              <w:rPr>
                <w:rFonts w:ascii="Times New Roman" w:hAnsi="Times New Roman"/>
                <w:i/>
                <w:sz w:val="20"/>
                <w:szCs w:val="20"/>
                <w:lang w:eastAsia="sk-SK"/>
              </w:rPr>
              <w:t xml:space="preserve"> ovplyvnené skupiny:</w:t>
            </w:r>
          </w:p>
        </w:tc>
        <w:tc>
          <w:tcPr>
            <w:tcW w:w="3229" w:type="pct"/>
            <w:tcBorders>
              <w:top w:val="single" w:sz="4" w:space="0" w:color="auto"/>
            </w:tcBorders>
            <w:shd w:val="clear" w:color="auto" w:fill="auto"/>
          </w:tcPr>
          <w:p w:rsidR="00D00F18" w:rsidRPr="00D00F18" w:rsidP="00D00F18">
            <w:pPr>
              <w:spacing w:after="0" w:line="240" w:lineRule="auto"/>
              <w:rPr>
                <w:rFonts w:ascii="Times New Roman" w:hAnsi="Times New Roman"/>
                <w:iCs/>
                <w:sz w:val="20"/>
                <w:szCs w:val="20"/>
                <w:lang w:eastAsia="sk-SK"/>
              </w:rPr>
            </w:pPr>
            <w:r w:rsidRPr="00D00F18">
              <w:rPr>
                <w:rFonts w:ascii="Times New Roman" w:hAnsi="Times New Roman"/>
                <w:iCs/>
                <w:sz w:val="18"/>
                <w:szCs w:val="20"/>
                <w:lang w:eastAsia="sk-SK"/>
              </w:rPr>
              <w:t>Všetkých zásobovaných obyvateľov sa dotkne v rovnakej miere. Vzhľadom na to, že žiaden z dodávateľov nevyčíslil vplyv návrhu na cenu vody, nie je možné vplyvy kvantifikovať</w:t>
            </w:r>
          </w:p>
        </w:tc>
      </w:tr>
      <w:tr w:rsidTr="00D00F18">
        <w:tblPrEx>
          <w:tblW w:w="5239" w:type="pct"/>
          <w:jc w:val="center"/>
          <w:tblLayout w:type="fixed"/>
          <w:tblCellMar>
            <w:left w:w="28" w:type="dxa"/>
            <w:right w:w="57" w:type="dxa"/>
          </w:tblCellMar>
          <w:tblLook w:val="04A0"/>
        </w:tblPrEx>
        <w:trPr>
          <w:trHeight w:val="397"/>
          <w:jc w:val="center"/>
        </w:trPr>
        <w:tc>
          <w:tcPr>
            <w:tcW w:w="129" w:type="pct"/>
            <w:tcBorders>
              <w:top w:val="single" w:sz="4" w:space="0" w:color="auto"/>
            </w:tcBorders>
            <w:shd w:val="clear" w:color="auto" w:fill="F2F2F2"/>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d)</w:t>
            </w:r>
          </w:p>
        </w:tc>
        <w:tc>
          <w:tcPr>
            <w:tcW w:w="4871" w:type="pct"/>
            <w:gridSpan w:val="2"/>
            <w:tcBorders>
              <w:top w:val="single" w:sz="4" w:space="0" w:color="auto"/>
            </w:tcBorders>
            <w:shd w:val="clear" w:color="auto" w:fill="F2F2F2"/>
            <w:vAlign w:val="center"/>
          </w:tcPr>
          <w:p w:rsidR="00D00F18" w:rsidRPr="00D00F18" w:rsidP="00D00F18">
            <w:pPr>
              <w:spacing w:after="0" w:line="240" w:lineRule="auto"/>
              <w:rPr>
                <w:rFonts w:ascii="Times New Roman" w:hAnsi="Times New Roman"/>
                <w:sz w:val="20"/>
                <w:szCs w:val="20"/>
                <w:lang w:eastAsia="sk-SK"/>
              </w:rPr>
            </w:pPr>
            <w:r w:rsidRPr="00D00F18">
              <w:rPr>
                <w:rFonts w:ascii="Times New Roman" w:hAnsi="Times New Roman"/>
                <w:b/>
                <w:i/>
                <w:sz w:val="20"/>
                <w:szCs w:val="20"/>
                <w:lang w:eastAsia="sk-SK"/>
              </w:rPr>
              <w:t>Kvantifikujte</w:t>
            </w:r>
            <w:r w:rsidRPr="00D00F18">
              <w:rPr>
                <w:rFonts w:ascii="Times New Roman" w:hAnsi="Times New Roman"/>
                <w:i/>
                <w:sz w:val="20"/>
                <w:szCs w:val="20"/>
                <w:lang w:eastAsia="sk-SK"/>
              </w:rPr>
              <w:t xml:space="preserve"> pokles príjmov alebo rast výdavkov </w:t>
            </w:r>
            <w:r w:rsidRPr="00D00F18">
              <w:rPr>
                <w:rFonts w:ascii="Times New Roman" w:hAnsi="Times New Roman"/>
                <w:b/>
                <w:i/>
                <w:sz w:val="20"/>
                <w:szCs w:val="20"/>
                <w:lang w:eastAsia="sk-SK"/>
              </w:rPr>
              <w:t>za jednotlivé</w:t>
            </w:r>
            <w:r w:rsidRPr="00D00F18">
              <w:rPr>
                <w:rFonts w:ascii="Times New Roman" w:hAnsi="Times New Roman"/>
                <w:i/>
                <w:sz w:val="20"/>
                <w:szCs w:val="20"/>
                <w:lang w:eastAsia="sk-SK"/>
              </w:rPr>
              <w:t xml:space="preserve"> </w:t>
            </w:r>
            <w:r w:rsidRPr="00D00F18">
              <w:rPr>
                <w:rFonts w:ascii="Times New Roman" w:hAnsi="Times New Roman"/>
                <w:b/>
                <w:i/>
                <w:sz w:val="20"/>
                <w:szCs w:val="20"/>
                <w:lang w:eastAsia="sk-SK"/>
              </w:rPr>
              <w:t>ovplyvnené</w:t>
            </w:r>
            <w:r w:rsidRPr="00D00F18">
              <w:rPr>
                <w:rFonts w:ascii="Times New Roman" w:hAnsi="Times New Roman"/>
                <w:i/>
                <w:sz w:val="20"/>
                <w:szCs w:val="20"/>
                <w:lang w:eastAsia="sk-SK"/>
              </w:rPr>
              <w:t xml:space="preserve"> </w:t>
            </w:r>
            <w:r w:rsidRPr="00D00F18">
              <w:rPr>
                <w:rFonts w:ascii="Times New Roman" w:hAnsi="Times New Roman"/>
                <w:b/>
                <w:i/>
                <w:sz w:val="20"/>
                <w:szCs w:val="20"/>
                <w:lang w:eastAsia="sk-SK"/>
              </w:rPr>
              <w:t>skupiny</w:t>
            </w:r>
            <w:r w:rsidRPr="00D00F18">
              <w:rPr>
                <w:rFonts w:ascii="Times New Roman" w:hAnsi="Times New Roman"/>
                <w:i/>
                <w:sz w:val="20"/>
                <w:szCs w:val="20"/>
                <w:lang w:eastAsia="sk-SK"/>
              </w:rPr>
              <w:t xml:space="preserve"> domácností / skupiny jednotlivcov a počet obyvateľstva/domácností ovplyvnených predkladaným návrhom.</w:t>
            </w:r>
          </w:p>
        </w:tc>
      </w:tr>
      <w:tr w:rsidTr="00D00F18">
        <w:tblPrEx>
          <w:tblW w:w="5239" w:type="pct"/>
          <w:jc w:val="center"/>
          <w:tblLayout w:type="fixed"/>
          <w:tblCellMar>
            <w:left w:w="28" w:type="dxa"/>
            <w:right w:w="57" w:type="dxa"/>
          </w:tblCellMar>
          <w:tblLook w:val="04A0"/>
        </w:tblPrEx>
        <w:trPr>
          <w:trHeight w:val="680"/>
          <w:jc w:val="center"/>
        </w:trPr>
        <w:tc>
          <w:tcPr>
            <w:tcW w:w="129" w:type="pct"/>
            <w:vMerge w:val="restart"/>
            <w:tcBorders>
              <w:top w:val="dotted" w:sz="4" w:space="0" w:color="auto"/>
            </w:tcBorders>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e)</w:t>
            </w:r>
          </w:p>
        </w:tc>
        <w:tc>
          <w:tcPr>
            <w:tcW w:w="1642" w:type="pct"/>
            <w:tcBorders>
              <w:top w:val="dotted" w:sz="4" w:space="0" w:color="auto"/>
            </w:tcBorders>
            <w:shd w:val="clear" w:color="auto" w:fill="auto"/>
          </w:tcPr>
          <w:p w:rsidR="00D00F18" w:rsidRPr="00D00F18" w:rsidP="00AC2F0E">
            <w:pPr>
              <w:numPr>
                <w:ilvl w:val="0"/>
                <w:numId w:val="22"/>
              </w:numPr>
              <w:spacing w:after="0" w:line="240" w:lineRule="auto"/>
              <w:contextualSpacing/>
              <w:jc w:val="both"/>
              <w:rPr>
                <w:rFonts w:ascii="Times New Roman" w:hAnsi="Times New Roman"/>
                <w:i/>
                <w:sz w:val="18"/>
                <w:szCs w:val="20"/>
                <w:lang w:eastAsia="sk-SK"/>
              </w:rPr>
            </w:pPr>
            <w:r w:rsidRPr="00D00F18">
              <w:rPr>
                <w:rFonts w:ascii="Times New Roman" w:hAnsi="Times New Roman"/>
                <w:i/>
                <w:sz w:val="18"/>
                <w:szCs w:val="20"/>
                <w:lang w:eastAsia="sk-SK"/>
              </w:rPr>
              <w:t>priemerný pokles príjmov/ rast výdavkov v skupine v eurách a/alebo v % / obdobie:</w:t>
            </w:r>
          </w:p>
          <w:p w:rsidR="00D00F18" w:rsidRPr="00D00F18" w:rsidP="00AC2F0E">
            <w:pPr>
              <w:numPr>
                <w:ilvl w:val="0"/>
                <w:numId w:val="22"/>
              </w:numPr>
              <w:spacing w:after="0" w:line="240" w:lineRule="auto"/>
              <w:contextualSpacing/>
              <w:jc w:val="both"/>
              <w:rPr>
                <w:rFonts w:ascii="Times New Roman" w:hAnsi="Times New Roman"/>
                <w:i/>
                <w:sz w:val="18"/>
                <w:szCs w:val="20"/>
                <w:lang w:eastAsia="sk-SK"/>
              </w:rPr>
            </w:pPr>
            <w:r w:rsidRPr="00D00F18">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i/>
                <w:sz w:val="18"/>
                <w:szCs w:val="20"/>
                <w:lang w:eastAsia="sk-SK"/>
              </w:rPr>
              <w:t>Ovplyvnená skupina č. 1</w:t>
            </w:r>
          </w:p>
          <w:p w:rsidR="00D00F18" w:rsidRPr="00D00F18" w:rsidP="00D00F18">
            <w:pPr>
              <w:spacing w:after="0" w:line="240" w:lineRule="auto"/>
              <w:rPr>
                <w:rFonts w:ascii="Times New Roman" w:hAnsi="Times New Roman"/>
                <w:sz w:val="20"/>
                <w:szCs w:val="20"/>
                <w:lang w:eastAsia="sk-SK"/>
              </w:rPr>
            </w:pPr>
            <w:r w:rsidRPr="00D00F18">
              <w:rPr>
                <w:rFonts w:ascii="Times New Roman" w:hAnsi="Times New Roman"/>
                <w:sz w:val="18"/>
                <w:lang w:eastAsia="sk-SK"/>
              </w:rPr>
              <w:t>Bez vplyvu.</w:t>
            </w:r>
          </w:p>
        </w:tc>
      </w:tr>
      <w:tr w:rsidTr="00D00F18">
        <w:tblPrEx>
          <w:tblW w:w="5239" w:type="pct"/>
          <w:jc w:val="center"/>
          <w:tblLayout w:type="fixed"/>
          <w:tblCellMar>
            <w:left w:w="28" w:type="dxa"/>
            <w:right w:w="57" w:type="dxa"/>
          </w:tblCellMar>
          <w:tblLook w:val="04A0"/>
        </w:tblPrEx>
        <w:trPr>
          <w:trHeight w:val="680"/>
          <w:jc w:val="center"/>
        </w:trPr>
        <w:tc>
          <w:tcPr>
            <w:tcW w:w="129" w:type="pct"/>
            <w:vMerge/>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p>
        </w:tc>
        <w:tc>
          <w:tcPr>
            <w:tcW w:w="1642" w:type="pct"/>
            <w:shd w:val="clear" w:color="auto" w:fill="auto"/>
          </w:tcPr>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i/>
                <w:sz w:val="18"/>
                <w:szCs w:val="20"/>
                <w:lang w:eastAsia="sk-SK"/>
              </w:rPr>
              <w:t>Ovplyvnená skupina č. 3</w:t>
            </w:r>
          </w:p>
          <w:p w:rsidR="00D00F18" w:rsidRPr="00D00F18" w:rsidP="00D00F18">
            <w:pPr>
              <w:spacing w:after="0" w:line="240" w:lineRule="auto"/>
              <w:rPr>
                <w:rFonts w:ascii="Times New Roman" w:hAnsi="Times New Roman"/>
                <w:i/>
                <w:sz w:val="20"/>
                <w:szCs w:val="20"/>
                <w:lang w:eastAsia="sk-SK"/>
              </w:rPr>
            </w:pPr>
            <w:r w:rsidRPr="00D00F18">
              <w:rPr>
                <w:rFonts w:ascii="Times New Roman" w:hAnsi="Times New Roman"/>
                <w:sz w:val="18"/>
                <w:lang w:eastAsia="sk-SK"/>
              </w:rPr>
              <w:t>Bez vplyvu.</w:t>
            </w:r>
          </w:p>
        </w:tc>
        <w:tc>
          <w:tcPr>
            <w:tcW w:w="3229" w:type="pct"/>
            <w:tcBorders>
              <w:top w:val="dotted" w:sz="4" w:space="0" w:color="auto"/>
            </w:tcBorders>
            <w:shd w:val="clear" w:color="auto" w:fill="auto"/>
          </w:tcPr>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i/>
                <w:sz w:val="18"/>
                <w:szCs w:val="20"/>
                <w:lang w:eastAsia="sk-SK"/>
              </w:rPr>
              <w:t>Ovplyvnená skupina č. 2</w:t>
            </w:r>
          </w:p>
          <w:p w:rsidR="00D00F18" w:rsidRPr="00D00F18" w:rsidP="00D00F18">
            <w:pPr>
              <w:spacing w:after="0" w:line="240" w:lineRule="auto"/>
              <w:rPr>
                <w:rFonts w:ascii="Times New Roman" w:hAnsi="Times New Roman"/>
                <w:sz w:val="20"/>
                <w:szCs w:val="20"/>
                <w:lang w:eastAsia="sk-SK"/>
              </w:rPr>
            </w:pPr>
            <w:r w:rsidRPr="00D00F18">
              <w:rPr>
                <w:rFonts w:ascii="Times New Roman" w:hAnsi="Times New Roman"/>
                <w:sz w:val="18"/>
                <w:lang w:eastAsia="sk-SK"/>
              </w:rPr>
              <w:t>Bez vplyvu.</w:t>
            </w:r>
          </w:p>
        </w:tc>
      </w:tr>
      <w:tr w:rsidTr="00D00F18">
        <w:tblPrEx>
          <w:tblW w:w="5239" w:type="pct"/>
          <w:jc w:val="center"/>
          <w:tblLayout w:type="fixed"/>
          <w:tblCellMar>
            <w:left w:w="28" w:type="dxa"/>
            <w:right w:w="57" w:type="dxa"/>
          </w:tblCellMar>
          <w:tblLook w:val="04A0"/>
        </w:tblPrEx>
        <w:trPr>
          <w:trHeight w:val="397"/>
          <w:jc w:val="center"/>
        </w:trPr>
        <w:tc>
          <w:tcPr>
            <w:tcW w:w="129" w:type="pct"/>
            <w:tcBorders>
              <w:top w:val="dotted" w:sz="4" w:space="0" w:color="auto"/>
            </w:tcBorders>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f)</w:t>
            </w:r>
          </w:p>
        </w:tc>
        <w:tc>
          <w:tcPr>
            <w:tcW w:w="1642" w:type="pct"/>
            <w:tcBorders>
              <w:top w:val="dotted" w:sz="4" w:space="0" w:color="auto"/>
            </w:tcBorders>
            <w:shd w:val="clear" w:color="auto" w:fill="auto"/>
          </w:tcPr>
          <w:p w:rsidR="00D00F18" w:rsidRPr="00D00F18" w:rsidP="00D00F18">
            <w:pPr>
              <w:spacing w:after="0" w:line="240" w:lineRule="auto"/>
              <w:rPr>
                <w:rFonts w:ascii="Times New Roman" w:hAnsi="Times New Roman"/>
                <w:i/>
                <w:sz w:val="20"/>
                <w:szCs w:val="20"/>
                <w:lang w:eastAsia="sk-SK"/>
              </w:rPr>
            </w:pPr>
            <w:r w:rsidRPr="00D00F18">
              <w:rPr>
                <w:rFonts w:ascii="Times New Roman" w:hAnsi="Times New Roman"/>
                <w:i/>
                <w:sz w:val="20"/>
                <w:szCs w:val="20"/>
                <w:lang w:eastAsia="sk-SK"/>
              </w:rPr>
              <w:t>Dôvod chýbajúcej kvantifikácie:</w:t>
            </w:r>
          </w:p>
        </w:tc>
        <w:tc>
          <w:tcPr>
            <w:tcW w:w="3229" w:type="pct"/>
            <w:tcBorders>
              <w:top w:val="dotted" w:sz="4" w:space="0" w:color="auto"/>
            </w:tcBorders>
            <w:shd w:val="clear" w:color="auto" w:fill="auto"/>
          </w:tcPr>
          <w:p w:rsidR="00D00F18" w:rsidRPr="00D00F18" w:rsidP="00D00F18">
            <w:pPr>
              <w:spacing w:after="0" w:line="240" w:lineRule="auto"/>
              <w:rPr>
                <w:rFonts w:ascii="Times New Roman" w:hAnsi="Times New Roman"/>
                <w:sz w:val="20"/>
                <w:szCs w:val="20"/>
                <w:lang w:eastAsia="sk-SK"/>
              </w:rPr>
            </w:pPr>
            <w:r w:rsidRPr="00D00F18">
              <w:rPr>
                <w:rFonts w:ascii="Times New Roman" w:hAnsi="Times New Roman"/>
                <w:sz w:val="20"/>
                <w:szCs w:val="20"/>
                <w:lang w:eastAsia="sk-SK"/>
              </w:rPr>
              <w:t>Žiaden z dodávateľov nevyčíslil vplyv návrhu na cenu vody, preto nie je možné vplyvy kvantifikovať.</w:t>
            </w:r>
          </w:p>
        </w:tc>
      </w:tr>
      <w:tr w:rsidTr="00D00F18">
        <w:tblPrEx>
          <w:tblW w:w="5239" w:type="pct"/>
          <w:jc w:val="center"/>
          <w:tblLayout w:type="fixed"/>
          <w:tblCellMar>
            <w:left w:w="28" w:type="dxa"/>
            <w:right w:w="57" w:type="dxa"/>
          </w:tblCellMar>
          <w:tblLook w:val="04A0"/>
        </w:tblPrEx>
        <w:trPr>
          <w:trHeight w:val="227"/>
          <w:jc w:val="center"/>
        </w:trPr>
        <w:tc>
          <w:tcPr>
            <w:tcW w:w="129" w:type="pct"/>
            <w:tcBorders>
              <w:top w:val="nil"/>
              <w:bottom w:val="single" w:sz="4" w:space="0" w:color="auto"/>
            </w:tcBorders>
            <w:shd w:val="clear" w:color="auto" w:fill="F2F2F2"/>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g)</w:t>
            </w:r>
          </w:p>
        </w:tc>
        <w:tc>
          <w:tcPr>
            <w:tcW w:w="4871" w:type="pct"/>
            <w:gridSpan w:val="2"/>
            <w:tcBorders>
              <w:top w:val="nil"/>
              <w:bottom w:val="single" w:sz="4" w:space="0" w:color="auto"/>
            </w:tcBorders>
            <w:shd w:val="clear" w:color="auto" w:fill="F2F2F2"/>
          </w:tcPr>
          <w:p w:rsidR="00D00F18" w:rsidRPr="00D00F18" w:rsidP="00D00F18">
            <w:pPr>
              <w:spacing w:after="0" w:line="240" w:lineRule="auto"/>
              <w:rPr>
                <w:rFonts w:ascii="Times New Roman" w:hAnsi="Times New Roman"/>
                <w:i/>
                <w:sz w:val="20"/>
                <w:szCs w:val="20"/>
                <w:lang w:eastAsia="sk-SK"/>
              </w:rPr>
            </w:pPr>
            <w:r w:rsidRPr="00D00F18">
              <w:rPr>
                <w:rFonts w:ascii="Times New Roman" w:hAnsi="Times New Roman"/>
                <w:b/>
                <w:i/>
                <w:sz w:val="20"/>
                <w:szCs w:val="20"/>
                <w:lang w:eastAsia="sk-SK"/>
              </w:rPr>
              <w:t>4.1.2.1</w:t>
            </w:r>
            <w:r w:rsidRPr="00D00F18">
              <w:rPr>
                <w:rFonts w:ascii="Times New Roman" w:hAnsi="Times New Roman"/>
                <w:i/>
                <w:sz w:val="20"/>
                <w:szCs w:val="20"/>
                <w:lang w:eastAsia="sk-SK"/>
              </w:rPr>
              <w:t xml:space="preserve"> </w:t>
            </w:r>
            <w:r w:rsidRPr="00D00F18">
              <w:rPr>
                <w:rFonts w:ascii="Times New Roman" w:hAnsi="Times New Roman"/>
                <w:b/>
                <w:i/>
                <w:sz w:val="20"/>
                <w:szCs w:val="20"/>
                <w:lang w:eastAsia="sk-SK"/>
              </w:rPr>
              <w:t>Z toho negatívny vplyv na skupiny v riziku chudoby alebo sociálneho vylúčenia</w:t>
            </w:r>
          </w:p>
          <w:p w:rsidR="00D00F18" w:rsidRPr="00D00F18" w:rsidP="00D00F18">
            <w:pPr>
              <w:spacing w:after="0" w:line="240" w:lineRule="auto"/>
              <w:rPr>
                <w:rFonts w:ascii="Times New Roman" w:hAnsi="Times New Roman"/>
                <w:b/>
                <w:sz w:val="20"/>
                <w:szCs w:val="20"/>
                <w:lang w:eastAsia="sk-SK"/>
              </w:rPr>
            </w:pPr>
            <w:r w:rsidRPr="00D00F18">
              <w:rPr>
                <w:rFonts w:ascii="Times New Roman" w:hAnsi="Times New Roman"/>
                <w:i/>
                <w:sz w:val="20"/>
                <w:szCs w:val="20"/>
                <w:lang w:eastAsia="sk-SK"/>
              </w:rPr>
              <w:t>(</w:t>
            </w:r>
            <w:r w:rsidRPr="00D00F18">
              <w:rPr>
                <w:rFonts w:ascii="Times New Roman" w:hAnsi="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D00F18">
              <w:rPr>
                <w:rFonts w:ascii="Times New Roman" w:hAnsi="Times New Roman"/>
                <w:i/>
                <w:sz w:val="20"/>
                <w:szCs w:val="20"/>
                <w:lang w:eastAsia="sk-SK"/>
              </w:rPr>
              <w:t>)</w:t>
            </w:r>
          </w:p>
        </w:tc>
      </w:tr>
      <w:tr w:rsidTr="00D00F18">
        <w:tblPrEx>
          <w:tblW w:w="5239" w:type="pct"/>
          <w:jc w:val="center"/>
          <w:tblLayout w:type="fixed"/>
          <w:tblCellMar>
            <w:left w:w="28" w:type="dxa"/>
            <w:right w:w="57" w:type="dxa"/>
          </w:tblCellMar>
          <w:tblLook w:val="04A0"/>
        </w:tblPrEx>
        <w:trPr>
          <w:trHeight w:val="759"/>
          <w:jc w:val="center"/>
        </w:trPr>
        <w:tc>
          <w:tcPr>
            <w:tcW w:w="129" w:type="pct"/>
            <w:tcBorders>
              <w:top w:val="single" w:sz="4" w:space="0" w:color="auto"/>
              <w:bottom w:val="single" w:sz="4" w:space="0" w:color="auto"/>
            </w:tcBorders>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h)</w:t>
            </w:r>
          </w:p>
        </w:tc>
        <w:tc>
          <w:tcPr>
            <w:tcW w:w="1642" w:type="pct"/>
            <w:tcBorders>
              <w:top w:val="single" w:sz="4" w:space="0" w:color="auto"/>
              <w:bottom w:val="single" w:sz="4" w:space="0" w:color="auto"/>
            </w:tcBorders>
            <w:shd w:val="clear" w:color="auto" w:fill="auto"/>
          </w:tcPr>
          <w:p w:rsidR="00D00F18" w:rsidRPr="00D00F18" w:rsidP="00D00F18">
            <w:pPr>
              <w:spacing w:after="0" w:line="240" w:lineRule="auto"/>
              <w:jc w:val="both"/>
              <w:rPr>
                <w:rFonts w:ascii="Times New Roman" w:hAnsi="Times New Roman"/>
                <w:i/>
                <w:sz w:val="20"/>
                <w:szCs w:val="20"/>
                <w:lang w:eastAsia="sk-SK"/>
              </w:rPr>
            </w:pPr>
            <w:r w:rsidRPr="00D00F18">
              <w:rPr>
                <w:rFonts w:ascii="Times New Roman" w:hAnsi="Times New Roman"/>
                <w:b/>
                <w:i/>
                <w:sz w:val="20"/>
                <w:szCs w:val="20"/>
                <w:lang w:eastAsia="sk-SK"/>
              </w:rPr>
              <w:t>Popíšte</w:t>
            </w:r>
            <w:r w:rsidRPr="00D00F18">
              <w:rPr>
                <w:rFonts w:ascii="Times New Roman" w:hAnsi="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D00F18" w:rsidRPr="00D00F18" w:rsidP="00D00F18">
            <w:pPr>
              <w:spacing w:after="0" w:line="240" w:lineRule="auto"/>
              <w:rPr>
                <w:rFonts w:ascii="Times New Roman" w:hAnsi="Times New Roman"/>
                <w:sz w:val="20"/>
                <w:szCs w:val="20"/>
                <w:lang w:eastAsia="sk-SK"/>
              </w:rPr>
            </w:pPr>
            <w:r w:rsidRPr="00D00F18">
              <w:rPr>
                <w:rFonts w:ascii="Times New Roman" w:hAnsi="Times New Roman"/>
                <w:sz w:val="18"/>
                <w:lang w:eastAsia="sk-SK"/>
              </w:rPr>
              <w:t>Bez vplyvu.</w:t>
            </w:r>
          </w:p>
        </w:tc>
      </w:tr>
      <w:tr w:rsidTr="00D00F18">
        <w:tblPrEx>
          <w:tblW w:w="5239" w:type="pct"/>
          <w:jc w:val="center"/>
          <w:tblLayout w:type="fixed"/>
          <w:tblCellMar>
            <w:left w:w="28" w:type="dxa"/>
            <w:right w:w="57" w:type="dxa"/>
          </w:tblCellMar>
          <w:tblLook w:val="04A0"/>
        </w:tblPrEx>
        <w:trPr>
          <w:trHeight w:val="397"/>
          <w:jc w:val="center"/>
        </w:trPr>
        <w:tc>
          <w:tcPr>
            <w:tcW w:w="129" w:type="pct"/>
            <w:vMerge w:val="restart"/>
            <w:tcBorders>
              <w:top w:val="single" w:sz="4" w:space="0" w:color="auto"/>
            </w:tcBorders>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i)</w:t>
            </w:r>
          </w:p>
        </w:tc>
        <w:tc>
          <w:tcPr>
            <w:tcW w:w="1642" w:type="pct"/>
            <w:tcBorders>
              <w:top w:val="single" w:sz="4" w:space="0" w:color="auto"/>
            </w:tcBorders>
            <w:shd w:val="clear" w:color="auto" w:fill="auto"/>
          </w:tcPr>
          <w:p w:rsidR="00D00F18" w:rsidRPr="00D00F18" w:rsidP="00D00F18">
            <w:pPr>
              <w:spacing w:after="0" w:line="240" w:lineRule="auto"/>
              <w:rPr>
                <w:rFonts w:ascii="Times New Roman" w:hAnsi="Times New Roman"/>
                <w:i/>
                <w:sz w:val="20"/>
                <w:szCs w:val="20"/>
                <w:lang w:eastAsia="sk-SK"/>
              </w:rPr>
            </w:pPr>
            <w:r w:rsidRPr="00D00F18">
              <w:rPr>
                <w:rFonts w:ascii="Times New Roman" w:hAnsi="Times New Roman"/>
                <w:b/>
                <w:i/>
                <w:sz w:val="20"/>
                <w:szCs w:val="20"/>
                <w:lang w:eastAsia="sk-SK"/>
              </w:rPr>
              <w:t xml:space="preserve">Špecifikujte </w:t>
            </w:r>
            <w:r w:rsidRPr="00D00F18">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i/>
                <w:sz w:val="18"/>
                <w:szCs w:val="20"/>
                <w:lang w:eastAsia="sk-SK"/>
              </w:rPr>
              <w:t>Ovplyvnená skupina č. 1</w:t>
            </w:r>
          </w:p>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sz w:val="18"/>
                <w:lang w:eastAsia="sk-SK"/>
              </w:rPr>
              <w:t>Bez vplyvu.</w:t>
            </w:r>
          </w:p>
        </w:tc>
      </w:tr>
      <w:tr w:rsidTr="00D00F18">
        <w:tblPrEx>
          <w:tblW w:w="5239" w:type="pct"/>
          <w:jc w:val="center"/>
          <w:tblLayout w:type="fixed"/>
          <w:tblCellMar>
            <w:left w:w="28" w:type="dxa"/>
            <w:right w:w="57" w:type="dxa"/>
          </w:tblCellMar>
          <w:tblLook w:val="04A0"/>
        </w:tblPrEx>
        <w:trPr>
          <w:trHeight w:val="397"/>
          <w:jc w:val="center"/>
        </w:trPr>
        <w:tc>
          <w:tcPr>
            <w:tcW w:w="129" w:type="pct"/>
            <w:vMerge/>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p>
        </w:tc>
        <w:tc>
          <w:tcPr>
            <w:tcW w:w="1642" w:type="pct"/>
            <w:shd w:val="clear" w:color="auto" w:fill="auto"/>
          </w:tcPr>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i/>
                <w:sz w:val="18"/>
                <w:szCs w:val="20"/>
                <w:lang w:eastAsia="sk-SK"/>
              </w:rPr>
              <w:t>Ovplyvnená skupina č. 3</w:t>
            </w:r>
          </w:p>
          <w:p w:rsidR="00D00F18" w:rsidRPr="00D00F18" w:rsidP="00D00F18">
            <w:pPr>
              <w:spacing w:after="0" w:line="240" w:lineRule="auto"/>
              <w:rPr>
                <w:rFonts w:ascii="Times New Roman" w:hAnsi="Times New Roman"/>
                <w:i/>
                <w:sz w:val="20"/>
                <w:szCs w:val="20"/>
                <w:lang w:eastAsia="sk-SK"/>
              </w:rPr>
            </w:pPr>
            <w:r w:rsidRPr="00D00F18">
              <w:rPr>
                <w:rFonts w:ascii="Times New Roman" w:hAnsi="Times New Roman"/>
                <w:sz w:val="18"/>
                <w:lang w:eastAsia="sk-SK"/>
              </w:rPr>
              <w:t>Bez vplyvu.</w:t>
            </w:r>
          </w:p>
        </w:tc>
        <w:tc>
          <w:tcPr>
            <w:tcW w:w="3229" w:type="pct"/>
            <w:tcBorders>
              <w:top w:val="dotted" w:sz="4" w:space="0" w:color="auto"/>
            </w:tcBorders>
            <w:shd w:val="clear" w:color="auto" w:fill="auto"/>
          </w:tcPr>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i/>
                <w:sz w:val="18"/>
                <w:szCs w:val="20"/>
                <w:lang w:eastAsia="sk-SK"/>
              </w:rPr>
              <w:t>Ovplyvnená skupina č. 2</w:t>
            </w:r>
          </w:p>
          <w:p w:rsidR="00D00F18" w:rsidRPr="00D00F18" w:rsidP="00D00F18">
            <w:pPr>
              <w:spacing w:after="0" w:line="240" w:lineRule="auto"/>
              <w:rPr>
                <w:rFonts w:ascii="Times New Roman" w:hAnsi="Times New Roman"/>
                <w:sz w:val="20"/>
                <w:szCs w:val="20"/>
                <w:lang w:eastAsia="sk-SK"/>
              </w:rPr>
            </w:pPr>
            <w:r w:rsidRPr="00D00F18">
              <w:rPr>
                <w:rFonts w:ascii="Times New Roman" w:hAnsi="Times New Roman"/>
                <w:sz w:val="18"/>
                <w:lang w:eastAsia="sk-SK"/>
              </w:rPr>
              <w:t>Bez vplyvu.</w:t>
            </w:r>
          </w:p>
        </w:tc>
      </w:tr>
      <w:tr w:rsidTr="00D00F18">
        <w:tblPrEx>
          <w:tblW w:w="5239" w:type="pct"/>
          <w:jc w:val="center"/>
          <w:tblLayout w:type="fixed"/>
          <w:tblCellMar>
            <w:left w:w="28" w:type="dxa"/>
            <w:right w:w="57" w:type="dxa"/>
          </w:tblCellMar>
          <w:tblLook w:val="04A0"/>
        </w:tblPrEx>
        <w:trPr>
          <w:trHeight w:val="454"/>
          <w:jc w:val="center"/>
        </w:trPr>
        <w:tc>
          <w:tcPr>
            <w:tcW w:w="129" w:type="pct"/>
            <w:tcBorders>
              <w:top w:val="dotted" w:sz="4" w:space="0" w:color="auto"/>
            </w:tcBorders>
            <w:shd w:val="clear" w:color="auto" w:fill="F2F2F2"/>
            <w:vAlign w:val="center"/>
          </w:tcPr>
          <w:p w:rsidR="00D00F18" w:rsidRPr="00D00F18" w:rsidP="00D00F18">
            <w:pPr>
              <w:spacing w:after="0" w:line="240" w:lineRule="auto"/>
              <w:jc w:val="center"/>
              <w:rPr>
                <w:rFonts w:ascii="Times New Roman" w:hAnsi="Times New Roman"/>
                <w:sz w:val="18"/>
                <w:szCs w:val="18"/>
                <w:lang w:eastAsia="sk-SK"/>
              </w:rPr>
            </w:pPr>
            <w:r w:rsidRPr="00D00F18">
              <w:rPr>
                <w:rFonts w:ascii="Times New Roman" w:hAnsi="Times New Roman"/>
                <w:i/>
                <w:sz w:val="18"/>
                <w:szCs w:val="18"/>
                <w:lang w:eastAsia="sk-SK"/>
              </w:rPr>
              <w:t>j</w:t>
            </w:r>
            <w:r w:rsidRPr="00D00F18">
              <w:rPr>
                <w:rFonts w:ascii="Times New Roman" w:hAnsi="Times New Roman"/>
                <w:sz w:val="18"/>
                <w:szCs w:val="18"/>
                <w:lang w:eastAsia="sk-SK"/>
              </w:rPr>
              <w:t>)</w:t>
            </w:r>
          </w:p>
        </w:tc>
        <w:tc>
          <w:tcPr>
            <w:tcW w:w="4871" w:type="pct"/>
            <w:gridSpan w:val="2"/>
            <w:tcBorders>
              <w:top w:val="dotted" w:sz="4" w:space="0" w:color="auto"/>
            </w:tcBorders>
            <w:shd w:val="clear" w:color="auto" w:fill="F2F2F2"/>
            <w:vAlign w:val="center"/>
          </w:tcPr>
          <w:p w:rsidR="00D00F18" w:rsidRPr="00D00F18" w:rsidP="00D00F18">
            <w:pPr>
              <w:spacing w:after="0" w:line="240" w:lineRule="auto"/>
              <w:rPr>
                <w:rFonts w:ascii="Times New Roman" w:hAnsi="Times New Roman"/>
                <w:i/>
                <w:sz w:val="20"/>
                <w:szCs w:val="20"/>
                <w:lang w:eastAsia="sk-SK"/>
              </w:rPr>
            </w:pPr>
            <w:r w:rsidRPr="00D00F18">
              <w:rPr>
                <w:rFonts w:ascii="Times New Roman" w:hAnsi="Times New Roman"/>
                <w:b/>
                <w:i/>
                <w:sz w:val="20"/>
                <w:szCs w:val="20"/>
                <w:lang w:eastAsia="sk-SK"/>
              </w:rPr>
              <w:t>Kvantifikujte</w:t>
            </w:r>
            <w:r w:rsidRPr="00D00F18">
              <w:rPr>
                <w:rFonts w:ascii="Times New Roman" w:hAnsi="Times New Roman"/>
                <w:i/>
                <w:sz w:val="20"/>
                <w:szCs w:val="20"/>
                <w:lang w:eastAsia="sk-SK"/>
              </w:rPr>
              <w:t xml:space="preserve"> pokles príjmov alebo rast výdavkov </w:t>
            </w:r>
            <w:r w:rsidRPr="00D00F18">
              <w:rPr>
                <w:rFonts w:ascii="Times New Roman" w:hAnsi="Times New Roman"/>
                <w:b/>
                <w:i/>
                <w:sz w:val="20"/>
                <w:szCs w:val="20"/>
                <w:lang w:eastAsia="sk-SK"/>
              </w:rPr>
              <w:t>za jednotlivé ovplyvnené skupiny</w:t>
            </w:r>
            <w:r w:rsidRPr="00D00F18">
              <w:rPr>
                <w:rFonts w:ascii="Times New Roman" w:hAnsi="Times New Roman"/>
                <w:i/>
                <w:sz w:val="20"/>
                <w:szCs w:val="20"/>
                <w:lang w:eastAsia="sk-SK"/>
              </w:rPr>
              <w:t xml:space="preserve"> domácností / skupiny jednotlivcov a počet obyvateľstva/domácností ovplyvnených predkladaným návrhom.</w:t>
            </w:r>
          </w:p>
        </w:tc>
      </w:tr>
      <w:tr w:rsidTr="00D00F18">
        <w:tblPrEx>
          <w:tblW w:w="5239" w:type="pct"/>
          <w:jc w:val="center"/>
          <w:tblLayout w:type="fixed"/>
          <w:tblCellMar>
            <w:left w:w="28" w:type="dxa"/>
            <w:right w:w="57" w:type="dxa"/>
          </w:tblCellMar>
          <w:tblLook w:val="04A0"/>
        </w:tblPrEx>
        <w:trPr>
          <w:trHeight w:val="680"/>
          <w:jc w:val="center"/>
        </w:trPr>
        <w:tc>
          <w:tcPr>
            <w:tcW w:w="129" w:type="pct"/>
            <w:vMerge w:val="restart"/>
            <w:tcBorders>
              <w:top w:val="dotted" w:sz="4" w:space="0" w:color="auto"/>
            </w:tcBorders>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k)</w:t>
            </w:r>
          </w:p>
        </w:tc>
        <w:tc>
          <w:tcPr>
            <w:tcW w:w="1642" w:type="pct"/>
            <w:tcBorders>
              <w:top w:val="dotted" w:sz="4" w:space="0" w:color="auto"/>
            </w:tcBorders>
            <w:shd w:val="clear" w:color="auto" w:fill="auto"/>
          </w:tcPr>
          <w:p w:rsidR="00D00F18" w:rsidRPr="00D00F18" w:rsidP="00AC2F0E">
            <w:pPr>
              <w:numPr>
                <w:ilvl w:val="0"/>
                <w:numId w:val="22"/>
              </w:numPr>
              <w:spacing w:after="0" w:line="240" w:lineRule="auto"/>
              <w:contextualSpacing/>
              <w:rPr>
                <w:rFonts w:ascii="Times New Roman" w:hAnsi="Times New Roman"/>
                <w:i/>
                <w:sz w:val="18"/>
                <w:szCs w:val="20"/>
                <w:lang w:eastAsia="sk-SK"/>
              </w:rPr>
            </w:pPr>
            <w:r w:rsidRPr="00D00F18">
              <w:rPr>
                <w:rFonts w:ascii="Times New Roman" w:hAnsi="Times New Roman"/>
                <w:i/>
                <w:sz w:val="18"/>
                <w:szCs w:val="20"/>
                <w:lang w:eastAsia="sk-SK"/>
              </w:rPr>
              <w:t>priemerný pokles príjmov/ rast výdavkov v skupine v eurách a/alebo v % / obdobie:</w:t>
            </w:r>
          </w:p>
          <w:p w:rsidR="00D00F18" w:rsidRPr="00D00F18" w:rsidP="00AC2F0E">
            <w:pPr>
              <w:numPr>
                <w:ilvl w:val="0"/>
                <w:numId w:val="22"/>
              </w:numPr>
              <w:spacing w:after="0" w:line="240" w:lineRule="auto"/>
              <w:contextualSpacing/>
              <w:rPr>
                <w:rFonts w:ascii="Times New Roman" w:hAnsi="Times New Roman"/>
                <w:i/>
                <w:sz w:val="20"/>
                <w:szCs w:val="20"/>
                <w:lang w:eastAsia="sk-SK"/>
              </w:rPr>
            </w:pPr>
            <w:r w:rsidRPr="00D00F18">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i/>
                <w:sz w:val="18"/>
                <w:szCs w:val="20"/>
                <w:lang w:eastAsia="sk-SK"/>
              </w:rPr>
              <w:t>Ovplyvnená skupina č. 1</w:t>
            </w:r>
          </w:p>
          <w:p w:rsidR="00D00F18" w:rsidRPr="00D00F18" w:rsidP="00D00F18">
            <w:pPr>
              <w:spacing w:after="0" w:line="240" w:lineRule="auto"/>
              <w:rPr>
                <w:rFonts w:ascii="Times New Roman" w:hAnsi="Times New Roman"/>
                <w:sz w:val="20"/>
                <w:szCs w:val="20"/>
                <w:lang w:eastAsia="sk-SK"/>
              </w:rPr>
            </w:pPr>
            <w:r w:rsidRPr="00D00F18">
              <w:rPr>
                <w:rFonts w:ascii="Times New Roman" w:hAnsi="Times New Roman"/>
                <w:sz w:val="18"/>
                <w:lang w:eastAsia="sk-SK"/>
              </w:rPr>
              <w:t>Bez vplyvu.</w:t>
            </w:r>
          </w:p>
        </w:tc>
      </w:tr>
      <w:tr w:rsidTr="00D00F18">
        <w:tblPrEx>
          <w:tblW w:w="5239" w:type="pct"/>
          <w:jc w:val="center"/>
          <w:tblLayout w:type="fixed"/>
          <w:tblCellMar>
            <w:left w:w="28" w:type="dxa"/>
            <w:right w:w="57" w:type="dxa"/>
          </w:tblCellMar>
          <w:tblLook w:val="04A0"/>
        </w:tblPrEx>
        <w:trPr>
          <w:trHeight w:val="680"/>
          <w:jc w:val="center"/>
        </w:trPr>
        <w:tc>
          <w:tcPr>
            <w:tcW w:w="129" w:type="pct"/>
            <w:vMerge/>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p>
        </w:tc>
        <w:tc>
          <w:tcPr>
            <w:tcW w:w="1642" w:type="pct"/>
            <w:shd w:val="clear" w:color="auto" w:fill="auto"/>
          </w:tcPr>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i/>
                <w:sz w:val="18"/>
                <w:szCs w:val="20"/>
                <w:lang w:eastAsia="sk-SK"/>
              </w:rPr>
              <w:t>Ovplyvnená skupina č. 3</w:t>
            </w:r>
          </w:p>
          <w:p w:rsidR="00D00F18" w:rsidRPr="00D00F18" w:rsidP="00D00F18">
            <w:pPr>
              <w:spacing w:after="0" w:line="240" w:lineRule="auto"/>
              <w:rPr>
                <w:rFonts w:ascii="Times New Roman" w:hAnsi="Times New Roman"/>
                <w:i/>
                <w:sz w:val="20"/>
                <w:szCs w:val="20"/>
                <w:lang w:eastAsia="sk-SK"/>
              </w:rPr>
            </w:pPr>
            <w:r w:rsidRPr="00D00F18">
              <w:rPr>
                <w:rFonts w:ascii="Times New Roman" w:hAnsi="Times New Roman"/>
                <w:sz w:val="18"/>
                <w:lang w:eastAsia="sk-SK"/>
              </w:rPr>
              <w:t>Bez vplyvu.</w:t>
            </w:r>
          </w:p>
        </w:tc>
        <w:tc>
          <w:tcPr>
            <w:tcW w:w="3229" w:type="pct"/>
            <w:tcBorders>
              <w:top w:val="dotted" w:sz="4" w:space="0" w:color="auto"/>
            </w:tcBorders>
            <w:shd w:val="clear" w:color="auto" w:fill="auto"/>
          </w:tcPr>
          <w:p w:rsidR="00D00F18" w:rsidRPr="00D00F18" w:rsidP="00D00F18">
            <w:pPr>
              <w:spacing w:after="0" w:line="240" w:lineRule="auto"/>
              <w:rPr>
                <w:rFonts w:ascii="Times New Roman" w:hAnsi="Times New Roman"/>
                <w:i/>
                <w:sz w:val="18"/>
                <w:szCs w:val="20"/>
                <w:lang w:eastAsia="sk-SK"/>
              </w:rPr>
            </w:pPr>
            <w:r w:rsidRPr="00D00F18">
              <w:rPr>
                <w:rFonts w:ascii="Times New Roman" w:hAnsi="Times New Roman"/>
                <w:i/>
                <w:sz w:val="18"/>
                <w:szCs w:val="20"/>
                <w:lang w:eastAsia="sk-SK"/>
              </w:rPr>
              <w:t>Ovplyvnená skupina č. 2</w:t>
            </w:r>
          </w:p>
          <w:p w:rsidR="00D00F18" w:rsidRPr="00D00F18" w:rsidP="00D00F18">
            <w:pPr>
              <w:spacing w:after="0" w:line="240" w:lineRule="auto"/>
              <w:rPr>
                <w:rFonts w:ascii="Times New Roman" w:hAnsi="Times New Roman"/>
                <w:sz w:val="20"/>
                <w:szCs w:val="20"/>
                <w:lang w:eastAsia="sk-SK"/>
              </w:rPr>
            </w:pPr>
            <w:r w:rsidRPr="00D00F18">
              <w:rPr>
                <w:rFonts w:ascii="Times New Roman" w:hAnsi="Times New Roman"/>
                <w:sz w:val="18"/>
                <w:lang w:eastAsia="sk-SK"/>
              </w:rPr>
              <w:t>Bez vplyvu.</w:t>
            </w:r>
          </w:p>
        </w:tc>
      </w:tr>
      <w:tr w:rsidTr="00D00F18">
        <w:tblPrEx>
          <w:tblW w:w="5239" w:type="pct"/>
          <w:jc w:val="center"/>
          <w:tblLayout w:type="fixed"/>
          <w:tblCellMar>
            <w:left w:w="28" w:type="dxa"/>
            <w:right w:w="57" w:type="dxa"/>
          </w:tblCellMar>
          <w:tblLook w:val="04A0"/>
        </w:tblPrEx>
        <w:trPr>
          <w:trHeight w:val="454"/>
          <w:jc w:val="center"/>
        </w:trPr>
        <w:tc>
          <w:tcPr>
            <w:tcW w:w="129" w:type="pct"/>
            <w:tcBorders>
              <w:top w:val="dotted" w:sz="4" w:space="0" w:color="auto"/>
              <w:bottom w:val="single" w:sz="4" w:space="0" w:color="auto"/>
            </w:tcBorders>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l)</w:t>
            </w:r>
          </w:p>
        </w:tc>
        <w:tc>
          <w:tcPr>
            <w:tcW w:w="1642" w:type="pct"/>
            <w:tcBorders>
              <w:top w:val="dotted" w:sz="4" w:space="0" w:color="auto"/>
              <w:bottom w:val="single" w:sz="4" w:space="0" w:color="auto"/>
            </w:tcBorders>
            <w:shd w:val="clear" w:color="auto" w:fill="auto"/>
          </w:tcPr>
          <w:p w:rsidR="00D00F18" w:rsidRPr="00D00F18" w:rsidP="00D00F18">
            <w:pPr>
              <w:spacing w:after="0" w:line="240" w:lineRule="auto"/>
              <w:rPr>
                <w:rFonts w:ascii="Times New Roman" w:hAnsi="Times New Roman"/>
                <w:i/>
                <w:sz w:val="20"/>
                <w:szCs w:val="20"/>
                <w:lang w:eastAsia="sk-SK"/>
              </w:rPr>
            </w:pPr>
            <w:r w:rsidRPr="00D00F18">
              <w:rPr>
                <w:rFonts w:ascii="Times New Roman" w:hAnsi="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D00F18" w:rsidRPr="00D00F18" w:rsidP="00D00F18">
            <w:pPr>
              <w:spacing w:after="0" w:line="240" w:lineRule="auto"/>
              <w:rPr>
                <w:rFonts w:ascii="Times New Roman" w:hAnsi="Times New Roman"/>
                <w:sz w:val="20"/>
                <w:szCs w:val="20"/>
                <w:lang w:eastAsia="sk-SK"/>
              </w:rPr>
            </w:pPr>
            <w:r w:rsidRPr="00D00F18">
              <w:rPr>
                <w:rFonts w:ascii="Times New Roman" w:hAnsi="Times New Roman"/>
                <w:sz w:val="20"/>
                <w:szCs w:val="20"/>
                <w:lang w:eastAsia="sk-SK"/>
              </w:rPr>
              <w:t>Žiaden z dodávateľov nevyčíslil vplyv návrhu na cenu vody, preto nie je možné vplyvy kvantifikovať.</w:t>
            </w:r>
          </w:p>
        </w:tc>
      </w:tr>
    </w:tbl>
    <w:p w:rsidR="00D00F18" w:rsidRPr="00D00F18" w:rsidP="00D00F18">
      <w:r w:rsidRPr="00D00F18">
        <w:br w:type="page"/>
      </w:r>
    </w:p>
    <w:p w:rsidR="00D00F18" w:rsidRPr="00D00F18" w:rsidP="00D00F18">
      <w:pPr>
        <w:sectPr w:rsidSect="00D00F18">
          <w:pgSz w:w="11906" w:h="16838"/>
          <w:pgMar w:top="1417" w:right="1417" w:bottom="1417" w:left="1417" w:header="708" w:footer="708" w:gutter="0"/>
          <w:cols w:space="708"/>
          <w:docGrid w:linePitch="360"/>
        </w:sectPr>
      </w:pPr>
    </w:p>
    <w:tbl>
      <w:tblPr>
        <w:tblStyle w:val="TableNormal"/>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tblPr>
      <w:tblGrid>
        <w:gridCol w:w="350"/>
        <w:gridCol w:w="3586"/>
        <w:gridCol w:w="85"/>
        <w:gridCol w:w="5677"/>
      </w:tblGrid>
      <w:tr w:rsidTr="00D00F18">
        <w:tblPrEx>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tblPrEx>
        <w:trPr>
          <w:trHeight w:val="339"/>
          <w:jc w:val="center"/>
        </w:trPr>
        <w:tc>
          <w:tcPr>
            <w:tcW w:w="4998" w:type="pct"/>
            <w:gridSpan w:val="4"/>
            <w:tcBorders>
              <w:bottom w:val="single" w:sz="4" w:space="0" w:color="auto"/>
            </w:tcBorders>
            <w:shd w:val="clear" w:color="auto" w:fill="D9D9D9"/>
          </w:tcPr>
          <w:p w:rsidR="00D00F18" w:rsidRPr="00D00F18" w:rsidP="00D00F18">
            <w:pPr>
              <w:spacing w:after="0" w:line="240" w:lineRule="auto"/>
              <w:rPr>
                <w:rFonts w:ascii="Times New Roman" w:hAnsi="Times New Roman"/>
                <w:b/>
                <w:sz w:val="24"/>
                <w:szCs w:val="24"/>
                <w:lang w:eastAsia="sk-SK"/>
              </w:rPr>
            </w:pPr>
            <w:r w:rsidRPr="00D00F18">
              <w:rPr>
                <w:rFonts w:ascii="Times New Roman" w:hAnsi="Times New Roman"/>
                <w:b/>
                <w:sz w:val="24"/>
                <w:szCs w:val="24"/>
                <w:lang w:eastAsia="sk-SK"/>
              </w:rPr>
              <w:t>4.2 Identifikujte, popíšte a kvantifikujte vplyvy na prístup k zdrojom, právam, tovarom a službám u jednotlivých ovplyvnených skupín obyvateľstva a vplyv na sociálnu inklúziu.</w:t>
            </w:r>
          </w:p>
        </w:tc>
      </w:tr>
      <w:tr w:rsidTr="00D00F18">
        <w:tblPrEx>
          <w:tblW w:w="5241" w:type="pct"/>
          <w:jc w:val="center"/>
          <w:tblLayout w:type="fixed"/>
          <w:tblCellMar>
            <w:top w:w="28" w:type="dxa"/>
            <w:left w:w="91" w:type="dxa"/>
            <w:right w:w="91" w:type="dxa"/>
          </w:tblCellMar>
          <w:tblLook w:val="04A0"/>
        </w:tblPrEx>
        <w:trPr>
          <w:trHeight w:val="290"/>
          <w:jc w:val="center"/>
        </w:trPr>
        <w:tc>
          <w:tcPr>
            <w:tcW w:w="4998" w:type="pct"/>
            <w:gridSpan w:val="4"/>
            <w:tcBorders>
              <w:bottom w:val="single" w:sz="4" w:space="0" w:color="auto"/>
            </w:tcBorders>
            <w:shd w:val="clear" w:color="auto" w:fill="F2F2F2"/>
            <w:vAlign w:val="center"/>
          </w:tcPr>
          <w:p w:rsidR="00D00F18" w:rsidRPr="00D00F18" w:rsidP="00D00F18">
            <w:pPr>
              <w:spacing w:after="0" w:line="240" w:lineRule="auto"/>
              <w:jc w:val="both"/>
              <w:rPr>
                <w:rFonts w:ascii="Times New Roman" w:hAnsi="Times New Roman"/>
                <w:i/>
                <w:sz w:val="20"/>
                <w:szCs w:val="24"/>
                <w:lang w:eastAsia="sk-SK"/>
              </w:rPr>
            </w:pPr>
            <w:r w:rsidRPr="00D00F18">
              <w:rPr>
                <w:rFonts w:ascii="Times New Roman" w:hAnsi="Times New Roman"/>
                <w:i/>
                <w:sz w:val="20"/>
                <w:szCs w:val="24"/>
                <w:lang w:eastAsia="sk-SK"/>
              </w:rPr>
              <w:t xml:space="preserve">Má návrh vplyv na prístup k zdrojom, právam, tovarom a službám? </w:t>
            </w:r>
          </w:p>
          <w:p w:rsidR="00D00F18" w:rsidRPr="00D00F18" w:rsidP="00D00F18">
            <w:pPr>
              <w:spacing w:after="0" w:line="240" w:lineRule="auto"/>
              <w:jc w:val="both"/>
              <w:rPr>
                <w:i/>
                <w:sz w:val="24"/>
                <w:szCs w:val="24"/>
                <w:lang w:eastAsia="sk-SK"/>
              </w:rPr>
            </w:pPr>
            <w:r w:rsidRPr="00D00F18">
              <w:rPr>
                <w:rFonts w:ascii="Times New Roman" w:hAnsi="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Tr="00D00F18">
        <w:tblPrEx>
          <w:tblW w:w="5241" w:type="pct"/>
          <w:jc w:val="center"/>
          <w:tblBorders>
            <w:top w:val="none" w:sz="0" w:space="0" w:color="auto"/>
            <w:bottom w:val="none" w:sz="0" w:space="0" w:color="auto"/>
          </w:tblBorders>
          <w:tblLayout w:type="fixed"/>
          <w:tblCellMar>
            <w:top w:w="28" w:type="dxa"/>
            <w:left w:w="91" w:type="dxa"/>
            <w:right w:w="91" w:type="dxa"/>
          </w:tblCellMar>
          <w:tblLook w:val="04A0"/>
        </w:tblPrEx>
        <w:trPr>
          <w:trHeight w:val="557"/>
          <w:jc w:val="center"/>
        </w:trPr>
        <w:tc>
          <w:tcPr>
            <w:tcW w:w="180" w:type="pct"/>
            <w:shd w:val="clear" w:color="auto" w:fill="auto"/>
            <w:vAlign w:val="center"/>
          </w:tcPr>
          <w:p w:rsidR="00D00F18" w:rsidRPr="00D00F18" w:rsidP="00D00F18">
            <w:pPr>
              <w:spacing w:after="0" w:line="240" w:lineRule="auto"/>
              <w:jc w:val="center"/>
              <w:rPr>
                <w:rFonts w:ascii="Times New Roman" w:hAnsi="Times New Roman"/>
                <w:i/>
                <w:sz w:val="18"/>
                <w:szCs w:val="18"/>
                <w:lang w:eastAsia="sk-SK"/>
              </w:rPr>
            </w:pPr>
            <w:r w:rsidRPr="00D00F18">
              <w:rPr>
                <w:rFonts w:ascii="Times New Roman" w:hAnsi="Times New Roman"/>
                <w:i/>
                <w:sz w:val="18"/>
                <w:szCs w:val="18"/>
                <w:lang w:eastAsia="sk-SK"/>
              </w:rPr>
              <w:t>a)</w:t>
            </w:r>
          </w:p>
        </w:tc>
        <w:tc>
          <w:tcPr>
            <w:tcW w:w="1893" w:type="pct"/>
            <w:gridSpan w:val="2"/>
            <w:shd w:val="clear" w:color="auto" w:fill="auto"/>
          </w:tcPr>
          <w:p w:rsidR="00D00F18" w:rsidRPr="00D00F18" w:rsidP="00D00F18">
            <w:pPr>
              <w:spacing w:after="0" w:line="240" w:lineRule="auto"/>
              <w:jc w:val="both"/>
              <w:rPr>
                <w:rFonts w:ascii="Times New Roman" w:hAnsi="Times New Roman"/>
                <w:i/>
                <w:sz w:val="18"/>
                <w:szCs w:val="18"/>
                <w:lang w:eastAsia="sk-SK"/>
              </w:rPr>
            </w:pPr>
            <w:r w:rsidRPr="00D00F18">
              <w:rPr>
                <w:rFonts w:ascii="Times New Roman" w:hAnsi="Times New Roman"/>
                <w:i/>
                <w:sz w:val="18"/>
                <w:szCs w:val="18"/>
                <w:lang w:eastAsia="sk-SK"/>
              </w:rPr>
              <w:t>Rozumie sa najmä na prístup k:</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 xml:space="preserve">sociálnej ochrane, sociálno-právnej ochrane, sociálnym službám (vrátane služieb starostlivosti o deti, starších ľudí a ľudí so    zdravotným postihnutím), </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kvalitnej práci, ochrane zdravia, dôstojnosti a bezpečnosti pri práci pre zamestnancov a existujúcim zamestnaneckým právam,</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 xml:space="preserve">pomoci pri úhrade výdavkov súvisiacich so zdravotným postihnutím, </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 xml:space="preserve">zdravotnej starostlivosti vrátane cenovo dostupných pomôcok pre občanov so zdravotným postihnutím, </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k formálnemu i neformálnemu vzdelávaniu a celo</w:t>
            </w:r>
            <w:r w:rsidRPr="00D00F18">
              <w:rPr>
                <w:rFonts w:ascii="Times New Roman" w:hAnsi="Times New Roman"/>
                <w:i/>
                <w:sz w:val="18"/>
                <w:szCs w:val="18"/>
                <w:lang w:eastAsia="sk-SK"/>
              </w:rPr>
              <w:softHyphen/>
              <w:t xml:space="preserve">životnému vzdelávaniu, </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bývaniu a súvisiacim základným komunálnym službám,</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doprave,</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ďalším službám najmä službám všeobecného záujmu a tovarom,</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spravodlivosti, právnej ochrane, právnym službám,</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informáciám,</w:t>
            </w:r>
          </w:p>
          <w:p w:rsidR="00D00F18" w:rsidRPr="00D00F18" w:rsidP="00AC2F0E">
            <w:pPr>
              <w:numPr>
                <w:ilvl w:val="0"/>
                <w:numId w:val="23"/>
              </w:numPr>
              <w:spacing w:after="0" w:line="240" w:lineRule="auto"/>
              <w:ind w:left="170" w:hanging="170"/>
              <w:jc w:val="both"/>
              <w:rPr>
                <w:i/>
                <w:sz w:val="20"/>
                <w:szCs w:val="20"/>
                <w:lang w:eastAsia="sk-SK"/>
              </w:rPr>
            </w:pPr>
            <w:r w:rsidRPr="00D00F18">
              <w:rPr>
                <w:rFonts w:ascii="Times New Roman" w:hAnsi="Times New Roman"/>
                <w:i/>
                <w:sz w:val="18"/>
                <w:szCs w:val="18"/>
                <w:lang w:eastAsia="sk-SK"/>
              </w:rPr>
              <w:t>k iným právam (napr. politickým).</w:t>
            </w:r>
          </w:p>
        </w:tc>
        <w:tc>
          <w:tcPr>
            <w:tcW w:w="2926" w:type="pct"/>
            <w:shd w:val="clear" w:color="auto" w:fill="auto"/>
          </w:tcPr>
          <w:p w:rsidR="00D00F18" w:rsidRPr="00D00F18" w:rsidP="00D00F18">
            <w:pPr>
              <w:spacing w:after="0" w:line="240" w:lineRule="auto"/>
              <w:jc w:val="both"/>
              <w:rPr>
                <w:rFonts w:ascii="Times New Roman" w:hAnsi="Times New Roman"/>
                <w:sz w:val="20"/>
                <w:szCs w:val="20"/>
                <w:lang w:eastAsia="sk-SK"/>
              </w:rPr>
            </w:pPr>
            <w:r w:rsidRPr="00D00F18">
              <w:rPr>
                <w:rFonts w:ascii="Times New Roman" w:hAnsi="Times New Roman"/>
                <w:sz w:val="20"/>
                <w:szCs w:val="20"/>
                <w:lang w:eastAsia="sk-SK"/>
              </w:rPr>
              <w:t>Predkladaný návrh zákona zvýši úroveň ochrany verejného zdravia v súvislosti s používaním pitnej vody.  Očakáva sa zvýšenie počtu obyvateľov, ktorý budú mať zabezpečenú zdravotne bezpečnú pitnú vodu z verejného vodovodu alebo iného zdroja.</w:t>
            </w:r>
          </w:p>
          <w:p w:rsidR="00D00F18" w:rsidRPr="00D00F18" w:rsidP="00D00F18">
            <w:pPr>
              <w:spacing w:after="0" w:line="240" w:lineRule="auto"/>
              <w:jc w:val="both"/>
              <w:rPr>
                <w:rFonts w:ascii="Times New Roman" w:hAnsi="Times New Roman"/>
                <w:sz w:val="20"/>
                <w:szCs w:val="20"/>
                <w:lang w:eastAsia="sk-SK"/>
              </w:rPr>
            </w:pPr>
          </w:p>
          <w:p w:rsidR="00D00F18" w:rsidRPr="00D00F18" w:rsidP="00D00F18">
            <w:pPr>
              <w:spacing w:after="0" w:line="240" w:lineRule="auto"/>
              <w:jc w:val="both"/>
              <w:rPr>
                <w:rFonts w:ascii="Times New Roman" w:hAnsi="Times New Roman"/>
                <w:sz w:val="20"/>
                <w:szCs w:val="20"/>
                <w:lang w:eastAsia="sk-SK"/>
              </w:rPr>
            </w:pPr>
          </w:p>
          <w:p w:rsidR="00D00F18" w:rsidRPr="00D00F18" w:rsidP="00D00F18">
            <w:pPr>
              <w:spacing w:after="0" w:line="240" w:lineRule="auto"/>
              <w:jc w:val="both"/>
              <w:rPr>
                <w:rFonts w:ascii="Times New Roman" w:hAnsi="Times New Roman"/>
                <w:sz w:val="20"/>
                <w:szCs w:val="20"/>
                <w:lang w:eastAsia="sk-SK"/>
              </w:rPr>
            </w:pPr>
            <w:r w:rsidRPr="00D00F18">
              <w:rPr>
                <w:rFonts w:ascii="Times New Roman" w:hAnsi="Times New Roman"/>
                <w:sz w:val="20"/>
                <w:szCs w:val="20"/>
                <w:lang w:eastAsia="sk-SK"/>
              </w:rPr>
              <w:t>Predkladaný návrh zákona umožní lepší prístup k informáciám o vplyve pitnej vody na zdravie a o jej význame pre ľudské zdravie. Môže to ovplyvniť postoj obyvateľov k využívaniu pitnej vody a k spotrebe balenej pitnej vody alebo vody z neoverených zdrojov napr. z vlastných studní, z ktorých cca 1/3 nevyhovuje požiadavkám na kvalitu. Môže sa tým predísť niektorým aj sporadickým ochoreniam napr. dusičnanová methemoglobinémia, kde boli zaznamenané aj prípady s fatálnymi následkami.</w:t>
            </w:r>
          </w:p>
          <w:p w:rsidR="00D00F18" w:rsidRPr="00D00F18" w:rsidP="00D00F18">
            <w:pPr>
              <w:spacing w:after="0" w:line="240" w:lineRule="auto"/>
              <w:jc w:val="both"/>
              <w:rPr>
                <w:rFonts w:ascii="Times New Roman" w:hAnsi="Times New Roman"/>
                <w:sz w:val="20"/>
                <w:szCs w:val="20"/>
                <w:lang w:eastAsia="sk-SK"/>
              </w:rPr>
            </w:pPr>
          </w:p>
          <w:p w:rsidR="00D00F18" w:rsidRPr="00D00F18" w:rsidP="00D00F18">
            <w:pPr>
              <w:spacing w:after="0" w:line="240" w:lineRule="auto"/>
              <w:jc w:val="both"/>
              <w:rPr>
                <w:rFonts w:ascii="Times New Roman" w:hAnsi="Times New Roman"/>
                <w:sz w:val="20"/>
                <w:szCs w:val="20"/>
                <w:lang w:eastAsia="sk-SK"/>
              </w:rPr>
            </w:pPr>
            <w:r w:rsidRPr="00D00F18">
              <w:rPr>
                <w:rFonts w:ascii="Times New Roman" w:hAnsi="Times New Roman"/>
                <w:sz w:val="20"/>
                <w:szCs w:val="20"/>
                <w:lang w:eastAsia="sk-SK"/>
              </w:rPr>
              <w:t>Rovnako sa zvýši ochrana pred prenosnými ochoreniami z pitnej vody.</w:t>
            </w:r>
          </w:p>
          <w:p w:rsidR="00D00F18" w:rsidRPr="00D00F18" w:rsidP="00D00F18">
            <w:pPr>
              <w:spacing w:after="0" w:line="240" w:lineRule="auto"/>
              <w:jc w:val="both"/>
              <w:rPr>
                <w:rFonts w:ascii="Times New Roman" w:hAnsi="Times New Roman"/>
                <w:sz w:val="20"/>
                <w:szCs w:val="20"/>
                <w:lang w:eastAsia="sk-SK"/>
              </w:rPr>
            </w:pPr>
          </w:p>
        </w:tc>
      </w:tr>
      <w:tr w:rsidTr="00D00F18">
        <w:tblPrEx>
          <w:tblW w:w="5241" w:type="pct"/>
          <w:jc w:val="center"/>
          <w:tblLayout w:type="fixed"/>
          <w:tblCellMar>
            <w:top w:w="28" w:type="dxa"/>
            <w:left w:w="91" w:type="dxa"/>
            <w:right w:w="91" w:type="dxa"/>
          </w:tblCellMar>
          <w:tblLook w:val="04A0"/>
        </w:tblPrEx>
        <w:trPr>
          <w:jc w:val="center"/>
        </w:trPr>
        <w:tc>
          <w:tcPr>
            <w:tcW w:w="180" w:type="pct"/>
            <w:tcBorders>
              <w:bottom w:val="single" w:sz="4" w:space="0" w:color="auto"/>
            </w:tcBorders>
            <w:shd w:val="clear" w:color="auto" w:fill="F2F2F2"/>
            <w:vAlign w:val="center"/>
          </w:tcPr>
          <w:p w:rsidR="00D00F18" w:rsidRPr="00D00F18" w:rsidP="00D00F18">
            <w:pPr>
              <w:spacing w:after="0" w:line="240" w:lineRule="auto"/>
              <w:rPr>
                <w:rFonts w:ascii="Times New Roman" w:hAnsi="Times New Roman"/>
                <w:i/>
                <w:sz w:val="18"/>
                <w:lang w:eastAsia="sk-SK"/>
              </w:rPr>
            </w:pPr>
            <w:r w:rsidRPr="00D00F18">
              <w:rPr>
                <w:rFonts w:ascii="Times New Roman" w:hAnsi="Times New Roman"/>
                <w:i/>
                <w:sz w:val="18"/>
                <w:lang w:eastAsia="sk-SK"/>
              </w:rPr>
              <w:t>b)</w:t>
            </w:r>
          </w:p>
        </w:tc>
        <w:tc>
          <w:tcPr>
            <w:tcW w:w="4819" w:type="pct"/>
            <w:gridSpan w:val="3"/>
            <w:tcBorders>
              <w:bottom w:val="single" w:sz="4" w:space="0" w:color="auto"/>
            </w:tcBorders>
            <w:shd w:val="clear" w:color="auto" w:fill="F2F2F2"/>
          </w:tcPr>
          <w:p w:rsidR="00D00F18" w:rsidRPr="00D00F18" w:rsidP="00D00F18">
            <w:pPr>
              <w:spacing w:after="0" w:line="240" w:lineRule="auto"/>
              <w:jc w:val="both"/>
              <w:rPr>
                <w:rFonts w:ascii="Times New Roman" w:hAnsi="Times New Roman"/>
                <w:i/>
                <w:sz w:val="20"/>
                <w:szCs w:val="20"/>
                <w:lang w:eastAsia="sk-SK"/>
              </w:rPr>
            </w:pPr>
            <w:r w:rsidRPr="00D00F18">
              <w:rPr>
                <w:rFonts w:ascii="Times New Roman" w:hAnsi="Times New Roman"/>
                <w:i/>
                <w:sz w:val="20"/>
                <w:szCs w:val="20"/>
                <w:lang w:eastAsia="sk-SK"/>
              </w:rPr>
              <w:t xml:space="preserve">Má návrh významný vplyv na niektorú zo zraniteľných skupín obyvateľstva alebo skupín v riziku chudoby alebo sociálneho vylúčenia? </w:t>
            </w:r>
          </w:p>
          <w:p w:rsidR="00D00F18" w:rsidRPr="00D00F18" w:rsidP="00D00F18">
            <w:pPr>
              <w:spacing w:after="0" w:line="240" w:lineRule="auto"/>
              <w:jc w:val="both"/>
              <w:rPr>
                <w:i/>
                <w:lang w:eastAsia="sk-SK"/>
              </w:rPr>
            </w:pPr>
            <w:r w:rsidRPr="00D00F18">
              <w:rPr>
                <w:rFonts w:ascii="Times New Roman" w:hAnsi="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Tr="00D00F18">
        <w:tblPrEx>
          <w:tblW w:w="5241" w:type="pct"/>
          <w:jc w:val="center"/>
          <w:tblBorders>
            <w:top w:val="none" w:sz="0" w:space="0" w:color="auto"/>
          </w:tblBorders>
          <w:tblLayout w:type="fixed"/>
          <w:tblCellMar>
            <w:top w:w="28" w:type="dxa"/>
            <w:left w:w="91" w:type="dxa"/>
            <w:right w:w="91" w:type="dxa"/>
          </w:tblCellMar>
          <w:tblLook w:val="04A0"/>
        </w:tblPrEx>
        <w:trPr>
          <w:trHeight w:val="677"/>
          <w:jc w:val="center"/>
        </w:trPr>
        <w:tc>
          <w:tcPr>
            <w:tcW w:w="179" w:type="pct"/>
            <w:shd w:val="clear" w:color="auto" w:fill="auto"/>
            <w:vAlign w:val="center"/>
          </w:tcPr>
          <w:p w:rsidR="00D00F18" w:rsidRPr="00D00F18" w:rsidP="00D00F18">
            <w:pPr>
              <w:spacing w:after="0" w:line="240" w:lineRule="auto"/>
              <w:rPr>
                <w:rFonts w:ascii="Times New Roman" w:hAnsi="Times New Roman"/>
                <w:i/>
                <w:sz w:val="18"/>
                <w:szCs w:val="18"/>
                <w:lang w:eastAsia="sk-SK"/>
              </w:rPr>
            </w:pPr>
            <w:r w:rsidRPr="00D00F18">
              <w:rPr>
                <w:rFonts w:ascii="Times New Roman" w:hAnsi="Times New Roman"/>
                <w:i/>
                <w:sz w:val="18"/>
                <w:szCs w:val="18"/>
                <w:lang w:eastAsia="sk-SK"/>
              </w:rPr>
              <w:t>c)</w:t>
            </w:r>
          </w:p>
        </w:tc>
        <w:tc>
          <w:tcPr>
            <w:tcW w:w="1849" w:type="pct"/>
            <w:shd w:val="clear" w:color="auto" w:fill="auto"/>
          </w:tcPr>
          <w:p w:rsidR="00D00F18" w:rsidRPr="00D00F18" w:rsidP="00D00F18">
            <w:pPr>
              <w:spacing w:after="0" w:line="240" w:lineRule="auto"/>
              <w:jc w:val="both"/>
              <w:rPr>
                <w:rFonts w:ascii="Times New Roman" w:hAnsi="Times New Roman"/>
                <w:i/>
                <w:sz w:val="18"/>
                <w:szCs w:val="18"/>
                <w:lang w:eastAsia="sk-SK"/>
              </w:rPr>
            </w:pPr>
            <w:r w:rsidRPr="00D00F18">
              <w:rPr>
                <w:rFonts w:ascii="Times New Roman" w:hAnsi="Times New Roman"/>
                <w:i/>
                <w:sz w:val="18"/>
                <w:szCs w:val="18"/>
                <w:lang w:eastAsia="sk-SK"/>
              </w:rPr>
              <w:t>Zraniteľné skupiny alebo skupiny v riziku chudoby alebo sociálneho vylúčenia sú napr.:</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nezamestnaní, najmä dlhodobo nezamestnaní, mladí nezamestnaní a nezamestnaní nad 50 rokov,</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deti (0 – 17),</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mladí ľudia (18 – 25 rokov),</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starší ľudia, napr. ľudia vo veku nad 65 rokov alebo dôchodcovia,</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ľudia so zdravotným postihnutím,</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 xml:space="preserve">marginalizované rómske komunity </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domácnosti s 3 a viac deťmi,</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jednorodičovské domácnosti s deťmi (neúplné rodiny, ktoré tvoria najmä osamelé matky s deťmi),</w:t>
            </w:r>
          </w:p>
          <w:p w:rsidR="00D00F18" w:rsidRPr="00D00F18" w:rsidP="00AC2F0E">
            <w:pPr>
              <w:numPr>
                <w:ilvl w:val="0"/>
                <w:numId w:val="23"/>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príslušníci tretích krajín, azylanti, žiadatelia o azyl,</w:t>
            </w:r>
          </w:p>
          <w:p w:rsidR="00D00F18" w:rsidRPr="00D00F18" w:rsidP="00AC2F0E">
            <w:pPr>
              <w:numPr>
                <w:ilvl w:val="0"/>
                <w:numId w:val="23"/>
              </w:numPr>
              <w:spacing w:after="0" w:line="240" w:lineRule="auto"/>
              <w:ind w:left="170" w:hanging="170"/>
              <w:jc w:val="both"/>
              <w:rPr>
                <w:rFonts w:ascii="Times New Roman" w:hAnsi="Times New Roman"/>
                <w:sz w:val="20"/>
                <w:lang w:eastAsia="sk-SK"/>
              </w:rPr>
            </w:pPr>
            <w:r w:rsidRPr="00D00F18">
              <w:rPr>
                <w:rFonts w:ascii="Times New Roman" w:hAnsi="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D00F18" w:rsidRPr="00D00F18" w:rsidP="00D00F18">
            <w:pPr>
              <w:spacing w:after="0" w:line="240" w:lineRule="auto"/>
              <w:jc w:val="both"/>
              <w:rPr>
                <w:rFonts w:ascii="Times New Roman" w:hAnsi="Times New Roman"/>
                <w:sz w:val="20"/>
                <w:lang w:eastAsia="sk-SK"/>
              </w:rPr>
            </w:pPr>
            <w:r w:rsidRPr="00D00F18">
              <w:rPr>
                <w:rFonts w:ascii="Times New Roman" w:hAnsi="Times New Roman"/>
                <w:sz w:val="20"/>
                <w:lang w:eastAsia="sk-SK"/>
              </w:rPr>
              <w:t>Vzhľadom na povinnosť prihliadať pri zabezpečení zásobovania pitnou vodou osobitne na zraniteľné a marginalizované skupiny sa predpokladá pozitívny vplyv. Pozitívny vplyv zabezpečenia pitnej vody pre tieto skupiny obyvateľstva môže mať pozitívny vplyv aj v dôsledku používania pitnej vody z overeného zdroja, ktorej cena je oveľa nižšia ako balená voda (pri súčasných cenách predstavuje tisícinu ceny balenej vody) a tiež v dôsledku možnosti jej využívania na hygienické účely, čím sa môže predísť k ochoreniam označovaných ako choroby špinavých rúk.</w:t>
            </w:r>
          </w:p>
        </w:tc>
      </w:tr>
    </w:tbl>
    <w:p w:rsidR="00D00F18" w:rsidRPr="00D00F18" w:rsidP="00D00F18">
      <w:pPr>
        <w:sectPr w:rsidSect="00D00F18">
          <w:headerReference w:type="default" r:id="rId25"/>
          <w:footnotePr>
            <w:numFmt w:val="chicago"/>
          </w:footnotePr>
          <w:type w:val="continuous"/>
          <w:pgSz w:w="11906" w:h="16838"/>
          <w:pgMar w:top="1134" w:right="1418" w:bottom="1134" w:left="1418" w:header="510" w:footer="567" w:gutter="0"/>
          <w:cols w:space="708"/>
          <w:formProt w:val="0"/>
          <w:docGrid w:linePitch="360"/>
        </w:sectPr>
      </w:pPr>
    </w:p>
    <w:tbl>
      <w:tblPr>
        <w:tblStyle w:val="TableNormal"/>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tblPr>
      <w:tblGrid>
        <w:gridCol w:w="264"/>
        <w:gridCol w:w="3515"/>
        <w:gridCol w:w="5592"/>
      </w:tblGrid>
      <w:tr w:rsidTr="00D00F18">
        <w:tblPrEx>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tblPrEx>
        <w:trPr>
          <w:jc w:val="center"/>
        </w:trPr>
        <w:tc>
          <w:tcPr>
            <w:tcW w:w="5000" w:type="pct"/>
            <w:gridSpan w:val="3"/>
            <w:shd w:val="clear" w:color="auto" w:fill="D9D9D9"/>
          </w:tcPr>
          <w:p w:rsidR="00D00F18" w:rsidRPr="00D00F18" w:rsidP="00D00F18">
            <w:pPr>
              <w:spacing w:after="0" w:line="240" w:lineRule="auto"/>
              <w:rPr>
                <w:rFonts w:ascii="Times New Roman" w:hAnsi="Times New Roman"/>
                <w:b/>
                <w:sz w:val="24"/>
                <w:szCs w:val="24"/>
              </w:rPr>
            </w:pPr>
            <w:r w:rsidRPr="00D00F18">
              <w:rPr>
                <w:rFonts w:ascii="Times New Roman" w:hAnsi="Times New Roman"/>
                <w:b/>
                <w:sz w:val="24"/>
                <w:szCs w:val="24"/>
              </w:rPr>
              <w:t>4.3 Identifikujte a popíšte vplyv na rovnosť príležitostí.</w:t>
            </w:r>
          </w:p>
          <w:p w:rsidR="00D00F18" w:rsidRPr="00D00F18" w:rsidP="00D00F18">
            <w:pPr>
              <w:spacing w:after="0" w:line="240" w:lineRule="auto"/>
              <w:ind w:left="340"/>
              <w:jc w:val="both"/>
              <w:rPr>
                <w:sz w:val="24"/>
                <w:szCs w:val="24"/>
              </w:rPr>
            </w:pPr>
            <w:r w:rsidRPr="00D00F18">
              <w:rPr>
                <w:rFonts w:ascii="Times New Roman" w:hAnsi="Times New Roman"/>
                <w:b/>
                <w:sz w:val="24"/>
                <w:szCs w:val="24"/>
              </w:rPr>
              <w:t>Identifikujte, popíšte a kvantifikujte vplyv na rovnosť žien a mužov.</w:t>
            </w:r>
          </w:p>
        </w:tc>
      </w:tr>
      <w:tr w:rsidTr="00D00F18">
        <w:tblPrEx>
          <w:tblW w:w="5102" w:type="pct"/>
          <w:jc w:val="center"/>
          <w:tblCellMar>
            <w:top w:w="28" w:type="dxa"/>
            <w:left w:w="57" w:type="dxa"/>
            <w:right w:w="57" w:type="dxa"/>
          </w:tblCellMar>
          <w:tblLook w:val="04A0"/>
        </w:tblPrEx>
        <w:trPr>
          <w:jc w:val="center"/>
        </w:trPr>
        <w:tc>
          <w:tcPr>
            <w:tcW w:w="132" w:type="pct"/>
            <w:tcBorders>
              <w:bottom w:val="single" w:sz="4" w:space="0" w:color="auto"/>
            </w:tcBorders>
            <w:shd w:val="clear" w:color="auto" w:fill="F2F2F2"/>
            <w:vAlign w:val="center"/>
          </w:tcPr>
          <w:p w:rsidR="00D00F18" w:rsidRPr="00D00F18" w:rsidP="00D00F18">
            <w:pPr>
              <w:spacing w:after="0" w:line="240" w:lineRule="auto"/>
              <w:rPr>
                <w:rFonts w:ascii="Times New Roman" w:hAnsi="Times New Roman"/>
                <w:i/>
                <w:sz w:val="24"/>
                <w:szCs w:val="24"/>
              </w:rPr>
            </w:pPr>
            <w:r w:rsidRPr="00D00F18">
              <w:rPr>
                <w:rFonts w:ascii="Times New Roman" w:hAnsi="Times New Roman"/>
                <w:i/>
                <w:sz w:val="18"/>
                <w:szCs w:val="24"/>
              </w:rPr>
              <w:t>a)</w:t>
            </w:r>
          </w:p>
        </w:tc>
        <w:tc>
          <w:tcPr>
            <w:tcW w:w="4868" w:type="pct"/>
            <w:gridSpan w:val="2"/>
            <w:tcBorders>
              <w:bottom w:val="single" w:sz="4" w:space="0" w:color="auto"/>
            </w:tcBorders>
            <w:shd w:val="clear" w:color="auto" w:fill="F2F2F2"/>
          </w:tcPr>
          <w:p w:rsidR="00D00F18" w:rsidRPr="00D00F18" w:rsidP="00D00F18">
            <w:pPr>
              <w:spacing w:after="0" w:line="240" w:lineRule="auto"/>
              <w:jc w:val="both"/>
              <w:rPr>
                <w:rFonts w:ascii="Times New Roman" w:hAnsi="Times New Roman"/>
                <w:i/>
                <w:sz w:val="24"/>
                <w:szCs w:val="24"/>
              </w:rPr>
            </w:pPr>
            <w:r w:rsidRPr="00D00F18">
              <w:rPr>
                <w:rFonts w:ascii="Times New Roman" w:hAnsi="Times New Roman"/>
                <w:i/>
                <w:sz w:val="20"/>
                <w:szCs w:val="24"/>
              </w:rPr>
              <w:t>3.3.1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Tr="00D00F18">
        <w:tblPrEx>
          <w:tblW w:w="5102" w:type="pct"/>
          <w:jc w:val="center"/>
          <w:tblCellMar>
            <w:top w:w="28" w:type="dxa"/>
            <w:left w:w="57" w:type="dxa"/>
            <w:right w:w="57" w:type="dxa"/>
          </w:tblCellMar>
          <w:tblLook w:val="04A0"/>
        </w:tblPrEx>
        <w:trPr>
          <w:trHeight w:val="928"/>
          <w:jc w:val="center"/>
        </w:trPr>
        <w:tc>
          <w:tcPr>
            <w:tcW w:w="132" w:type="pct"/>
            <w:tcBorders>
              <w:top w:val="nil"/>
              <w:bottom w:val="nil"/>
            </w:tcBorders>
            <w:shd w:val="clear" w:color="auto" w:fill="auto"/>
          </w:tcPr>
          <w:p w:rsidR="00D00F18" w:rsidRPr="00D00F18" w:rsidP="00D00F18">
            <w:pPr>
              <w:spacing w:after="0" w:line="240" w:lineRule="auto"/>
              <w:rPr>
                <w:rFonts w:ascii="Times New Roman" w:hAnsi="Times New Roman"/>
                <w:sz w:val="20"/>
              </w:rPr>
            </w:pPr>
          </w:p>
          <w:p w:rsidR="00D00F18" w:rsidRPr="00D00F18" w:rsidP="00D00F18">
            <w:pPr>
              <w:spacing w:after="0" w:line="240" w:lineRule="auto"/>
              <w:rPr>
                <w:rFonts w:ascii="Times New Roman" w:hAnsi="Times New Roman"/>
                <w:i/>
                <w:sz w:val="20"/>
              </w:rPr>
            </w:pPr>
          </w:p>
          <w:p w:rsidR="00D00F18" w:rsidRPr="00D00F18" w:rsidP="00D00F18">
            <w:pPr>
              <w:spacing w:after="0" w:line="240" w:lineRule="auto"/>
              <w:rPr>
                <w:rFonts w:ascii="Times New Roman" w:hAnsi="Times New Roman"/>
                <w:i/>
                <w:sz w:val="20"/>
              </w:rPr>
            </w:pPr>
          </w:p>
          <w:p w:rsidR="00D00F18" w:rsidRPr="00D00F18" w:rsidP="00D00F18">
            <w:pPr>
              <w:spacing w:after="0" w:line="240" w:lineRule="auto"/>
              <w:rPr>
                <w:rFonts w:ascii="Times New Roman" w:hAnsi="Times New Roman"/>
                <w:i/>
                <w:sz w:val="18"/>
              </w:rPr>
            </w:pPr>
            <w:r w:rsidRPr="00D00F18">
              <w:rPr>
                <w:rFonts w:ascii="Times New Roman" w:hAnsi="Times New Roman"/>
                <w:i/>
                <w:sz w:val="18"/>
              </w:rPr>
              <w:t>b)</w:t>
            </w:r>
          </w:p>
          <w:p w:rsidR="00D00F18" w:rsidRPr="00D00F18" w:rsidP="00D00F18">
            <w:pPr>
              <w:spacing w:after="0" w:line="240" w:lineRule="auto"/>
              <w:rPr>
                <w:rFonts w:ascii="Times New Roman" w:hAnsi="Times New Roman"/>
                <w:i/>
                <w:sz w:val="20"/>
              </w:rPr>
            </w:pPr>
          </w:p>
          <w:p w:rsidR="00D00F18" w:rsidRPr="00D00F18" w:rsidP="00D00F18">
            <w:pPr>
              <w:spacing w:after="0" w:line="240" w:lineRule="auto"/>
              <w:rPr>
                <w:rFonts w:ascii="Times New Roman" w:hAnsi="Times New Roman"/>
                <w:i/>
                <w:sz w:val="20"/>
              </w:rPr>
            </w:pPr>
          </w:p>
          <w:p w:rsidR="00D00F18" w:rsidRPr="00D00F18" w:rsidP="00D00F18">
            <w:pPr>
              <w:spacing w:after="0" w:line="240" w:lineRule="auto"/>
              <w:rPr>
                <w:rFonts w:ascii="Times New Roman" w:hAnsi="Times New Roman"/>
                <w:i/>
                <w:sz w:val="20"/>
              </w:rPr>
            </w:pPr>
          </w:p>
        </w:tc>
        <w:tc>
          <w:tcPr>
            <w:tcW w:w="4868" w:type="pct"/>
            <w:gridSpan w:val="2"/>
            <w:tcBorders>
              <w:top w:val="nil"/>
              <w:bottom w:val="nil"/>
            </w:tcBorders>
            <w:shd w:val="clear" w:color="auto" w:fill="auto"/>
          </w:tcPr>
          <w:p w:rsidR="00D00F18" w:rsidRPr="00D00F18" w:rsidP="00D00F18">
            <w:pPr>
              <w:rPr>
                <w:rFonts w:ascii="Times New Roman" w:hAnsi="Times New Roman"/>
                <w:iCs/>
                <w:sz w:val="20"/>
              </w:rPr>
            </w:pPr>
            <w:r w:rsidRPr="00D00F18">
              <w:rPr>
                <w:rFonts w:ascii="Times New Roman" w:hAnsi="Times New Roman"/>
                <w:iCs/>
                <w:sz w:val="20"/>
              </w:rPr>
              <w:t xml:space="preserve">Bez vplyvu. </w:t>
            </w:r>
          </w:p>
          <w:p w:rsidR="00D00F18" w:rsidRPr="00D00F18" w:rsidP="00D00F18">
            <w:pPr>
              <w:spacing w:after="0" w:line="240" w:lineRule="auto"/>
              <w:rPr>
                <w:rFonts w:ascii="Times New Roman" w:hAnsi="Times New Roman"/>
                <w:i/>
                <w:sz w:val="20"/>
              </w:rPr>
            </w:pPr>
          </w:p>
        </w:tc>
      </w:tr>
      <w:tr w:rsidTr="00D00F18">
        <w:tblPrEx>
          <w:tblW w:w="5102" w:type="pct"/>
          <w:jc w:val="center"/>
          <w:tblCellMar>
            <w:top w:w="28" w:type="dxa"/>
            <w:left w:w="57" w:type="dxa"/>
            <w:right w:w="57" w:type="dxa"/>
          </w:tblCellMar>
          <w:tblLook w:val="04A0"/>
        </w:tblPrEx>
        <w:trPr>
          <w:trHeight w:val="345"/>
          <w:jc w:val="center"/>
        </w:trPr>
        <w:tc>
          <w:tcPr>
            <w:tcW w:w="132" w:type="pct"/>
            <w:tcBorders>
              <w:bottom w:val="single" w:sz="4" w:space="0" w:color="auto"/>
            </w:tcBorders>
            <w:shd w:val="clear" w:color="auto" w:fill="F2F2F2"/>
            <w:vAlign w:val="center"/>
          </w:tcPr>
          <w:p w:rsidR="00D00F18" w:rsidRPr="00D00F18" w:rsidP="00D00F18">
            <w:pPr>
              <w:spacing w:after="0" w:line="240" w:lineRule="auto"/>
              <w:rPr>
                <w:rFonts w:ascii="Times New Roman" w:hAnsi="Times New Roman"/>
                <w:i/>
                <w:sz w:val="18"/>
                <w:szCs w:val="18"/>
              </w:rPr>
            </w:pPr>
            <w:r w:rsidRPr="00D00F18">
              <w:rPr>
                <w:rFonts w:ascii="Times New Roman" w:hAnsi="Times New Roman"/>
                <w:i/>
                <w:sz w:val="18"/>
                <w:szCs w:val="18"/>
              </w:rPr>
              <w:t>c)</w:t>
            </w:r>
          </w:p>
        </w:tc>
        <w:tc>
          <w:tcPr>
            <w:tcW w:w="4868" w:type="pct"/>
            <w:gridSpan w:val="2"/>
            <w:tcBorders>
              <w:bottom w:val="single" w:sz="4" w:space="0" w:color="auto"/>
            </w:tcBorders>
            <w:shd w:val="clear" w:color="auto" w:fill="F2F2F2"/>
            <w:vAlign w:val="center"/>
          </w:tcPr>
          <w:p w:rsidR="00D00F18" w:rsidRPr="00D00F18" w:rsidP="00D00F18">
            <w:pPr>
              <w:spacing w:after="0" w:line="240" w:lineRule="auto"/>
              <w:rPr>
                <w:rFonts w:ascii="Times New Roman" w:hAnsi="Times New Roman"/>
                <w:i/>
                <w:sz w:val="20"/>
                <w:szCs w:val="20"/>
              </w:rPr>
            </w:pPr>
            <w:r w:rsidRPr="00D00F18">
              <w:rPr>
                <w:rFonts w:ascii="Times New Roman" w:hAnsi="Times New Roman"/>
                <w:i/>
                <w:sz w:val="20"/>
                <w:szCs w:val="20"/>
              </w:rPr>
              <w:t xml:space="preserve">3.3.2 Môže návrh viesť k zväčšovaniu nerovností medzi ženami a mužmi? </w:t>
            </w:r>
            <w:r w:rsidRPr="00D00F18">
              <w:rPr>
                <w:rFonts w:ascii="Times New Roman" w:hAnsi="Times New Roman"/>
                <w:i/>
                <w:sz w:val="20"/>
                <w:szCs w:val="24"/>
              </w:rPr>
              <w:t xml:space="preserve">Podporuje návrh rovnosť príležitostí? </w:t>
            </w:r>
            <w:r w:rsidRPr="00D00F18">
              <w:rPr>
                <w:rFonts w:ascii="Times New Roman" w:hAnsi="Times New Roman"/>
                <w:i/>
                <w:sz w:val="20"/>
                <w:szCs w:val="20"/>
              </w:rPr>
              <w:t>Má návrh odlišný vplyv na ženy a mužov? Popíšte vplyvy.</w:t>
            </w:r>
          </w:p>
        </w:tc>
      </w:tr>
      <w:tr w:rsidTr="00D00F18">
        <w:tblPrEx>
          <w:tblW w:w="5102" w:type="pct"/>
          <w:jc w:val="center"/>
          <w:tblBorders>
            <w:top w:val="none" w:sz="0" w:space="0" w:color="auto"/>
            <w:bottom w:val="none" w:sz="0" w:space="0" w:color="auto"/>
          </w:tblBorders>
          <w:tblCellMar>
            <w:top w:w="28" w:type="dxa"/>
            <w:left w:w="57" w:type="dxa"/>
            <w:right w:w="57" w:type="dxa"/>
          </w:tblCellMar>
          <w:tblLook w:val="04A0"/>
        </w:tblPrEx>
        <w:trPr>
          <w:trHeight w:val="372"/>
          <w:jc w:val="center"/>
        </w:trPr>
        <w:tc>
          <w:tcPr>
            <w:tcW w:w="132" w:type="pct"/>
            <w:shd w:val="clear" w:color="auto" w:fill="auto"/>
            <w:vAlign w:val="center"/>
          </w:tcPr>
          <w:p w:rsidR="00D00F18" w:rsidRPr="00D00F18" w:rsidP="00D00F18">
            <w:pPr>
              <w:spacing w:after="0" w:line="240" w:lineRule="auto"/>
              <w:rPr>
                <w:rFonts w:ascii="Times New Roman" w:hAnsi="Times New Roman"/>
                <w:i/>
                <w:sz w:val="18"/>
                <w:szCs w:val="18"/>
                <w:lang w:eastAsia="sk-SK"/>
              </w:rPr>
            </w:pPr>
            <w:r w:rsidRPr="00D00F18">
              <w:rPr>
                <w:rFonts w:ascii="Times New Roman" w:hAnsi="Times New Roman"/>
                <w:i/>
                <w:sz w:val="18"/>
                <w:szCs w:val="18"/>
                <w:lang w:eastAsia="sk-SK"/>
              </w:rPr>
              <w:t>d)</w:t>
            </w:r>
          </w:p>
        </w:tc>
        <w:tc>
          <w:tcPr>
            <w:tcW w:w="1880" w:type="pct"/>
            <w:shd w:val="clear" w:color="auto" w:fill="auto"/>
          </w:tcPr>
          <w:p w:rsidR="00D00F18" w:rsidRPr="00D00F18" w:rsidP="00D00F18">
            <w:pPr>
              <w:spacing w:after="0" w:line="240" w:lineRule="auto"/>
              <w:jc w:val="both"/>
              <w:rPr>
                <w:rFonts w:ascii="Times New Roman" w:hAnsi="Times New Roman"/>
                <w:i/>
                <w:sz w:val="18"/>
                <w:szCs w:val="18"/>
              </w:rPr>
            </w:pPr>
            <w:r w:rsidRPr="00D00F18">
              <w:rPr>
                <w:rFonts w:ascii="Times New Roman" w:hAnsi="Times New Roman"/>
                <w:i/>
                <w:sz w:val="18"/>
                <w:szCs w:val="18"/>
              </w:rPr>
              <w:t>Popíšte riziká návrhu, ktoré môžu viesť k zväčšovaniu nerovností:</w:t>
            </w:r>
          </w:p>
        </w:tc>
        <w:tc>
          <w:tcPr>
            <w:tcW w:w="2988" w:type="pct"/>
            <w:shd w:val="clear" w:color="auto" w:fill="auto"/>
          </w:tcPr>
          <w:p w:rsidR="00D00F18" w:rsidRPr="00D00F18" w:rsidP="00D00F18">
            <w:pPr>
              <w:spacing w:after="0" w:line="240" w:lineRule="auto"/>
              <w:jc w:val="both"/>
              <w:rPr>
                <w:rFonts w:ascii="Times New Roman" w:hAnsi="Times New Roman"/>
                <w:sz w:val="20"/>
              </w:rPr>
            </w:pPr>
            <w:r w:rsidRPr="00D00F18">
              <w:rPr>
                <w:rFonts w:ascii="Times New Roman" w:hAnsi="Times New Roman"/>
                <w:sz w:val="20"/>
              </w:rPr>
              <w:t>Bez vplyvu.</w:t>
            </w:r>
          </w:p>
        </w:tc>
      </w:tr>
      <w:tr w:rsidTr="00D00F18">
        <w:tblPrEx>
          <w:tblW w:w="5102" w:type="pct"/>
          <w:jc w:val="center"/>
          <w:tblBorders>
            <w:top w:val="none" w:sz="0" w:space="0" w:color="auto"/>
            <w:bottom w:val="none" w:sz="0" w:space="0" w:color="auto"/>
          </w:tblBorders>
          <w:tblCellMar>
            <w:top w:w="28" w:type="dxa"/>
            <w:left w:w="57" w:type="dxa"/>
            <w:right w:w="57" w:type="dxa"/>
          </w:tblCellMar>
          <w:tblLook w:val="04A0"/>
        </w:tblPrEx>
        <w:trPr>
          <w:trHeight w:val="371"/>
          <w:jc w:val="center"/>
        </w:trPr>
        <w:tc>
          <w:tcPr>
            <w:tcW w:w="132" w:type="pct"/>
            <w:shd w:val="clear" w:color="auto" w:fill="auto"/>
            <w:vAlign w:val="center"/>
          </w:tcPr>
          <w:p w:rsidR="00D00F18" w:rsidRPr="00D00F18" w:rsidP="00D00F18">
            <w:pPr>
              <w:spacing w:after="0" w:line="240" w:lineRule="auto"/>
              <w:rPr>
                <w:rFonts w:ascii="Times New Roman" w:hAnsi="Times New Roman"/>
                <w:i/>
                <w:sz w:val="18"/>
                <w:szCs w:val="18"/>
              </w:rPr>
            </w:pPr>
            <w:r w:rsidRPr="00D00F18">
              <w:rPr>
                <w:rFonts w:ascii="Times New Roman" w:hAnsi="Times New Roman"/>
                <w:i/>
                <w:sz w:val="18"/>
                <w:szCs w:val="18"/>
              </w:rPr>
              <w:t>e)</w:t>
            </w:r>
          </w:p>
        </w:tc>
        <w:tc>
          <w:tcPr>
            <w:tcW w:w="1880" w:type="pct"/>
            <w:shd w:val="clear" w:color="auto" w:fill="auto"/>
          </w:tcPr>
          <w:p w:rsidR="00D00F18" w:rsidRPr="00D00F18" w:rsidP="00D00F18">
            <w:pPr>
              <w:spacing w:after="0" w:line="240" w:lineRule="auto"/>
              <w:jc w:val="both"/>
              <w:rPr>
                <w:rFonts w:ascii="Times New Roman" w:hAnsi="Times New Roman"/>
                <w:i/>
                <w:sz w:val="18"/>
                <w:szCs w:val="18"/>
              </w:rPr>
            </w:pPr>
            <w:r w:rsidRPr="00D00F18">
              <w:rPr>
                <w:rFonts w:ascii="Times New Roman" w:hAnsi="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D00F18" w:rsidRPr="00D00F18" w:rsidP="00D00F18">
            <w:pPr>
              <w:spacing w:after="0" w:line="240" w:lineRule="auto"/>
              <w:jc w:val="both"/>
              <w:rPr>
                <w:rFonts w:ascii="Times New Roman" w:hAnsi="Times New Roman"/>
                <w:iCs/>
                <w:sz w:val="18"/>
                <w:szCs w:val="18"/>
              </w:rPr>
            </w:pPr>
            <w:r w:rsidRPr="00D00F18">
              <w:rPr>
                <w:rFonts w:ascii="Times New Roman" w:hAnsi="Times New Roman"/>
                <w:sz w:val="20"/>
              </w:rPr>
              <w:t>Bez vplyvu.</w:t>
            </w:r>
          </w:p>
        </w:tc>
      </w:tr>
      <w:tr w:rsidTr="00D00F18">
        <w:tblPrEx>
          <w:tblW w:w="5102" w:type="pct"/>
          <w:jc w:val="center"/>
          <w:tblBorders>
            <w:top w:val="none" w:sz="0" w:space="0" w:color="auto"/>
            <w:bottom w:val="none" w:sz="0" w:space="0" w:color="auto"/>
          </w:tblBorders>
          <w:tblCellMar>
            <w:top w:w="28" w:type="dxa"/>
            <w:left w:w="57" w:type="dxa"/>
            <w:right w:w="57" w:type="dxa"/>
          </w:tblCellMar>
          <w:tblLook w:val="04A0"/>
        </w:tblPrEx>
        <w:trPr>
          <w:trHeight w:val="371"/>
          <w:jc w:val="center"/>
        </w:trPr>
        <w:tc>
          <w:tcPr>
            <w:tcW w:w="132" w:type="pct"/>
            <w:tcBorders>
              <w:bottom w:val="single" w:sz="4" w:space="0" w:color="auto"/>
            </w:tcBorders>
            <w:shd w:val="clear" w:color="auto" w:fill="auto"/>
            <w:vAlign w:val="center"/>
          </w:tcPr>
          <w:p w:rsidR="00D00F18" w:rsidRPr="00D00F18" w:rsidP="00D00F18">
            <w:pPr>
              <w:spacing w:after="0" w:line="240" w:lineRule="auto"/>
              <w:rPr>
                <w:rFonts w:ascii="Times New Roman" w:hAnsi="Times New Roman"/>
                <w:i/>
                <w:sz w:val="18"/>
                <w:szCs w:val="18"/>
              </w:rPr>
            </w:pPr>
            <w:r w:rsidRPr="00D00F18">
              <w:rPr>
                <w:rFonts w:ascii="Times New Roman" w:hAnsi="Times New Roman"/>
                <w:i/>
                <w:sz w:val="18"/>
                <w:szCs w:val="18"/>
              </w:rPr>
              <w:t>f)</w:t>
            </w:r>
          </w:p>
        </w:tc>
        <w:tc>
          <w:tcPr>
            <w:tcW w:w="1880" w:type="pct"/>
            <w:tcBorders>
              <w:bottom w:val="single" w:sz="4" w:space="0" w:color="auto"/>
            </w:tcBorders>
            <w:shd w:val="clear" w:color="auto" w:fill="auto"/>
          </w:tcPr>
          <w:p w:rsidR="00D00F18" w:rsidRPr="00D00F18" w:rsidP="00D00F18">
            <w:pPr>
              <w:spacing w:after="0" w:line="240" w:lineRule="auto"/>
              <w:jc w:val="both"/>
              <w:rPr>
                <w:rFonts w:ascii="Times New Roman" w:hAnsi="Times New Roman"/>
                <w:i/>
                <w:sz w:val="18"/>
                <w:szCs w:val="18"/>
              </w:rPr>
            </w:pPr>
            <w:r w:rsidRPr="00D00F18">
              <w:rPr>
                <w:rFonts w:ascii="Times New Roman" w:hAnsi="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D00F18" w:rsidRPr="00D00F18" w:rsidP="00D00F18">
            <w:pPr>
              <w:spacing w:after="0" w:line="240" w:lineRule="auto"/>
              <w:jc w:val="both"/>
              <w:rPr>
                <w:rFonts w:ascii="Times New Roman" w:hAnsi="Times New Roman"/>
                <w:i/>
                <w:sz w:val="18"/>
                <w:szCs w:val="18"/>
              </w:rPr>
            </w:pPr>
            <w:r w:rsidRPr="00D00F18">
              <w:rPr>
                <w:rFonts w:ascii="Times New Roman" w:hAnsi="Times New Roman"/>
                <w:sz w:val="20"/>
              </w:rPr>
              <w:t>Bez vplyvu.</w:t>
            </w:r>
          </w:p>
        </w:tc>
      </w:tr>
      <w:tr w:rsidTr="00D00F18">
        <w:tblPrEx>
          <w:tblW w:w="5102" w:type="pct"/>
          <w:jc w:val="center"/>
          <w:tblBorders>
            <w:top w:val="none" w:sz="0" w:space="0" w:color="auto"/>
            <w:bottom w:val="none" w:sz="0" w:space="0" w:color="auto"/>
          </w:tblBorders>
          <w:tblCellMar>
            <w:top w:w="28" w:type="dxa"/>
            <w:left w:w="57" w:type="dxa"/>
            <w:right w:w="57" w:type="dxa"/>
          </w:tblCellMar>
          <w:tblLook w:val="04A0"/>
        </w:tblPrEx>
        <w:trPr>
          <w:trHeight w:val="1235"/>
          <w:jc w:val="center"/>
        </w:trPr>
        <w:tc>
          <w:tcPr>
            <w:tcW w:w="132" w:type="pct"/>
            <w:tcBorders>
              <w:top w:val="single" w:sz="4" w:space="0" w:color="auto"/>
              <w:bottom w:val="single" w:sz="4" w:space="0" w:color="auto"/>
            </w:tcBorders>
            <w:shd w:val="clear" w:color="auto" w:fill="auto"/>
            <w:vAlign w:val="center"/>
          </w:tcPr>
          <w:p w:rsidR="00D00F18" w:rsidRPr="00D00F18" w:rsidP="00D00F18">
            <w:pPr>
              <w:spacing w:after="0" w:line="240" w:lineRule="auto"/>
              <w:rPr>
                <w:rFonts w:ascii="Times New Roman" w:hAnsi="Times New Roman"/>
                <w:i/>
                <w:sz w:val="18"/>
                <w:szCs w:val="18"/>
              </w:rPr>
            </w:pPr>
            <w:r w:rsidRPr="00D00F18">
              <w:rPr>
                <w:rFonts w:ascii="Times New Roman" w:hAnsi="Times New Roman"/>
                <w:i/>
                <w:sz w:val="18"/>
                <w:szCs w:val="18"/>
              </w:rPr>
              <w:t>g)</w:t>
            </w:r>
          </w:p>
        </w:tc>
        <w:tc>
          <w:tcPr>
            <w:tcW w:w="1880" w:type="pct"/>
            <w:tcBorders>
              <w:top w:val="single" w:sz="4" w:space="0" w:color="auto"/>
              <w:bottom w:val="single" w:sz="4" w:space="0" w:color="auto"/>
            </w:tcBorders>
            <w:shd w:val="clear" w:color="auto" w:fill="auto"/>
          </w:tcPr>
          <w:p w:rsidR="00D00F18" w:rsidRPr="00D00F18" w:rsidP="00D00F18">
            <w:pPr>
              <w:spacing w:after="0" w:line="240" w:lineRule="auto"/>
              <w:jc w:val="both"/>
              <w:rPr>
                <w:rFonts w:ascii="Times New Roman" w:hAnsi="Times New Roman"/>
                <w:i/>
                <w:sz w:val="18"/>
                <w:szCs w:val="18"/>
              </w:rPr>
            </w:pPr>
            <w:r w:rsidRPr="00D00F18">
              <w:rPr>
                <w:rFonts w:ascii="Times New Roman" w:hAnsi="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D00F18" w:rsidRPr="00D00F18" w:rsidP="00D00F18">
            <w:pPr>
              <w:spacing w:after="0" w:line="240" w:lineRule="auto"/>
              <w:jc w:val="both"/>
              <w:rPr>
                <w:rFonts w:ascii="Times New Roman" w:eastAsia="Times New Roman" w:hAnsi="Times New Roman"/>
                <w:sz w:val="27"/>
                <w:szCs w:val="27"/>
              </w:rPr>
            </w:pPr>
            <w:r w:rsidRPr="00D00F18">
              <w:rPr>
                <w:rFonts w:ascii="Times New Roman" w:hAnsi="Times New Roman"/>
                <w:i/>
                <w:sz w:val="18"/>
                <w:szCs w:val="18"/>
              </w:rPr>
              <w:t xml:space="preserve">V ktorých oblastiach podpory rovnosti žien a mužov návrh odstraňuje prekážky a/alebo podporuje rovnosť žien a mužov? </w:t>
            </w:r>
            <w:r w:rsidRPr="00D00F18">
              <w:rPr>
                <w:rFonts w:ascii="Times New Roman" w:eastAsia="Times New Roman" w:hAnsi="Times New Roman"/>
                <w:i/>
                <w:iCs/>
                <w:sz w:val="18"/>
                <w:szCs w:val="18"/>
              </w:rPr>
              <w:t>Medzi oblasti podpory rovnosti žien a mužov okrem iného patria:</w:t>
            </w:r>
          </w:p>
          <w:p w:rsidR="00D00F18" w:rsidRPr="00D00F18" w:rsidP="00AC2F0E">
            <w:pPr>
              <w:numPr>
                <w:ilvl w:val="0"/>
                <w:numId w:val="24"/>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podpora slobodného výberu povolania a ekonomickej činnosti</w:t>
            </w:r>
          </w:p>
          <w:p w:rsidR="00D00F18" w:rsidRPr="00D00F18" w:rsidP="00AC2F0E">
            <w:pPr>
              <w:numPr>
                <w:ilvl w:val="0"/>
                <w:numId w:val="24"/>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 xml:space="preserve">podpora vyrovnávania ekonomickej nezávislosti, </w:t>
            </w:r>
          </w:p>
          <w:p w:rsidR="00D00F18" w:rsidRPr="00D00F18" w:rsidP="00AC2F0E">
            <w:pPr>
              <w:numPr>
                <w:ilvl w:val="0"/>
                <w:numId w:val="24"/>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 xml:space="preserve">zosúladenie pracovného, súkromného a rodinného života, </w:t>
            </w:r>
          </w:p>
          <w:p w:rsidR="00D00F18" w:rsidRPr="00D00F18" w:rsidP="00AC2F0E">
            <w:pPr>
              <w:numPr>
                <w:ilvl w:val="0"/>
                <w:numId w:val="24"/>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 xml:space="preserve">podpora rovnosti príležitostí pri participácii na rozhodovaní, </w:t>
            </w:r>
          </w:p>
          <w:p w:rsidR="00D00F18" w:rsidRPr="00D00F18" w:rsidP="00AC2F0E">
            <w:pPr>
              <w:numPr>
                <w:ilvl w:val="0"/>
                <w:numId w:val="24"/>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 xml:space="preserve">boj proti domácemu násiliu,  násiliu na ženách  a obchodovaniu s ľuďmi, </w:t>
            </w:r>
          </w:p>
          <w:p w:rsidR="00D00F18" w:rsidRPr="00D00F18" w:rsidP="00AC2F0E">
            <w:pPr>
              <w:numPr>
                <w:ilvl w:val="0"/>
                <w:numId w:val="24"/>
              </w:numPr>
              <w:spacing w:after="0" w:line="240" w:lineRule="auto"/>
              <w:ind w:left="170" w:hanging="170"/>
              <w:jc w:val="both"/>
              <w:rPr>
                <w:rFonts w:ascii="Times New Roman" w:hAnsi="Times New Roman"/>
                <w:i/>
                <w:sz w:val="18"/>
                <w:szCs w:val="18"/>
                <w:lang w:eastAsia="sk-SK"/>
              </w:rPr>
            </w:pPr>
            <w:r w:rsidRPr="00D00F18">
              <w:rPr>
                <w:rFonts w:ascii="Times New Roman" w:hAnsi="Times New Roman"/>
                <w:i/>
                <w:sz w:val="18"/>
                <w:szCs w:val="18"/>
                <w:lang w:eastAsia="sk-SK"/>
              </w:rPr>
              <w:t>podpora vnímania osobnej starostlivosti o dieťa za rovnocennú s ekonomickou činnosťou a podpora neviditeľnej práce v domácnosti ako takej,</w:t>
            </w:r>
          </w:p>
          <w:p w:rsidR="00D00F18" w:rsidRPr="00D00F18" w:rsidP="00AC2F0E">
            <w:pPr>
              <w:numPr>
                <w:ilvl w:val="0"/>
                <w:numId w:val="24"/>
              </w:numPr>
              <w:spacing w:after="0" w:line="240" w:lineRule="auto"/>
              <w:ind w:left="170" w:hanging="170"/>
              <w:jc w:val="both"/>
              <w:rPr>
                <w:rFonts w:ascii="Times New Roman" w:hAnsi="Times New Roman"/>
                <w:i/>
                <w:sz w:val="18"/>
                <w:szCs w:val="18"/>
              </w:rPr>
            </w:pPr>
            <w:r w:rsidRPr="00D00F18">
              <w:rPr>
                <w:rFonts w:ascii="Times New Roman" w:hAnsi="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D00F18" w:rsidRPr="00D00F18" w:rsidP="00D00F18">
            <w:pPr>
              <w:spacing w:after="0" w:line="240" w:lineRule="auto"/>
              <w:rPr>
                <w:rFonts w:ascii="Times New Roman" w:hAnsi="Times New Roman"/>
                <w:sz w:val="20"/>
              </w:rPr>
            </w:pPr>
            <w:r w:rsidRPr="00D00F18">
              <w:rPr>
                <w:rFonts w:ascii="Times New Roman" w:hAnsi="Times New Roman"/>
                <w:sz w:val="20"/>
              </w:rPr>
              <w:t>Bez vplyvu.</w:t>
            </w:r>
          </w:p>
        </w:tc>
      </w:tr>
    </w:tbl>
    <w:p w:rsidR="00D00F18" w:rsidRPr="00D00F18" w:rsidP="00D00F18">
      <w:pPr>
        <w:spacing w:after="0" w:line="240" w:lineRule="auto"/>
        <w:rPr>
          <w:rFonts w:ascii="Times New Roman" w:hAnsi="Times New Roman"/>
          <w:b/>
          <w:sz w:val="24"/>
          <w:lang w:eastAsia="sk-SK"/>
        </w:rPr>
        <w:sectPr w:rsidSect="00D00F18">
          <w:footnotePr>
            <w:numFmt w:val="chicago"/>
          </w:footnotePr>
          <w:pgSz w:w="11906" w:h="16838"/>
          <w:pgMar w:top="1134" w:right="1418" w:bottom="1134" w:left="1418" w:header="510" w:footer="567" w:gutter="0"/>
          <w:cols w:space="708"/>
          <w:formProt w:val="0"/>
          <w:docGrid w:linePitch="360"/>
        </w:sectPr>
      </w:pPr>
    </w:p>
    <w:tbl>
      <w:tblPr>
        <w:tblStyle w:val="TableNormal"/>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tblPr>
      <w:tblGrid>
        <w:gridCol w:w="243"/>
        <w:gridCol w:w="3464"/>
        <w:gridCol w:w="5715"/>
      </w:tblGrid>
      <w:tr w:rsidTr="00D00F18">
        <w:tblPrEx>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tblPrEx>
        <w:trPr>
          <w:jc w:val="center"/>
        </w:trPr>
        <w:tc>
          <w:tcPr>
            <w:tcW w:w="5000" w:type="pct"/>
            <w:gridSpan w:val="3"/>
            <w:shd w:val="clear" w:color="auto" w:fill="D9D9D9"/>
          </w:tcPr>
          <w:p w:rsidR="00D00F18" w:rsidRPr="00D00F18" w:rsidP="00D00F18">
            <w:pPr>
              <w:spacing w:after="0" w:line="240" w:lineRule="auto"/>
              <w:rPr>
                <w:rFonts w:ascii="Times New Roman" w:hAnsi="Times New Roman"/>
                <w:b/>
                <w:sz w:val="24"/>
                <w:lang w:eastAsia="sk-SK"/>
              </w:rPr>
            </w:pPr>
            <w:r w:rsidRPr="00D00F18">
              <w:rPr>
                <w:rFonts w:ascii="Times New Roman" w:hAnsi="Times New Roman"/>
                <w:b/>
                <w:sz w:val="24"/>
                <w:lang w:eastAsia="sk-SK"/>
              </w:rPr>
              <w:t>4.4 Identifikujte, popíšte a kvantifikujte vplyvy na zamestnanosť a na trh práce.</w:t>
            </w:r>
          </w:p>
          <w:p w:rsidR="00D00F18" w:rsidRPr="00D00F18" w:rsidP="00D00F18">
            <w:pPr>
              <w:spacing w:after="0" w:line="240" w:lineRule="auto"/>
              <w:jc w:val="both"/>
              <w:rPr>
                <w:rFonts w:ascii="Times New Roman" w:hAnsi="Times New Roman"/>
                <w:i/>
                <w:lang w:eastAsia="sk-SK"/>
              </w:rPr>
            </w:pPr>
            <w:r w:rsidRPr="00D00F18">
              <w:rPr>
                <w:rFonts w:ascii="Times New Roman" w:hAnsi="Times New Roman"/>
                <w:i/>
                <w:lang w:eastAsia="sk-SK"/>
              </w:rPr>
              <w:t xml:space="preserve">V prípade kladnej odpovede pripojte </w:t>
            </w:r>
            <w:r w:rsidRPr="00D00F18">
              <w:rPr>
                <w:rFonts w:ascii="Times New Roman" w:hAnsi="Times New Roman"/>
                <w:b/>
                <w:i/>
                <w:lang w:eastAsia="sk-SK"/>
              </w:rPr>
              <w:t>odôvodnenie</w:t>
            </w:r>
            <w:r w:rsidRPr="00D00F18">
              <w:rPr>
                <w:rFonts w:ascii="Times New Roman" w:hAnsi="Times New Roman"/>
                <w:i/>
                <w:lang w:eastAsia="sk-SK"/>
              </w:rPr>
              <w:t xml:space="preserve"> v súlade s Metodickým postupom pre analýzu sociálnych vplyvov.</w:t>
            </w:r>
          </w:p>
        </w:tc>
      </w:tr>
      <w:tr w:rsidTr="00D00F18">
        <w:tblPrEx>
          <w:tblW w:w="5161" w:type="pct"/>
          <w:jc w:val="center"/>
          <w:tblLayout w:type="fixed"/>
          <w:tblCellMar>
            <w:top w:w="28" w:type="dxa"/>
            <w:left w:w="28" w:type="dxa"/>
            <w:right w:w="28" w:type="dxa"/>
          </w:tblCellMar>
          <w:tblLook w:val="04A0"/>
        </w:tblPrEx>
        <w:trPr>
          <w:trHeight w:val="287"/>
          <w:jc w:val="center"/>
        </w:trPr>
        <w:tc>
          <w:tcPr>
            <w:tcW w:w="129" w:type="pct"/>
            <w:tcBorders>
              <w:top w:val="nil"/>
              <w:bottom w:val="single" w:sz="4" w:space="0" w:color="auto"/>
            </w:tcBorders>
            <w:shd w:val="clear" w:color="auto" w:fill="F2F2F2"/>
            <w:vAlign w:val="center"/>
          </w:tcPr>
          <w:p w:rsidR="00D00F18" w:rsidRPr="00D00F18" w:rsidP="00D00F18">
            <w:pPr>
              <w:spacing w:after="0" w:line="240" w:lineRule="auto"/>
              <w:rPr>
                <w:rFonts w:ascii="Times New Roman" w:hAnsi="Times New Roman"/>
                <w:i/>
                <w:sz w:val="18"/>
                <w:szCs w:val="18"/>
              </w:rPr>
            </w:pPr>
            <w:r w:rsidRPr="00D00F18">
              <w:rPr>
                <w:rFonts w:ascii="Times New Roman" w:hAnsi="Times New Roman"/>
                <w:i/>
                <w:sz w:val="18"/>
                <w:szCs w:val="18"/>
              </w:rPr>
              <w:t>a)</w:t>
            </w:r>
          </w:p>
        </w:tc>
        <w:tc>
          <w:tcPr>
            <w:tcW w:w="4871" w:type="pct"/>
            <w:gridSpan w:val="2"/>
            <w:tcBorders>
              <w:top w:val="nil"/>
              <w:bottom w:val="single" w:sz="4" w:space="0" w:color="auto"/>
            </w:tcBorders>
            <w:shd w:val="clear" w:color="auto" w:fill="F2F2F2"/>
            <w:vAlign w:val="center"/>
          </w:tcPr>
          <w:p w:rsidR="00D00F18" w:rsidRPr="00D00F18" w:rsidP="00D00F18">
            <w:pPr>
              <w:spacing w:after="0" w:line="240" w:lineRule="auto"/>
              <w:rPr>
                <w:rFonts w:ascii="Times New Roman" w:hAnsi="Times New Roman"/>
                <w:i/>
                <w:sz w:val="20"/>
                <w:szCs w:val="20"/>
              </w:rPr>
            </w:pPr>
            <w:r w:rsidRPr="00D00F18">
              <w:rPr>
                <w:rFonts w:ascii="Times New Roman" w:hAnsi="Times New Roman"/>
                <w:i/>
                <w:sz w:val="20"/>
                <w:szCs w:val="20"/>
              </w:rPr>
              <w:t>Uľahčuje návrh vznik nových pracovných miest? Ak áno, ako? Ak je to možné, doplňte kvantifikáciu.</w:t>
            </w:r>
          </w:p>
        </w:tc>
      </w:tr>
      <w:tr w:rsidTr="00D00F18">
        <w:tblPrEx>
          <w:tblW w:w="5161" w:type="pct"/>
          <w:jc w:val="center"/>
          <w:tblLayout w:type="fixed"/>
          <w:tblCellMar>
            <w:top w:w="28" w:type="dxa"/>
            <w:left w:w="28" w:type="dxa"/>
            <w:right w:w="28" w:type="dxa"/>
          </w:tblCellMar>
          <w:tblLook w:val="04A0"/>
        </w:tblPrEx>
        <w:trPr>
          <w:trHeight w:val="567"/>
          <w:jc w:val="center"/>
        </w:trPr>
        <w:tc>
          <w:tcPr>
            <w:tcW w:w="129" w:type="pct"/>
            <w:tcBorders>
              <w:top w:val="nil"/>
              <w:bottom w:val="single" w:sz="4" w:space="0" w:color="auto"/>
            </w:tcBorders>
            <w:shd w:val="clear" w:color="auto" w:fill="FFFFFF"/>
            <w:vAlign w:val="center"/>
          </w:tcPr>
          <w:p w:rsidR="00D00F18" w:rsidRPr="00D00F18" w:rsidP="00D00F18">
            <w:pPr>
              <w:spacing w:after="0" w:line="240" w:lineRule="auto"/>
              <w:rPr>
                <w:rFonts w:ascii="Times New Roman" w:hAnsi="Times New Roman"/>
                <w:i/>
                <w:sz w:val="18"/>
                <w:szCs w:val="18"/>
              </w:rPr>
            </w:pPr>
            <w:r w:rsidRPr="00D00F18">
              <w:rPr>
                <w:rFonts w:ascii="Times New Roman" w:hAnsi="Times New Roman"/>
                <w:i/>
                <w:sz w:val="18"/>
                <w:szCs w:val="18"/>
              </w:rPr>
              <w:t>b)</w:t>
            </w:r>
          </w:p>
        </w:tc>
        <w:tc>
          <w:tcPr>
            <w:tcW w:w="1838" w:type="pct"/>
            <w:tcBorders>
              <w:top w:val="nil"/>
              <w:bottom w:val="single" w:sz="4" w:space="0" w:color="auto"/>
            </w:tcBorders>
            <w:shd w:val="clear" w:color="auto" w:fill="FFFFFF"/>
          </w:tcPr>
          <w:p w:rsidR="00D00F18" w:rsidRPr="00D00F18" w:rsidP="00D00F18">
            <w:pPr>
              <w:spacing w:after="0" w:line="240" w:lineRule="auto"/>
              <w:jc w:val="both"/>
              <w:rPr>
                <w:rFonts w:ascii="Times New Roman" w:hAnsi="Times New Roman"/>
                <w:i/>
                <w:sz w:val="18"/>
                <w:szCs w:val="18"/>
              </w:rPr>
            </w:pPr>
            <w:r w:rsidRPr="00D00F18">
              <w:rPr>
                <w:rFonts w:ascii="Times New Roman" w:hAnsi="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D00F18" w:rsidRPr="00D00F18" w:rsidP="00D00F18">
            <w:pPr>
              <w:spacing w:after="0" w:line="240" w:lineRule="auto"/>
              <w:rPr>
                <w:rFonts w:ascii="Times New Roman" w:hAnsi="Times New Roman"/>
                <w:sz w:val="20"/>
                <w:szCs w:val="18"/>
              </w:rPr>
            </w:pPr>
            <w:r w:rsidRPr="00D00F18">
              <w:rPr>
                <w:rFonts w:ascii="Times New Roman" w:hAnsi="Times New Roman"/>
                <w:sz w:val="20"/>
              </w:rPr>
              <w:t>Bez vplyvu.</w:t>
            </w:r>
          </w:p>
        </w:tc>
      </w:tr>
      <w:tr w:rsidTr="00D00F18">
        <w:tblPrEx>
          <w:tblW w:w="5161" w:type="pct"/>
          <w:jc w:val="center"/>
          <w:tblLayout w:type="fixed"/>
          <w:tblCellMar>
            <w:top w:w="28" w:type="dxa"/>
            <w:left w:w="28" w:type="dxa"/>
            <w:right w:w="28" w:type="dxa"/>
          </w:tblCellMar>
          <w:tblLook w:val="04A0"/>
        </w:tblPrEx>
        <w:trPr>
          <w:trHeight w:val="270"/>
          <w:jc w:val="center"/>
        </w:trPr>
        <w:tc>
          <w:tcPr>
            <w:tcW w:w="129" w:type="pct"/>
            <w:tcBorders>
              <w:bottom w:val="single" w:sz="4" w:space="0" w:color="auto"/>
            </w:tcBorders>
            <w:shd w:val="clear" w:color="auto" w:fill="F2F2F2"/>
            <w:vAlign w:val="center"/>
          </w:tcPr>
          <w:p w:rsidR="00D00F18" w:rsidRPr="00D00F18" w:rsidP="00D00F18">
            <w:pPr>
              <w:spacing w:after="0" w:line="240" w:lineRule="auto"/>
              <w:rPr>
                <w:rFonts w:ascii="Times New Roman" w:hAnsi="Times New Roman"/>
                <w:i/>
                <w:sz w:val="18"/>
                <w:szCs w:val="18"/>
              </w:rPr>
            </w:pPr>
            <w:r w:rsidRPr="00D00F18">
              <w:rPr>
                <w:rFonts w:ascii="Times New Roman" w:hAnsi="Times New Roman"/>
                <w:i/>
                <w:sz w:val="18"/>
                <w:szCs w:val="18"/>
              </w:rPr>
              <w:t>c)</w:t>
            </w:r>
          </w:p>
        </w:tc>
        <w:tc>
          <w:tcPr>
            <w:tcW w:w="4871" w:type="pct"/>
            <w:gridSpan w:val="2"/>
            <w:tcBorders>
              <w:bottom w:val="single" w:sz="4" w:space="0" w:color="auto"/>
            </w:tcBorders>
            <w:shd w:val="clear" w:color="auto" w:fill="F2F2F2"/>
            <w:vAlign w:val="center"/>
          </w:tcPr>
          <w:p w:rsidR="00D00F18" w:rsidRPr="00D00F18" w:rsidP="00D00F18">
            <w:pPr>
              <w:spacing w:after="0" w:line="240" w:lineRule="auto"/>
              <w:rPr>
                <w:rFonts w:ascii="Times New Roman" w:hAnsi="Times New Roman"/>
                <w:i/>
                <w:sz w:val="20"/>
                <w:szCs w:val="20"/>
              </w:rPr>
            </w:pPr>
            <w:r w:rsidRPr="00D00F18">
              <w:rPr>
                <w:rFonts w:ascii="Times New Roman" w:hAnsi="Times New Roman"/>
                <w:i/>
                <w:sz w:val="20"/>
                <w:szCs w:val="20"/>
              </w:rPr>
              <w:t>Vedie návrh k zániku pracovných miest?</w:t>
            </w:r>
            <w:r w:rsidRPr="00D00F18">
              <w:rPr>
                <w:rFonts w:ascii="Times New Roman" w:hAnsi="Times New Roman"/>
                <w:sz w:val="20"/>
                <w:szCs w:val="20"/>
              </w:rPr>
              <w:t xml:space="preserve"> </w:t>
            </w:r>
            <w:r w:rsidRPr="00D00F18">
              <w:rPr>
                <w:rFonts w:ascii="Times New Roman" w:hAnsi="Times New Roman"/>
                <w:i/>
                <w:sz w:val="20"/>
                <w:szCs w:val="20"/>
              </w:rPr>
              <w:t>Ak áno, ako a akých? Ak je to možné, doplňte kvantifikáciu</w:t>
            </w:r>
          </w:p>
        </w:tc>
      </w:tr>
      <w:tr w:rsidTr="00D00F18">
        <w:tblPrEx>
          <w:tblW w:w="5161" w:type="pct"/>
          <w:jc w:val="center"/>
          <w:tblLayout w:type="fixed"/>
          <w:tblCellMar>
            <w:top w:w="28" w:type="dxa"/>
            <w:left w:w="28" w:type="dxa"/>
            <w:right w:w="28" w:type="dxa"/>
          </w:tblCellMar>
          <w:tblLook w:val="04A0"/>
        </w:tblPrEx>
        <w:trPr>
          <w:trHeight w:val="454"/>
          <w:jc w:val="center"/>
        </w:trPr>
        <w:tc>
          <w:tcPr>
            <w:tcW w:w="129" w:type="pct"/>
            <w:tcBorders>
              <w:bottom w:val="single" w:sz="4" w:space="0" w:color="auto"/>
            </w:tcBorders>
            <w:shd w:val="clear" w:color="auto" w:fill="FFFFFF"/>
            <w:vAlign w:val="center"/>
          </w:tcPr>
          <w:p w:rsidR="00D00F18" w:rsidRPr="00D00F18" w:rsidP="00D00F18">
            <w:pPr>
              <w:spacing w:after="0" w:line="240" w:lineRule="auto"/>
              <w:rPr>
                <w:rFonts w:ascii="Times New Roman" w:hAnsi="Times New Roman"/>
                <w:i/>
                <w:sz w:val="18"/>
                <w:szCs w:val="18"/>
              </w:rPr>
            </w:pPr>
            <w:r w:rsidRPr="00D00F18">
              <w:rPr>
                <w:rFonts w:ascii="Times New Roman" w:hAnsi="Times New Roman"/>
                <w:i/>
                <w:sz w:val="18"/>
                <w:szCs w:val="18"/>
              </w:rPr>
              <w:t>d)</w:t>
            </w:r>
          </w:p>
        </w:tc>
        <w:tc>
          <w:tcPr>
            <w:tcW w:w="1838" w:type="pct"/>
            <w:tcBorders>
              <w:bottom w:val="single" w:sz="4" w:space="0" w:color="auto"/>
            </w:tcBorders>
            <w:shd w:val="clear" w:color="auto" w:fill="FFFFFF"/>
          </w:tcPr>
          <w:p w:rsidR="00D00F18" w:rsidRPr="00D00F18" w:rsidP="00D00F18">
            <w:pPr>
              <w:spacing w:after="0" w:line="240" w:lineRule="auto"/>
              <w:jc w:val="both"/>
              <w:rPr>
                <w:rFonts w:ascii="Times New Roman" w:hAnsi="Times New Roman"/>
                <w:i/>
                <w:sz w:val="18"/>
                <w:szCs w:val="18"/>
              </w:rPr>
            </w:pPr>
            <w:r w:rsidRPr="00D00F18">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D00F18" w:rsidRPr="00D00F18" w:rsidP="00D00F18">
            <w:pPr>
              <w:spacing w:after="0" w:line="240" w:lineRule="auto"/>
              <w:rPr>
                <w:rFonts w:ascii="Times New Roman" w:hAnsi="Times New Roman"/>
                <w:sz w:val="20"/>
                <w:szCs w:val="18"/>
              </w:rPr>
            </w:pPr>
            <w:r w:rsidRPr="00D00F18">
              <w:rPr>
                <w:rFonts w:ascii="Times New Roman" w:hAnsi="Times New Roman"/>
                <w:sz w:val="20"/>
              </w:rPr>
              <w:t>Bez vplyvu.</w:t>
            </w:r>
          </w:p>
        </w:tc>
      </w:tr>
      <w:tr w:rsidTr="00D00F18">
        <w:tblPrEx>
          <w:tblW w:w="5161" w:type="pct"/>
          <w:jc w:val="center"/>
          <w:tblLayout w:type="fixed"/>
          <w:tblCellMar>
            <w:top w:w="28" w:type="dxa"/>
            <w:left w:w="28" w:type="dxa"/>
            <w:right w:w="28" w:type="dxa"/>
          </w:tblCellMar>
          <w:tblLook w:val="04A0"/>
        </w:tblPrEx>
        <w:trPr>
          <w:trHeight w:val="248"/>
          <w:jc w:val="center"/>
        </w:trPr>
        <w:tc>
          <w:tcPr>
            <w:tcW w:w="129" w:type="pct"/>
            <w:tcBorders>
              <w:bottom w:val="single" w:sz="4" w:space="0" w:color="auto"/>
            </w:tcBorders>
            <w:shd w:val="clear" w:color="auto" w:fill="F2F2F2"/>
            <w:vAlign w:val="center"/>
          </w:tcPr>
          <w:p w:rsidR="00D00F18" w:rsidRPr="00D00F18" w:rsidP="00D00F18">
            <w:pPr>
              <w:spacing w:after="0" w:line="240" w:lineRule="auto"/>
              <w:rPr>
                <w:rFonts w:ascii="Times New Roman" w:hAnsi="Times New Roman"/>
                <w:i/>
                <w:sz w:val="18"/>
                <w:szCs w:val="18"/>
              </w:rPr>
            </w:pPr>
            <w:r w:rsidRPr="00D00F18">
              <w:rPr>
                <w:rFonts w:ascii="Times New Roman" w:hAnsi="Times New Roman"/>
                <w:i/>
                <w:sz w:val="18"/>
                <w:szCs w:val="18"/>
              </w:rPr>
              <w:t>e)</w:t>
            </w:r>
          </w:p>
        </w:tc>
        <w:tc>
          <w:tcPr>
            <w:tcW w:w="4871" w:type="pct"/>
            <w:gridSpan w:val="2"/>
            <w:tcBorders>
              <w:bottom w:val="single" w:sz="4" w:space="0" w:color="auto"/>
            </w:tcBorders>
            <w:shd w:val="clear" w:color="auto" w:fill="F2F2F2"/>
            <w:vAlign w:val="center"/>
          </w:tcPr>
          <w:p w:rsidR="00D00F18" w:rsidRPr="00D00F18" w:rsidP="00D00F18">
            <w:pPr>
              <w:spacing w:after="0" w:line="240" w:lineRule="auto"/>
              <w:rPr>
                <w:rFonts w:ascii="Times New Roman" w:hAnsi="Times New Roman"/>
                <w:sz w:val="20"/>
                <w:szCs w:val="20"/>
              </w:rPr>
            </w:pPr>
            <w:r w:rsidRPr="00D00F18">
              <w:rPr>
                <w:rFonts w:ascii="Times New Roman" w:hAnsi="Times New Roman"/>
                <w:i/>
                <w:sz w:val="20"/>
                <w:szCs w:val="20"/>
              </w:rPr>
              <w:t>Ovplyvňuje návrh dopyt po práci? Ak áno, ako?</w:t>
            </w:r>
          </w:p>
        </w:tc>
      </w:tr>
      <w:tr w:rsidTr="00D00F18">
        <w:tblPrEx>
          <w:tblW w:w="5161" w:type="pct"/>
          <w:jc w:val="center"/>
          <w:tblLayout w:type="fixed"/>
          <w:tblCellMar>
            <w:top w:w="28" w:type="dxa"/>
            <w:left w:w="28" w:type="dxa"/>
            <w:right w:w="28" w:type="dxa"/>
          </w:tblCellMar>
          <w:tblLook w:val="04A0"/>
        </w:tblPrEx>
        <w:trPr>
          <w:trHeight w:val="209"/>
          <w:jc w:val="center"/>
        </w:trPr>
        <w:tc>
          <w:tcPr>
            <w:tcW w:w="129" w:type="pct"/>
            <w:tcBorders>
              <w:bottom w:val="single" w:sz="4" w:space="0" w:color="auto"/>
            </w:tcBorders>
            <w:shd w:val="clear" w:color="auto" w:fill="FFFFFF"/>
            <w:vAlign w:val="center"/>
          </w:tcPr>
          <w:p w:rsidR="00D00F18" w:rsidRPr="00D00F18" w:rsidP="00D00F18">
            <w:pPr>
              <w:spacing w:after="0" w:line="240" w:lineRule="auto"/>
              <w:rPr>
                <w:rFonts w:ascii="Times New Roman" w:hAnsi="Times New Roman"/>
                <w:i/>
                <w:sz w:val="18"/>
                <w:szCs w:val="18"/>
              </w:rPr>
            </w:pPr>
            <w:r w:rsidRPr="00D00F18">
              <w:rPr>
                <w:rFonts w:ascii="Times New Roman" w:hAnsi="Times New Roman"/>
                <w:i/>
                <w:sz w:val="18"/>
                <w:szCs w:val="18"/>
              </w:rPr>
              <w:t>f)</w:t>
            </w:r>
          </w:p>
        </w:tc>
        <w:tc>
          <w:tcPr>
            <w:tcW w:w="1838" w:type="pct"/>
            <w:tcBorders>
              <w:bottom w:val="single" w:sz="4" w:space="0" w:color="auto"/>
            </w:tcBorders>
            <w:shd w:val="clear" w:color="auto" w:fill="FFFFFF"/>
          </w:tcPr>
          <w:p w:rsidR="00D00F18" w:rsidRPr="00D00F18" w:rsidP="00D00F18">
            <w:pPr>
              <w:spacing w:after="0" w:line="240" w:lineRule="auto"/>
              <w:jc w:val="both"/>
              <w:rPr>
                <w:rFonts w:ascii="Times New Roman" w:hAnsi="Times New Roman"/>
                <w:i/>
                <w:sz w:val="18"/>
                <w:szCs w:val="18"/>
              </w:rPr>
            </w:pPr>
            <w:r w:rsidRPr="00D00F18">
              <w:rPr>
                <w:rFonts w:ascii="Times New Roman" w:hAnsi="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D00F18" w:rsidRPr="00D00F18" w:rsidP="00D00F18">
            <w:pPr>
              <w:spacing w:after="0" w:line="240" w:lineRule="auto"/>
              <w:rPr>
                <w:rFonts w:ascii="Times New Roman" w:hAnsi="Times New Roman"/>
                <w:sz w:val="20"/>
                <w:szCs w:val="18"/>
              </w:rPr>
            </w:pPr>
            <w:r w:rsidRPr="00D00F18">
              <w:rPr>
                <w:rFonts w:ascii="Times New Roman" w:hAnsi="Times New Roman"/>
                <w:sz w:val="20"/>
              </w:rPr>
              <w:t>Bez vplyvu.</w:t>
            </w:r>
          </w:p>
        </w:tc>
      </w:tr>
      <w:tr w:rsidTr="00D00F18">
        <w:tblPrEx>
          <w:tblW w:w="5161" w:type="pct"/>
          <w:jc w:val="center"/>
          <w:tblLayout w:type="fixed"/>
          <w:tblCellMar>
            <w:top w:w="28" w:type="dxa"/>
            <w:left w:w="28" w:type="dxa"/>
            <w:right w:w="28" w:type="dxa"/>
          </w:tblCellMar>
          <w:tblLook w:val="04A0"/>
        </w:tblPrEx>
        <w:trPr>
          <w:trHeight w:val="208"/>
          <w:jc w:val="center"/>
        </w:trPr>
        <w:tc>
          <w:tcPr>
            <w:tcW w:w="129" w:type="pct"/>
            <w:tcBorders>
              <w:bottom w:val="single" w:sz="4" w:space="0" w:color="auto"/>
            </w:tcBorders>
            <w:shd w:val="clear" w:color="auto" w:fill="F2F2F2"/>
            <w:vAlign w:val="center"/>
          </w:tcPr>
          <w:p w:rsidR="00D00F18" w:rsidRPr="00D00F18" w:rsidP="00D00F18">
            <w:pPr>
              <w:spacing w:after="0" w:line="240" w:lineRule="auto"/>
              <w:rPr>
                <w:rFonts w:ascii="Times New Roman" w:hAnsi="Times New Roman"/>
                <w:i/>
                <w:sz w:val="18"/>
                <w:szCs w:val="18"/>
              </w:rPr>
            </w:pPr>
            <w:r w:rsidRPr="00D00F18">
              <w:rPr>
                <w:rFonts w:ascii="Times New Roman" w:hAnsi="Times New Roman"/>
                <w:i/>
                <w:sz w:val="18"/>
                <w:szCs w:val="18"/>
              </w:rPr>
              <w:t>g)</w:t>
            </w:r>
          </w:p>
        </w:tc>
        <w:tc>
          <w:tcPr>
            <w:tcW w:w="4871" w:type="pct"/>
            <w:gridSpan w:val="2"/>
            <w:tcBorders>
              <w:bottom w:val="single" w:sz="4" w:space="0" w:color="auto"/>
            </w:tcBorders>
            <w:shd w:val="clear" w:color="auto" w:fill="F2F2F2"/>
            <w:vAlign w:val="center"/>
          </w:tcPr>
          <w:p w:rsidR="00D00F18" w:rsidRPr="00D00F18" w:rsidP="00D00F18">
            <w:pPr>
              <w:spacing w:after="0" w:line="240" w:lineRule="auto"/>
              <w:rPr>
                <w:rFonts w:ascii="Times New Roman" w:hAnsi="Times New Roman"/>
                <w:sz w:val="20"/>
                <w:szCs w:val="20"/>
              </w:rPr>
            </w:pPr>
            <w:r w:rsidRPr="00D00F18">
              <w:rPr>
                <w:rFonts w:ascii="Times New Roman" w:hAnsi="Times New Roman"/>
                <w:i/>
                <w:sz w:val="20"/>
                <w:szCs w:val="20"/>
              </w:rPr>
              <w:t>Má návrh dosah na fungovanie trhu práce?</w:t>
            </w:r>
            <w:r w:rsidRPr="00D00F18">
              <w:rPr>
                <w:rFonts w:ascii="Times New Roman" w:hAnsi="Times New Roman"/>
                <w:sz w:val="20"/>
                <w:szCs w:val="20"/>
              </w:rPr>
              <w:t xml:space="preserve"> </w:t>
            </w:r>
            <w:r w:rsidRPr="00D00F18">
              <w:rPr>
                <w:rFonts w:ascii="Times New Roman" w:hAnsi="Times New Roman"/>
                <w:i/>
                <w:sz w:val="20"/>
                <w:szCs w:val="20"/>
              </w:rPr>
              <w:t>Ak áno, aký?</w:t>
            </w:r>
          </w:p>
        </w:tc>
      </w:tr>
      <w:tr w:rsidTr="00D00F18">
        <w:tblPrEx>
          <w:tblW w:w="5161" w:type="pct"/>
          <w:jc w:val="center"/>
          <w:tblLayout w:type="fixed"/>
          <w:tblCellMar>
            <w:top w:w="28" w:type="dxa"/>
            <w:left w:w="28" w:type="dxa"/>
            <w:right w:w="28" w:type="dxa"/>
          </w:tblCellMar>
          <w:tblLook w:val="04A0"/>
        </w:tblPrEx>
        <w:trPr>
          <w:trHeight w:val="794"/>
          <w:jc w:val="center"/>
        </w:trPr>
        <w:tc>
          <w:tcPr>
            <w:tcW w:w="129" w:type="pct"/>
            <w:tcBorders>
              <w:bottom w:val="single" w:sz="4" w:space="0" w:color="auto"/>
            </w:tcBorders>
            <w:shd w:val="clear" w:color="auto" w:fill="FFFFFF"/>
            <w:vAlign w:val="center"/>
          </w:tcPr>
          <w:p w:rsidR="00D00F18" w:rsidRPr="00D00F18" w:rsidP="00D00F18">
            <w:pPr>
              <w:spacing w:after="0" w:line="240" w:lineRule="auto"/>
              <w:rPr>
                <w:rFonts w:ascii="Times New Roman" w:hAnsi="Times New Roman"/>
                <w:i/>
                <w:sz w:val="18"/>
                <w:szCs w:val="18"/>
              </w:rPr>
            </w:pPr>
            <w:r w:rsidRPr="00D00F18">
              <w:rPr>
                <w:rFonts w:ascii="Times New Roman" w:hAnsi="Times New Roman"/>
                <w:i/>
                <w:sz w:val="18"/>
                <w:szCs w:val="18"/>
              </w:rPr>
              <w:t>h)</w:t>
            </w:r>
          </w:p>
        </w:tc>
        <w:tc>
          <w:tcPr>
            <w:tcW w:w="1838" w:type="pct"/>
            <w:tcBorders>
              <w:bottom w:val="single" w:sz="4" w:space="0" w:color="auto"/>
            </w:tcBorders>
            <w:shd w:val="clear" w:color="auto" w:fill="FFFFFF"/>
          </w:tcPr>
          <w:p w:rsidR="00D00F18" w:rsidRPr="00D00F18" w:rsidP="00D00F18">
            <w:pPr>
              <w:spacing w:after="0" w:line="240" w:lineRule="auto"/>
              <w:jc w:val="both"/>
              <w:rPr>
                <w:rFonts w:ascii="Times New Roman" w:hAnsi="Times New Roman"/>
                <w:i/>
                <w:sz w:val="18"/>
                <w:szCs w:val="18"/>
              </w:rPr>
            </w:pPr>
            <w:r w:rsidRPr="00D00F18">
              <w:rPr>
                <w:rFonts w:ascii="Times New Roman" w:hAnsi="Times New Roman"/>
                <w:i/>
                <w:sz w:val="18"/>
                <w:szCs w:val="18"/>
              </w:rPr>
              <w:t>Týka sa makroekonomických dosahov ako je napr. participácia na trhu práce, dlhodobá nezamestnanosť, regionálne rozdiely v mierach zamestnanosti.</w:t>
            </w:r>
            <w:r w:rsidRPr="00D00F18">
              <w:rPr>
                <w:rFonts w:ascii="Times New Roman" w:hAnsi="Times New Roman"/>
                <w:sz w:val="18"/>
                <w:szCs w:val="18"/>
              </w:rPr>
              <w:t xml:space="preserve"> </w:t>
            </w:r>
            <w:r w:rsidRPr="00D00F18">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D00F18" w:rsidRPr="00D00F18" w:rsidP="00D00F18">
            <w:pPr>
              <w:spacing w:after="0" w:line="240" w:lineRule="auto"/>
              <w:rPr>
                <w:rFonts w:ascii="Times New Roman" w:hAnsi="Times New Roman"/>
                <w:sz w:val="20"/>
                <w:szCs w:val="18"/>
              </w:rPr>
            </w:pPr>
            <w:r w:rsidRPr="00D00F18">
              <w:rPr>
                <w:rFonts w:ascii="Times New Roman" w:hAnsi="Times New Roman"/>
                <w:sz w:val="20"/>
              </w:rPr>
              <w:t>Bez vplyvu.</w:t>
            </w:r>
          </w:p>
        </w:tc>
      </w:tr>
      <w:tr w:rsidTr="00D00F18">
        <w:tblPrEx>
          <w:tblW w:w="5161" w:type="pct"/>
          <w:jc w:val="center"/>
          <w:tblLayout w:type="fixed"/>
          <w:tblCellMar>
            <w:top w:w="28" w:type="dxa"/>
            <w:left w:w="28" w:type="dxa"/>
            <w:right w:w="28" w:type="dxa"/>
          </w:tblCellMar>
          <w:tblLook w:val="04A0"/>
        </w:tblPrEx>
        <w:trPr>
          <w:trHeight w:val="324"/>
          <w:jc w:val="center"/>
        </w:trPr>
        <w:tc>
          <w:tcPr>
            <w:tcW w:w="129" w:type="pct"/>
            <w:tcBorders>
              <w:bottom w:val="single" w:sz="4" w:space="0" w:color="auto"/>
            </w:tcBorders>
            <w:shd w:val="clear" w:color="auto" w:fill="F2F2F2"/>
            <w:vAlign w:val="center"/>
          </w:tcPr>
          <w:p w:rsidR="00D00F18" w:rsidRPr="00D00F18" w:rsidP="00D00F18">
            <w:pPr>
              <w:spacing w:after="0" w:line="240" w:lineRule="auto"/>
              <w:rPr>
                <w:rFonts w:ascii="Times New Roman" w:hAnsi="Times New Roman"/>
                <w:i/>
                <w:sz w:val="18"/>
                <w:szCs w:val="18"/>
              </w:rPr>
            </w:pPr>
            <w:r w:rsidRPr="00D00F18">
              <w:rPr>
                <w:rFonts w:ascii="Times New Roman" w:hAnsi="Times New Roman"/>
                <w:i/>
                <w:sz w:val="18"/>
                <w:szCs w:val="18"/>
              </w:rPr>
              <w:t>i)</w:t>
            </w:r>
          </w:p>
        </w:tc>
        <w:tc>
          <w:tcPr>
            <w:tcW w:w="4871" w:type="pct"/>
            <w:gridSpan w:val="2"/>
            <w:tcBorders>
              <w:bottom w:val="single" w:sz="4" w:space="0" w:color="auto"/>
            </w:tcBorders>
            <w:shd w:val="clear" w:color="auto" w:fill="F2F2F2"/>
            <w:vAlign w:val="center"/>
          </w:tcPr>
          <w:p w:rsidR="00D00F18" w:rsidRPr="00D00F18" w:rsidP="00D00F18">
            <w:pPr>
              <w:spacing w:after="0" w:line="240" w:lineRule="auto"/>
              <w:rPr>
                <w:rFonts w:ascii="Times New Roman" w:hAnsi="Times New Roman"/>
                <w:sz w:val="20"/>
                <w:szCs w:val="20"/>
              </w:rPr>
            </w:pPr>
            <w:r w:rsidRPr="00D00F18">
              <w:rPr>
                <w:rFonts w:ascii="Times New Roman" w:hAnsi="Times New Roman"/>
                <w:i/>
                <w:sz w:val="20"/>
                <w:szCs w:val="20"/>
              </w:rPr>
              <w:t>Má návrh špecifické negatívne dôsledky pre isté skupiny profesií, skupín zamestnancov či živnostníkov?</w:t>
            </w:r>
            <w:r w:rsidRPr="00D00F18">
              <w:rPr>
                <w:rFonts w:ascii="Times New Roman" w:hAnsi="Times New Roman"/>
                <w:sz w:val="20"/>
                <w:szCs w:val="20"/>
              </w:rPr>
              <w:t xml:space="preserve"> </w:t>
            </w:r>
            <w:r w:rsidRPr="00D00F18">
              <w:rPr>
                <w:rFonts w:ascii="Times New Roman" w:hAnsi="Times New Roman"/>
                <w:i/>
                <w:sz w:val="20"/>
                <w:szCs w:val="20"/>
              </w:rPr>
              <w:t>Ak áno, aké a pre ktoré skupiny?</w:t>
            </w:r>
          </w:p>
        </w:tc>
      </w:tr>
      <w:tr w:rsidTr="00D00F18">
        <w:tblPrEx>
          <w:tblW w:w="5161" w:type="pct"/>
          <w:jc w:val="center"/>
          <w:tblLayout w:type="fixed"/>
          <w:tblCellMar>
            <w:top w:w="28" w:type="dxa"/>
            <w:left w:w="28" w:type="dxa"/>
            <w:right w:w="28" w:type="dxa"/>
          </w:tblCellMar>
          <w:tblLook w:val="04A0"/>
        </w:tblPrEx>
        <w:trPr>
          <w:trHeight w:val="216"/>
          <w:jc w:val="center"/>
        </w:trPr>
        <w:tc>
          <w:tcPr>
            <w:tcW w:w="129" w:type="pct"/>
            <w:tcBorders>
              <w:bottom w:val="single" w:sz="4" w:space="0" w:color="auto"/>
            </w:tcBorders>
            <w:shd w:val="clear" w:color="auto" w:fill="FFFFFF"/>
            <w:vAlign w:val="center"/>
          </w:tcPr>
          <w:p w:rsidR="00D00F18" w:rsidRPr="00D00F18" w:rsidP="00D00F18">
            <w:pPr>
              <w:spacing w:after="0" w:line="240" w:lineRule="auto"/>
              <w:rPr>
                <w:rFonts w:ascii="Times New Roman" w:hAnsi="Times New Roman"/>
                <w:i/>
                <w:sz w:val="18"/>
                <w:szCs w:val="18"/>
              </w:rPr>
            </w:pPr>
            <w:r w:rsidRPr="00D00F18">
              <w:rPr>
                <w:rFonts w:ascii="Times New Roman" w:hAnsi="Times New Roman"/>
                <w:i/>
                <w:sz w:val="18"/>
                <w:szCs w:val="18"/>
              </w:rPr>
              <w:t>j)</w:t>
            </w:r>
          </w:p>
        </w:tc>
        <w:tc>
          <w:tcPr>
            <w:tcW w:w="1838" w:type="pct"/>
            <w:tcBorders>
              <w:bottom w:val="single" w:sz="4" w:space="0" w:color="auto"/>
            </w:tcBorders>
            <w:shd w:val="clear" w:color="auto" w:fill="FFFFFF"/>
          </w:tcPr>
          <w:p w:rsidR="00D00F18" w:rsidRPr="00D00F18" w:rsidP="00D00F18">
            <w:pPr>
              <w:spacing w:after="0" w:line="240" w:lineRule="auto"/>
              <w:rPr>
                <w:rFonts w:ascii="Times New Roman" w:hAnsi="Times New Roman"/>
                <w:i/>
                <w:sz w:val="18"/>
                <w:szCs w:val="18"/>
              </w:rPr>
            </w:pPr>
            <w:r w:rsidRPr="00D00F18">
              <w:rPr>
                <w:rFonts w:ascii="Times New Roman" w:hAnsi="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D00F18" w:rsidRPr="00D00F18" w:rsidP="00D00F18">
            <w:pPr>
              <w:spacing w:after="0" w:line="240" w:lineRule="auto"/>
              <w:rPr>
                <w:rFonts w:ascii="Times New Roman" w:hAnsi="Times New Roman"/>
                <w:sz w:val="20"/>
                <w:szCs w:val="18"/>
              </w:rPr>
            </w:pPr>
            <w:r w:rsidRPr="00D00F18">
              <w:rPr>
                <w:rFonts w:ascii="Times New Roman" w:hAnsi="Times New Roman"/>
                <w:sz w:val="20"/>
              </w:rPr>
              <w:t>Bez vplyvu.</w:t>
            </w:r>
          </w:p>
        </w:tc>
      </w:tr>
      <w:tr w:rsidTr="00D00F18">
        <w:tblPrEx>
          <w:tblW w:w="5161" w:type="pct"/>
          <w:jc w:val="center"/>
          <w:tblLayout w:type="fixed"/>
          <w:tblCellMar>
            <w:top w:w="28" w:type="dxa"/>
            <w:left w:w="28" w:type="dxa"/>
            <w:right w:w="28" w:type="dxa"/>
          </w:tblCellMar>
          <w:tblLook w:val="04A0"/>
        </w:tblPrEx>
        <w:trPr>
          <w:trHeight w:val="219"/>
          <w:jc w:val="center"/>
        </w:trPr>
        <w:tc>
          <w:tcPr>
            <w:tcW w:w="129" w:type="pct"/>
            <w:tcBorders>
              <w:bottom w:val="single" w:sz="4" w:space="0" w:color="auto"/>
            </w:tcBorders>
            <w:shd w:val="clear" w:color="auto" w:fill="F2F2F2"/>
            <w:vAlign w:val="center"/>
          </w:tcPr>
          <w:p w:rsidR="00D00F18" w:rsidRPr="00D00F18" w:rsidP="00D00F18">
            <w:pPr>
              <w:spacing w:after="0" w:line="240" w:lineRule="auto"/>
              <w:rPr>
                <w:rFonts w:ascii="Times New Roman" w:hAnsi="Times New Roman"/>
                <w:i/>
                <w:sz w:val="18"/>
                <w:szCs w:val="18"/>
              </w:rPr>
            </w:pPr>
            <w:r w:rsidRPr="00D00F18">
              <w:rPr>
                <w:rFonts w:ascii="Times New Roman" w:hAnsi="Times New Roman"/>
                <w:i/>
                <w:sz w:val="18"/>
                <w:szCs w:val="18"/>
              </w:rPr>
              <w:t>k)</w:t>
            </w:r>
          </w:p>
        </w:tc>
        <w:tc>
          <w:tcPr>
            <w:tcW w:w="4871" w:type="pct"/>
            <w:gridSpan w:val="2"/>
            <w:tcBorders>
              <w:bottom w:val="single" w:sz="4" w:space="0" w:color="auto"/>
            </w:tcBorders>
            <w:shd w:val="clear" w:color="auto" w:fill="F2F2F2"/>
            <w:vAlign w:val="center"/>
          </w:tcPr>
          <w:p w:rsidR="00D00F18" w:rsidRPr="00D00F18" w:rsidP="00D00F18">
            <w:pPr>
              <w:spacing w:after="0" w:line="240" w:lineRule="auto"/>
              <w:rPr>
                <w:rFonts w:ascii="Times New Roman" w:hAnsi="Times New Roman"/>
                <w:sz w:val="20"/>
                <w:szCs w:val="20"/>
              </w:rPr>
            </w:pPr>
            <w:r w:rsidRPr="00D00F18">
              <w:rPr>
                <w:rFonts w:ascii="Times New Roman" w:hAnsi="Times New Roman"/>
                <w:i/>
                <w:sz w:val="20"/>
                <w:szCs w:val="20"/>
              </w:rPr>
              <w:t>Ovplyvňuje návrh špecifické vekové skupiny zamestnancov? Ak áno, aké? Akým spôsobom?</w:t>
            </w:r>
          </w:p>
        </w:tc>
      </w:tr>
      <w:tr w:rsidTr="00D00F18">
        <w:tblPrEx>
          <w:tblW w:w="5161" w:type="pct"/>
          <w:jc w:val="center"/>
          <w:tblLayout w:type="fixed"/>
          <w:tblCellMar>
            <w:top w:w="28" w:type="dxa"/>
            <w:left w:w="28" w:type="dxa"/>
            <w:right w:w="28" w:type="dxa"/>
          </w:tblCellMar>
          <w:tblLook w:val="04A0"/>
        </w:tblPrEx>
        <w:trPr>
          <w:trHeight w:val="497"/>
          <w:jc w:val="center"/>
        </w:trPr>
        <w:tc>
          <w:tcPr>
            <w:tcW w:w="129" w:type="pct"/>
            <w:tcBorders>
              <w:bottom w:val="single" w:sz="4" w:space="0" w:color="auto"/>
            </w:tcBorders>
            <w:shd w:val="clear" w:color="auto" w:fill="FFFFFF"/>
            <w:vAlign w:val="center"/>
          </w:tcPr>
          <w:p w:rsidR="00D00F18" w:rsidRPr="00D00F18" w:rsidP="00D00F18">
            <w:pPr>
              <w:spacing w:after="0" w:line="240" w:lineRule="auto"/>
              <w:rPr>
                <w:rFonts w:ascii="Times New Roman" w:hAnsi="Times New Roman"/>
                <w:i/>
                <w:sz w:val="18"/>
                <w:szCs w:val="18"/>
              </w:rPr>
            </w:pPr>
            <w:r w:rsidRPr="00D00F18">
              <w:rPr>
                <w:rFonts w:ascii="Times New Roman" w:hAnsi="Times New Roman"/>
                <w:i/>
                <w:sz w:val="18"/>
                <w:szCs w:val="18"/>
              </w:rPr>
              <w:t>l)</w:t>
            </w:r>
          </w:p>
        </w:tc>
        <w:tc>
          <w:tcPr>
            <w:tcW w:w="1838" w:type="pct"/>
            <w:tcBorders>
              <w:bottom w:val="single" w:sz="4" w:space="0" w:color="auto"/>
            </w:tcBorders>
            <w:shd w:val="clear" w:color="auto" w:fill="FFFFFF"/>
          </w:tcPr>
          <w:p w:rsidR="00D00F18" w:rsidRPr="00D00F18" w:rsidP="00D00F18">
            <w:pPr>
              <w:spacing w:after="0" w:line="240" w:lineRule="auto"/>
              <w:jc w:val="both"/>
              <w:rPr>
                <w:rFonts w:ascii="Times New Roman" w:hAnsi="Times New Roman"/>
                <w:i/>
                <w:sz w:val="18"/>
                <w:szCs w:val="18"/>
              </w:rPr>
            </w:pPr>
            <w:r w:rsidRPr="00D00F18">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D00F18" w:rsidRPr="00D00F18" w:rsidP="00D00F18">
            <w:pPr>
              <w:spacing w:after="0" w:line="240" w:lineRule="auto"/>
              <w:rPr>
                <w:rFonts w:ascii="Times New Roman" w:hAnsi="Times New Roman"/>
                <w:sz w:val="20"/>
                <w:szCs w:val="18"/>
              </w:rPr>
            </w:pPr>
            <w:r w:rsidRPr="00D00F18">
              <w:rPr>
                <w:rFonts w:ascii="Times New Roman" w:hAnsi="Times New Roman"/>
                <w:sz w:val="20"/>
              </w:rPr>
              <w:t>Bez vplyvu.</w:t>
            </w:r>
          </w:p>
        </w:tc>
      </w:tr>
    </w:tbl>
    <w:p w:rsidR="00D00F18" w:rsidRPr="00D00F18" w:rsidP="00D00F18"/>
    <w:p w:rsidR="00D00F18" w:rsidRPr="00D00F18" w:rsidP="00D00F18">
      <w:r w:rsidRPr="00D00F18">
        <w:br w:type="page"/>
      </w: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3059"/>
        <w:gridCol w:w="1134"/>
        <w:gridCol w:w="1134"/>
        <w:gridCol w:w="1843"/>
        <w:gridCol w:w="1134"/>
        <w:gridCol w:w="1067"/>
      </w:tblGrid>
      <w:tr w:rsidTr="00D00F18">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Ex>
        <w:trPr>
          <w:trHeight w:val="20"/>
        </w:trPr>
        <w:tc>
          <w:tcPr>
            <w:tcW w:w="9371" w:type="dxa"/>
            <w:gridSpan w:val="6"/>
            <w:shd w:val="clear" w:color="auto" w:fill="BFBFBF"/>
            <w:vAlign w:val="center"/>
          </w:tcPr>
          <w:p w:rsidR="00D00F18" w:rsidRPr="00D00F18" w:rsidP="00D00F18">
            <w:pPr>
              <w:spacing w:after="0" w:line="240" w:lineRule="auto"/>
              <w:jc w:val="center"/>
              <w:rPr>
                <w:rFonts w:ascii="Times New Roman" w:eastAsia="Times New Roman" w:hAnsi="Times New Roman"/>
                <w:b/>
                <w:bCs/>
                <w:sz w:val="28"/>
                <w:szCs w:val="28"/>
                <w:lang w:eastAsia="sk-SK"/>
              </w:rPr>
            </w:pPr>
            <w:r w:rsidRPr="00D00F18">
              <w:rPr>
                <w:rFonts w:ascii="Times New Roman" w:eastAsia="Times New Roman" w:hAnsi="Times New Roman"/>
                <w:b/>
                <w:bCs/>
                <w:sz w:val="28"/>
                <w:szCs w:val="28"/>
                <w:lang w:eastAsia="sk-SK"/>
              </w:rPr>
              <w:t>Analýza vplyvov na informatizáciu spoločnosti</w:t>
            </w:r>
          </w:p>
          <w:p w:rsidR="00D00F18" w:rsidRPr="00D00F18" w:rsidP="00D00F18">
            <w:pPr>
              <w:spacing w:after="0" w:line="240" w:lineRule="auto"/>
              <w:jc w:val="center"/>
              <w:rPr>
                <w:rFonts w:ascii="Times New Roman" w:eastAsia="Times New Roman" w:hAnsi="Times New Roman"/>
                <w:b/>
                <w:i/>
                <w:iCs/>
                <w:sz w:val="2"/>
                <w:lang w:eastAsia="sk-SK"/>
              </w:rPr>
            </w:pP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9371" w:type="dxa"/>
            <w:gridSpan w:val="6"/>
            <w:shd w:val="clear" w:color="auto" w:fill="BFBFBF"/>
            <w:vAlign w:val="center"/>
          </w:tcPr>
          <w:p w:rsidR="00D00F18" w:rsidRPr="00D00F18" w:rsidP="00D00F18">
            <w:pPr>
              <w:spacing w:after="0" w:line="240" w:lineRule="auto"/>
              <w:jc w:val="center"/>
              <w:rPr>
                <w:rFonts w:ascii="Times New Roman" w:eastAsia="Times New Roman" w:hAnsi="Times New Roman"/>
                <w:b/>
                <w:bCs/>
                <w:sz w:val="24"/>
                <w:szCs w:val="24"/>
                <w:lang w:eastAsia="sk-SK"/>
              </w:rPr>
            </w:pPr>
            <w:r w:rsidRPr="00D00F18">
              <w:rPr>
                <w:rFonts w:ascii="Times New Roman" w:eastAsia="Times New Roman" w:hAnsi="Times New Roman"/>
                <w:b/>
                <w:bCs/>
                <w:sz w:val="24"/>
                <w:szCs w:val="24"/>
                <w:lang w:eastAsia="sk-SK"/>
              </w:rPr>
              <w:t>Budovanie základných pilierov informatizácie</w:t>
            </w:r>
          </w:p>
        </w:tc>
      </w:tr>
      <w:tr w:rsidTr="00D00F18">
        <w:tblPrEx>
          <w:tblW w:w="9371" w:type="dxa"/>
          <w:tblInd w:w="55" w:type="dxa"/>
          <w:tblLayout w:type="fixed"/>
          <w:tblCellMar>
            <w:top w:w="28" w:type="dxa"/>
            <w:left w:w="70" w:type="dxa"/>
            <w:bottom w:w="28" w:type="dxa"/>
            <w:right w:w="70" w:type="dxa"/>
          </w:tblCellMar>
          <w:tblLook w:val="0000"/>
        </w:tblPrEx>
        <w:trPr>
          <w:trHeight w:val="681"/>
        </w:trPr>
        <w:tc>
          <w:tcPr>
            <w:tcW w:w="3059" w:type="dxa"/>
            <w:shd w:val="clear" w:color="auto" w:fill="C0C0C0"/>
            <w:vAlign w:val="center"/>
          </w:tcPr>
          <w:p w:rsidR="00D00F18" w:rsidRPr="00D00F18" w:rsidP="00D00F18">
            <w:pPr>
              <w:spacing w:after="0" w:line="240" w:lineRule="auto"/>
              <w:jc w:val="cente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Biznis vrstva</w:t>
            </w:r>
          </w:p>
        </w:tc>
        <w:tc>
          <w:tcPr>
            <w:tcW w:w="1134" w:type="dxa"/>
            <w:shd w:val="clear" w:color="auto" w:fill="C0C0C0"/>
            <w:vAlign w:val="center"/>
          </w:tcPr>
          <w:p w:rsidR="00D00F18" w:rsidRPr="00D00F18" w:rsidP="00D00F18">
            <w:pPr>
              <w:spacing w:after="0" w:line="240" w:lineRule="auto"/>
              <w:jc w:val="cente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A – nová služba</w:t>
            </w:r>
          </w:p>
          <w:p w:rsidR="00D00F18" w:rsidRPr="00D00F18" w:rsidP="00D00F18">
            <w:pPr>
              <w:spacing w:after="0" w:line="240" w:lineRule="auto"/>
              <w:jc w:val="center"/>
              <w:rPr>
                <w:rFonts w:ascii="Times New Roman" w:eastAsia="Times New Roman" w:hAnsi="Times New Roman"/>
                <w:i/>
                <w:iCs/>
                <w:sz w:val="20"/>
                <w:szCs w:val="20"/>
                <w:lang w:eastAsia="sk-SK"/>
              </w:rPr>
            </w:pPr>
            <w:r w:rsidRPr="00D00F18">
              <w:rPr>
                <w:rFonts w:ascii="Times New Roman" w:eastAsia="Times New Roman" w:hAnsi="Times New Roman"/>
                <w:b/>
                <w:sz w:val="20"/>
                <w:szCs w:val="20"/>
                <w:lang w:eastAsia="sk-SK"/>
              </w:rPr>
              <w:t>B – zmena služby</w:t>
            </w:r>
          </w:p>
        </w:tc>
        <w:tc>
          <w:tcPr>
            <w:tcW w:w="1134" w:type="dxa"/>
            <w:shd w:val="clear" w:color="auto" w:fill="C0C0C0"/>
            <w:vAlign w:val="center"/>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b/>
                <w:sz w:val="20"/>
                <w:szCs w:val="20"/>
                <w:lang w:eastAsia="sk-SK"/>
              </w:rPr>
              <w:t>Kód koncovej služby</w:t>
            </w:r>
          </w:p>
        </w:tc>
        <w:tc>
          <w:tcPr>
            <w:tcW w:w="2977" w:type="dxa"/>
            <w:gridSpan w:val="2"/>
            <w:shd w:val="clear" w:color="auto" w:fill="C0C0C0"/>
            <w:vAlign w:val="center"/>
          </w:tcPr>
          <w:p w:rsidR="00D00F18" w:rsidRPr="00D00F18" w:rsidP="00D00F18">
            <w:pPr>
              <w:spacing w:after="0" w:line="240" w:lineRule="auto"/>
              <w:rPr>
                <w:rFonts w:ascii="Times New Roman" w:eastAsia="Times New Roman" w:hAnsi="Times New Roman"/>
                <w:i/>
                <w:iCs/>
                <w:sz w:val="20"/>
                <w:szCs w:val="20"/>
                <w:lang w:eastAsia="sk-SK"/>
              </w:rPr>
            </w:pPr>
            <w:r w:rsidRPr="00D00F18">
              <w:rPr>
                <w:rFonts w:ascii="Times New Roman" w:eastAsia="Times New Roman" w:hAnsi="Times New Roman"/>
                <w:b/>
                <w:sz w:val="20"/>
                <w:szCs w:val="20"/>
                <w:lang w:eastAsia="sk-SK"/>
              </w:rPr>
              <w:t>Názov koncovej služby</w:t>
            </w:r>
          </w:p>
        </w:tc>
        <w:tc>
          <w:tcPr>
            <w:tcW w:w="1067" w:type="dxa"/>
            <w:shd w:val="clear" w:color="auto" w:fill="C0C0C0"/>
          </w:tcPr>
          <w:p w:rsidR="00D00F18" w:rsidRPr="00D00F18" w:rsidP="00D00F18">
            <w:pPr>
              <w:spacing w:after="0" w:line="240" w:lineRule="auto"/>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Úroveň elektroni -zácie</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rPr>
                <w:rFonts w:ascii="Times New Roman" w:eastAsia="Times New Roman" w:hAnsi="Times New Roman"/>
                <w:sz w:val="20"/>
                <w:lang w:eastAsia="sk-SK"/>
              </w:rPr>
            </w:pPr>
            <w:r w:rsidRPr="00D00F18">
              <w:rPr>
                <w:rFonts w:ascii="Times New Roman" w:eastAsia="Times New Roman" w:hAnsi="Times New Roman"/>
                <w:b/>
                <w:sz w:val="20"/>
                <w:lang w:eastAsia="sk-SK"/>
              </w:rPr>
              <w:t>6.1.</w:t>
            </w:r>
            <w:r w:rsidRPr="00D00F18">
              <w:rPr>
                <w:rFonts w:ascii="Times New Roman" w:eastAsia="Times New Roman" w:hAnsi="Times New Roman"/>
                <w:sz w:val="20"/>
                <w:lang w:eastAsia="sk-SK"/>
              </w:rPr>
              <w:t xml:space="preserve"> Predpokladá predložený návrh zmenu existujúcich koncových služieb verejnej správy alebo vytvorenie nových služieb pre občana alebo podnikateľa?</w:t>
            </w:r>
          </w:p>
        </w:tc>
        <w:tc>
          <w:tcPr>
            <w:tcW w:w="1134" w:type="dxa"/>
          </w:tcPr>
          <w:p w:rsidR="00D00F18" w:rsidRPr="00D00F18" w:rsidP="00D00F18">
            <w:pPr>
              <w:spacing w:after="0" w:line="240" w:lineRule="auto"/>
              <w:jc w:val="center"/>
              <w:rPr>
                <w:rFonts w:ascii="Times New Roman" w:eastAsia="Times New Roman" w:hAnsi="Times New Roman"/>
                <w:b/>
                <w:lang w:eastAsia="sk-SK"/>
              </w:rPr>
            </w:pPr>
            <w:r w:rsidRPr="00D00F18">
              <w:rPr>
                <w:rFonts w:ascii="Times New Roman" w:eastAsia="Times New Roman" w:hAnsi="Times New Roman"/>
                <w:b/>
                <w:lang w:eastAsia="sk-SK"/>
              </w:rPr>
              <w:t>A</w:t>
            </w:r>
          </w:p>
        </w:tc>
        <w:tc>
          <w:tcPr>
            <w:tcW w:w="1134" w:type="dxa"/>
          </w:tcPr>
          <w:p w:rsidR="00D00F18" w:rsidRPr="00D00F18" w:rsidP="00D00F18">
            <w:pPr>
              <w:spacing w:after="0" w:line="240" w:lineRule="auto"/>
              <w:jc w:val="center"/>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ks_351400</w:t>
            </w:r>
          </w:p>
        </w:tc>
        <w:tc>
          <w:tcPr>
            <w:tcW w:w="2977" w:type="dxa"/>
            <w:gridSpan w:val="2"/>
          </w:tcPr>
          <w:p w:rsidR="00D00F18" w:rsidRPr="00D00F18" w:rsidP="00D00F18">
            <w:pPr>
              <w:spacing w:after="0" w:line="240" w:lineRule="auto"/>
              <w:jc w:val="both"/>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Žiadosť o výnimku na použitie pitnej vody</w:t>
            </w:r>
          </w:p>
        </w:tc>
        <w:tc>
          <w:tcPr>
            <w:tcW w:w="1067" w:type="dxa"/>
          </w:tcPr>
          <w:p w:rsidR="00D00F18" w:rsidRPr="00D00F18" w:rsidP="00D00F18">
            <w:pPr>
              <w:spacing w:after="0" w:line="240" w:lineRule="auto"/>
              <w:jc w:val="center"/>
              <w:rPr>
                <w:rFonts w:ascii="Times New Roman" w:eastAsia="Times New Roman" w:hAnsi="Times New Roman"/>
                <w:bCs/>
                <w:iCs/>
                <w:lang w:eastAsia="sk-SK"/>
              </w:rPr>
            </w:pPr>
            <w:r w:rsidRPr="00D00F18">
              <w:rPr>
                <w:rFonts w:ascii="Times New Roman" w:eastAsia="Times New Roman" w:hAnsi="Times New Roman"/>
                <w:bCs/>
                <w:iCs/>
                <w:lang w:eastAsia="sk-SK"/>
              </w:rPr>
              <w:t>úroveň 5</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rPr>
                <w:rFonts w:ascii="Times New Roman" w:eastAsia="Times New Roman" w:hAnsi="Times New Roman"/>
                <w:b/>
                <w:sz w:val="20"/>
                <w:lang w:eastAsia="sk-SK"/>
              </w:rPr>
            </w:pPr>
          </w:p>
        </w:tc>
        <w:tc>
          <w:tcPr>
            <w:tcW w:w="1134" w:type="dxa"/>
          </w:tcPr>
          <w:p w:rsidR="00D00F18" w:rsidRPr="00D00F18" w:rsidP="00D00F18">
            <w:pPr>
              <w:spacing w:after="0" w:line="240" w:lineRule="auto"/>
              <w:jc w:val="center"/>
              <w:rPr>
                <w:rFonts w:ascii="Times New Roman" w:eastAsia="Times New Roman" w:hAnsi="Times New Roman"/>
                <w:b/>
                <w:lang w:eastAsia="sk-SK"/>
              </w:rPr>
            </w:pPr>
            <w:r w:rsidRPr="00D00F18">
              <w:rPr>
                <w:rFonts w:ascii="Times New Roman" w:eastAsia="Times New Roman" w:hAnsi="Times New Roman"/>
                <w:b/>
                <w:lang w:eastAsia="sk-SK"/>
              </w:rPr>
              <w:t>A</w:t>
            </w:r>
          </w:p>
        </w:tc>
        <w:tc>
          <w:tcPr>
            <w:tcW w:w="1134" w:type="dxa"/>
          </w:tcPr>
          <w:p w:rsidR="00D00F18" w:rsidRPr="00D00F18" w:rsidP="00D00F18">
            <w:pPr>
              <w:spacing w:after="0" w:line="240" w:lineRule="auto"/>
              <w:jc w:val="center"/>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ks_351401</w:t>
            </w:r>
          </w:p>
        </w:tc>
        <w:tc>
          <w:tcPr>
            <w:tcW w:w="2977" w:type="dxa"/>
            <w:gridSpan w:val="2"/>
          </w:tcPr>
          <w:p w:rsidR="00D00F18" w:rsidRPr="00D00F18" w:rsidP="00D00F18">
            <w:pPr>
              <w:spacing w:after="0" w:line="240" w:lineRule="auto"/>
              <w:jc w:val="both"/>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Oznámenie o výsledkoch kontroly kvality pitnej vody</w:t>
            </w:r>
          </w:p>
        </w:tc>
        <w:tc>
          <w:tcPr>
            <w:tcW w:w="1067" w:type="dxa"/>
          </w:tcPr>
          <w:p w:rsidR="00D00F18" w:rsidRPr="00D00F18" w:rsidP="00D00F18">
            <w:pPr>
              <w:spacing w:after="0" w:line="240" w:lineRule="auto"/>
              <w:jc w:val="center"/>
              <w:rPr>
                <w:rFonts w:ascii="Times New Roman" w:eastAsia="Times New Roman" w:hAnsi="Times New Roman"/>
                <w:bCs/>
                <w:iCs/>
                <w:lang w:eastAsia="sk-SK"/>
              </w:rPr>
            </w:pPr>
            <w:r w:rsidRPr="00D00F18">
              <w:rPr>
                <w:rFonts w:ascii="Times New Roman" w:eastAsia="Times New Roman" w:hAnsi="Times New Roman"/>
                <w:bCs/>
                <w:iCs/>
                <w:lang w:eastAsia="sk-SK"/>
              </w:rPr>
              <w:t>úroveň 4</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rPr>
                <w:rFonts w:ascii="Times New Roman" w:eastAsia="Times New Roman" w:hAnsi="Times New Roman"/>
                <w:b/>
                <w:sz w:val="20"/>
                <w:lang w:eastAsia="sk-SK"/>
              </w:rPr>
            </w:pPr>
          </w:p>
        </w:tc>
        <w:tc>
          <w:tcPr>
            <w:tcW w:w="1134" w:type="dxa"/>
          </w:tcPr>
          <w:p w:rsidR="00D00F18" w:rsidRPr="00D00F18" w:rsidP="00D00F18">
            <w:pPr>
              <w:spacing w:after="0" w:line="240" w:lineRule="auto"/>
              <w:jc w:val="center"/>
              <w:rPr>
                <w:rFonts w:ascii="Times New Roman" w:eastAsia="Times New Roman" w:hAnsi="Times New Roman"/>
                <w:b/>
                <w:lang w:eastAsia="sk-SK"/>
              </w:rPr>
            </w:pPr>
            <w:r w:rsidRPr="00D00F18">
              <w:rPr>
                <w:rFonts w:ascii="Times New Roman" w:eastAsia="Times New Roman" w:hAnsi="Times New Roman"/>
                <w:b/>
                <w:lang w:eastAsia="sk-SK"/>
              </w:rPr>
              <w:t>A</w:t>
            </w:r>
          </w:p>
        </w:tc>
        <w:tc>
          <w:tcPr>
            <w:tcW w:w="1134" w:type="dxa"/>
          </w:tcPr>
          <w:p w:rsidR="00D00F18" w:rsidRPr="00D00F18" w:rsidP="00D00F18">
            <w:pPr>
              <w:spacing w:after="0" w:line="240" w:lineRule="auto"/>
              <w:jc w:val="center"/>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ks_351402</w:t>
            </w:r>
          </w:p>
        </w:tc>
        <w:tc>
          <w:tcPr>
            <w:tcW w:w="2977" w:type="dxa"/>
            <w:gridSpan w:val="2"/>
          </w:tcPr>
          <w:p w:rsidR="00D00F18" w:rsidRPr="00D00F18" w:rsidP="00D00F18">
            <w:pPr>
              <w:spacing w:after="0" w:line="240" w:lineRule="auto"/>
              <w:jc w:val="both"/>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Ostatné oznamovacie povinnosti pre oblasť pitnej vody</w:t>
            </w:r>
          </w:p>
        </w:tc>
        <w:tc>
          <w:tcPr>
            <w:tcW w:w="1067" w:type="dxa"/>
          </w:tcPr>
          <w:p w:rsidR="00D00F18" w:rsidRPr="00D00F18" w:rsidP="00D00F18">
            <w:pPr>
              <w:spacing w:after="0" w:line="240" w:lineRule="auto"/>
              <w:jc w:val="center"/>
              <w:rPr>
                <w:rFonts w:ascii="Times New Roman" w:eastAsia="Times New Roman" w:hAnsi="Times New Roman"/>
                <w:bCs/>
                <w:iCs/>
                <w:lang w:eastAsia="sk-SK"/>
              </w:rPr>
            </w:pPr>
            <w:r w:rsidRPr="00D00F18">
              <w:rPr>
                <w:rFonts w:ascii="Times New Roman" w:eastAsia="Times New Roman" w:hAnsi="Times New Roman"/>
                <w:bCs/>
                <w:iCs/>
                <w:lang w:eastAsia="sk-SK"/>
              </w:rPr>
              <w:t>úroveň 4</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rPr>
                <w:rFonts w:ascii="Times New Roman" w:eastAsia="Times New Roman" w:hAnsi="Times New Roman"/>
                <w:b/>
                <w:sz w:val="20"/>
                <w:lang w:eastAsia="sk-SK"/>
              </w:rPr>
            </w:pPr>
          </w:p>
        </w:tc>
        <w:tc>
          <w:tcPr>
            <w:tcW w:w="1134" w:type="dxa"/>
          </w:tcPr>
          <w:p w:rsidR="00D00F18" w:rsidRPr="00D00F18" w:rsidP="00D00F18">
            <w:pPr>
              <w:spacing w:after="0" w:line="240" w:lineRule="auto"/>
              <w:jc w:val="center"/>
              <w:rPr>
                <w:rFonts w:ascii="Times New Roman" w:eastAsia="Times New Roman" w:hAnsi="Times New Roman"/>
                <w:b/>
                <w:lang w:eastAsia="sk-SK"/>
              </w:rPr>
            </w:pPr>
            <w:r w:rsidRPr="00D00F18">
              <w:rPr>
                <w:rFonts w:ascii="Times New Roman" w:eastAsia="Times New Roman" w:hAnsi="Times New Roman"/>
                <w:b/>
                <w:lang w:eastAsia="sk-SK"/>
              </w:rPr>
              <w:t>A</w:t>
            </w:r>
          </w:p>
        </w:tc>
        <w:tc>
          <w:tcPr>
            <w:tcW w:w="1134" w:type="dxa"/>
          </w:tcPr>
          <w:p w:rsidR="00D00F18" w:rsidRPr="00D00F18" w:rsidP="00D00F18">
            <w:pPr>
              <w:spacing w:after="0" w:line="240" w:lineRule="auto"/>
              <w:jc w:val="center"/>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ks_351403</w:t>
            </w:r>
          </w:p>
        </w:tc>
        <w:tc>
          <w:tcPr>
            <w:tcW w:w="2977" w:type="dxa"/>
            <w:gridSpan w:val="2"/>
          </w:tcPr>
          <w:p w:rsidR="00D00F18" w:rsidRPr="00D00F18" w:rsidP="00D00F18">
            <w:pPr>
              <w:spacing w:after="0" w:line="240" w:lineRule="auto"/>
              <w:jc w:val="both"/>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Predloženie programu monitorovania</w:t>
            </w:r>
          </w:p>
        </w:tc>
        <w:tc>
          <w:tcPr>
            <w:tcW w:w="1067" w:type="dxa"/>
          </w:tcPr>
          <w:p w:rsidR="00D00F18" w:rsidRPr="00D00F18" w:rsidP="00D00F18">
            <w:pPr>
              <w:spacing w:after="0" w:line="240" w:lineRule="auto"/>
              <w:jc w:val="center"/>
              <w:rPr>
                <w:rFonts w:ascii="Times New Roman" w:eastAsia="Times New Roman" w:hAnsi="Times New Roman"/>
                <w:bCs/>
                <w:iCs/>
                <w:lang w:eastAsia="sk-SK"/>
              </w:rPr>
            </w:pPr>
            <w:r w:rsidRPr="00D00F18">
              <w:rPr>
                <w:rFonts w:ascii="Times New Roman" w:eastAsia="Times New Roman" w:hAnsi="Times New Roman"/>
                <w:bCs/>
                <w:iCs/>
                <w:lang w:eastAsia="sk-SK"/>
              </w:rPr>
              <w:t>úroveň 5</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rPr>
                <w:rFonts w:ascii="Times New Roman" w:eastAsia="Times New Roman" w:hAnsi="Times New Roman"/>
                <w:b/>
                <w:sz w:val="20"/>
                <w:lang w:eastAsia="sk-SK"/>
              </w:rPr>
            </w:pPr>
          </w:p>
        </w:tc>
        <w:tc>
          <w:tcPr>
            <w:tcW w:w="1134" w:type="dxa"/>
          </w:tcPr>
          <w:p w:rsidR="00D00F18" w:rsidRPr="00D00F18" w:rsidP="00D00F18">
            <w:pPr>
              <w:spacing w:after="0" w:line="240" w:lineRule="auto"/>
              <w:jc w:val="center"/>
              <w:rPr>
                <w:rFonts w:ascii="Times New Roman" w:eastAsia="Times New Roman" w:hAnsi="Times New Roman"/>
                <w:b/>
                <w:lang w:eastAsia="sk-SK"/>
              </w:rPr>
            </w:pPr>
            <w:r w:rsidRPr="00D00F18">
              <w:rPr>
                <w:rFonts w:ascii="Times New Roman" w:eastAsia="Times New Roman" w:hAnsi="Times New Roman"/>
                <w:b/>
                <w:lang w:eastAsia="sk-SK"/>
              </w:rPr>
              <w:t>A</w:t>
            </w:r>
          </w:p>
        </w:tc>
        <w:tc>
          <w:tcPr>
            <w:tcW w:w="1134" w:type="dxa"/>
          </w:tcPr>
          <w:p w:rsidR="00D00F18" w:rsidRPr="00D00F18" w:rsidP="00D00F18">
            <w:pPr>
              <w:spacing w:after="0" w:line="240" w:lineRule="auto"/>
              <w:jc w:val="center"/>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ks_351404</w:t>
            </w:r>
          </w:p>
        </w:tc>
        <w:tc>
          <w:tcPr>
            <w:tcW w:w="2977" w:type="dxa"/>
            <w:gridSpan w:val="2"/>
          </w:tcPr>
          <w:p w:rsidR="00D00F18" w:rsidRPr="00D00F18" w:rsidP="00D00F18">
            <w:pPr>
              <w:spacing w:after="0" w:line="240" w:lineRule="auto"/>
              <w:jc w:val="both"/>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Žiadosť o posúdenie zmeny v programu monitorovania</w:t>
            </w:r>
          </w:p>
        </w:tc>
        <w:tc>
          <w:tcPr>
            <w:tcW w:w="1067" w:type="dxa"/>
          </w:tcPr>
          <w:p w:rsidR="00D00F18" w:rsidRPr="00D00F18" w:rsidP="00D00F18">
            <w:pPr>
              <w:spacing w:after="0" w:line="240" w:lineRule="auto"/>
              <w:jc w:val="center"/>
              <w:rPr>
                <w:rFonts w:ascii="Times New Roman" w:eastAsia="Times New Roman" w:hAnsi="Times New Roman"/>
                <w:bCs/>
                <w:iCs/>
                <w:lang w:eastAsia="sk-SK"/>
              </w:rPr>
            </w:pPr>
            <w:r w:rsidRPr="00D00F18">
              <w:rPr>
                <w:rFonts w:ascii="Times New Roman" w:eastAsia="Times New Roman" w:hAnsi="Times New Roman"/>
                <w:bCs/>
                <w:iCs/>
                <w:lang w:eastAsia="sk-SK"/>
              </w:rPr>
              <w:t>úroveň 5</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rPr>
                <w:rFonts w:ascii="Times New Roman" w:eastAsia="Times New Roman" w:hAnsi="Times New Roman"/>
                <w:b/>
                <w:sz w:val="20"/>
                <w:lang w:eastAsia="sk-SK"/>
              </w:rPr>
            </w:pPr>
          </w:p>
        </w:tc>
        <w:tc>
          <w:tcPr>
            <w:tcW w:w="1134" w:type="dxa"/>
          </w:tcPr>
          <w:p w:rsidR="00D00F18" w:rsidRPr="00D00F18" w:rsidP="00D00F18">
            <w:pPr>
              <w:spacing w:after="0" w:line="240" w:lineRule="auto"/>
              <w:jc w:val="center"/>
              <w:rPr>
                <w:rFonts w:ascii="Times New Roman" w:eastAsia="Times New Roman" w:hAnsi="Times New Roman"/>
                <w:b/>
                <w:lang w:eastAsia="sk-SK"/>
              </w:rPr>
            </w:pPr>
            <w:r w:rsidRPr="00D00F18">
              <w:rPr>
                <w:rFonts w:ascii="Times New Roman" w:eastAsia="Times New Roman" w:hAnsi="Times New Roman"/>
                <w:b/>
                <w:lang w:eastAsia="sk-SK"/>
              </w:rPr>
              <w:t>A</w:t>
            </w:r>
          </w:p>
        </w:tc>
        <w:tc>
          <w:tcPr>
            <w:tcW w:w="1134" w:type="dxa"/>
          </w:tcPr>
          <w:p w:rsidR="00D00F18" w:rsidRPr="00D00F18" w:rsidP="00D00F18">
            <w:pPr>
              <w:spacing w:after="0" w:line="240" w:lineRule="auto"/>
              <w:jc w:val="center"/>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ks_351405</w:t>
            </w:r>
          </w:p>
        </w:tc>
        <w:tc>
          <w:tcPr>
            <w:tcW w:w="2977" w:type="dxa"/>
            <w:gridSpan w:val="2"/>
          </w:tcPr>
          <w:p w:rsidR="00D00F18" w:rsidRPr="00D00F18" w:rsidP="00D00F18">
            <w:pPr>
              <w:spacing w:after="0" w:line="240" w:lineRule="auto"/>
              <w:jc w:val="both"/>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Žiadosť o posúdenie manažmentu rizík systému zásobovania pitnou vodou</w:t>
            </w:r>
          </w:p>
        </w:tc>
        <w:tc>
          <w:tcPr>
            <w:tcW w:w="1067" w:type="dxa"/>
          </w:tcPr>
          <w:p w:rsidR="00D00F18" w:rsidRPr="00D00F18" w:rsidP="00D00F18">
            <w:pPr>
              <w:spacing w:after="0" w:line="240" w:lineRule="auto"/>
              <w:jc w:val="center"/>
              <w:rPr>
                <w:rFonts w:ascii="Times New Roman" w:eastAsia="Times New Roman" w:hAnsi="Times New Roman"/>
                <w:bCs/>
                <w:iCs/>
                <w:lang w:eastAsia="sk-SK"/>
              </w:rPr>
            </w:pPr>
            <w:r w:rsidRPr="00D00F18">
              <w:rPr>
                <w:rFonts w:ascii="Times New Roman" w:eastAsia="Times New Roman" w:hAnsi="Times New Roman"/>
                <w:bCs/>
                <w:iCs/>
                <w:lang w:eastAsia="sk-SK"/>
              </w:rPr>
              <w:t>úroveň 5</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rPr>
                <w:rFonts w:ascii="Times New Roman" w:eastAsia="Times New Roman" w:hAnsi="Times New Roman"/>
                <w:b/>
                <w:sz w:val="20"/>
                <w:lang w:eastAsia="sk-SK"/>
              </w:rPr>
            </w:pPr>
          </w:p>
        </w:tc>
        <w:tc>
          <w:tcPr>
            <w:tcW w:w="1134" w:type="dxa"/>
          </w:tcPr>
          <w:p w:rsidR="00D00F18" w:rsidRPr="00D00F18" w:rsidP="00D00F18">
            <w:pPr>
              <w:spacing w:after="0" w:line="240" w:lineRule="auto"/>
              <w:jc w:val="center"/>
              <w:rPr>
                <w:rFonts w:ascii="Times New Roman" w:eastAsia="Times New Roman" w:hAnsi="Times New Roman"/>
                <w:b/>
                <w:lang w:eastAsia="sk-SK"/>
              </w:rPr>
            </w:pPr>
            <w:r w:rsidRPr="00D00F18">
              <w:rPr>
                <w:rFonts w:ascii="Times New Roman" w:eastAsia="Times New Roman" w:hAnsi="Times New Roman"/>
                <w:b/>
                <w:lang w:eastAsia="sk-SK"/>
              </w:rPr>
              <w:t>A</w:t>
            </w:r>
          </w:p>
        </w:tc>
        <w:tc>
          <w:tcPr>
            <w:tcW w:w="1134" w:type="dxa"/>
          </w:tcPr>
          <w:p w:rsidR="00D00F18" w:rsidRPr="00D00F18" w:rsidP="00D00F18">
            <w:pPr>
              <w:spacing w:after="0" w:line="240" w:lineRule="auto"/>
              <w:jc w:val="center"/>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ks_351406</w:t>
            </w:r>
          </w:p>
        </w:tc>
        <w:tc>
          <w:tcPr>
            <w:tcW w:w="2977" w:type="dxa"/>
            <w:gridSpan w:val="2"/>
          </w:tcPr>
          <w:p w:rsidR="00D00F18" w:rsidRPr="00D00F18" w:rsidP="00D00F18">
            <w:pPr>
              <w:spacing w:after="0" w:line="240" w:lineRule="auto"/>
              <w:jc w:val="both"/>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Poskytovanie údajov Európskej komisii, Európskej environmentálnej agentúre a Európskemu centru pre prevenciu a kontrolu chorôb</w:t>
            </w:r>
          </w:p>
        </w:tc>
        <w:tc>
          <w:tcPr>
            <w:tcW w:w="1067" w:type="dxa"/>
          </w:tcPr>
          <w:p w:rsidR="00D00F18" w:rsidRPr="00D00F18" w:rsidP="00D00F18">
            <w:pPr>
              <w:spacing w:after="0" w:line="240" w:lineRule="auto"/>
              <w:jc w:val="center"/>
              <w:rPr>
                <w:rFonts w:ascii="Times New Roman" w:eastAsia="Times New Roman" w:hAnsi="Times New Roman"/>
                <w:bCs/>
                <w:iCs/>
                <w:lang w:eastAsia="sk-SK"/>
              </w:rPr>
            </w:pPr>
            <w:r w:rsidRPr="00D00F18">
              <w:rPr>
                <w:rFonts w:ascii="Times New Roman" w:eastAsia="Times New Roman" w:hAnsi="Times New Roman"/>
                <w:bCs/>
                <w:iCs/>
                <w:lang w:eastAsia="sk-SK"/>
              </w:rPr>
              <w:t>úroveň 4</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rPr>
                <w:rFonts w:ascii="Times New Roman" w:eastAsia="Times New Roman" w:hAnsi="Times New Roman"/>
                <w:b/>
                <w:sz w:val="20"/>
                <w:lang w:eastAsia="sk-SK"/>
              </w:rPr>
            </w:pPr>
          </w:p>
        </w:tc>
        <w:tc>
          <w:tcPr>
            <w:tcW w:w="1134" w:type="dxa"/>
          </w:tcPr>
          <w:p w:rsidR="00D00F18" w:rsidRPr="00D00F18" w:rsidP="00D00F18">
            <w:pPr>
              <w:spacing w:after="0" w:line="240" w:lineRule="auto"/>
              <w:jc w:val="center"/>
              <w:rPr>
                <w:rFonts w:ascii="Times New Roman" w:eastAsia="Times New Roman" w:hAnsi="Times New Roman"/>
                <w:b/>
                <w:lang w:eastAsia="sk-SK"/>
              </w:rPr>
            </w:pPr>
            <w:r w:rsidRPr="00D00F18">
              <w:rPr>
                <w:rFonts w:ascii="Times New Roman" w:eastAsia="Times New Roman" w:hAnsi="Times New Roman"/>
                <w:b/>
                <w:lang w:eastAsia="sk-SK"/>
              </w:rPr>
              <w:t>A</w:t>
            </w:r>
          </w:p>
        </w:tc>
        <w:tc>
          <w:tcPr>
            <w:tcW w:w="1134" w:type="dxa"/>
          </w:tcPr>
          <w:p w:rsidR="00D00F18" w:rsidRPr="00D00F18" w:rsidP="00D00F18">
            <w:pPr>
              <w:spacing w:after="0" w:line="240" w:lineRule="auto"/>
              <w:jc w:val="center"/>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ks_351407</w:t>
            </w:r>
          </w:p>
        </w:tc>
        <w:tc>
          <w:tcPr>
            <w:tcW w:w="2977" w:type="dxa"/>
            <w:gridSpan w:val="2"/>
          </w:tcPr>
          <w:p w:rsidR="00D00F18" w:rsidRPr="00D00F18" w:rsidP="00D00F18">
            <w:pPr>
              <w:spacing w:after="0" w:line="240" w:lineRule="auto"/>
              <w:jc w:val="both"/>
              <w:rPr>
                <w:rFonts w:ascii="Times New Roman" w:eastAsia="Times New Roman" w:hAnsi="Times New Roman"/>
                <w:bCs/>
                <w:sz w:val="20"/>
                <w:szCs w:val="20"/>
                <w:lang w:eastAsia="sk-SK"/>
              </w:rPr>
            </w:pPr>
            <w:r w:rsidRPr="00D00F18">
              <w:rPr>
                <w:rFonts w:ascii="Times New Roman" w:eastAsia="Times New Roman" w:hAnsi="Times New Roman"/>
                <w:bCs/>
                <w:sz w:val="20"/>
                <w:szCs w:val="20"/>
                <w:lang w:eastAsia="sk-SK"/>
              </w:rPr>
              <w:t>Poskytovanie informácií verejnosti o kvalite vody</w:t>
            </w:r>
          </w:p>
        </w:tc>
        <w:tc>
          <w:tcPr>
            <w:tcW w:w="1067" w:type="dxa"/>
          </w:tcPr>
          <w:p w:rsidR="00D00F18" w:rsidRPr="00D00F18" w:rsidP="00D00F18">
            <w:pPr>
              <w:spacing w:after="0" w:line="240" w:lineRule="auto"/>
              <w:jc w:val="center"/>
              <w:rPr>
                <w:rFonts w:ascii="Times New Roman" w:eastAsia="Times New Roman" w:hAnsi="Times New Roman"/>
                <w:bCs/>
                <w:iCs/>
                <w:lang w:eastAsia="sk-SK"/>
              </w:rPr>
            </w:pPr>
            <w:r w:rsidRPr="00D00F18">
              <w:rPr>
                <w:rFonts w:ascii="Times New Roman" w:eastAsia="Times New Roman" w:hAnsi="Times New Roman"/>
                <w:bCs/>
                <w:iCs/>
                <w:lang w:eastAsia="sk-SK"/>
              </w:rPr>
              <w:t>úroveň 4</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shd w:val="clear" w:color="auto" w:fill="C0C0C0"/>
            <w:vAlign w:val="center"/>
          </w:tcPr>
          <w:p w:rsidR="00D00F18" w:rsidRPr="00D00F18" w:rsidP="00D00F18">
            <w:pPr>
              <w:spacing w:after="0" w:line="240" w:lineRule="auto"/>
              <w:jc w:val="cente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Aplikačná a technologická vrstva</w:t>
            </w:r>
          </w:p>
        </w:tc>
        <w:tc>
          <w:tcPr>
            <w:tcW w:w="1134" w:type="dxa"/>
            <w:shd w:val="clear" w:color="auto" w:fill="C0C0C0"/>
          </w:tcPr>
          <w:p w:rsidR="00D00F18" w:rsidRPr="00D00F18" w:rsidP="00D00F18">
            <w:pPr>
              <w:spacing w:after="0" w:line="240" w:lineRule="auto"/>
              <w:jc w:val="cente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A – nový systém</w:t>
            </w:r>
          </w:p>
          <w:p w:rsidR="00D00F18" w:rsidRPr="00D00F18" w:rsidP="00D00F18">
            <w:pPr>
              <w:spacing w:after="0" w:line="240" w:lineRule="auto"/>
              <w:jc w:val="cente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B – zmena systému</w:t>
            </w:r>
          </w:p>
        </w:tc>
        <w:tc>
          <w:tcPr>
            <w:tcW w:w="1134" w:type="dxa"/>
            <w:shd w:val="clear" w:color="auto" w:fill="C0C0C0"/>
            <w:vAlign w:val="center"/>
          </w:tcPr>
          <w:p w:rsidR="00D00F18" w:rsidRPr="00D00F18" w:rsidP="00D00F18">
            <w:pPr>
              <w:spacing w:after="0" w:line="240" w:lineRule="auto"/>
              <w:jc w:val="cente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Kód systému</w:t>
            </w:r>
          </w:p>
        </w:tc>
        <w:tc>
          <w:tcPr>
            <w:tcW w:w="2977" w:type="dxa"/>
            <w:gridSpan w:val="2"/>
            <w:shd w:val="clear" w:color="auto" w:fill="C0C0C0"/>
            <w:vAlign w:val="center"/>
          </w:tcPr>
          <w:p w:rsidR="00D00F18" w:rsidRPr="00D00F18" w:rsidP="00D00F18">
            <w:pPr>
              <w:spacing w:after="0" w:line="240" w:lineRule="auto"/>
              <w:jc w:val="cente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Názov systému</w:t>
            </w:r>
          </w:p>
        </w:tc>
        <w:tc>
          <w:tcPr>
            <w:tcW w:w="1067" w:type="dxa"/>
            <w:shd w:val="clear" w:color="auto" w:fill="C0C0C0"/>
            <w:vAlign w:val="center"/>
          </w:tcPr>
          <w:p w:rsidR="00D00F18" w:rsidRPr="00D00F18" w:rsidP="00D00F18">
            <w:pPr>
              <w:spacing w:after="0" w:line="240" w:lineRule="auto"/>
              <w:jc w:val="cente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Vo vládnom cloude – áno / nie</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rPr>
                <w:rFonts w:ascii="Times New Roman" w:eastAsia="Times New Roman" w:hAnsi="Times New Roman"/>
                <w:sz w:val="24"/>
                <w:szCs w:val="24"/>
                <w:lang w:eastAsia="sk-SK"/>
              </w:rPr>
            </w:pPr>
            <w:r w:rsidRPr="00D00F18">
              <w:rPr>
                <w:rFonts w:ascii="Times New Roman" w:eastAsia="Times New Roman" w:hAnsi="Times New Roman"/>
                <w:b/>
                <w:sz w:val="20"/>
                <w:szCs w:val="20"/>
                <w:lang w:eastAsia="sk-SK"/>
              </w:rPr>
              <w:t>6.2.</w:t>
            </w:r>
            <w:r w:rsidRPr="00D00F18">
              <w:rPr>
                <w:rFonts w:ascii="Times New Roman" w:eastAsia="Times New Roman" w:hAnsi="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134" w:type="dxa"/>
          </w:tcPr>
          <w:p w:rsidR="00D00F18" w:rsidRPr="00D00F18" w:rsidP="00D00F18">
            <w:pPr>
              <w:spacing w:after="0" w:line="240" w:lineRule="auto"/>
              <w:jc w:val="center"/>
              <w:rPr>
                <w:rFonts w:ascii="Times New Roman" w:eastAsia="Times New Roman" w:hAnsi="Times New Roman"/>
                <w:i/>
                <w:iCs/>
                <w:sz w:val="24"/>
                <w:szCs w:val="24"/>
                <w:lang w:eastAsia="sk-SK"/>
              </w:rPr>
            </w:pPr>
            <w:r w:rsidRPr="00D00F18">
              <w:rPr>
                <w:rFonts w:ascii="Times New Roman" w:eastAsia="Times New Roman" w:hAnsi="Times New Roman"/>
                <w:b/>
                <w:lang w:eastAsia="sk-SK"/>
              </w:rPr>
              <w:t>A</w:t>
            </w:r>
          </w:p>
        </w:tc>
        <w:tc>
          <w:tcPr>
            <w:tcW w:w="1134" w:type="dxa"/>
          </w:tcPr>
          <w:p w:rsidR="00D00F18" w:rsidRPr="00D00F18" w:rsidP="00D00F18">
            <w:pPr>
              <w:spacing w:after="0" w:line="240" w:lineRule="auto"/>
              <w:jc w:val="center"/>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isvs_9087</w:t>
            </w:r>
          </w:p>
        </w:tc>
        <w:tc>
          <w:tcPr>
            <w:tcW w:w="2977" w:type="dxa"/>
            <w:gridSpan w:val="2"/>
          </w:tcPr>
          <w:p w:rsidR="00D00F18" w:rsidRPr="00D00F18" w:rsidP="00D00F18">
            <w:pPr>
              <w:spacing w:after="0" w:line="240" w:lineRule="auto"/>
              <w:jc w:val="both"/>
              <w:rPr>
                <w:rFonts w:ascii="Times New Roman" w:eastAsia="Times New Roman" w:hAnsi="Times New Roman"/>
                <w:sz w:val="20"/>
                <w:szCs w:val="20"/>
                <w:lang w:eastAsia="sk-SK"/>
              </w:rPr>
            </w:pPr>
            <w:r w:rsidRPr="00D00F18">
              <w:rPr>
                <w:rFonts w:ascii="Times New Roman" w:eastAsia="Times New Roman" w:hAnsi="Times New Roman"/>
                <w:sz w:val="20"/>
                <w:szCs w:val="20"/>
                <w:lang w:eastAsia="sk-SK"/>
              </w:rPr>
              <w:t>Informačný systém Hygieny životného prostredia</w:t>
            </w:r>
          </w:p>
        </w:tc>
        <w:tc>
          <w:tcPr>
            <w:tcW w:w="1067" w:type="dxa"/>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áno</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shd w:val="clear" w:color="auto" w:fill="BFBFBF"/>
            <w:vAlign w:val="center"/>
          </w:tcPr>
          <w:p w:rsidR="00D00F18" w:rsidRPr="00D00F18" w:rsidP="00D00F18">
            <w:pPr>
              <w:spacing w:after="0" w:line="20" w:lineRule="atLeast"/>
              <w:jc w:val="cente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Financovanie procesu informatizácie</w:t>
            </w:r>
          </w:p>
        </w:tc>
        <w:tc>
          <w:tcPr>
            <w:tcW w:w="1134" w:type="dxa"/>
            <w:shd w:val="clear" w:color="auto" w:fill="BFBFBF"/>
            <w:vAlign w:val="center"/>
          </w:tcPr>
          <w:p w:rsidR="00D00F18" w:rsidRPr="00D00F18" w:rsidP="00D00F18">
            <w:pPr>
              <w:spacing w:after="0" w:line="240" w:lineRule="auto"/>
              <w:jc w:val="center"/>
              <w:rPr>
                <w:rFonts w:ascii="Times New Roman" w:eastAsia="Times New Roman" w:hAnsi="Times New Roman"/>
                <w:b/>
                <w:i/>
                <w:iCs/>
                <w:sz w:val="20"/>
                <w:szCs w:val="20"/>
                <w:lang w:eastAsia="sk-SK"/>
              </w:rPr>
            </w:pPr>
            <w:r w:rsidRPr="00D00F18">
              <w:rPr>
                <w:rFonts w:ascii="Times New Roman" w:eastAsia="Times New Roman" w:hAnsi="Times New Roman"/>
                <w:b/>
                <w:sz w:val="20"/>
                <w:szCs w:val="20"/>
                <w:lang w:eastAsia="sk-SK"/>
              </w:rPr>
              <w:t>Rezortná úroveň</w:t>
            </w:r>
          </w:p>
        </w:tc>
        <w:tc>
          <w:tcPr>
            <w:tcW w:w="2977" w:type="dxa"/>
            <w:gridSpan w:val="2"/>
            <w:shd w:val="clear" w:color="auto" w:fill="BFBFBF"/>
            <w:vAlign w:val="center"/>
          </w:tcPr>
          <w:p w:rsidR="00D00F18" w:rsidRPr="00D00F18" w:rsidP="00D00F18">
            <w:pPr>
              <w:spacing w:after="0" w:line="240" w:lineRule="auto"/>
              <w:jc w:val="center"/>
              <w:rPr>
                <w:rFonts w:ascii="Times New Roman" w:eastAsia="Times New Roman" w:hAnsi="Times New Roman"/>
                <w:b/>
                <w:i/>
                <w:iCs/>
                <w:sz w:val="20"/>
                <w:szCs w:val="20"/>
                <w:lang w:eastAsia="sk-SK"/>
              </w:rPr>
            </w:pPr>
            <w:r w:rsidRPr="00D00F18">
              <w:rPr>
                <w:rFonts w:ascii="Times New Roman" w:eastAsia="Times New Roman" w:hAnsi="Times New Roman"/>
                <w:b/>
                <w:sz w:val="20"/>
                <w:szCs w:val="20"/>
                <w:lang w:eastAsia="sk-SK"/>
              </w:rPr>
              <w:t>Nadrezortná úroveň</w:t>
            </w:r>
          </w:p>
          <w:p w:rsidR="00D00F18" w:rsidRPr="00D00F18" w:rsidP="00D00F18">
            <w:pPr>
              <w:spacing w:after="0" w:line="240" w:lineRule="auto"/>
              <w:jc w:val="center"/>
              <w:rPr>
                <w:rFonts w:ascii="Times New Roman" w:eastAsia="Times New Roman" w:hAnsi="Times New Roman"/>
                <w:b/>
                <w:sz w:val="20"/>
                <w:szCs w:val="20"/>
                <w:lang w:eastAsia="sk-SK"/>
              </w:rPr>
            </w:pPr>
          </w:p>
        </w:tc>
        <w:tc>
          <w:tcPr>
            <w:tcW w:w="2201" w:type="dxa"/>
            <w:gridSpan w:val="2"/>
            <w:shd w:val="clear" w:color="auto" w:fill="BFBFBF"/>
            <w:vAlign w:val="center"/>
          </w:tcPr>
          <w:p w:rsidR="00D00F18" w:rsidRPr="00D00F18" w:rsidP="00D00F18">
            <w:pPr>
              <w:spacing w:after="0" w:line="240" w:lineRule="auto"/>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A - z prostriedkov EÚ   B - z ďalších zdrojov financovania</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Borders>
              <w:bottom w:val="single" w:sz="4" w:space="0" w:color="auto"/>
            </w:tcBorders>
          </w:tcPr>
          <w:p w:rsidR="00D00F18" w:rsidRPr="00D00F18" w:rsidP="00D00F18">
            <w:pPr>
              <w:spacing w:after="0" w:line="240" w:lineRule="auto"/>
              <w:jc w:val="both"/>
              <w:rPr>
                <w:rFonts w:ascii="Times New Roman" w:eastAsia="Times New Roman" w:hAnsi="Times New Roman"/>
                <w:sz w:val="20"/>
                <w:lang w:eastAsia="sk-SK"/>
              </w:rPr>
            </w:pPr>
            <w:r w:rsidRPr="00D00F18">
              <w:rPr>
                <w:rFonts w:ascii="Times New Roman" w:eastAsia="Times New Roman" w:hAnsi="Times New Roman"/>
                <w:b/>
                <w:sz w:val="20"/>
                <w:lang w:eastAsia="sk-SK"/>
              </w:rPr>
              <w:t>6.3.</w:t>
            </w:r>
            <w:r w:rsidRPr="00D00F18">
              <w:rPr>
                <w:rFonts w:ascii="Times New Roman" w:eastAsia="Times New Roman" w:hAnsi="Times New Roman"/>
                <w:sz w:val="20"/>
                <w:lang w:eastAsia="sk-SK"/>
              </w:rPr>
              <w:t xml:space="preserve"> Vyžaduje si proces informatizácie  finančné investície?</w:t>
            </w:r>
          </w:p>
          <w:p w:rsidR="00D00F18" w:rsidRPr="00D00F18" w:rsidP="00D00F18">
            <w:pPr>
              <w:spacing w:after="0" w:line="20" w:lineRule="atLeast"/>
              <w:jc w:val="both"/>
              <w:rPr>
                <w:rFonts w:ascii="Times New Roman" w:eastAsia="Times New Roman" w:hAnsi="Times New Roman"/>
                <w:sz w:val="24"/>
                <w:szCs w:val="24"/>
                <w:lang w:eastAsia="sk-SK"/>
              </w:rPr>
            </w:pPr>
            <w:r w:rsidRPr="00D00F18">
              <w:rPr>
                <w:rFonts w:ascii="Times New Roman" w:eastAsia="Times New Roman" w:hAnsi="Times New Roman"/>
                <w:i/>
                <w:iCs/>
                <w:sz w:val="20"/>
                <w:lang w:eastAsia="sk-SK"/>
              </w:rPr>
              <w:t>(Uveďte príslušnú úroveň financovania a kvantifikáciu finančných výdavkov uveďte  v analýze vplyvov na rozpočet verejnej správy.)</w:t>
            </w:r>
          </w:p>
        </w:tc>
        <w:tc>
          <w:tcPr>
            <w:tcW w:w="1134" w:type="dxa"/>
            <w:tcBorders>
              <w:bottom w:val="single" w:sz="4" w:space="0" w:color="auto"/>
            </w:tcBorders>
          </w:tcPr>
          <w:p w:rsidR="00D00F18" w:rsidRPr="00D00F18" w:rsidP="00D00F18">
            <w:pPr>
              <w:spacing w:after="0" w:line="240" w:lineRule="auto"/>
              <w:jc w:val="center"/>
              <w:rPr>
                <w:rFonts w:ascii="Times New Roman" w:eastAsia="Times New Roman" w:hAnsi="Times New Roman"/>
                <w:i/>
                <w:iCs/>
                <w:sz w:val="24"/>
                <w:szCs w:val="24"/>
                <w:lang w:eastAsia="sk-SK"/>
              </w:rPr>
            </w:pPr>
            <w:r w:rsidRPr="00D00F18">
              <w:rPr>
                <w:rFonts w:ascii="Times New Roman" w:eastAsia="Times New Roman" w:hAnsi="Times New Roman"/>
                <w:b/>
                <w:lang w:eastAsia="sk-SK"/>
              </w:rPr>
              <w:t>X</w:t>
            </w:r>
          </w:p>
        </w:tc>
        <w:tc>
          <w:tcPr>
            <w:tcW w:w="2977" w:type="dxa"/>
            <w:gridSpan w:val="2"/>
            <w:tcBorders>
              <w:bottom w:val="single" w:sz="4" w:space="0" w:color="auto"/>
            </w:tcBorders>
          </w:tcPr>
          <w:p w:rsidR="00D00F18" w:rsidRPr="00D00F18" w:rsidP="00D00F18">
            <w:pPr>
              <w:spacing w:after="0" w:line="240" w:lineRule="auto"/>
              <w:jc w:val="center"/>
              <w:rPr>
                <w:rFonts w:ascii="Times New Roman" w:eastAsia="Times New Roman" w:hAnsi="Times New Roman"/>
                <w:i/>
                <w:iCs/>
                <w:sz w:val="24"/>
                <w:szCs w:val="24"/>
                <w:lang w:eastAsia="sk-SK"/>
              </w:rPr>
            </w:pPr>
            <w:r w:rsidRPr="00D00F18">
              <w:rPr>
                <w:rFonts w:ascii="Times New Roman" w:eastAsia="Times New Roman" w:hAnsi="Times New Roman"/>
                <w:b/>
                <w:lang w:eastAsia="sk-SK"/>
              </w:rPr>
              <w:t>X</w:t>
            </w:r>
          </w:p>
        </w:tc>
        <w:tc>
          <w:tcPr>
            <w:tcW w:w="2201" w:type="dxa"/>
            <w:gridSpan w:val="2"/>
            <w:tcBorders>
              <w:bottom w:val="single" w:sz="4" w:space="0" w:color="auto"/>
            </w:tcBorders>
          </w:tcPr>
          <w:p w:rsidR="00D00F18" w:rsidRPr="00D00F18" w:rsidP="00D00F18">
            <w:pPr>
              <w:spacing w:after="0" w:line="240" w:lineRule="auto"/>
              <w:jc w:val="center"/>
              <w:rPr>
                <w:rFonts w:ascii="Times New Roman" w:eastAsia="Times New Roman" w:hAnsi="Times New Roman"/>
                <w:b/>
                <w:bCs/>
                <w:sz w:val="20"/>
                <w:szCs w:val="20"/>
                <w:lang w:eastAsia="sk-SK"/>
              </w:rPr>
            </w:pPr>
            <w:r w:rsidRPr="00D00F18">
              <w:rPr>
                <w:rFonts w:ascii="Times New Roman" w:eastAsia="Times New Roman" w:hAnsi="Times New Roman"/>
                <w:b/>
                <w:bCs/>
                <w:sz w:val="20"/>
                <w:szCs w:val="20"/>
                <w:lang w:eastAsia="sk-SK"/>
              </w:rPr>
              <w:t>A, B</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9371" w:type="dxa"/>
            <w:gridSpan w:val="6"/>
            <w:shd w:val="pct25" w:color="auto" w:fill="auto"/>
          </w:tcPr>
          <w:p w:rsidR="00D00F18" w:rsidRPr="00D00F18" w:rsidP="00D00F18">
            <w:pPr>
              <w:spacing w:after="0" w:line="20" w:lineRule="atLeast"/>
              <w:jc w:val="center"/>
              <w:rPr>
                <w:rFonts w:ascii="Times New Roman" w:eastAsia="Times New Roman" w:hAnsi="Times New Roman"/>
                <w:i/>
                <w:iCs/>
                <w:sz w:val="24"/>
                <w:szCs w:val="24"/>
                <w:lang w:eastAsia="sk-SK"/>
              </w:rPr>
            </w:pPr>
            <w:r w:rsidRPr="00D00F18">
              <w:rPr>
                <w:rFonts w:ascii="Times New Roman" w:eastAsia="Times New Roman" w:hAnsi="Times New Roman"/>
                <w:b/>
                <w:sz w:val="24"/>
                <w:szCs w:val="24"/>
                <w:lang w:eastAsia="sk-SK"/>
              </w:rPr>
              <w:t>Zjednodušenie prístupu ku konaniu a odstraňovanie byrokracie</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9371" w:type="dxa"/>
            <w:gridSpan w:val="6"/>
            <w:shd w:val="pct25" w:color="auto" w:fill="auto"/>
          </w:tcPr>
          <w:p w:rsidR="00D00F18" w:rsidRPr="00D00F18" w:rsidP="00D00F18">
            <w:pPr>
              <w:spacing w:after="0" w:line="20" w:lineRule="atLeast"/>
              <w:jc w:val="cente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Elektronické konanie</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jc w:val="both"/>
              <w:rPr>
                <w:rFonts w:ascii="Times New Roman" w:eastAsia="Times New Roman" w:hAnsi="Times New Roman"/>
                <w:b/>
                <w:sz w:val="20"/>
                <w:lang w:eastAsia="sk-SK"/>
              </w:rPr>
            </w:pPr>
            <w:r w:rsidRPr="00D00F18">
              <w:rPr>
                <w:rFonts w:ascii="Times New Roman" w:eastAsia="Times New Roman" w:hAnsi="Times New Roman"/>
                <w:b/>
                <w:sz w:val="20"/>
                <w:lang w:eastAsia="sk-SK"/>
              </w:rPr>
              <w:t xml:space="preserve">6.4.1. </w:t>
            </w:r>
            <w:r w:rsidRPr="00D00F18">
              <w:rPr>
                <w:rFonts w:ascii="Times New Roman" w:eastAsia="Times New Roman" w:hAnsi="Times New Roman"/>
                <w:sz w:val="20"/>
                <w:lang w:eastAsia="sk-SK"/>
              </w:rPr>
              <w:t>Predpokladá predložený návrh vedenie konania o právach, právom chránených záujmoch alebo povinnostiach fyzických osôb a právnických osôb?</w:t>
            </w:r>
          </w:p>
        </w:tc>
        <w:tc>
          <w:tcPr>
            <w:tcW w:w="1134" w:type="dxa"/>
          </w:tcPr>
          <w:tbl>
            <w:tblPr>
              <w:tblStyle w:val="TableNormal"/>
              <w:tblW w:w="0" w:type="auto"/>
              <w:tblLayout w:type="fixed"/>
              <w:tblLook w:val="04A0"/>
            </w:tblPr>
            <w:tblGrid>
              <w:gridCol w:w="436"/>
              <w:gridCol w:w="8545"/>
            </w:tblGrid>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Segoe UI Symbol" w:eastAsia="Times New Roman" w:hAnsi="Segoe UI Symbol" w:cs="Segoe UI Symbol"/>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Áno</w:t>
                  </w:r>
                </w:p>
              </w:tc>
            </w:tr>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Nie</w:t>
                  </w:r>
                </w:p>
              </w:tc>
            </w:tr>
          </w:tbl>
          <w:p w:rsidR="00D00F18" w:rsidRPr="00D00F18" w:rsidP="00D00F18">
            <w:pPr>
              <w:spacing w:after="0" w:line="240" w:lineRule="auto"/>
              <w:rPr>
                <w:rFonts w:ascii="Times New Roman" w:eastAsia="Times New Roman" w:hAnsi="Times New Roman"/>
                <w:sz w:val="24"/>
                <w:szCs w:val="24"/>
                <w:lang w:eastAsia="sk-SK"/>
              </w:rPr>
            </w:pPr>
          </w:p>
        </w:tc>
        <w:tc>
          <w:tcPr>
            <w:tcW w:w="5178" w:type="dxa"/>
            <w:gridSpan w:val="4"/>
            <w:shd w:val="clear" w:color="auto" w:fill="auto"/>
          </w:tcPr>
          <w:p w:rsidR="00D00F18" w:rsidRPr="00D00F18" w:rsidP="00D00F18">
            <w:pPr>
              <w:spacing w:after="0" w:line="240" w:lineRule="auto"/>
              <w:rPr>
                <w:rFonts w:ascii="Times New Roman" w:eastAsia="Times New Roman" w:hAnsi="Times New Roman"/>
                <w:i/>
                <w:iCs/>
                <w:sz w:val="20"/>
                <w:lang w:eastAsia="sk-SK"/>
              </w:rPr>
            </w:pPr>
            <w:r w:rsidRPr="00D00F18">
              <w:rPr>
                <w:rFonts w:ascii="Times New Roman" w:eastAsia="Times New Roman" w:hAnsi="Times New Roman"/>
                <w:i/>
                <w:iCs/>
                <w:sz w:val="20"/>
                <w:lang w:eastAsia="sk-SK"/>
              </w:rPr>
              <w:t>(Uveďte, o aké konanie ide.)</w:t>
            </w:r>
          </w:p>
          <w:p w:rsidR="00D00F18" w:rsidRPr="00D00F18" w:rsidP="00D00F18">
            <w:pPr>
              <w:spacing w:after="0" w:line="240" w:lineRule="auto"/>
              <w:rPr>
                <w:rFonts w:ascii="Times New Roman" w:eastAsia="Times New Roman" w:hAnsi="Times New Roman"/>
                <w:sz w:val="24"/>
                <w:szCs w:val="24"/>
                <w:lang w:eastAsia="sk-SK"/>
              </w:rPr>
            </w:pP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jc w:val="both"/>
              <w:rPr>
                <w:rFonts w:ascii="Times New Roman" w:eastAsia="Times New Roman" w:hAnsi="Times New Roman"/>
                <w:b/>
                <w:sz w:val="20"/>
                <w:lang w:eastAsia="sk-SK"/>
              </w:rPr>
            </w:pPr>
            <w:r w:rsidRPr="00D00F18">
              <w:rPr>
                <w:rFonts w:ascii="Times New Roman" w:eastAsia="Times New Roman" w:hAnsi="Times New Roman"/>
                <w:b/>
                <w:sz w:val="20"/>
                <w:lang w:eastAsia="sk-SK"/>
              </w:rPr>
              <w:t xml:space="preserve">6.4.2. </w:t>
            </w:r>
            <w:r w:rsidRPr="00D00F18">
              <w:rPr>
                <w:rFonts w:ascii="Times New Roman" w:eastAsia="Times New Roman" w:hAnsi="Times New Roman"/>
                <w:sz w:val="20"/>
                <w:lang w:eastAsia="sk-SK"/>
              </w:rPr>
              <w:t>Je dané konanie možné v celku vykonať elektronicky?</w:t>
            </w:r>
          </w:p>
        </w:tc>
        <w:tc>
          <w:tcPr>
            <w:tcW w:w="1134" w:type="dxa"/>
          </w:tcPr>
          <w:tbl>
            <w:tblPr>
              <w:tblStyle w:val="TableNormal"/>
              <w:tblW w:w="0" w:type="auto"/>
              <w:tblLayout w:type="fixed"/>
              <w:tblLook w:val="04A0"/>
            </w:tblPr>
            <w:tblGrid>
              <w:gridCol w:w="436"/>
              <w:gridCol w:w="8545"/>
            </w:tblGrid>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Segoe UI Symbol" w:eastAsia="Times New Roman" w:hAnsi="Segoe UI Symbol" w:cs="Segoe UI Symbol"/>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Áno</w:t>
                  </w:r>
                </w:p>
              </w:tc>
            </w:tr>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Nie</w:t>
                  </w:r>
                </w:p>
              </w:tc>
            </w:tr>
          </w:tbl>
          <w:p w:rsidR="00D00F18" w:rsidRPr="00D00F18" w:rsidP="00D00F18">
            <w:pPr>
              <w:spacing w:after="0" w:line="240" w:lineRule="auto"/>
              <w:rPr>
                <w:rFonts w:ascii="Times New Roman" w:eastAsia="Times New Roman" w:hAnsi="Times New Roman"/>
                <w:sz w:val="24"/>
                <w:szCs w:val="24"/>
                <w:lang w:eastAsia="sk-SK"/>
              </w:rPr>
            </w:pPr>
          </w:p>
        </w:tc>
        <w:tc>
          <w:tcPr>
            <w:tcW w:w="5178" w:type="dxa"/>
            <w:gridSpan w:val="4"/>
            <w:shd w:val="clear" w:color="auto" w:fill="auto"/>
          </w:tcPr>
          <w:p w:rsidR="00D00F18" w:rsidRPr="00D00F18" w:rsidP="00D00F18">
            <w:pPr>
              <w:spacing w:after="0" w:line="240" w:lineRule="auto"/>
              <w:rPr>
                <w:rFonts w:ascii="Times New Roman" w:eastAsia="Times New Roman" w:hAnsi="Times New Roman"/>
                <w:i/>
                <w:iCs/>
                <w:sz w:val="20"/>
                <w:lang w:eastAsia="sk-SK"/>
              </w:rPr>
            </w:pPr>
            <w:r w:rsidRPr="00D00F18">
              <w:rPr>
                <w:rFonts w:ascii="Times New Roman" w:eastAsia="Times New Roman" w:hAnsi="Times New Roman"/>
                <w:i/>
                <w:iCs/>
                <w:sz w:val="20"/>
                <w:lang w:eastAsia="sk-SK"/>
              </w:rPr>
              <w:t>(Ak sú niektoré úkony v konaní, alebo celé konanie viazané na listinnú podobu komunikácie, uveďte o aké ide a z akého dôvodu.)</w:t>
            </w:r>
          </w:p>
          <w:p w:rsidR="00D00F18" w:rsidRPr="00D00F18" w:rsidP="00D00F18">
            <w:pPr>
              <w:spacing w:after="0" w:line="240" w:lineRule="auto"/>
              <w:rPr>
                <w:rFonts w:ascii="Times New Roman" w:eastAsia="Times New Roman" w:hAnsi="Times New Roman"/>
                <w:i/>
                <w:iCs/>
                <w:sz w:val="24"/>
                <w:szCs w:val="24"/>
                <w:lang w:eastAsia="sk-SK"/>
              </w:rPr>
            </w:pP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jc w:val="both"/>
              <w:rPr>
                <w:rFonts w:ascii="Times New Roman" w:eastAsia="Times New Roman" w:hAnsi="Times New Roman"/>
                <w:b/>
                <w:sz w:val="20"/>
                <w:lang w:eastAsia="sk-SK"/>
              </w:rPr>
            </w:pPr>
            <w:r w:rsidRPr="00D00F18">
              <w:rPr>
                <w:rFonts w:ascii="Times New Roman" w:eastAsia="Times New Roman" w:hAnsi="Times New Roman"/>
                <w:b/>
                <w:sz w:val="20"/>
                <w:lang w:eastAsia="sk-SK"/>
              </w:rPr>
              <w:t xml:space="preserve">6.4.3. </w:t>
            </w:r>
            <w:r w:rsidRPr="00D00F18">
              <w:rPr>
                <w:rFonts w:ascii="Times New Roman" w:eastAsia="Times New Roman" w:hAnsi="Times New Roman"/>
                <w:sz w:val="20"/>
                <w:lang w:eastAsia="sk-SK"/>
              </w:rPr>
              <w:t>Je úprava konania kompatibilná s inštitútmi zákona o e-Governmente a je na dané konanie zákon o e-Governmente možné použiť?</w:t>
            </w:r>
          </w:p>
        </w:tc>
        <w:tc>
          <w:tcPr>
            <w:tcW w:w="1134" w:type="dxa"/>
          </w:tcPr>
          <w:tbl>
            <w:tblPr>
              <w:tblStyle w:val="TableNormal"/>
              <w:tblW w:w="0" w:type="auto"/>
              <w:tblLayout w:type="fixed"/>
              <w:tblLook w:val="04A0"/>
            </w:tblPr>
            <w:tblGrid>
              <w:gridCol w:w="436"/>
              <w:gridCol w:w="8545"/>
            </w:tblGrid>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Segoe UI Symbol" w:eastAsia="Times New Roman" w:hAnsi="Segoe UI Symbol" w:cs="Segoe UI Symbol"/>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Áno</w:t>
                  </w:r>
                </w:p>
              </w:tc>
            </w:tr>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Nie</w:t>
                  </w:r>
                </w:p>
              </w:tc>
            </w:tr>
          </w:tbl>
          <w:p w:rsidR="00D00F18" w:rsidRPr="00D00F18" w:rsidP="00D00F18">
            <w:pPr>
              <w:spacing w:after="0" w:line="240" w:lineRule="auto"/>
              <w:rPr>
                <w:rFonts w:ascii="Times New Roman" w:eastAsia="Times New Roman" w:hAnsi="Times New Roman"/>
                <w:sz w:val="24"/>
                <w:szCs w:val="24"/>
                <w:lang w:eastAsia="sk-SK"/>
              </w:rPr>
            </w:pPr>
          </w:p>
        </w:tc>
        <w:tc>
          <w:tcPr>
            <w:tcW w:w="5178" w:type="dxa"/>
            <w:gridSpan w:val="4"/>
            <w:shd w:val="clear" w:color="auto" w:fill="auto"/>
          </w:tcPr>
          <w:p w:rsidR="00D00F18" w:rsidRPr="00D00F18" w:rsidP="00D00F18">
            <w:pPr>
              <w:spacing w:after="0" w:line="240" w:lineRule="auto"/>
              <w:rPr>
                <w:rFonts w:ascii="Times New Roman" w:eastAsia="Times New Roman" w:hAnsi="Times New Roman"/>
                <w:i/>
                <w:iCs/>
                <w:sz w:val="20"/>
                <w:lang w:eastAsia="sk-SK"/>
              </w:rPr>
            </w:pPr>
            <w:r w:rsidRPr="00D00F18">
              <w:rPr>
                <w:rFonts w:ascii="Times New Roman" w:eastAsia="Times New Roman" w:hAnsi="Times New Roman"/>
                <w:i/>
                <w:iCs/>
                <w:sz w:val="20"/>
                <w:lang w:eastAsia="sk-SK"/>
              </w:rPr>
              <w:t>(Ak úprava konania je odlišná od úpravy v zákone o e-Governmente alebo ak je použitie zákona o e-Governmente vylúčené, uveďte čoho sa to týka a z akého dôvodu.)</w:t>
            </w:r>
          </w:p>
          <w:p w:rsidR="00D00F18" w:rsidRPr="00D00F18" w:rsidP="00D00F18">
            <w:pPr>
              <w:spacing w:after="0" w:line="240" w:lineRule="auto"/>
              <w:rPr>
                <w:rFonts w:ascii="Times New Roman" w:eastAsia="Times New Roman" w:hAnsi="Times New Roman"/>
                <w:i/>
                <w:iCs/>
                <w:sz w:val="24"/>
                <w:szCs w:val="24"/>
                <w:lang w:eastAsia="sk-SK"/>
              </w:rPr>
            </w:pP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9371" w:type="dxa"/>
            <w:gridSpan w:val="6"/>
            <w:shd w:val="clear" w:color="auto" w:fill="BFBFBF"/>
          </w:tcPr>
          <w:p w:rsidR="00D00F18" w:rsidRPr="00D00F18" w:rsidP="00D00F18">
            <w:pPr>
              <w:spacing w:after="0" w:line="20" w:lineRule="atLeast"/>
              <w:jc w:val="center"/>
              <w:rPr>
                <w:rFonts w:ascii="Times New Roman" w:eastAsia="Times New Roman" w:hAnsi="Times New Roman"/>
                <w:i/>
                <w:iCs/>
                <w:sz w:val="20"/>
                <w:szCs w:val="20"/>
                <w:lang w:eastAsia="sk-SK"/>
              </w:rPr>
            </w:pPr>
            <w:r w:rsidRPr="00D00F18">
              <w:rPr>
                <w:rFonts w:ascii="Times New Roman" w:eastAsia="Times New Roman" w:hAnsi="Times New Roman"/>
                <w:b/>
                <w:sz w:val="20"/>
                <w:szCs w:val="20"/>
                <w:lang w:eastAsia="sk-SK"/>
              </w:rPr>
              <w:t>Zásada „jedenkrát a dosť“</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jc w:val="both"/>
              <w:rPr>
                <w:rFonts w:ascii="Times New Roman" w:eastAsia="Times New Roman" w:hAnsi="Times New Roman"/>
                <w:b/>
                <w:sz w:val="20"/>
                <w:lang w:eastAsia="sk-SK"/>
              </w:rPr>
            </w:pPr>
            <w:r w:rsidRPr="00D00F18">
              <w:rPr>
                <w:rFonts w:ascii="Times New Roman" w:eastAsia="Times New Roman" w:hAnsi="Times New Roman"/>
                <w:b/>
                <w:sz w:val="20"/>
                <w:lang w:eastAsia="sk-SK"/>
              </w:rPr>
              <w:t xml:space="preserve">6.5.1. </w:t>
            </w:r>
            <w:r w:rsidRPr="00D00F18">
              <w:rPr>
                <w:rFonts w:ascii="Times New Roman" w:eastAsia="Times New Roman" w:hAnsi="Times New Roman"/>
                <w:bCs/>
                <w:sz w:val="20"/>
                <w:lang w:eastAsia="sk-SK"/>
              </w:rPr>
              <w:t>Predpokladá predložený návrh predkladanie dokumentov, informácií alebo preukazovanie skutočností (ďalej len „údaje“) orgánu, ktorý konanie vedie?</w:t>
            </w:r>
          </w:p>
        </w:tc>
        <w:tc>
          <w:tcPr>
            <w:tcW w:w="1134" w:type="dxa"/>
          </w:tcPr>
          <w:tbl>
            <w:tblPr>
              <w:tblStyle w:val="TableNormal"/>
              <w:tblW w:w="0" w:type="auto"/>
              <w:tblLayout w:type="fixed"/>
              <w:tblLook w:val="04A0"/>
            </w:tblPr>
            <w:tblGrid>
              <w:gridCol w:w="436"/>
              <w:gridCol w:w="8545"/>
            </w:tblGrid>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Segoe UI Symbol" w:eastAsia="Times New Roman" w:hAnsi="Segoe UI Symbol" w:cs="Segoe UI Symbol"/>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Áno</w:t>
                  </w:r>
                </w:p>
              </w:tc>
            </w:tr>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Nie</w:t>
                  </w:r>
                </w:p>
              </w:tc>
            </w:tr>
          </w:tbl>
          <w:p w:rsidR="00D00F18" w:rsidRPr="00D00F18" w:rsidP="00D00F18">
            <w:pPr>
              <w:spacing w:after="0" w:line="240" w:lineRule="auto"/>
              <w:rPr>
                <w:rFonts w:ascii="Times New Roman" w:eastAsia="Times New Roman" w:hAnsi="Times New Roman"/>
                <w:sz w:val="24"/>
                <w:szCs w:val="24"/>
                <w:lang w:eastAsia="sk-SK"/>
              </w:rPr>
            </w:pPr>
          </w:p>
        </w:tc>
        <w:tc>
          <w:tcPr>
            <w:tcW w:w="5178" w:type="dxa"/>
            <w:gridSpan w:val="4"/>
          </w:tcPr>
          <w:p w:rsidR="00D00F18" w:rsidRPr="00D00F18" w:rsidP="00D00F18">
            <w:pPr>
              <w:spacing w:after="0" w:line="20" w:lineRule="atLeast"/>
              <w:jc w:val="both"/>
              <w:rPr>
                <w:rFonts w:ascii="Times New Roman" w:eastAsia="Times New Roman" w:hAnsi="Times New Roman"/>
                <w:i/>
                <w:iCs/>
                <w:sz w:val="20"/>
                <w:lang w:eastAsia="sk-SK"/>
              </w:rPr>
            </w:pPr>
            <w:r w:rsidRPr="00D00F18">
              <w:rPr>
                <w:rFonts w:ascii="Times New Roman" w:eastAsia="Times New Roman" w:hAnsi="Times New Roman"/>
                <w:i/>
                <w:iCs/>
                <w:sz w:val="20"/>
                <w:lang w:eastAsia="sk-SK"/>
              </w:rPr>
              <w:t>(Uveďte, o aké údaje ide a v akom konaní.)</w:t>
            </w:r>
          </w:p>
          <w:p w:rsidR="00D00F18" w:rsidRPr="00D00F18" w:rsidP="00D00F18">
            <w:pPr>
              <w:spacing w:after="0" w:line="20" w:lineRule="atLeast"/>
              <w:jc w:val="both"/>
              <w:rPr>
                <w:rFonts w:ascii="Times New Roman" w:eastAsia="Times New Roman" w:hAnsi="Times New Roman"/>
                <w:i/>
                <w:iCs/>
                <w:sz w:val="24"/>
                <w:szCs w:val="24"/>
                <w:lang w:eastAsia="sk-SK"/>
              </w:rPr>
            </w:pP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jc w:val="both"/>
              <w:rPr>
                <w:rFonts w:ascii="Times New Roman" w:eastAsia="Times New Roman" w:hAnsi="Times New Roman"/>
                <w:b/>
                <w:sz w:val="20"/>
                <w:lang w:eastAsia="sk-SK"/>
              </w:rPr>
            </w:pPr>
            <w:r w:rsidRPr="00D00F18">
              <w:rPr>
                <w:rFonts w:ascii="Times New Roman" w:eastAsia="Times New Roman" w:hAnsi="Times New Roman"/>
                <w:b/>
                <w:sz w:val="20"/>
                <w:lang w:eastAsia="sk-SK"/>
              </w:rPr>
              <w:t xml:space="preserve">6.5.2. </w:t>
            </w:r>
            <w:r w:rsidRPr="00D00F18">
              <w:rPr>
                <w:rFonts w:ascii="Times New Roman" w:eastAsia="Times New Roman" w:hAnsi="Times New Roman"/>
                <w:bCs/>
                <w:sz w:val="20"/>
                <w:lang w:eastAsia="sk-SK"/>
              </w:rPr>
              <w:t>Predpokladá predložený návrh, aby sa predkladali údaje, ktoré sa nachádzajú v zákonom ustanovenej evidencii vedenej orgánom, ktorý konanie vedie alebo iným orgánom?</w:t>
            </w:r>
          </w:p>
        </w:tc>
        <w:tc>
          <w:tcPr>
            <w:tcW w:w="1134" w:type="dxa"/>
          </w:tcPr>
          <w:tbl>
            <w:tblPr>
              <w:tblStyle w:val="TableNormal"/>
              <w:tblW w:w="0" w:type="auto"/>
              <w:tblLayout w:type="fixed"/>
              <w:tblLook w:val="04A0"/>
            </w:tblPr>
            <w:tblGrid>
              <w:gridCol w:w="436"/>
              <w:gridCol w:w="8545"/>
            </w:tblGrid>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Segoe UI Symbol" w:eastAsia="Times New Roman" w:hAnsi="Segoe UI Symbol" w:cs="Segoe UI Symbol"/>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Áno</w:t>
                  </w:r>
                </w:p>
              </w:tc>
            </w:tr>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Nie</w:t>
                  </w:r>
                </w:p>
              </w:tc>
            </w:tr>
          </w:tbl>
          <w:p w:rsidR="00D00F18" w:rsidRPr="00D00F18" w:rsidP="00D00F18">
            <w:pPr>
              <w:spacing w:after="0" w:line="240" w:lineRule="auto"/>
              <w:rPr>
                <w:rFonts w:ascii="Times New Roman" w:eastAsia="Times New Roman" w:hAnsi="Times New Roman"/>
                <w:sz w:val="24"/>
                <w:szCs w:val="24"/>
                <w:lang w:eastAsia="sk-SK"/>
              </w:rPr>
            </w:pPr>
          </w:p>
        </w:tc>
        <w:tc>
          <w:tcPr>
            <w:tcW w:w="5178" w:type="dxa"/>
            <w:gridSpan w:val="4"/>
          </w:tcPr>
          <w:p w:rsidR="00D00F18" w:rsidRPr="00D00F18" w:rsidP="00D00F18">
            <w:pPr>
              <w:spacing w:after="0" w:line="240" w:lineRule="auto"/>
              <w:rPr>
                <w:rFonts w:ascii="Times New Roman" w:eastAsia="Times New Roman" w:hAnsi="Times New Roman"/>
                <w:i/>
                <w:iCs/>
                <w:sz w:val="20"/>
                <w:lang w:eastAsia="sk-SK"/>
              </w:rPr>
            </w:pPr>
            <w:r w:rsidRPr="00D00F18">
              <w:rPr>
                <w:rFonts w:ascii="Times New Roman" w:eastAsia="Times New Roman" w:hAnsi="Times New Roman"/>
                <w:i/>
                <w:iCs/>
                <w:sz w:val="20"/>
                <w:lang w:eastAsia="sk-SK"/>
              </w:rPr>
              <w:t>(Uveďte, o akú evidenciu ide.)</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jc w:val="both"/>
              <w:rPr>
                <w:rFonts w:ascii="Times New Roman" w:eastAsia="Times New Roman" w:hAnsi="Times New Roman"/>
                <w:b/>
                <w:sz w:val="20"/>
                <w:lang w:eastAsia="sk-SK"/>
              </w:rPr>
            </w:pPr>
            <w:r w:rsidRPr="00D00F18">
              <w:rPr>
                <w:rFonts w:ascii="Times New Roman" w:eastAsia="Times New Roman" w:hAnsi="Times New Roman"/>
                <w:b/>
                <w:sz w:val="20"/>
                <w:lang w:eastAsia="sk-SK"/>
              </w:rPr>
              <w:t xml:space="preserve">6.5.3. </w:t>
            </w:r>
            <w:r w:rsidRPr="00D00F18">
              <w:rPr>
                <w:rFonts w:ascii="Times New Roman" w:eastAsia="Times New Roman" w:hAnsi="Times New Roman"/>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D00F18">
              <w:rPr>
                <w:rFonts w:ascii="Times New Roman" w:eastAsia="Times New Roman" w:hAnsi="Times New Roman"/>
                <w:bCs/>
                <w:sz w:val="20"/>
                <w:lang w:eastAsia="sk-SK"/>
              </w:rPr>
              <w:t>subjektom súkromného práva, navrhovateľom, žiadateľom, účastníkom konania (ďalej len „účastník konania“)</w:t>
            </w:r>
            <w:r w:rsidRPr="00D00F18">
              <w:rPr>
                <w:rFonts w:ascii="Times New Roman" w:eastAsia="Times New Roman" w:hAnsi="Times New Roman"/>
                <w:sz w:val="20"/>
                <w:lang w:eastAsia="sk-SK"/>
              </w:rPr>
              <w:t>?</w:t>
            </w:r>
          </w:p>
        </w:tc>
        <w:tc>
          <w:tcPr>
            <w:tcW w:w="1134" w:type="dxa"/>
          </w:tcPr>
          <w:tbl>
            <w:tblPr>
              <w:tblStyle w:val="TableNormal"/>
              <w:tblW w:w="0" w:type="auto"/>
              <w:tblLayout w:type="fixed"/>
              <w:tblLook w:val="04A0"/>
            </w:tblPr>
            <w:tblGrid>
              <w:gridCol w:w="436"/>
              <w:gridCol w:w="8545"/>
            </w:tblGrid>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Segoe UI Symbol" w:eastAsia="Times New Roman" w:hAnsi="Segoe UI Symbol" w:cs="Segoe UI Symbol"/>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Áno</w:t>
                  </w:r>
                </w:p>
              </w:tc>
            </w:tr>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Nie</w:t>
                  </w:r>
                </w:p>
              </w:tc>
            </w:tr>
          </w:tbl>
          <w:p w:rsidR="00D00F18" w:rsidRPr="00D00F18" w:rsidP="00D00F18">
            <w:pPr>
              <w:spacing w:after="0" w:line="240" w:lineRule="auto"/>
              <w:rPr>
                <w:rFonts w:ascii="Times New Roman" w:eastAsia="Times New Roman" w:hAnsi="Times New Roman"/>
                <w:sz w:val="24"/>
                <w:szCs w:val="24"/>
                <w:lang w:eastAsia="sk-SK"/>
              </w:rPr>
            </w:pPr>
          </w:p>
        </w:tc>
        <w:tc>
          <w:tcPr>
            <w:tcW w:w="5178" w:type="dxa"/>
            <w:gridSpan w:val="4"/>
          </w:tcPr>
          <w:p w:rsidR="00D00F18" w:rsidRPr="00D00F18" w:rsidP="00D00F18">
            <w:pPr>
              <w:spacing w:after="0" w:line="240" w:lineRule="auto"/>
              <w:rPr>
                <w:rFonts w:ascii="Times New Roman" w:eastAsia="Times New Roman" w:hAnsi="Times New Roman"/>
                <w:i/>
                <w:iCs/>
                <w:sz w:val="20"/>
                <w:lang w:eastAsia="sk-SK"/>
              </w:rPr>
            </w:pPr>
            <w:r w:rsidRPr="00D00F18">
              <w:rPr>
                <w:rFonts w:ascii="Times New Roman" w:eastAsia="Times New Roman" w:hAnsi="Times New Roman"/>
                <w:i/>
                <w:iCs/>
                <w:sz w:val="20"/>
                <w:lang w:eastAsia="sk-SK"/>
              </w:rPr>
              <w:t>(Uveďte, akým spôsobom budú údaje v konaní predkladané/preukazované. Ak sa vyžaduje predloženie účastníkom konania, uveďte dôvod.)</w:t>
            </w:r>
          </w:p>
          <w:p w:rsidR="00D00F18" w:rsidRPr="00D00F18" w:rsidP="00D00F18">
            <w:pPr>
              <w:spacing w:after="0" w:line="240" w:lineRule="auto"/>
              <w:rPr>
                <w:rFonts w:ascii="Times New Roman" w:eastAsia="Times New Roman" w:hAnsi="Times New Roman"/>
                <w:i/>
                <w:iCs/>
                <w:sz w:val="24"/>
                <w:szCs w:val="24"/>
                <w:lang w:eastAsia="sk-SK"/>
              </w:rPr>
            </w:pP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Borders>
              <w:bottom w:val="single" w:sz="4" w:space="0" w:color="auto"/>
            </w:tcBorders>
          </w:tcPr>
          <w:p w:rsidR="00D00F18" w:rsidRPr="00D00F18" w:rsidP="00D00F18">
            <w:pPr>
              <w:spacing w:after="0" w:line="240" w:lineRule="auto"/>
              <w:jc w:val="both"/>
              <w:rPr>
                <w:rFonts w:ascii="Times New Roman" w:eastAsia="Times New Roman" w:hAnsi="Times New Roman"/>
                <w:b/>
                <w:sz w:val="20"/>
                <w:lang w:eastAsia="sk-SK"/>
              </w:rPr>
            </w:pPr>
            <w:r w:rsidRPr="00D00F18">
              <w:rPr>
                <w:rFonts w:ascii="Times New Roman" w:eastAsia="Times New Roman" w:hAnsi="Times New Roman"/>
                <w:b/>
                <w:sz w:val="20"/>
                <w:lang w:eastAsia="sk-SK"/>
              </w:rPr>
              <w:t xml:space="preserve">6.5.4. </w:t>
            </w:r>
            <w:r w:rsidRPr="00D00F18">
              <w:rPr>
                <w:rFonts w:ascii="Times New Roman" w:eastAsia="Times New Roman" w:hAnsi="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134" w:type="dxa"/>
            <w:tcBorders>
              <w:bottom w:val="single" w:sz="4" w:space="0" w:color="auto"/>
            </w:tcBorders>
          </w:tcPr>
          <w:tbl>
            <w:tblPr>
              <w:tblStyle w:val="TableNormal"/>
              <w:tblW w:w="0" w:type="auto"/>
              <w:tblLayout w:type="fixed"/>
              <w:tblLook w:val="04A0"/>
            </w:tblPr>
            <w:tblGrid>
              <w:gridCol w:w="436"/>
              <w:gridCol w:w="8545"/>
            </w:tblGrid>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Segoe UI Symbol" w:eastAsia="Times New Roman" w:hAnsi="Segoe UI Symbol" w:cs="Segoe UI Symbol"/>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Áno</w:t>
                  </w:r>
                </w:p>
              </w:tc>
            </w:tr>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Nie</w:t>
                  </w:r>
                </w:p>
              </w:tc>
            </w:tr>
          </w:tbl>
          <w:p w:rsidR="00D00F18" w:rsidRPr="00D00F18" w:rsidP="00D00F18">
            <w:pPr>
              <w:spacing w:after="0" w:line="240" w:lineRule="auto"/>
              <w:rPr>
                <w:rFonts w:ascii="Times New Roman" w:eastAsia="Times New Roman" w:hAnsi="Times New Roman"/>
                <w:sz w:val="24"/>
                <w:szCs w:val="24"/>
                <w:lang w:eastAsia="sk-SK"/>
              </w:rPr>
            </w:pPr>
          </w:p>
        </w:tc>
        <w:tc>
          <w:tcPr>
            <w:tcW w:w="5178" w:type="dxa"/>
            <w:gridSpan w:val="4"/>
            <w:tcBorders>
              <w:bottom w:val="single" w:sz="4" w:space="0" w:color="auto"/>
            </w:tcBorders>
          </w:tcPr>
          <w:p w:rsidR="00D00F18" w:rsidRPr="00D00F18" w:rsidP="00D00F18">
            <w:pPr>
              <w:spacing w:after="0" w:line="240" w:lineRule="auto"/>
              <w:rPr>
                <w:rFonts w:ascii="Times New Roman" w:eastAsia="Times New Roman" w:hAnsi="Times New Roman"/>
                <w:i/>
                <w:iCs/>
                <w:sz w:val="20"/>
                <w:lang w:eastAsia="sk-SK"/>
              </w:rPr>
            </w:pPr>
            <w:r w:rsidRPr="00D00F18">
              <w:rPr>
                <w:rFonts w:ascii="Times New Roman" w:eastAsia="Times New Roman" w:hAnsi="Times New Roman"/>
                <w:i/>
                <w:iCs/>
                <w:sz w:val="20"/>
                <w:lang w:eastAsia="sk-SK"/>
              </w:rPr>
              <w:t>(Uveďte, akým spôsobom budú údaje v konaní predkladané/preukazované v budúcnosti. Ak sa vyžaduje predloženie účastníkom konania, uveďte dôvod.)</w:t>
            </w:r>
          </w:p>
          <w:p w:rsidR="00D00F18" w:rsidRPr="00D00F18" w:rsidP="00D00F18">
            <w:pPr>
              <w:spacing w:after="0" w:line="240" w:lineRule="auto"/>
              <w:rPr>
                <w:rFonts w:ascii="Times New Roman" w:eastAsia="Times New Roman" w:hAnsi="Times New Roman"/>
                <w:i/>
                <w:iCs/>
                <w:sz w:val="24"/>
                <w:szCs w:val="24"/>
                <w:lang w:eastAsia="sk-SK"/>
              </w:rPr>
            </w:pP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9371" w:type="dxa"/>
            <w:gridSpan w:val="6"/>
            <w:shd w:val="pct25" w:color="auto" w:fill="auto"/>
          </w:tcPr>
          <w:p w:rsidR="00D00F18" w:rsidRPr="00D00F18" w:rsidP="00D00F18">
            <w:pPr>
              <w:spacing w:after="0" w:line="20" w:lineRule="atLeast"/>
              <w:jc w:val="center"/>
              <w:rPr>
                <w:rFonts w:ascii="Times New Roman" w:eastAsia="Times New Roman" w:hAnsi="Times New Roman"/>
                <w:i/>
                <w:iCs/>
                <w:sz w:val="20"/>
                <w:szCs w:val="20"/>
                <w:lang w:eastAsia="sk-SK"/>
              </w:rPr>
            </w:pPr>
            <w:r w:rsidRPr="00D00F18">
              <w:rPr>
                <w:rFonts w:ascii="Times New Roman" w:eastAsia="Times New Roman" w:hAnsi="Times New Roman"/>
                <w:b/>
                <w:sz w:val="20"/>
                <w:szCs w:val="20"/>
                <w:lang w:eastAsia="sk-SK"/>
              </w:rPr>
              <w:t>Výmena údajov medzi orgánmi verejnej moci</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jc w:val="both"/>
              <w:rPr>
                <w:rFonts w:ascii="Times New Roman" w:eastAsia="Times New Roman" w:hAnsi="Times New Roman"/>
                <w:b/>
                <w:sz w:val="20"/>
                <w:lang w:eastAsia="sk-SK"/>
              </w:rPr>
            </w:pPr>
            <w:r w:rsidRPr="00D00F18">
              <w:rPr>
                <w:rFonts w:ascii="Times New Roman" w:eastAsia="Times New Roman" w:hAnsi="Times New Roman"/>
                <w:b/>
                <w:sz w:val="20"/>
                <w:lang w:eastAsia="sk-SK"/>
              </w:rPr>
              <w:t xml:space="preserve">6.6.1. </w:t>
            </w:r>
            <w:r w:rsidRPr="00D00F18">
              <w:rPr>
                <w:rFonts w:ascii="Times New Roman" w:eastAsia="Times New Roman" w:hAnsi="Times New Roman"/>
                <w:sz w:val="20"/>
                <w:lang w:eastAsia="sk-SK"/>
              </w:rPr>
              <w:t>Predpokladá predložený návrh zriadenie novej evidencie údajov alebo upravuje vedenie evidencie údajov?</w:t>
            </w:r>
          </w:p>
        </w:tc>
        <w:tc>
          <w:tcPr>
            <w:tcW w:w="1134" w:type="dxa"/>
          </w:tcPr>
          <w:tbl>
            <w:tblPr>
              <w:tblStyle w:val="TableNormal"/>
              <w:tblW w:w="0" w:type="auto"/>
              <w:tblLayout w:type="fixed"/>
              <w:tblLook w:val="04A0"/>
            </w:tblPr>
            <w:tblGrid>
              <w:gridCol w:w="436"/>
              <w:gridCol w:w="8545"/>
            </w:tblGrid>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Áno</w:t>
                  </w:r>
                </w:p>
              </w:tc>
            </w:tr>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Segoe UI Symbol" w:eastAsia="Times New Roman" w:hAnsi="Segoe UI Symbol" w:cs="Segoe UI Symbol"/>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Nie</w:t>
                  </w:r>
                </w:p>
              </w:tc>
            </w:tr>
          </w:tbl>
          <w:p w:rsidR="00D00F18" w:rsidRPr="00D00F18" w:rsidP="00D00F18">
            <w:pPr>
              <w:spacing w:after="0" w:line="240" w:lineRule="auto"/>
              <w:rPr>
                <w:rFonts w:ascii="Times New Roman" w:eastAsia="Times New Roman" w:hAnsi="Times New Roman"/>
                <w:sz w:val="24"/>
                <w:szCs w:val="24"/>
                <w:lang w:eastAsia="sk-SK"/>
              </w:rPr>
            </w:pPr>
          </w:p>
        </w:tc>
        <w:tc>
          <w:tcPr>
            <w:tcW w:w="5178" w:type="dxa"/>
            <w:gridSpan w:val="4"/>
          </w:tcPr>
          <w:p w:rsidR="00D00F18" w:rsidRPr="00D00F18" w:rsidP="00D00F18">
            <w:pPr>
              <w:spacing w:after="0" w:line="240" w:lineRule="auto"/>
              <w:rPr>
                <w:rFonts w:ascii="Times New Roman" w:eastAsia="Times New Roman" w:hAnsi="Times New Roman"/>
                <w:i/>
                <w:iCs/>
                <w:sz w:val="19"/>
                <w:szCs w:val="19"/>
                <w:lang w:eastAsia="sk-SK"/>
              </w:rPr>
            </w:pPr>
            <w:r w:rsidRPr="00D00F18">
              <w:rPr>
                <w:rFonts w:ascii="Times New Roman" w:eastAsia="Times New Roman" w:hAnsi="Times New Roman"/>
                <w:i/>
                <w:iCs/>
                <w:sz w:val="19"/>
                <w:szCs w:val="19"/>
                <w:lang w:eastAsia="sk-SK"/>
              </w:rPr>
              <w:t>(Uveďte, aká nová evidencia údajov sa zriaďuje, resp. akú evidenciu údajov návrh upravuje.)</w:t>
            </w:r>
          </w:p>
          <w:p w:rsidR="00D00F18" w:rsidRPr="00D00F18" w:rsidP="00D00F18">
            <w:pPr>
              <w:spacing w:after="0" w:line="240" w:lineRule="auto"/>
              <w:rPr>
                <w:rFonts w:ascii="Times New Roman" w:eastAsia="Times New Roman" w:hAnsi="Times New Roman"/>
                <w:i/>
                <w:iCs/>
                <w:sz w:val="19"/>
                <w:szCs w:val="19"/>
                <w:lang w:eastAsia="sk-SK"/>
              </w:rPr>
            </w:pPr>
            <w:r w:rsidRPr="00D00F18">
              <w:rPr>
                <w:rFonts w:ascii="Times New Roman" w:eastAsia="Times New Roman" w:hAnsi="Times New Roman"/>
                <w:i/>
                <w:iCs/>
                <w:sz w:val="19"/>
                <w:szCs w:val="19"/>
                <w:lang w:eastAsia="sk-SK"/>
              </w:rPr>
              <w:t xml:space="preserve">Evidencia údajov, ktorá bude poskytnutá Európskej Komisii, </w:t>
            </w:r>
          </w:p>
          <w:p w:rsidR="00D00F18" w:rsidRPr="00D00F18" w:rsidP="00D00F18">
            <w:pPr>
              <w:spacing w:after="0" w:line="240" w:lineRule="auto"/>
              <w:rPr>
                <w:rFonts w:ascii="Times New Roman" w:eastAsia="Times New Roman" w:hAnsi="Times New Roman"/>
                <w:i/>
                <w:iCs/>
                <w:sz w:val="19"/>
                <w:szCs w:val="19"/>
                <w:lang w:eastAsia="sk-SK"/>
              </w:rPr>
            </w:pPr>
          </w:p>
          <w:p w:rsidR="00D00F18" w:rsidRPr="00D00F18" w:rsidP="00D00F18">
            <w:pPr>
              <w:spacing w:after="0" w:line="240" w:lineRule="auto"/>
              <w:rPr>
                <w:rFonts w:ascii="Times New Roman" w:eastAsia="Times New Roman" w:hAnsi="Times New Roman"/>
                <w:i/>
                <w:iCs/>
                <w:sz w:val="19"/>
                <w:szCs w:val="19"/>
                <w:lang w:eastAsia="sk-SK"/>
              </w:rPr>
            </w:pPr>
            <w:r w:rsidRPr="00D00F18">
              <w:rPr>
                <w:rFonts w:ascii="Times New Roman" w:eastAsia="Times New Roman" w:hAnsi="Times New Roman"/>
                <w:i/>
                <w:iCs/>
                <w:sz w:val="19"/>
                <w:szCs w:val="19"/>
                <w:lang w:eastAsia="sk-SK"/>
              </w:rPr>
              <w:t>Európskej environmentálnej agentúre a Európskemu centru pre prevenciu a kontrolu chorôb prístup o:</w:t>
            </w:r>
          </w:p>
          <w:p w:rsidR="00D00F18" w:rsidRPr="00D00F18" w:rsidP="00AC2F0E">
            <w:pPr>
              <w:numPr>
                <w:ilvl w:val="0"/>
                <w:numId w:val="27"/>
              </w:numPr>
              <w:spacing w:after="0" w:line="240" w:lineRule="auto"/>
              <w:rPr>
                <w:rFonts w:ascii="Times New Roman" w:eastAsia="Times New Roman" w:hAnsi="Times New Roman"/>
                <w:i/>
                <w:iCs/>
                <w:sz w:val="19"/>
                <w:szCs w:val="19"/>
                <w:lang w:eastAsia="sk-SK"/>
              </w:rPr>
            </w:pPr>
            <w:r w:rsidRPr="00D00F18">
              <w:rPr>
                <w:rFonts w:ascii="Times New Roman" w:eastAsia="Times New Roman" w:hAnsi="Times New Roman"/>
                <w:i/>
                <w:iCs/>
                <w:sz w:val="19"/>
                <w:szCs w:val="19"/>
                <w:lang w:eastAsia="sk-SK"/>
              </w:rPr>
              <w:t>opatreniach prijatých na podporu používania pitnej vody; informácie aktualizuje najmenej raz za šesť rokov,</w:t>
            </w:r>
          </w:p>
          <w:p w:rsidR="00D00F18" w:rsidRPr="00D00F18" w:rsidP="00AC2F0E">
            <w:pPr>
              <w:numPr>
                <w:ilvl w:val="0"/>
                <w:numId w:val="27"/>
              </w:numPr>
              <w:spacing w:after="0" w:line="240" w:lineRule="auto"/>
              <w:rPr>
                <w:rFonts w:ascii="Times New Roman" w:eastAsia="Times New Roman" w:hAnsi="Times New Roman"/>
                <w:i/>
                <w:iCs/>
                <w:sz w:val="19"/>
                <w:szCs w:val="19"/>
                <w:lang w:eastAsia="sk-SK"/>
              </w:rPr>
            </w:pPr>
            <w:r w:rsidRPr="00D00F18">
              <w:rPr>
                <w:rFonts w:ascii="Times New Roman" w:eastAsia="Times New Roman" w:hAnsi="Times New Roman"/>
                <w:i/>
                <w:iCs/>
                <w:sz w:val="19"/>
                <w:szCs w:val="19"/>
                <w:lang w:eastAsia="sk-SK"/>
              </w:rPr>
              <w:t xml:space="preserve">manažmente rizík z domových rozvodných systémov, ktorý zahŕňa výsledky monitorovania domových rozvodných systémov v prioritných priestoroch a informácie o opatreniach prijatých na odstránenie a zníženie rizika z domových rozvodných systémov vrátane informácií o vykonávaní opatrení na odstránenie komponentov z olova; informácie aktualizuje najmenej raz za šesť rokov, </w:t>
            </w:r>
          </w:p>
          <w:p w:rsidR="00D00F18" w:rsidRPr="00D00F18" w:rsidP="00AC2F0E">
            <w:pPr>
              <w:numPr>
                <w:ilvl w:val="0"/>
                <w:numId w:val="27"/>
              </w:numPr>
              <w:spacing w:after="0" w:line="240" w:lineRule="auto"/>
              <w:rPr>
                <w:rFonts w:ascii="Times New Roman" w:eastAsia="Times New Roman" w:hAnsi="Times New Roman"/>
                <w:i/>
                <w:iCs/>
                <w:sz w:val="19"/>
                <w:szCs w:val="19"/>
                <w:lang w:eastAsia="sk-SK"/>
              </w:rPr>
            </w:pPr>
            <w:r w:rsidRPr="00D00F18">
              <w:rPr>
                <w:rFonts w:ascii="Times New Roman" w:eastAsia="Times New Roman" w:hAnsi="Times New Roman"/>
                <w:i/>
                <w:iCs/>
                <w:sz w:val="19"/>
                <w:szCs w:val="19"/>
                <w:lang w:eastAsia="sk-SK"/>
              </w:rPr>
              <w:t xml:space="preserve">prekročení najvyšších medzných hodnôt ukazovateľov kvality pitnej vody, ktoré boli zistené monitorovaním systému zásobovania pitnou vodou a o prijatých nápravných opatreniach; informácie aktualizuje najmenej raz ročne, </w:t>
            </w:r>
          </w:p>
          <w:p w:rsidR="00D00F18" w:rsidRPr="00D00F18" w:rsidP="00AC2F0E">
            <w:pPr>
              <w:numPr>
                <w:ilvl w:val="0"/>
                <w:numId w:val="27"/>
              </w:numPr>
              <w:spacing w:after="0" w:line="240" w:lineRule="auto"/>
              <w:rPr>
                <w:rFonts w:ascii="Times New Roman" w:eastAsia="Times New Roman" w:hAnsi="Times New Roman"/>
                <w:i/>
                <w:iCs/>
                <w:sz w:val="19"/>
                <w:szCs w:val="19"/>
                <w:lang w:eastAsia="sk-SK"/>
              </w:rPr>
            </w:pPr>
            <w:r w:rsidRPr="00D00F18">
              <w:rPr>
                <w:rFonts w:ascii="Times New Roman" w:eastAsia="Times New Roman" w:hAnsi="Times New Roman"/>
                <w:i/>
                <w:iCs/>
                <w:sz w:val="19"/>
                <w:szCs w:val="19"/>
                <w:lang w:eastAsia="sk-SK"/>
              </w:rPr>
              <w:t xml:space="preserve">incidentoch, ktoré sa týkajú pitnej vody, s uvedením ich príčin a prijatých nápravných opatrení; informácie aktualizuje najmenej raz ročne, </w:t>
            </w:r>
          </w:p>
          <w:p w:rsidR="00D00F18" w:rsidRPr="00D00F18" w:rsidP="00AC2F0E">
            <w:pPr>
              <w:numPr>
                <w:ilvl w:val="0"/>
                <w:numId w:val="27"/>
              </w:numPr>
              <w:spacing w:after="0" w:line="240" w:lineRule="auto"/>
              <w:rPr>
                <w:rFonts w:ascii="Times New Roman" w:eastAsia="Times New Roman" w:hAnsi="Times New Roman"/>
                <w:i/>
                <w:iCs/>
                <w:sz w:val="19"/>
                <w:szCs w:val="19"/>
                <w:lang w:eastAsia="sk-SK"/>
              </w:rPr>
            </w:pPr>
            <w:r w:rsidRPr="00D00F18">
              <w:rPr>
                <w:rFonts w:ascii="Times New Roman" w:eastAsia="Times New Roman" w:hAnsi="Times New Roman"/>
                <w:i/>
                <w:iCs/>
                <w:sz w:val="19"/>
                <w:szCs w:val="19"/>
                <w:lang w:eastAsia="sk-SK"/>
              </w:rPr>
              <w:t>povolených výnimkách na použitie vody, ktorá nespĺňa limitné hodnoty ukazovateľov kvality pitnej vody; informácie aktualizuje najmenej raz ročne.</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jc w:val="both"/>
              <w:rPr>
                <w:rFonts w:ascii="Times New Roman" w:eastAsia="Times New Roman" w:hAnsi="Times New Roman"/>
                <w:b/>
                <w:sz w:val="20"/>
                <w:lang w:eastAsia="sk-SK"/>
              </w:rPr>
            </w:pPr>
            <w:r w:rsidRPr="00D00F18">
              <w:rPr>
                <w:rFonts w:ascii="Times New Roman" w:eastAsia="Times New Roman" w:hAnsi="Times New Roman"/>
                <w:b/>
                <w:sz w:val="20"/>
                <w:lang w:eastAsia="sk-SK"/>
              </w:rPr>
              <w:t xml:space="preserve">6.6.2. </w:t>
            </w:r>
            <w:r w:rsidRPr="00D00F18">
              <w:rPr>
                <w:rFonts w:ascii="Times New Roman" w:eastAsia="Times New Roman" w:hAnsi="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134" w:type="dxa"/>
          </w:tcPr>
          <w:tbl>
            <w:tblPr>
              <w:tblStyle w:val="TableNormal"/>
              <w:tblW w:w="0" w:type="auto"/>
              <w:tblLayout w:type="fixed"/>
              <w:tblLook w:val="04A0"/>
            </w:tblPr>
            <w:tblGrid>
              <w:gridCol w:w="436"/>
              <w:gridCol w:w="8545"/>
            </w:tblGrid>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Áno</w:t>
                  </w:r>
                </w:p>
              </w:tc>
            </w:tr>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Segoe UI Symbol" w:eastAsia="Times New Roman" w:hAnsi="Segoe UI Symbol" w:cs="Segoe UI Symbol"/>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Nie</w:t>
                  </w:r>
                </w:p>
              </w:tc>
            </w:tr>
          </w:tbl>
          <w:p w:rsidR="00D00F18" w:rsidRPr="00D00F18" w:rsidP="00D00F18">
            <w:pPr>
              <w:spacing w:after="0" w:line="240" w:lineRule="auto"/>
              <w:rPr>
                <w:rFonts w:ascii="Times New Roman" w:eastAsia="Times New Roman" w:hAnsi="Times New Roman"/>
                <w:sz w:val="24"/>
                <w:szCs w:val="24"/>
                <w:lang w:eastAsia="sk-SK"/>
              </w:rPr>
            </w:pPr>
          </w:p>
        </w:tc>
        <w:tc>
          <w:tcPr>
            <w:tcW w:w="5178" w:type="dxa"/>
            <w:gridSpan w:val="4"/>
          </w:tcPr>
          <w:p w:rsidR="00D00F18" w:rsidRPr="00D00F18" w:rsidP="00D00F18">
            <w:pPr>
              <w:spacing w:after="0" w:line="240" w:lineRule="auto"/>
              <w:rPr>
                <w:rFonts w:ascii="Times New Roman" w:eastAsia="Times New Roman" w:hAnsi="Times New Roman"/>
                <w:i/>
                <w:iCs/>
                <w:sz w:val="20"/>
                <w:lang w:eastAsia="sk-SK"/>
              </w:rPr>
            </w:pPr>
            <w:r w:rsidRPr="00D00F18">
              <w:rPr>
                <w:rFonts w:ascii="Times New Roman" w:eastAsia="Times New Roman" w:hAnsi="Times New Roman"/>
                <w:i/>
                <w:iCs/>
                <w:sz w:val="20"/>
                <w:lang w:eastAsia="sk-SK"/>
              </w:rPr>
              <w:t>(Uveďte, ktorým orgánom verejnej moci, resp. iným osobám nie je možné údaje z evidencie poskytnúť, aj ak ich na plnenie zákonných úloh potrebujú a z akého dôvodu.)</w:t>
            </w:r>
          </w:p>
          <w:p w:rsidR="00D00F18" w:rsidRPr="00D00F18" w:rsidP="00D00F18">
            <w:pPr>
              <w:spacing w:after="0" w:line="240" w:lineRule="auto"/>
              <w:rPr>
                <w:rFonts w:ascii="Times New Roman" w:eastAsia="Times New Roman" w:hAnsi="Times New Roman"/>
                <w:i/>
                <w:iCs/>
                <w:sz w:val="24"/>
                <w:szCs w:val="24"/>
                <w:lang w:eastAsia="sk-SK"/>
              </w:rPr>
            </w:pP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jc w:val="both"/>
              <w:rPr>
                <w:rFonts w:ascii="Times New Roman" w:eastAsia="Times New Roman" w:hAnsi="Times New Roman"/>
                <w:b/>
                <w:sz w:val="20"/>
                <w:lang w:eastAsia="sk-SK"/>
              </w:rPr>
            </w:pPr>
            <w:r w:rsidRPr="00D00F18">
              <w:rPr>
                <w:rFonts w:ascii="Times New Roman" w:eastAsia="Times New Roman" w:hAnsi="Times New Roman"/>
                <w:b/>
                <w:sz w:val="20"/>
                <w:lang w:eastAsia="sk-SK"/>
              </w:rPr>
              <w:t xml:space="preserve">6.6.3. </w:t>
            </w:r>
            <w:r w:rsidRPr="00D00F18">
              <w:rPr>
                <w:rFonts w:ascii="Times New Roman" w:eastAsia="Times New Roman" w:hAnsi="Times New Roman"/>
                <w:sz w:val="20"/>
                <w:lang w:eastAsia="sk-SK"/>
              </w:rPr>
              <w:t>Je zabezpečené poskytovanie údajov z evidencie elektronicky a automatizovaným spôsobom?</w:t>
            </w:r>
          </w:p>
        </w:tc>
        <w:tc>
          <w:tcPr>
            <w:tcW w:w="1134" w:type="dxa"/>
          </w:tcPr>
          <w:tbl>
            <w:tblPr>
              <w:tblStyle w:val="TableNormal"/>
              <w:tblW w:w="0" w:type="auto"/>
              <w:tblLayout w:type="fixed"/>
              <w:tblLook w:val="04A0"/>
            </w:tblPr>
            <w:tblGrid>
              <w:gridCol w:w="436"/>
              <w:gridCol w:w="8545"/>
            </w:tblGrid>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Áno</w:t>
                  </w:r>
                </w:p>
              </w:tc>
            </w:tr>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Segoe UI Symbol" w:eastAsia="Times New Roman" w:hAnsi="Segoe UI Symbol" w:cs="Segoe UI Symbol"/>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Nie</w:t>
                  </w:r>
                </w:p>
              </w:tc>
            </w:tr>
          </w:tbl>
          <w:p w:rsidR="00D00F18" w:rsidRPr="00D00F18" w:rsidP="00D00F18">
            <w:pPr>
              <w:spacing w:after="0" w:line="240" w:lineRule="auto"/>
              <w:rPr>
                <w:rFonts w:ascii="Times New Roman" w:eastAsia="Times New Roman" w:hAnsi="Times New Roman"/>
                <w:sz w:val="24"/>
                <w:szCs w:val="24"/>
                <w:lang w:eastAsia="sk-SK"/>
              </w:rPr>
            </w:pPr>
          </w:p>
        </w:tc>
        <w:tc>
          <w:tcPr>
            <w:tcW w:w="5178" w:type="dxa"/>
            <w:gridSpan w:val="4"/>
          </w:tcPr>
          <w:p w:rsidR="00D00F18" w:rsidRPr="00D00F18" w:rsidP="00D00F18">
            <w:pPr>
              <w:spacing w:after="0" w:line="240" w:lineRule="auto"/>
              <w:rPr>
                <w:rFonts w:ascii="Times New Roman" w:eastAsia="Times New Roman" w:hAnsi="Times New Roman"/>
                <w:sz w:val="20"/>
                <w:szCs w:val="20"/>
                <w:lang w:eastAsia="sk-SK"/>
              </w:rPr>
            </w:pPr>
            <w:r w:rsidRPr="00D00F18">
              <w:rPr>
                <w:rFonts w:ascii="Times New Roman" w:eastAsia="Times New Roman" w:hAnsi="Times New Roman"/>
                <w:i/>
                <w:iCs/>
                <w:sz w:val="20"/>
                <w:lang w:eastAsia="sk-SK"/>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D00F18">
              <w:rPr>
                <w:rFonts w:ascii="Times New Roman" w:eastAsia="Times New Roman" w:hAnsi="Times New Roman"/>
                <w:sz w:val="20"/>
                <w:szCs w:val="20"/>
                <w:lang w:eastAsia="sk-SK"/>
              </w:rPr>
              <w:t xml:space="preserve"> </w:t>
            </w:r>
          </w:p>
          <w:p w:rsidR="00D00F18" w:rsidRPr="00D00F18" w:rsidP="00D00F18">
            <w:pPr>
              <w:spacing w:after="0" w:line="240" w:lineRule="auto"/>
              <w:rPr>
                <w:rFonts w:ascii="Times New Roman" w:eastAsia="Times New Roman" w:hAnsi="Times New Roman"/>
                <w:i/>
                <w:iCs/>
                <w:sz w:val="24"/>
                <w:szCs w:val="24"/>
                <w:lang w:eastAsia="sk-SK"/>
              </w:rPr>
            </w:pP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jc w:val="both"/>
              <w:rPr>
                <w:rFonts w:ascii="Times New Roman" w:eastAsia="Times New Roman" w:hAnsi="Times New Roman"/>
                <w:b/>
                <w:sz w:val="20"/>
                <w:lang w:eastAsia="sk-SK"/>
              </w:rPr>
            </w:pPr>
            <w:r w:rsidRPr="00D00F18">
              <w:rPr>
                <w:rFonts w:ascii="Times New Roman" w:eastAsia="Times New Roman" w:hAnsi="Times New Roman"/>
                <w:b/>
                <w:sz w:val="20"/>
                <w:lang w:eastAsia="sk-SK"/>
              </w:rPr>
              <w:t xml:space="preserve">6.6.4. </w:t>
            </w:r>
            <w:r w:rsidRPr="00D00F18">
              <w:rPr>
                <w:rFonts w:ascii="Times New Roman" w:eastAsia="Times New Roman" w:hAnsi="Times New Roman"/>
                <w:sz w:val="20"/>
                <w:lang w:eastAsia="sk-SK"/>
              </w:rPr>
              <w:t>Je na poskytovanie údajov z evidencie využitý režim podľa zákona č. 177/2018 Z.z. v znení neskorších predpisov?</w:t>
            </w:r>
          </w:p>
        </w:tc>
        <w:tc>
          <w:tcPr>
            <w:tcW w:w="1134" w:type="dxa"/>
          </w:tcPr>
          <w:tbl>
            <w:tblPr>
              <w:tblStyle w:val="TableNormal"/>
              <w:tblW w:w="0" w:type="auto"/>
              <w:tblLayout w:type="fixed"/>
              <w:tblLook w:val="04A0"/>
            </w:tblPr>
            <w:tblGrid>
              <w:gridCol w:w="436"/>
              <w:gridCol w:w="8545"/>
            </w:tblGrid>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Segoe UI Symbol" w:eastAsia="Times New Roman" w:hAnsi="Segoe UI Symbol" w:cs="Segoe UI Symbol"/>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Áno</w:t>
                  </w:r>
                </w:p>
              </w:tc>
            </w:tr>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Nie</w:t>
                  </w:r>
                </w:p>
              </w:tc>
            </w:tr>
          </w:tbl>
          <w:p w:rsidR="00D00F18" w:rsidRPr="00D00F18" w:rsidP="00D00F18">
            <w:pPr>
              <w:spacing w:after="0" w:line="240" w:lineRule="auto"/>
              <w:rPr>
                <w:rFonts w:ascii="Times New Roman" w:eastAsia="Times New Roman" w:hAnsi="Times New Roman"/>
                <w:sz w:val="24"/>
                <w:szCs w:val="24"/>
                <w:lang w:eastAsia="sk-SK"/>
              </w:rPr>
            </w:pPr>
          </w:p>
        </w:tc>
        <w:tc>
          <w:tcPr>
            <w:tcW w:w="5178" w:type="dxa"/>
            <w:gridSpan w:val="4"/>
          </w:tcPr>
          <w:p w:rsidR="00D00F18" w:rsidRPr="00D00F18" w:rsidP="00D00F18">
            <w:pPr>
              <w:spacing w:after="0" w:line="240" w:lineRule="auto"/>
              <w:rPr>
                <w:rFonts w:ascii="Times New Roman" w:eastAsia="Times New Roman" w:hAnsi="Times New Roman"/>
                <w:i/>
                <w:iCs/>
                <w:sz w:val="20"/>
                <w:lang w:eastAsia="sk-SK"/>
              </w:rPr>
            </w:pPr>
            <w:r w:rsidRPr="00D00F18">
              <w:rPr>
                <w:rFonts w:ascii="Times New Roman" w:eastAsia="Times New Roman" w:hAnsi="Times New Roman"/>
                <w:i/>
                <w:iCs/>
                <w:sz w:val="20"/>
                <w:lang w:eastAsia="sk-SK"/>
              </w:rPr>
              <w:t>(Uveďte, ako je na zákonnej úrovni inštitucionalizované elektronické a automatizované poskytovanie údajov z evidencie, akým režimom sa riadi. Ak je použitie zákona č. 177/2018 Z.z. v znení neskorších predpisov vylúčené, uveďte dôvod.)</w:t>
            </w:r>
          </w:p>
          <w:p w:rsidR="00D00F18" w:rsidRPr="00D00F18" w:rsidP="00D00F18">
            <w:pPr>
              <w:spacing w:after="0" w:line="240" w:lineRule="auto"/>
              <w:rPr>
                <w:rFonts w:ascii="Times New Roman" w:eastAsia="Times New Roman" w:hAnsi="Times New Roman"/>
                <w:i/>
                <w:iCs/>
                <w:sz w:val="24"/>
                <w:szCs w:val="24"/>
                <w:lang w:eastAsia="sk-SK"/>
              </w:rPr>
            </w:pP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9371" w:type="dxa"/>
            <w:gridSpan w:val="6"/>
            <w:shd w:val="clear" w:color="auto" w:fill="A6A6A6"/>
          </w:tcPr>
          <w:p w:rsidR="00D00F18" w:rsidRPr="00D00F18" w:rsidP="00D00F18">
            <w:pPr>
              <w:spacing w:after="0" w:line="20" w:lineRule="atLeast"/>
              <w:jc w:val="center"/>
              <w:rPr>
                <w:rFonts w:ascii="Times New Roman" w:eastAsia="Times New Roman" w:hAnsi="Times New Roman"/>
                <w:i/>
                <w:iCs/>
                <w:sz w:val="20"/>
                <w:lang w:eastAsia="sk-SK"/>
              </w:rPr>
            </w:pPr>
            <w:r w:rsidRPr="00D00F18">
              <w:rPr>
                <w:rFonts w:ascii="Times New Roman" w:eastAsia="Times New Roman" w:hAnsi="Times New Roman"/>
                <w:b/>
                <w:sz w:val="20"/>
                <w:szCs w:val="20"/>
                <w:lang w:eastAsia="sk-SK"/>
              </w:rPr>
              <w:t>Referenčné údaje</w:t>
            </w: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jc w:val="both"/>
              <w:rPr>
                <w:rFonts w:ascii="Times New Roman" w:eastAsia="Times New Roman" w:hAnsi="Times New Roman"/>
                <w:sz w:val="20"/>
                <w:lang w:eastAsia="sk-SK"/>
              </w:rPr>
            </w:pPr>
            <w:r w:rsidRPr="00D00F18">
              <w:rPr>
                <w:rFonts w:ascii="Times New Roman" w:eastAsia="Times New Roman" w:hAnsi="Times New Roman"/>
                <w:b/>
                <w:bCs/>
                <w:sz w:val="20"/>
                <w:lang w:eastAsia="sk-SK"/>
              </w:rPr>
              <w:t>6.7.1.</w:t>
            </w:r>
            <w:r w:rsidRPr="00D00F18">
              <w:rPr>
                <w:rFonts w:ascii="Times New Roman" w:eastAsia="Times New Roman" w:hAnsi="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134" w:type="dxa"/>
          </w:tcPr>
          <w:tbl>
            <w:tblPr>
              <w:tblStyle w:val="TableNormal"/>
              <w:tblW w:w="0" w:type="auto"/>
              <w:tblLayout w:type="fixed"/>
              <w:tblLook w:val="04A0"/>
            </w:tblPr>
            <w:tblGrid>
              <w:gridCol w:w="436"/>
              <w:gridCol w:w="8545"/>
            </w:tblGrid>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Segoe UI Symbol" w:eastAsia="Times New Roman" w:hAnsi="Segoe UI Symbol" w:cs="Segoe UI Symbol"/>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Áno</w:t>
                  </w:r>
                </w:p>
              </w:tc>
            </w:tr>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r w:rsidRPr="00D00F18">
                    <w:rPr>
                      <w:rFonts w:ascii="MS Gothic" w:eastAsia="MS Gothic" w:hAnsi="MS Gothic" w:hint="eastAsia"/>
                      <w:sz w:val="20"/>
                      <w:szCs w:val="20"/>
                      <w:lang w:eastAsia="sk-SK"/>
                    </w:rPr>
                    <w:t>☒</w:t>
                  </w:r>
                </w:p>
              </w:tc>
              <w:tc>
                <w:tcPr>
                  <w:tcW w:w="8545" w:type="dxa"/>
                  <w:shd w:val="clear" w:color="auto" w:fill="auto"/>
                </w:tcPr>
                <w:p w:rsidR="00D00F18" w:rsidRPr="00D00F18" w:rsidP="00D00F18">
                  <w:pPr>
                    <w:rPr>
                      <w:rFonts w:ascii="Times New Roman" w:eastAsia="Times New Roman" w:hAnsi="Times New Roman"/>
                      <w:b/>
                      <w:sz w:val="20"/>
                      <w:szCs w:val="20"/>
                      <w:lang w:eastAsia="sk-SK"/>
                    </w:rPr>
                  </w:pPr>
                  <w:r w:rsidRPr="00D00F18">
                    <w:rPr>
                      <w:rFonts w:ascii="Times New Roman" w:eastAsia="Times New Roman" w:hAnsi="Times New Roman"/>
                      <w:b/>
                      <w:sz w:val="20"/>
                      <w:szCs w:val="20"/>
                      <w:lang w:eastAsia="sk-SK"/>
                    </w:rPr>
                    <w:t>Nie</w:t>
                  </w:r>
                </w:p>
              </w:tc>
            </w:tr>
          </w:tbl>
          <w:p w:rsidR="00D00F18" w:rsidRPr="00D00F18" w:rsidP="00D00F18">
            <w:pPr>
              <w:spacing w:after="0" w:line="240" w:lineRule="auto"/>
              <w:jc w:val="center"/>
              <w:rPr>
                <w:rFonts w:ascii="Times New Roman" w:eastAsia="Times New Roman" w:hAnsi="Times New Roman"/>
                <w:sz w:val="20"/>
                <w:szCs w:val="20"/>
                <w:lang w:eastAsia="sk-SK"/>
              </w:rPr>
            </w:pPr>
          </w:p>
        </w:tc>
        <w:tc>
          <w:tcPr>
            <w:tcW w:w="5178" w:type="dxa"/>
            <w:gridSpan w:val="4"/>
          </w:tcPr>
          <w:p w:rsidR="00D00F18" w:rsidRPr="00D00F18" w:rsidP="00D00F18">
            <w:pPr>
              <w:spacing w:after="0" w:line="240" w:lineRule="auto"/>
              <w:rPr>
                <w:rFonts w:ascii="Times New Roman" w:eastAsia="Times New Roman" w:hAnsi="Times New Roman"/>
                <w:i/>
                <w:iCs/>
                <w:sz w:val="20"/>
                <w:lang w:eastAsia="sk-SK"/>
              </w:rPr>
            </w:pPr>
            <w:r w:rsidRPr="00D00F18">
              <w:rPr>
                <w:rFonts w:ascii="Times New Roman" w:eastAsia="Times New Roman" w:hAnsi="Times New Roman"/>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p w:rsidR="00D00F18" w:rsidRPr="00D00F18" w:rsidP="00D00F18">
            <w:pPr>
              <w:rPr>
                <w:i/>
                <w:iCs/>
                <w:sz w:val="19"/>
                <w:szCs w:val="19"/>
                <w:lang w:eastAsia="sk-SK"/>
              </w:rPr>
            </w:pPr>
          </w:p>
        </w:tc>
      </w:tr>
      <w:tr w:rsidTr="00D00F18">
        <w:tblPrEx>
          <w:tblW w:w="9371" w:type="dxa"/>
          <w:tblInd w:w="55" w:type="dxa"/>
          <w:tblLayout w:type="fixed"/>
          <w:tblCellMar>
            <w:top w:w="28" w:type="dxa"/>
            <w:left w:w="70" w:type="dxa"/>
            <w:bottom w:w="28" w:type="dxa"/>
            <w:right w:w="70" w:type="dxa"/>
          </w:tblCellMar>
          <w:tblLook w:val="0000"/>
        </w:tblPrEx>
        <w:trPr>
          <w:trHeight w:val="20"/>
        </w:trPr>
        <w:tc>
          <w:tcPr>
            <w:tcW w:w="3059" w:type="dxa"/>
          </w:tcPr>
          <w:p w:rsidR="00D00F18" w:rsidRPr="00D00F18" w:rsidP="00D00F18">
            <w:pPr>
              <w:spacing w:after="0" w:line="240" w:lineRule="auto"/>
              <w:jc w:val="both"/>
              <w:rPr>
                <w:rFonts w:ascii="Times New Roman" w:eastAsia="Times New Roman" w:hAnsi="Times New Roman"/>
                <w:sz w:val="20"/>
                <w:lang w:eastAsia="sk-SK"/>
              </w:rPr>
            </w:pPr>
            <w:r w:rsidRPr="00D00F18">
              <w:rPr>
                <w:rFonts w:ascii="Times New Roman" w:eastAsia="Times New Roman" w:hAnsi="Times New Roman"/>
                <w:b/>
                <w:bCs/>
                <w:sz w:val="20"/>
                <w:lang w:eastAsia="sk-SK"/>
              </w:rPr>
              <w:t>6.7.2.</w:t>
            </w:r>
            <w:r w:rsidRPr="00D00F18">
              <w:rPr>
                <w:rFonts w:ascii="Times New Roman" w:eastAsia="Times New Roman" w:hAnsi="Times New Roman"/>
                <w:sz w:val="20"/>
                <w:lang w:eastAsia="sk-SK"/>
              </w:rPr>
              <w:t xml:space="preserve"> Kedy je plánované zaradenie údajov z evidencie do zoznamu referenčných údajov podľa § 51 zákona č. 305/2013 Z.z. o e-Governmente?</w:t>
            </w:r>
          </w:p>
        </w:tc>
        <w:tc>
          <w:tcPr>
            <w:tcW w:w="1134" w:type="dxa"/>
          </w:tcPr>
          <w:tbl>
            <w:tblPr>
              <w:tblStyle w:val="TableNormal"/>
              <w:tblW w:w="0" w:type="auto"/>
              <w:tblLayout w:type="fixed"/>
              <w:tblLook w:val="04A0"/>
            </w:tblPr>
            <w:tblGrid>
              <w:gridCol w:w="436"/>
              <w:gridCol w:w="8545"/>
            </w:tblGrid>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p>
              </w:tc>
              <w:tc>
                <w:tcPr>
                  <w:tcW w:w="8545" w:type="dxa"/>
                  <w:shd w:val="clear" w:color="auto" w:fill="auto"/>
                </w:tcPr>
                <w:p w:rsidR="00D00F18" w:rsidRPr="00D00F18" w:rsidP="00D00F18">
                  <w:pPr>
                    <w:rPr>
                      <w:rFonts w:ascii="Times New Roman" w:eastAsia="Times New Roman" w:hAnsi="Times New Roman"/>
                      <w:b/>
                      <w:sz w:val="20"/>
                      <w:szCs w:val="20"/>
                      <w:lang w:eastAsia="sk-SK"/>
                    </w:rPr>
                  </w:pPr>
                </w:p>
              </w:tc>
            </w:tr>
            <w:tr w:rsidTr="00D00F18">
              <w:tblPrEx>
                <w:tblW w:w="0" w:type="auto"/>
                <w:tblLayout w:type="fixed"/>
                <w:tblLook w:val="04A0"/>
              </w:tblPrEx>
              <w:tc>
                <w:tcPr>
                  <w:tcW w:w="436" w:type="dxa"/>
                  <w:shd w:val="clear" w:color="auto" w:fill="auto"/>
                </w:tcPr>
                <w:p w:rsidR="00D00F18" w:rsidRPr="00D00F18" w:rsidP="00D00F18">
                  <w:pPr>
                    <w:jc w:val="center"/>
                    <w:rPr>
                      <w:rFonts w:ascii="Times New Roman" w:eastAsia="Times New Roman" w:hAnsi="Times New Roman"/>
                      <w:sz w:val="20"/>
                      <w:szCs w:val="20"/>
                      <w:lang w:eastAsia="sk-SK"/>
                    </w:rPr>
                  </w:pPr>
                </w:p>
              </w:tc>
              <w:tc>
                <w:tcPr>
                  <w:tcW w:w="8545" w:type="dxa"/>
                  <w:shd w:val="clear" w:color="auto" w:fill="auto"/>
                </w:tcPr>
                <w:p w:rsidR="00D00F18" w:rsidRPr="00D00F18" w:rsidP="00D00F18">
                  <w:pPr>
                    <w:rPr>
                      <w:rFonts w:ascii="Times New Roman" w:eastAsia="Times New Roman" w:hAnsi="Times New Roman"/>
                      <w:b/>
                      <w:sz w:val="20"/>
                      <w:szCs w:val="20"/>
                      <w:lang w:eastAsia="sk-SK"/>
                    </w:rPr>
                  </w:pPr>
                </w:p>
              </w:tc>
            </w:tr>
          </w:tbl>
          <w:p w:rsidR="00D00F18" w:rsidRPr="00D00F18" w:rsidP="00D00F18">
            <w:pPr>
              <w:spacing w:after="0" w:line="240" w:lineRule="auto"/>
              <w:jc w:val="center"/>
              <w:rPr>
                <w:rFonts w:ascii="Times New Roman" w:eastAsia="Times New Roman" w:hAnsi="Times New Roman"/>
                <w:sz w:val="20"/>
                <w:szCs w:val="20"/>
                <w:lang w:eastAsia="sk-SK"/>
              </w:rPr>
            </w:pPr>
          </w:p>
        </w:tc>
        <w:tc>
          <w:tcPr>
            <w:tcW w:w="5178" w:type="dxa"/>
            <w:gridSpan w:val="4"/>
          </w:tcPr>
          <w:p w:rsidR="00D00F18" w:rsidRPr="00D00F18" w:rsidP="00D00F18">
            <w:pPr>
              <w:spacing w:after="0" w:line="240" w:lineRule="auto"/>
              <w:rPr>
                <w:rFonts w:ascii="Times New Roman" w:eastAsia="Times New Roman" w:hAnsi="Times New Roman"/>
                <w:i/>
                <w:iCs/>
                <w:sz w:val="20"/>
                <w:lang w:eastAsia="sk-SK"/>
              </w:rPr>
            </w:pPr>
            <w:r w:rsidRPr="00D00F18">
              <w:rPr>
                <w:rFonts w:ascii="Times New Roman" w:eastAsia="Times New Roman" w:hAnsi="Times New Roman"/>
                <w:i/>
                <w:iCs/>
                <w:sz w:val="20"/>
                <w:lang w:eastAsia="sk-SK"/>
              </w:rPr>
              <w:t>(Uveďte, kedy sa plánuje zaradenie vyššie uvedených údajov do zoznamu referenčných údajov.)</w:t>
            </w:r>
          </w:p>
          <w:p w:rsidR="00D00F18" w:rsidRPr="00D00F18" w:rsidP="00D00F18">
            <w:pPr>
              <w:spacing w:after="0" w:line="240" w:lineRule="auto"/>
              <w:rPr>
                <w:rFonts w:ascii="Times New Roman" w:eastAsia="Times New Roman" w:hAnsi="Times New Roman"/>
                <w:i/>
                <w:iCs/>
                <w:sz w:val="20"/>
                <w:lang w:eastAsia="sk-SK"/>
              </w:rPr>
            </w:pPr>
          </w:p>
        </w:tc>
      </w:tr>
    </w:tbl>
    <w:p w:rsidR="00D00F18" w:rsidRPr="00D00F18" w:rsidP="00D00F18">
      <w:pPr>
        <w:autoSpaceDE w:val="0"/>
        <w:autoSpaceDN w:val="0"/>
        <w:adjustRightInd w:val="0"/>
        <w:spacing w:after="0" w:line="240" w:lineRule="auto"/>
        <w:jc w:val="center"/>
        <w:rPr>
          <w:rFonts w:ascii="Times New Roman" w:hAnsi="Times New Roman"/>
          <w:b/>
          <w:bCs/>
          <w:sz w:val="28"/>
          <w:szCs w:val="28"/>
        </w:rPr>
      </w:pPr>
    </w:p>
    <w:p w:rsidR="00D00F18" w:rsidRPr="00D00F18" w:rsidP="00D00F18">
      <w:pPr>
        <w:autoSpaceDE w:val="0"/>
        <w:autoSpaceDN w:val="0"/>
        <w:adjustRightInd w:val="0"/>
        <w:spacing w:line="240" w:lineRule="auto"/>
        <w:jc w:val="both"/>
        <w:rPr>
          <w:rFonts w:ascii="Times New Roman" w:hAnsi="Times New Roman"/>
          <w:b/>
          <w:bCs/>
          <w:sz w:val="24"/>
          <w:szCs w:val="24"/>
        </w:rPr>
      </w:pPr>
    </w:p>
    <w:p w:rsidR="00D00F18" w:rsidRPr="00D00F18" w:rsidP="00D00F18">
      <w:pPr>
        <w:autoSpaceDE w:val="0"/>
        <w:autoSpaceDN w:val="0"/>
        <w:adjustRightInd w:val="0"/>
        <w:spacing w:line="240" w:lineRule="auto"/>
        <w:jc w:val="both"/>
        <w:rPr>
          <w:rFonts w:ascii="Times New Roman" w:hAnsi="Times New Roman"/>
          <w:b/>
          <w:bCs/>
          <w:sz w:val="24"/>
          <w:szCs w:val="24"/>
        </w:rPr>
      </w:pPr>
    </w:p>
    <w:p w:rsidR="00D00F18" w:rsidRPr="00D00F18" w:rsidP="00D00F18">
      <w:pPr>
        <w:autoSpaceDE w:val="0"/>
        <w:autoSpaceDN w:val="0"/>
        <w:adjustRightInd w:val="0"/>
        <w:spacing w:line="240" w:lineRule="auto"/>
        <w:jc w:val="both"/>
        <w:rPr>
          <w:rFonts w:ascii="Times New Roman" w:hAnsi="Times New Roman"/>
          <w:b/>
          <w:bCs/>
          <w:sz w:val="24"/>
          <w:szCs w:val="24"/>
        </w:rPr>
      </w:pPr>
    </w:p>
    <w:p w:rsidR="00D00F18" w:rsidRPr="00D00F18" w:rsidP="00D00F18">
      <w:pPr>
        <w:autoSpaceDE w:val="0"/>
        <w:autoSpaceDN w:val="0"/>
        <w:adjustRightInd w:val="0"/>
        <w:spacing w:line="240" w:lineRule="auto"/>
        <w:jc w:val="both"/>
        <w:rPr>
          <w:rFonts w:ascii="Times New Roman" w:hAnsi="Times New Roman"/>
          <w:b/>
          <w:bCs/>
          <w:sz w:val="24"/>
          <w:szCs w:val="24"/>
        </w:rPr>
      </w:pPr>
    </w:p>
    <w:p w:rsidR="00D00F18" w:rsidRPr="00D00F18" w:rsidP="00D00F18">
      <w:pPr>
        <w:autoSpaceDE w:val="0"/>
        <w:autoSpaceDN w:val="0"/>
        <w:adjustRightInd w:val="0"/>
        <w:spacing w:line="240" w:lineRule="auto"/>
        <w:jc w:val="both"/>
        <w:rPr>
          <w:rFonts w:ascii="Times New Roman" w:hAnsi="Times New Roman"/>
          <w:b/>
          <w:bCs/>
          <w:sz w:val="24"/>
          <w:szCs w:val="24"/>
        </w:rPr>
      </w:pPr>
    </w:p>
    <w:p w:rsidR="00D00F18" w:rsidRPr="00D00F18" w:rsidP="00D00F18">
      <w:pPr>
        <w:autoSpaceDE w:val="0"/>
        <w:autoSpaceDN w:val="0"/>
        <w:adjustRightInd w:val="0"/>
        <w:spacing w:line="240" w:lineRule="auto"/>
        <w:jc w:val="both"/>
        <w:rPr>
          <w:rFonts w:ascii="Times New Roman" w:hAnsi="Times New Roman"/>
          <w:b/>
          <w:bCs/>
          <w:i/>
          <w:iCs/>
          <w:sz w:val="24"/>
          <w:szCs w:val="24"/>
        </w:rPr>
      </w:pPr>
      <w:r w:rsidRPr="00D00F18">
        <w:rPr>
          <w:rFonts w:ascii="Times New Roman" w:hAnsi="Times New Roman"/>
          <w:b/>
          <w:bCs/>
          <w:sz w:val="24"/>
          <w:szCs w:val="24"/>
        </w:rPr>
        <w:t>Doplnenie funkcií informačného systému orgánov verejného zdravotníctva</w:t>
      </w:r>
      <w:r w:rsidRPr="00D00F18">
        <w:rPr>
          <w:rFonts w:ascii="Times New Roman" w:hAnsi="Times New Roman"/>
          <w:b/>
          <w:bCs/>
          <w:i/>
          <w:iCs/>
          <w:sz w:val="24"/>
          <w:szCs w:val="24"/>
        </w:rPr>
        <w:t>:</w:t>
      </w:r>
    </w:p>
    <w:p w:rsidR="00D00F18" w:rsidRPr="00D00F18" w:rsidP="00D00F18">
      <w:pPr>
        <w:jc w:val="both"/>
        <w:rPr>
          <w:rFonts w:ascii="Times New Roman" w:hAnsi="Times New Roman"/>
          <w:b/>
        </w:rPr>
      </w:pPr>
      <w:r w:rsidRPr="00D00F18">
        <w:rPr>
          <w:rFonts w:ascii="Times New Roman" w:hAnsi="Times New Roman"/>
          <w:b/>
        </w:rPr>
        <w:t>Výdavky potrebné na upgrade informačného systému v súvislosti s požiadavkami smernice (EÚ) 2020/2184:</w:t>
      </w:r>
    </w:p>
    <w:p w:rsidR="00D00F18" w:rsidRPr="00D00F18" w:rsidP="00D00F18">
      <w:pPr>
        <w:spacing w:after="60"/>
        <w:jc w:val="both"/>
        <w:rPr>
          <w:rFonts w:ascii="Times New Roman" w:hAnsi="Times New Roman"/>
        </w:rPr>
      </w:pPr>
      <w:r w:rsidRPr="00D00F18">
        <w:rPr>
          <w:rFonts w:ascii="Times New Roman" w:hAnsi="Times New Roman"/>
        </w:rPr>
        <w:t>OVZ aktuálne pre problematiku pitnej vody používajú systém IS Pitná voda, ktorý bol do prevádzky uvedený v roku 2009.</w:t>
      </w:r>
      <w:r w:rsidRPr="00D00F18">
        <w:rPr>
          <w:rFonts w:ascii="Times New Roman" w:hAnsi="Times New Roman"/>
          <w:b/>
          <w:bCs/>
        </w:rPr>
        <w:t xml:space="preserve"> </w:t>
      </w:r>
      <w:r w:rsidRPr="00D00F18">
        <w:rPr>
          <w:rFonts w:ascii="Times New Roman" w:hAnsi="Times New Roman"/>
        </w:rPr>
        <w:t xml:space="preserve">Od roku 2009 neboli do upgradu systému investované žiadne finančné prostriedky. Od roku 2020 sa v rámci národného projektu Integrovaný systém úradov verejného zdravotníctva pripravuje nový IS aj pre oblasť pitnej vody, ktorý je spolu s ďalšími dvomi submodulom modulu Hygiena životného prostredia. Projekt je realizovaný z operačného programu Integrovaná infraštruktúra aj v spolupráci s Ministerstvom investícií, regionálneho rozvoja a informatizácie Slovenskej republiky. IS má byť uvedený do prevádzky 31.12.2022. Okrem iného má byť prínosom projektu je aj úspora finančných prostriedkov štátneho rozpočtu SR. Nakoľko v čase definovania požiadaviek na nový IS nebola smernica (EK) 2020/2184 v platnosti, neboli jej požiadavky súčasťou zadania na funkčné a technické riešenia v rámci verejného obstarávania na predmetný IS v roku 2019. Nové požiadavky na IS vyplývajúce z transpozície smernice (EÚ) 2020/2184 budú realizované ako zmenové požiadavky na predmetný IS v zmysle vyhlášky č. 85/2020 Z. z. o riadení projektov. Predbežný návrh požiadaviek je uvedený v Tabuľke 18. </w:t>
      </w:r>
    </w:p>
    <w:p w:rsidR="00D00F18" w:rsidRPr="00D00F18" w:rsidP="00D00F18">
      <w:pPr>
        <w:spacing w:after="60"/>
        <w:jc w:val="both"/>
        <w:rPr>
          <w:rFonts w:ascii="Times New Roman" w:hAnsi="Times New Roman"/>
        </w:rPr>
      </w:pPr>
      <w:r w:rsidRPr="00D00F18">
        <w:rPr>
          <w:rFonts w:ascii="Times New Roman" w:hAnsi="Times New Roman"/>
        </w:rPr>
        <w:t>Aktuálny submodul IS Pitná voda počíta s rôznymi integráciami na externé subjekty už teraz. V prípade, že bude potrebné integrácie rozšíriť, budú realizované  ako zmenové požiadavky v zmysle vyhlášky č. 85/2020 Z. z. o riadení projektov. Finančné prostriedky na uvedené integrácie (ktoré nie sú nevyhnutnou požiadavkou smernice (EÚ) 2020/2184) nie sú súčasťou Tabuľky č. 16.</w:t>
      </w:r>
    </w:p>
    <w:p w:rsidR="00D00F18" w:rsidRPr="00D00F18" w:rsidP="00D00F18">
      <w:pPr>
        <w:spacing w:after="60"/>
        <w:jc w:val="both"/>
        <w:rPr>
          <w:rFonts w:ascii="Times New Roman" w:hAnsi="Times New Roman"/>
        </w:rPr>
      </w:pPr>
    </w:p>
    <w:p w:rsidR="00D00F18" w:rsidRPr="00D00F18" w:rsidP="00D00F18">
      <w:pPr>
        <w:spacing w:after="0" w:line="240" w:lineRule="auto"/>
        <w:jc w:val="center"/>
        <w:rPr>
          <w:rFonts w:eastAsia="Times New Roman" w:cs="Calibri"/>
          <w:b/>
          <w:bCs/>
          <w:lang w:eastAsia="sk-SK"/>
        </w:rPr>
        <w:sectPr w:rsidSect="00D00F18">
          <w:pgSz w:w="11906" w:h="16838"/>
          <w:pgMar w:top="1417" w:right="1417" w:bottom="1417" w:left="1417" w:header="708" w:footer="708" w:gutter="0"/>
          <w:cols w:space="708"/>
          <w:docGrid w:linePitch="360"/>
        </w:sectPr>
      </w:pPr>
    </w:p>
    <w:p w:rsidR="00D00F18" w:rsidRPr="00D00F18" w:rsidP="00D00F18">
      <w:pPr>
        <w:keepNext/>
        <w:spacing w:after="60" w:line="240" w:lineRule="auto"/>
        <w:ind w:left="10620"/>
        <w:jc w:val="center"/>
        <w:rPr>
          <w:rFonts w:ascii="Times New Roman" w:hAnsi="Times New Roman"/>
          <w:sz w:val="20"/>
          <w:szCs w:val="20"/>
        </w:rPr>
      </w:pPr>
      <w:r w:rsidRPr="00D00F18">
        <w:rPr>
          <w:rFonts w:ascii="Times New Roman" w:hAnsi="Times New Roman"/>
          <w:sz w:val="20"/>
          <w:szCs w:val="20"/>
        </w:rPr>
        <w:t>Tabuľka 16</w:t>
      </w:r>
    </w:p>
    <w:p w:rsidR="00D00F18" w:rsidRPr="00D00F18" w:rsidP="00D00F18">
      <w:r>
        <w:t>Tabuľka 16</w:t>
      </w:r>
    </w:p>
    <w:tbl>
      <w:tblPr>
        <w:tblStyle w:val="TableNormal"/>
        <w:tblW w:w="5000" w:type="pct"/>
        <w:jc w:val="center"/>
        <w:tblCellMar>
          <w:left w:w="0" w:type="dxa"/>
          <w:right w:w="0" w:type="dxa"/>
        </w:tblCellMar>
        <w:tblLook w:val="04A0"/>
      </w:tblPr>
      <w:tblGrid>
        <w:gridCol w:w="701"/>
        <w:gridCol w:w="2884"/>
        <w:gridCol w:w="4702"/>
        <w:gridCol w:w="925"/>
      </w:tblGrid>
      <w:tr w:rsidTr="00D00F18">
        <w:tblPrEx>
          <w:tblW w:w="5000" w:type="pct"/>
          <w:jc w:val="center"/>
          <w:tblCellMar>
            <w:left w:w="0" w:type="dxa"/>
            <w:right w:w="0" w:type="dxa"/>
          </w:tblCellMar>
          <w:tblLook w:val="04A0"/>
        </w:tblPrEx>
        <w:trPr>
          <w:trHeight w:val="922"/>
          <w:jc w:val="center"/>
        </w:trPr>
        <w:tc>
          <w:tcPr>
            <w:tcW w:w="350" w:type="pct"/>
            <w:tcBorders>
              <w:top w:val="single" w:sz="8" w:space="0" w:color="auto"/>
              <w:left w:val="single" w:sz="8" w:space="0" w:color="auto"/>
              <w:bottom w:val="single" w:sz="8" w:space="0" w:color="auto"/>
              <w:right w:val="single" w:sz="8" w:space="0" w:color="auto"/>
            </w:tcBorders>
            <w:shd w:val="clear" w:color="auto" w:fill="D9E1F2"/>
            <w:noWrap/>
            <w:tcMar>
              <w:top w:w="0" w:type="dxa"/>
              <w:left w:w="70" w:type="dxa"/>
              <w:bottom w:w="0" w:type="dxa"/>
              <w:right w:w="70" w:type="dxa"/>
            </w:tcMar>
            <w:vAlign w:val="center"/>
            <w:hideMark/>
          </w:tcPr>
          <w:p w:rsidR="00D00F18" w:rsidRPr="00D00F18" w:rsidP="00D00F18">
            <w:pPr>
              <w:spacing w:after="0" w:line="240" w:lineRule="auto"/>
              <w:jc w:val="center"/>
              <w:rPr>
                <w:b/>
                <w:bCs/>
                <w:lang w:eastAsia="sk-SK"/>
              </w:rPr>
            </w:pPr>
            <w:r w:rsidRPr="00D00F18">
              <w:rPr>
                <w:b/>
                <w:bCs/>
                <w:lang w:eastAsia="sk-SK"/>
              </w:rPr>
              <w:t>Položka</w:t>
            </w:r>
          </w:p>
        </w:tc>
        <w:tc>
          <w:tcPr>
            <w:tcW w:w="1836" w:type="pct"/>
            <w:tcBorders>
              <w:top w:val="single" w:sz="8" w:space="0" w:color="auto"/>
              <w:left w:val="nil"/>
              <w:bottom w:val="single" w:sz="8" w:space="0" w:color="auto"/>
              <w:right w:val="single" w:sz="8" w:space="0" w:color="auto"/>
            </w:tcBorders>
            <w:shd w:val="clear" w:color="auto" w:fill="D9E1F2"/>
            <w:noWrap/>
            <w:tcMar>
              <w:top w:w="0" w:type="dxa"/>
              <w:left w:w="70" w:type="dxa"/>
              <w:bottom w:w="0" w:type="dxa"/>
              <w:right w:w="70" w:type="dxa"/>
            </w:tcMar>
            <w:vAlign w:val="center"/>
            <w:hideMark/>
          </w:tcPr>
          <w:p w:rsidR="00D00F18" w:rsidRPr="00D00F18" w:rsidP="00D00F18">
            <w:pPr>
              <w:spacing w:after="0" w:line="240" w:lineRule="auto"/>
              <w:jc w:val="center"/>
              <w:rPr>
                <w:b/>
                <w:bCs/>
                <w:lang w:eastAsia="sk-SK"/>
              </w:rPr>
            </w:pPr>
            <w:r w:rsidRPr="00D00F18">
              <w:rPr>
                <w:b/>
                <w:bCs/>
                <w:lang w:eastAsia="sk-SK"/>
              </w:rPr>
              <w:t>Téma</w:t>
            </w:r>
          </w:p>
        </w:tc>
        <w:tc>
          <w:tcPr>
            <w:tcW w:w="2179" w:type="pct"/>
            <w:tcBorders>
              <w:top w:val="single" w:sz="8" w:space="0" w:color="auto"/>
              <w:left w:val="nil"/>
              <w:bottom w:val="single" w:sz="8" w:space="0" w:color="auto"/>
              <w:right w:val="single" w:sz="8" w:space="0" w:color="auto"/>
            </w:tcBorders>
            <w:shd w:val="clear" w:color="auto" w:fill="D9E1F2"/>
            <w:noWrap/>
            <w:tcMar>
              <w:top w:w="0" w:type="dxa"/>
              <w:left w:w="70" w:type="dxa"/>
              <w:bottom w:w="0" w:type="dxa"/>
              <w:right w:w="70" w:type="dxa"/>
            </w:tcMar>
            <w:vAlign w:val="center"/>
            <w:hideMark/>
          </w:tcPr>
          <w:p w:rsidR="00D00F18" w:rsidRPr="00D00F18" w:rsidP="00D00F18">
            <w:pPr>
              <w:spacing w:after="0" w:line="240" w:lineRule="auto"/>
              <w:jc w:val="center"/>
              <w:rPr>
                <w:b/>
                <w:bCs/>
                <w:lang w:eastAsia="sk-SK"/>
              </w:rPr>
            </w:pPr>
            <w:r w:rsidRPr="00D00F18">
              <w:rPr>
                <w:b/>
                <w:bCs/>
                <w:lang w:eastAsia="sk-SK"/>
              </w:rPr>
              <w:t>Činnosti</w:t>
            </w:r>
          </w:p>
        </w:tc>
        <w:tc>
          <w:tcPr>
            <w:tcW w:w="635" w:type="pct"/>
            <w:tcBorders>
              <w:top w:val="single" w:sz="8" w:space="0" w:color="auto"/>
              <w:left w:val="nil"/>
              <w:bottom w:val="single" w:sz="8" w:space="0" w:color="auto"/>
              <w:right w:val="single" w:sz="8" w:space="0" w:color="auto"/>
            </w:tcBorders>
            <w:shd w:val="clear" w:color="auto" w:fill="D9E1F2"/>
            <w:tcMar>
              <w:top w:w="0" w:type="dxa"/>
              <w:left w:w="70" w:type="dxa"/>
              <w:bottom w:w="0" w:type="dxa"/>
              <w:right w:w="70" w:type="dxa"/>
            </w:tcMar>
            <w:vAlign w:val="center"/>
            <w:hideMark/>
          </w:tcPr>
          <w:p w:rsidR="00D00F18" w:rsidRPr="00D00F18" w:rsidP="00D00F18">
            <w:pPr>
              <w:spacing w:after="0" w:line="240" w:lineRule="auto"/>
              <w:jc w:val="center"/>
              <w:rPr>
                <w:b/>
                <w:bCs/>
                <w:lang w:eastAsia="sk-SK"/>
              </w:rPr>
            </w:pPr>
            <w:r w:rsidRPr="00D00F18">
              <w:rPr>
                <w:b/>
                <w:bCs/>
                <w:lang w:eastAsia="sk-SK"/>
              </w:rPr>
              <w:t>Počet človekodní</w:t>
              <w:br/>
              <w:t>za položku</w:t>
            </w:r>
          </w:p>
        </w:tc>
      </w:tr>
      <w:tr w:rsidTr="00D00F18">
        <w:tblPrEx>
          <w:tblW w:w="5000" w:type="pct"/>
          <w:jc w:val="center"/>
          <w:tblCellMar>
            <w:left w:w="0" w:type="dxa"/>
            <w:right w:w="0" w:type="dxa"/>
          </w:tblCellMar>
          <w:tblLook w:val="04A0"/>
        </w:tblPrEx>
        <w:trPr>
          <w:trHeight w:val="195"/>
          <w:jc w:val="center"/>
        </w:trPr>
        <w:tc>
          <w:tcPr>
            <w:tcW w:w="350" w:type="pct"/>
            <w:vMerge w:val="restart"/>
            <w:tcBorders>
              <w:top w:val="nil"/>
              <w:left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r w:rsidRPr="00D00F18">
              <w:rPr>
                <w:lang w:eastAsia="sk-SK"/>
              </w:rPr>
              <w:t>1</w:t>
            </w:r>
          </w:p>
        </w:tc>
        <w:tc>
          <w:tcPr>
            <w:tcW w:w="1836" w:type="pct"/>
            <w:vMerge w:val="restart"/>
            <w:tcBorders>
              <w:top w:val="nil"/>
              <w:left w:val="nil"/>
              <w:right w:val="single" w:sz="8" w:space="0" w:color="auto"/>
            </w:tcBorders>
            <w:tcMar>
              <w:top w:w="0" w:type="dxa"/>
              <w:left w:w="70" w:type="dxa"/>
              <w:bottom w:w="0" w:type="dxa"/>
              <w:right w:w="70" w:type="dxa"/>
            </w:tcMar>
            <w:vAlign w:val="center"/>
            <w:hideMark/>
          </w:tcPr>
          <w:p w:rsidR="00D00F18" w:rsidRPr="00D00F18" w:rsidP="00D00F18">
            <w:pPr>
              <w:spacing w:after="0" w:line="240" w:lineRule="auto"/>
              <w:jc w:val="center"/>
              <w:rPr>
                <w:lang w:eastAsia="sk-SK"/>
              </w:rPr>
            </w:pPr>
            <w:r w:rsidRPr="00D00F18">
              <w:rPr>
                <w:lang w:eastAsia="sk-SK"/>
              </w:rPr>
              <w:t>Notifikovanie používateľov o vybraných zmenách</w:t>
            </w:r>
          </w:p>
        </w:tc>
        <w:tc>
          <w:tcPr>
            <w:tcW w:w="217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both"/>
              <w:rPr>
                <w:lang w:eastAsia="sk-SK"/>
              </w:rPr>
            </w:pPr>
            <w:r w:rsidRPr="00D00F18">
              <w:rPr>
                <w:lang w:eastAsia="sk-SK"/>
              </w:rPr>
              <w:t>* doplniť ďalšie správy do exist. Modulu v HŽP (odhad 5 ks)</w:t>
            </w:r>
          </w:p>
        </w:tc>
        <w:tc>
          <w:tcPr>
            <w:tcW w:w="635" w:type="pct"/>
            <w:vMerge w:val="restart"/>
            <w:tcBorders>
              <w:top w:val="nil"/>
              <w:left w:val="nil"/>
              <w:bottom w:val="single" w:sz="8" w:space="0" w:color="000000"/>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r w:rsidRPr="00D00F18">
              <w:rPr>
                <w:lang w:eastAsia="sk-SK"/>
              </w:rPr>
              <w:t>130</w:t>
            </w:r>
          </w:p>
        </w:tc>
      </w:tr>
      <w:tr w:rsidTr="00D00F18">
        <w:tblPrEx>
          <w:tblW w:w="5000" w:type="pct"/>
          <w:jc w:val="center"/>
          <w:tblCellMar>
            <w:left w:w="0" w:type="dxa"/>
            <w:right w:w="0" w:type="dxa"/>
          </w:tblCellMar>
          <w:tblLook w:val="04A0"/>
        </w:tblPrEx>
        <w:trPr>
          <w:trHeight w:val="282"/>
          <w:jc w:val="center"/>
        </w:trPr>
        <w:tc>
          <w:tcPr>
            <w:tcW w:w="350" w:type="pct"/>
            <w:vMerge/>
            <w:tcBorders>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p>
        </w:tc>
        <w:tc>
          <w:tcPr>
            <w:tcW w:w="1836" w:type="pct"/>
            <w:vMerge/>
            <w:tcBorders>
              <w:left w:val="nil"/>
              <w:bottom w:val="single" w:sz="8" w:space="0" w:color="auto"/>
              <w:right w:val="single" w:sz="8" w:space="0" w:color="auto"/>
            </w:tcBorders>
            <w:tcMar>
              <w:top w:w="0" w:type="dxa"/>
              <w:left w:w="70" w:type="dxa"/>
              <w:bottom w:w="0" w:type="dxa"/>
              <w:right w:w="70" w:type="dxa"/>
            </w:tcMar>
            <w:vAlign w:val="center"/>
            <w:hideMark/>
          </w:tcPr>
          <w:p w:rsidR="00D00F18" w:rsidRPr="00D00F18" w:rsidP="00D00F18">
            <w:pPr>
              <w:spacing w:after="0" w:line="240" w:lineRule="auto"/>
              <w:jc w:val="center"/>
              <w:rPr>
                <w:lang w:eastAsia="sk-SK"/>
              </w:rPr>
            </w:pPr>
          </w:p>
        </w:tc>
        <w:tc>
          <w:tcPr>
            <w:tcW w:w="217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both"/>
              <w:rPr>
                <w:lang w:eastAsia="sk-SK"/>
              </w:rPr>
            </w:pPr>
            <w:r w:rsidRPr="00D00F18">
              <w:rPr>
                <w:lang w:eastAsia="sk-SK"/>
              </w:rPr>
              <w:t>* doplnené mailové notifikácie</w:t>
            </w:r>
          </w:p>
        </w:tc>
        <w:tc>
          <w:tcPr>
            <w:tcW w:w="635" w:type="pct"/>
            <w:vMerge/>
            <w:tcBorders>
              <w:top w:val="nil"/>
              <w:left w:val="nil"/>
              <w:bottom w:val="single" w:sz="8" w:space="0" w:color="000000"/>
              <w:right w:val="single" w:sz="8" w:space="0" w:color="auto"/>
            </w:tcBorders>
            <w:vAlign w:val="center"/>
            <w:hideMark/>
          </w:tcPr>
          <w:p w:rsidR="00D00F18" w:rsidRPr="00D00F18" w:rsidP="00D00F18">
            <w:pPr>
              <w:spacing w:after="0" w:line="240" w:lineRule="auto"/>
              <w:jc w:val="center"/>
              <w:rPr>
                <w:rFonts w:cs="Calibri"/>
                <w:lang w:eastAsia="sk-SK"/>
              </w:rPr>
            </w:pPr>
          </w:p>
        </w:tc>
      </w:tr>
      <w:tr w:rsidTr="00D00F18">
        <w:tblPrEx>
          <w:tblW w:w="5000" w:type="pct"/>
          <w:jc w:val="center"/>
          <w:tblCellMar>
            <w:left w:w="0" w:type="dxa"/>
            <w:right w:w="0" w:type="dxa"/>
          </w:tblCellMar>
          <w:tblLook w:val="04A0"/>
        </w:tblPrEx>
        <w:trPr>
          <w:trHeight w:val="781"/>
          <w:jc w:val="center"/>
        </w:trPr>
        <w:tc>
          <w:tcPr>
            <w:tcW w:w="350" w:type="pct"/>
            <w:vMerge w:val="restart"/>
            <w:tcBorders>
              <w:top w:val="nil"/>
              <w:left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r w:rsidRPr="00D00F18">
              <w:rPr>
                <w:lang w:eastAsia="sk-SK"/>
              </w:rPr>
              <w:t>2</w:t>
            </w:r>
          </w:p>
          <w:p w:rsidR="00D00F18" w:rsidRPr="00D00F18" w:rsidP="00D00F18">
            <w:pPr>
              <w:spacing w:after="0" w:line="240" w:lineRule="auto"/>
              <w:jc w:val="center"/>
              <w:rPr>
                <w:lang w:eastAsia="sk-SK"/>
              </w:rPr>
            </w:pPr>
          </w:p>
          <w:p w:rsidR="00D00F18" w:rsidRPr="00D00F18" w:rsidP="00D00F18">
            <w:pPr>
              <w:spacing w:after="0" w:line="240" w:lineRule="auto"/>
              <w:jc w:val="center"/>
              <w:rPr>
                <w:lang w:eastAsia="sk-SK"/>
              </w:rPr>
            </w:pPr>
          </w:p>
        </w:tc>
        <w:tc>
          <w:tcPr>
            <w:tcW w:w="1836" w:type="pct"/>
            <w:vMerge w:val="restart"/>
            <w:tcBorders>
              <w:top w:val="nil"/>
              <w:left w:val="nil"/>
              <w:right w:val="single" w:sz="8" w:space="0" w:color="auto"/>
            </w:tcBorders>
            <w:tcMar>
              <w:top w:w="0" w:type="dxa"/>
              <w:left w:w="70" w:type="dxa"/>
              <w:bottom w:w="0" w:type="dxa"/>
              <w:right w:w="70" w:type="dxa"/>
            </w:tcMar>
            <w:vAlign w:val="center"/>
            <w:hideMark/>
          </w:tcPr>
          <w:p w:rsidR="00D00F18" w:rsidRPr="00D00F18" w:rsidP="00D00F18">
            <w:pPr>
              <w:spacing w:after="0" w:line="240" w:lineRule="auto"/>
              <w:jc w:val="center"/>
              <w:rPr>
                <w:lang w:eastAsia="sk-SK"/>
              </w:rPr>
            </w:pPr>
            <w:r w:rsidRPr="00D00F18">
              <w:rPr>
                <w:lang w:eastAsia="sk-SK"/>
              </w:rPr>
              <w:t>Rozšíriť počet výstupov, ktoré si používatelia budú schopný pre účely svojej odbornej agendy  vygenerovať podľa požiadaviek smernice (40 ks reportov)</w:t>
            </w:r>
          </w:p>
        </w:tc>
        <w:tc>
          <w:tcPr>
            <w:tcW w:w="217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both"/>
              <w:rPr>
                <w:lang w:eastAsia="sk-SK"/>
              </w:rPr>
            </w:pPr>
            <w:r w:rsidRPr="00D00F18">
              <w:rPr>
                <w:lang w:eastAsia="sk-SK"/>
              </w:rPr>
              <w:t>* úprava DWH pump (rozšírenie o data nových reportov)</w:t>
            </w:r>
          </w:p>
        </w:tc>
        <w:tc>
          <w:tcPr>
            <w:tcW w:w="635" w:type="pct"/>
            <w:vMerge w:val="restart"/>
            <w:tcBorders>
              <w:top w:val="nil"/>
              <w:left w:val="nil"/>
              <w:bottom w:val="single" w:sz="8" w:space="0" w:color="000000"/>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r w:rsidRPr="00D00F18">
              <w:rPr>
                <w:lang w:eastAsia="sk-SK"/>
              </w:rPr>
              <w:t>452</w:t>
            </w:r>
          </w:p>
        </w:tc>
      </w:tr>
      <w:tr w:rsidTr="00D00F18">
        <w:tblPrEx>
          <w:tblW w:w="5000" w:type="pct"/>
          <w:jc w:val="center"/>
          <w:tblCellMar>
            <w:left w:w="0" w:type="dxa"/>
            <w:right w:w="0" w:type="dxa"/>
          </w:tblCellMar>
          <w:tblLook w:val="04A0"/>
        </w:tblPrEx>
        <w:trPr>
          <w:trHeight w:val="195"/>
          <w:jc w:val="center"/>
        </w:trPr>
        <w:tc>
          <w:tcPr>
            <w:tcW w:w="350" w:type="pct"/>
            <w:vMerge/>
            <w:tcBorders>
              <w:left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p>
        </w:tc>
        <w:tc>
          <w:tcPr>
            <w:tcW w:w="1836" w:type="pct"/>
            <w:vMerge/>
            <w:tcBorders>
              <w:left w:val="nil"/>
              <w:right w:val="single" w:sz="8" w:space="0" w:color="auto"/>
            </w:tcBorders>
            <w:tcMar>
              <w:top w:w="0" w:type="dxa"/>
              <w:left w:w="70" w:type="dxa"/>
              <w:bottom w:w="0" w:type="dxa"/>
              <w:right w:w="70" w:type="dxa"/>
            </w:tcMar>
            <w:vAlign w:val="center"/>
            <w:hideMark/>
          </w:tcPr>
          <w:p w:rsidR="00D00F18" w:rsidRPr="00D00F18" w:rsidP="00D00F18">
            <w:pPr>
              <w:spacing w:after="0" w:line="240" w:lineRule="auto"/>
              <w:jc w:val="center"/>
              <w:rPr>
                <w:lang w:eastAsia="sk-SK"/>
              </w:rPr>
            </w:pPr>
          </w:p>
        </w:tc>
        <w:tc>
          <w:tcPr>
            <w:tcW w:w="217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both"/>
              <w:rPr>
                <w:lang w:eastAsia="sk-SK"/>
              </w:rPr>
            </w:pPr>
            <w:r w:rsidRPr="00D00F18">
              <w:rPr>
                <w:lang w:eastAsia="sk-SK"/>
              </w:rPr>
              <w:t>* vytvorenie reportu v Jasper</w:t>
            </w:r>
          </w:p>
        </w:tc>
        <w:tc>
          <w:tcPr>
            <w:tcW w:w="635" w:type="pct"/>
            <w:vMerge/>
            <w:tcBorders>
              <w:top w:val="nil"/>
              <w:left w:val="nil"/>
              <w:bottom w:val="single" w:sz="8" w:space="0" w:color="000000"/>
              <w:right w:val="single" w:sz="8" w:space="0" w:color="auto"/>
            </w:tcBorders>
            <w:vAlign w:val="center"/>
            <w:hideMark/>
          </w:tcPr>
          <w:p w:rsidR="00D00F18" w:rsidRPr="00D00F18" w:rsidP="00D00F18">
            <w:pPr>
              <w:spacing w:after="0" w:line="240" w:lineRule="auto"/>
              <w:jc w:val="center"/>
              <w:rPr>
                <w:rFonts w:cs="Calibri"/>
                <w:lang w:eastAsia="sk-SK"/>
              </w:rPr>
            </w:pPr>
          </w:p>
        </w:tc>
      </w:tr>
      <w:tr w:rsidTr="00D00F18">
        <w:tblPrEx>
          <w:tblW w:w="5000" w:type="pct"/>
          <w:jc w:val="center"/>
          <w:tblCellMar>
            <w:left w:w="0" w:type="dxa"/>
            <w:right w:w="0" w:type="dxa"/>
          </w:tblCellMar>
          <w:tblLook w:val="04A0"/>
        </w:tblPrEx>
        <w:trPr>
          <w:trHeight w:val="637"/>
          <w:jc w:val="center"/>
        </w:trPr>
        <w:tc>
          <w:tcPr>
            <w:tcW w:w="350" w:type="pct"/>
            <w:vMerge/>
            <w:tcBorders>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p>
        </w:tc>
        <w:tc>
          <w:tcPr>
            <w:tcW w:w="1836" w:type="pct"/>
            <w:vMerge/>
            <w:tcBorders>
              <w:left w:val="nil"/>
              <w:bottom w:val="single" w:sz="8" w:space="0" w:color="auto"/>
              <w:right w:val="single" w:sz="8" w:space="0" w:color="auto"/>
            </w:tcBorders>
            <w:tcMar>
              <w:top w:w="0" w:type="dxa"/>
              <w:left w:w="70" w:type="dxa"/>
              <w:bottom w:w="0" w:type="dxa"/>
              <w:right w:w="70" w:type="dxa"/>
            </w:tcMar>
            <w:vAlign w:val="center"/>
            <w:hideMark/>
          </w:tcPr>
          <w:p w:rsidR="00D00F18" w:rsidRPr="00D00F18" w:rsidP="00D00F18">
            <w:pPr>
              <w:spacing w:after="0" w:line="240" w:lineRule="auto"/>
              <w:jc w:val="center"/>
              <w:rPr>
                <w:lang w:eastAsia="sk-SK"/>
              </w:rPr>
            </w:pPr>
          </w:p>
        </w:tc>
        <w:tc>
          <w:tcPr>
            <w:tcW w:w="217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both"/>
              <w:rPr>
                <w:lang w:eastAsia="sk-SK"/>
              </w:rPr>
            </w:pPr>
            <w:r w:rsidRPr="00D00F18">
              <w:rPr>
                <w:lang w:eastAsia="sk-SK"/>
              </w:rPr>
              <w:t>* publikovanie reportov na portál</w:t>
            </w:r>
          </w:p>
        </w:tc>
        <w:tc>
          <w:tcPr>
            <w:tcW w:w="635" w:type="pct"/>
            <w:vMerge/>
            <w:tcBorders>
              <w:top w:val="nil"/>
              <w:left w:val="nil"/>
              <w:bottom w:val="single" w:sz="8" w:space="0" w:color="000000"/>
              <w:right w:val="single" w:sz="8" w:space="0" w:color="auto"/>
            </w:tcBorders>
            <w:vAlign w:val="center"/>
            <w:hideMark/>
          </w:tcPr>
          <w:p w:rsidR="00D00F18" w:rsidRPr="00D00F18" w:rsidP="00D00F18">
            <w:pPr>
              <w:spacing w:after="0" w:line="240" w:lineRule="auto"/>
              <w:jc w:val="center"/>
              <w:rPr>
                <w:rFonts w:cs="Calibri"/>
                <w:lang w:eastAsia="sk-SK"/>
              </w:rPr>
            </w:pPr>
          </w:p>
        </w:tc>
      </w:tr>
      <w:tr w:rsidTr="00D00F18">
        <w:tblPrEx>
          <w:tblW w:w="5000" w:type="pct"/>
          <w:jc w:val="center"/>
          <w:tblCellMar>
            <w:left w:w="0" w:type="dxa"/>
            <w:right w:w="0" w:type="dxa"/>
          </w:tblCellMar>
          <w:tblLook w:val="04A0"/>
        </w:tblPrEx>
        <w:trPr>
          <w:trHeight w:val="586"/>
          <w:jc w:val="center"/>
        </w:trPr>
        <w:tc>
          <w:tcPr>
            <w:tcW w:w="350" w:type="pct"/>
            <w:vMerge w:val="restart"/>
            <w:tcBorders>
              <w:top w:val="nil"/>
              <w:left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r w:rsidRPr="00D00F18">
              <w:rPr>
                <w:lang w:eastAsia="sk-SK"/>
              </w:rPr>
              <w:t>3</w:t>
            </w:r>
          </w:p>
          <w:p w:rsidR="00D00F18" w:rsidRPr="00D00F18" w:rsidP="00D00F18">
            <w:pPr>
              <w:spacing w:after="0" w:line="240" w:lineRule="auto"/>
              <w:jc w:val="center"/>
              <w:rPr>
                <w:lang w:eastAsia="sk-SK"/>
              </w:rPr>
            </w:pPr>
          </w:p>
          <w:p w:rsidR="00D00F18" w:rsidRPr="00D00F18" w:rsidP="00D00F18">
            <w:pPr>
              <w:spacing w:after="0" w:line="240" w:lineRule="auto"/>
              <w:jc w:val="center"/>
              <w:rPr>
                <w:lang w:eastAsia="sk-SK"/>
              </w:rPr>
            </w:pPr>
          </w:p>
        </w:tc>
        <w:tc>
          <w:tcPr>
            <w:tcW w:w="1836" w:type="pct"/>
            <w:vMerge w:val="restart"/>
            <w:tcBorders>
              <w:top w:val="nil"/>
              <w:left w:val="nil"/>
              <w:right w:val="single" w:sz="8" w:space="0" w:color="auto"/>
            </w:tcBorders>
            <w:tcMar>
              <w:top w:w="0" w:type="dxa"/>
              <w:left w:w="70" w:type="dxa"/>
              <w:bottom w:w="0" w:type="dxa"/>
              <w:right w:w="70" w:type="dxa"/>
            </w:tcMar>
            <w:vAlign w:val="center"/>
            <w:hideMark/>
          </w:tcPr>
          <w:p w:rsidR="00D00F18" w:rsidRPr="00D00F18" w:rsidP="00D00F18">
            <w:pPr>
              <w:spacing w:after="0" w:line="240" w:lineRule="auto"/>
              <w:jc w:val="center"/>
              <w:rPr>
                <w:lang w:eastAsia="sk-SK"/>
              </w:rPr>
            </w:pPr>
            <w:r w:rsidRPr="00D00F18">
              <w:rPr>
                <w:lang w:eastAsia="sk-SK"/>
              </w:rPr>
              <w:t>Rozšíriť možnosti poskytovania informácií verejnosti či už prostredníctvom máp alebo inou formou na webovom portály orgánov verejného zdravotníctva</w:t>
            </w:r>
          </w:p>
        </w:tc>
        <w:tc>
          <w:tcPr>
            <w:tcW w:w="217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both"/>
              <w:rPr>
                <w:lang w:eastAsia="sk-SK"/>
              </w:rPr>
            </w:pPr>
            <w:r w:rsidRPr="00D00F18">
              <w:rPr>
                <w:lang w:eastAsia="sk-SK"/>
              </w:rPr>
              <w:t>* doplnenie pohľadov do DWH, vytvorenie datasetov</w:t>
            </w:r>
          </w:p>
        </w:tc>
        <w:tc>
          <w:tcPr>
            <w:tcW w:w="635" w:type="pct"/>
            <w:vMerge w:val="restart"/>
            <w:tcBorders>
              <w:top w:val="nil"/>
              <w:left w:val="nil"/>
              <w:bottom w:val="single" w:sz="8" w:space="0" w:color="000000"/>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r w:rsidRPr="00D00F18">
              <w:rPr>
                <w:lang w:eastAsia="sk-SK"/>
              </w:rPr>
              <w:t>290</w:t>
            </w:r>
          </w:p>
        </w:tc>
      </w:tr>
      <w:tr w:rsidTr="00D00F18">
        <w:tblPrEx>
          <w:tblW w:w="5000" w:type="pct"/>
          <w:jc w:val="center"/>
          <w:tblCellMar>
            <w:left w:w="0" w:type="dxa"/>
            <w:right w:w="0" w:type="dxa"/>
          </w:tblCellMar>
          <w:tblLook w:val="04A0"/>
        </w:tblPrEx>
        <w:trPr>
          <w:trHeight w:val="195"/>
          <w:jc w:val="center"/>
        </w:trPr>
        <w:tc>
          <w:tcPr>
            <w:tcW w:w="350" w:type="pct"/>
            <w:vMerge/>
            <w:tcBorders>
              <w:left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p>
        </w:tc>
        <w:tc>
          <w:tcPr>
            <w:tcW w:w="1836" w:type="pct"/>
            <w:vMerge/>
            <w:tcBorders>
              <w:left w:val="nil"/>
              <w:right w:val="single" w:sz="8" w:space="0" w:color="auto"/>
            </w:tcBorders>
            <w:tcMar>
              <w:top w:w="0" w:type="dxa"/>
              <w:left w:w="70" w:type="dxa"/>
              <w:bottom w:w="0" w:type="dxa"/>
              <w:right w:w="70" w:type="dxa"/>
            </w:tcMar>
            <w:vAlign w:val="center"/>
            <w:hideMark/>
          </w:tcPr>
          <w:p w:rsidR="00D00F18" w:rsidRPr="00D00F18" w:rsidP="00D00F18">
            <w:pPr>
              <w:spacing w:after="0" w:line="240" w:lineRule="auto"/>
              <w:jc w:val="center"/>
              <w:rPr>
                <w:lang w:eastAsia="sk-SK"/>
              </w:rPr>
            </w:pPr>
          </w:p>
        </w:tc>
        <w:tc>
          <w:tcPr>
            <w:tcW w:w="217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both"/>
              <w:rPr>
                <w:lang w:eastAsia="sk-SK"/>
              </w:rPr>
            </w:pPr>
            <w:r w:rsidRPr="00D00F18">
              <w:rPr>
                <w:lang w:eastAsia="sk-SK"/>
              </w:rPr>
              <w:t>* implementácia do vizualizačného nástroja (ako napr. Power BI)</w:t>
            </w:r>
          </w:p>
        </w:tc>
        <w:tc>
          <w:tcPr>
            <w:tcW w:w="635" w:type="pct"/>
            <w:vMerge/>
            <w:tcBorders>
              <w:top w:val="nil"/>
              <w:left w:val="nil"/>
              <w:bottom w:val="single" w:sz="8" w:space="0" w:color="000000"/>
              <w:right w:val="single" w:sz="8" w:space="0" w:color="auto"/>
            </w:tcBorders>
            <w:vAlign w:val="center"/>
            <w:hideMark/>
          </w:tcPr>
          <w:p w:rsidR="00D00F18" w:rsidRPr="00D00F18" w:rsidP="00D00F18">
            <w:pPr>
              <w:spacing w:after="0" w:line="240" w:lineRule="auto"/>
              <w:jc w:val="center"/>
              <w:rPr>
                <w:rFonts w:cs="Calibri"/>
                <w:lang w:eastAsia="sk-SK"/>
              </w:rPr>
            </w:pPr>
          </w:p>
        </w:tc>
      </w:tr>
      <w:tr w:rsidTr="00D00F18">
        <w:tblPrEx>
          <w:tblW w:w="5000" w:type="pct"/>
          <w:jc w:val="center"/>
          <w:tblCellMar>
            <w:left w:w="0" w:type="dxa"/>
            <w:right w:w="0" w:type="dxa"/>
          </w:tblCellMar>
          <w:tblLook w:val="04A0"/>
        </w:tblPrEx>
        <w:trPr>
          <w:trHeight w:val="195"/>
          <w:jc w:val="center"/>
        </w:trPr>
        <w:tc>
          <w:tcPr>
            <w:tcW w:w="350" w:type="pct"/>
            <w:vMerge/>
            <w:tcBorders>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p>
        </w:tc>
        <w:tc>
          <w:tcPr>
            <w:tcW w:w="1836" w:type="pct"/>
            <w:vMerge/>
            <w:tcBorders>
              <w:left w:val="nil"/>
              <w:bottom w:val="single" w:sz="8" w:space="0" w:color="auto"/>
              <w:right w:val="single" w:sz="8" w:space="0" w:color="auto"/>
            </w:tcBorders>
            <w:tcMar>
              <w:top w:w="0" w:type="dxa"/>
              <w:left w:w="70" w:type="dxa"/>
              <w:bottom w:w="0" w:type="dxa"/>
              <w:right w:w="70" w:type="dxa"/>
            </w:tcMar>
            <w:vAlign w:val="center"/>
            <w:hideMark/>
          </w:tcPr>
          <w:p w:rsidR="00D00F18" w:rsidRPr="00D00F18" w:rsidP="00D00F18">
            <w:pPr>
              <w:spacing w:after="0" w:line="240" w:lineRule="auto"/>
              <w:jc w:val="center"/>
              <w:rPr>
                <w:lang w:eastAsia="sk-SK"/>
              </w:rPr>
            </w:pPr>
          </w:p>
        </w:tc>
        <w:tc>
          <w:tcPr>
            <w:tcW w:w="217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both"/>
              <w:rPr>
                <w:lang w:eastAsia="sk-SK"/>
              </w:rPr>
            </w:pPr>
            <w:r w:rsidRPr="00D00F18">
              <w:rPr>
                <w:lang w:eastAsia="sk-SK"/>
              </w:rPr>
              <w:t>* vlastný custom klient</w:t>
            </w:r>
          </w:p>
        </w:tc>
        <w:tc>
          <w:tcPr>
            <w:tcW w:w="635" w:type="pct"/>
            <w:vMerge/>
            <w:tcBorders>
              <w:top w:val="nil"/>
              <w:left w:val="nil"/>
              <w:bottom w:val="single" w:sz="8" w:space="0" w:color="000000"/>
              <w:right w:val="single" w:sz="8" w:space="0" w:color="auto"/>
            </w:tcBorders>
            <w:vAlign w:val="center"/>
            <w:hideMark/>
          </w:tcPr>
          <w:p w:rsidR="00D00F18" w:rsidRPr="00D00F18" w:rsidP="00D00F18">
            <w:pPr>
              <w:spacing w:after="0" w:line="240" w:lineRule="auto"/>
              <w:jc w:val="center"/>
              <w:rPr>
                <w:rFonts w:cs="Calibri"/>
                <w:lang w:eastAsia="sk-SK"/>
              </w:rPr>
            </w:pPr>
          </w:p>
        </w:tc>
      </w:tr>
      <w:tr w:rsidTr="00D00F18">
        <w:tblPrEx>
          <w:tblW w:w="5000" w:type="pct"/>
          <w:jc w:val="center"/>
          <w:tblCellMar>
            <w:left w:w="0" w:type="dxa"/>
            <w:right w:w="0" w:type="dxa"/>
          </w:tblCellMar>
          <w:tblLook w:val="04A0"/>
        </w:tblPrEx>
        <w:trPr>
          <w:trHeight w:val="195"/>
          <w:jc w:val="center"/>
        </w:trPr>
        <w:tc>
          <w:tcPr>
            <w:tcW w:w="350" w:type="pct"/>
            <w:vMerge w:val="restart"/>
            <w:tcBorders>
              <w:top w:val="nil"/>
              <w:left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r w:rsidRPr="00D00F18">
              <w:rPr>
                <w:lang w:eastAsia="sk-SK"/>
              </w:rPr>
              <w:t>4</w:t>
            </w:r>
          </w:p>
          <w:p w:rsidR="00D00F18" w:rsidRPr="00D00F18" w:rsidP="00D00F18">
            <w:pPr>
              <w:spacing w:after="0" w:line="240" w:lineRule="auto"/>
              <w:jc w:val="center"/>
              <w:rPr>
                <w:lang w:eastAsia="sk-SK"/>
              </w:rPr>
            </w:pPr>
          </w:p>
          <w:p w:rsidR="00D00F18" w:rsidRPr="00D00F18" w:rsidP="00D00F18">
            <w:pPr>
              <w:spacing w:after="0" w:line="240" w:lineRule="auto"/>
              <w:jc w:val="center"/>
              <w:rPr>
                <w:lang w:eastAsia="sk-SK"/>
              </w:rPr>
            </w:pPr>
          </w:p>
          <w:p w:rsidR="00D00F18" w:rsidRPr="00D00F18" w:rsidP="00D00F18">
            <w:pPr>
              <w:spacing w:after="0" w:line="240" w:lineRule="auto"/>
              <w:jc w:val="center"/>
              <w:rPr>
                <w:lang w:eastAsia="sk-SK"/>
              </w:rPr>
            </w:pPr>
          </w:p>
        </w:tc>
        <w:tc>
          <w:tcPr>
            <w:tcW w:w="1836" w:type="pct"/>
            <w:vMerge w:val="restart"/>
            <w:tcBorders>
              <w:top w:val="nil"/>
              <w:left w:val="nil"/>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r w:rsidRPr="00D00F18">
              <w:rPr>
                <w:lang w:eastAsia="sk-SK"/>
              </w:rPr>
              <w:t>oznámenia od dodávateľov pitnej vody</w:t>
            </w:r>
          </w:p>
        </w:tc>
        <w:tc>
          <w:tcPr>
            <w:tcW w:w="217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both"/>
              <w:rPr>
                <w:lang w:eastAsia="sk-SK"/>
              </w:rPr>
            </w:pPr>
            <w:r w:rsidRPr="00D00F18">
              <w:rPr>
                <w:lang w:eastAsia="sk-SK"/>
              </w:rPr>
              <w:t>* návrh formulárov (zberový modul, odhad 5 druhov)</w:t>
            </w:r>
          </w:p>
        </w:tc>
        <w:tc>
          <w:tcPr>
            <w:tcW w:w="635" w:type="pct"/>
            <w:vMerge w:val="restart"/>
            <w:tcBorders>
              <w:top w:val="nil"/>
              <w:left w:val="nil"/>
              <w:bottom w:val="single" w:sz="8" w:space="0" w:color="000000"/>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r w:rsidRPr="00D00F18">
              <w:rPr>
                <w:lang w:eastAsia="sk-SK"/>
              </w:rPr>
              <w:t>224</w:t>
            </w:r>
          </w:p>
        </w:tc>
      </w:tr>
      <w:tr w:rsidTr="00D00F18">
        <w:tblPrEx>
          <w:tblW w:w="5000" w:type="pct"/>
          <w:jc w:val="center"/>
          <w:tblCellMar>
            <w:left w:w="0" w:type="dxa"/>
            <w:right w:w="0" w:type="dxa"/>
          </w:tblCellMar>
          <w:tblLook w:val="04A0"/>
        </w:tblPrEx>
        <w:trPr>
          <w:trHeight w:val="195"/>
          <w:jc w:val="center"/>
        </w:trPr>
        <w:tc>
          <w:tcPr>
            <w:tcW w:w="350" w:type="pct"/>
            <w:vMerge/>
            <w:tcBorders>
              <w:left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p>
        </w:tc>
        <w:tc>
          <w:tcPr>
            <w:tcW w:w="1836" w:type="pct"/>
            <w:vMerge/>
            <w:tcBorders>
              <w:left w:val="nil"/>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p>
        </w:tc>
        <w:tc>
          <w:tcPr>
            <w:tcW w:w="217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both"/>
              <w:rPr>
                <w:lang w:eastAsia="sk-SK"/>
              </w:rPr>
            </w:pPr>
            <w:r w:rsidRPr="00D00F18">
              <w:rPr>
                <w:lang w:eastAsia="sk-SK"/>
              </w:rPr>
              <w:t>* oznamovacie povinnosti (generovanie očakávaných výkazov)</w:t>
            </w:r>
          </w:p>
        </w:tc>
        <w:tc>
          <w:tcPr>
            <w:tcW w:w="635" w:type="pct"/>
            <w:vMerge/>
            <w:tcBorders>
              <w:top w:val="nil"/>
              <w:left w:val="nil"/>
              <w:bottom w:val="single" w:sz="8" w:space="0" w:color="000000"/>
              <w:right w:val="single" w:sz="8" w:space="0" w:color="auto"/>
            </w:tcBorders>
            <w:vAlign w:val="center"/>
            <w:hideMark/>
          </w:tcPr>
          <w:p w:rsidR="00D00F18" w:rsidRPr="00D00F18" w:rsidP="00D00F18">
            <w:pPr>
              <w:spacing w:after="0" w:line="240" w:lineRule="auto"/>
              <w:jc w:val="center"/>
              <w:rPr>
                <w:rFonts w:cs="Calibri"/>
                <w:lang w:eastAsia="sk-SK"/>
              </w:rPr>
            </w:pPr>
          </w:p>
        </w:tc>
      </w:tr>
      <w:tr w:rsidTr="00D00F18">
        <w:tblPrEx>
          <w:tblW w:w="5000" w:type="pct"/>
          <w:jc w:val="center"/>
          <w:tblCellMar>
            <w:left w:w="0" w:type="dxa"/>
            <w:right w:w="0" w:type="dxa"/>
          </w:tblCellMar>
          <w:tblLook w:val="04A0"/>
        </w:tblPrEx>
        <w:trPr>
          <w:trHeight w:val="195"/>
          <w:jc w:val="center"/>
        </w:trPr>
        <w:tc>
          <w:tcPr>
            <w:tcW w:w="350" w:type="pct"/>
            <w:vMerge/>
            <w:tcBorders>
              <w:left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p>
        </w:tc>
        <w:tc>
          <w:tcPr>
            <w:tcW w:w="1836" w:type="pct"/>
            <w:vMerge/>
            <w:tcBorders>
              <w:left w:val="nil"/>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p>
        </w:tc>
        <w:tc>
          <w:tcPr>
            <w:tcW w:w="217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both"/>
              <w:rPr>
                <w:lang w:eastAsia="sk-SK"/>
              </w:rPr>
            </w:pPr>
            <w:r w:rsidRPr="00D00F18">
              <w:rPr>
                <w:lang w:eastAsia="sk-SK"/>
              </w:rPr>
              <w:t>* notifikácia mailom/eDesk na vyplnenie (s linkou na formulár)</w:t>
            </w:r>
          </w:p>
        </w:tc>
        <w:tc>
          <w:tcPr>
            <w:tcW w:w="635" w:type="pct"/>
            <w:vMerge/>
            <w:tcBorders>
              <w:top w:val="nil"/>
              <w:left w:val="nil"/>
              <w:bottom w:val="single" w:sz="8" w:space="0" w:color="000000"/>
              <w:right w:val="single" w:sz="8" w:space="0" w:color="auto"/>
            </w:tcBorders>
            <w:vAlign w:val="center"/>
            <w:hideMark/>
          </w:tcPr>
          <w:p w:rsidR="00D00F18" w:rsidRPr="00D00F18" w:rsidP="00D00F18">
            <w:pPr>
              <w:spacing w:after="0" w:line="240" w:lineRule="auto"/>
              <w:jc w:val="center"/>
              <w:rPr>
                <w:rFonts w:cs="Calibri"/>
                <w:lang w:eastAsia="sk-SK"/>
              </w:rPr>
            </w:pPr>
          </w:p>
        </w:tc>
      </w:tr>
      <w:tr w:rsidTr="00D00F18">
        <w:tblPrEx>
          <w:tblW w:w="5000" w:type="pct"/>
          <w:jc w:val="center"/>
          <w:tblCellMar>
            <w:left w:w="0" w:type="dxa"/>
            <w:right w:w="0" w:type="dxa"/>
          </w:tblCellMar>
          <w:tblLook w:val="04A0"/>
        </w:tblPrEx>
        <w:trPr>
          <w:trHeight w:val="195"/>
          <w:jc w:val="center"/>
        </w:trPr>
        <w:tc>
          <w:tcPr>
            <w:tcW w:w="350" w:type="pct"/>
            <w:vMerge/>
            <w:tcBorders>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p>
        </w:tc>
        <w:tc>
          <w:tcPr>
            <w:tcW w:w="1836" w:type="pct"/>
            <w:vMerge/>
            <w:tcBorders>
              <w:left w:val="nil"/>
              <w:bottom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center"/>
              <w:rPr>
                <w:lang w:eastAsia="sk-SK"/>
              </w:rPr>
            </w:pPr>
          </w:p>
        </w:tc>
        <w:tc>
          <w:tcPr>
            <w:tcW w:w="217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00F18" w:rsidRPr="00D00F18" w:rsidP="00D00F18">
            <w:pPr>
              <w:spacing w:after="0" w:line="240" w:lineRule="auto"/>
              <w:jc w:val="both"/>
              <w:rPr>
                <w:lang w:eastAsia="sk-SK"/>
              </w:rPr>
            </w:pPr>
            <w:r w:rsidRPr="00D00F18">
              <w:rPr>
                <w:lang w:eastAsia="sk-SK"/>
              </w:rPr>
              <w:t>* spracovanie prijatých formulárov v HŽP</w:t>
            </w:r>
          </w:p>
        </w:tc>
        <w:tc>
          <w:tcPr>
            <w:tcW w:w="635" w:type="pct"/>
            <w:vMerge/>
            <w:tcBorders>
              <w:top w:val="nil"/>
              <w:left w:val="nil"/>
              <w:bottom w:val="single" w:sz="8" w:space="0" w:color="000000"/>
              <w:right w:val="single" w:sz="8" w:space="0" w:color="auto"/>
            </w:tcBorders>
            <w:vAlign w:val="center"/>
            <w:hideMark/>
          </w:tcPr>
          <w:p w:rsidR="00D00F18" w:rsidRPr="00D00F18" w:rsidP="00D00F18">
            <w:pPr>
              <w:spacing w:after="0" w:line="240" w:lineRule="auto"/>
              <w:jc w:val="center"/>
              <w:rPr>
                <w:rFonts w:cs="Calibri"/>
                <w:lang w:eastAsia="sk-SK"/>
              </w:rPr>
            </w:pPr>
          </w:p>
        </w:tc>
      </w:tr>
      <w:tr w:rsidTr="00D00F18">
        <w:tblPrEx>
          <w:tblW w:w="5000" w:type="pct"/>
          <w:jc w:val="center"/>
          <w:tblCellMar>
            <w:left w:w="0" w:type="dxa"/>
            <w:right w:w="0" w:type="dxa"/>
          </w:tblCellMar>
          <w:tblLook w:val="04A0"/>
        </w:tblPrEx>
        <w:trPr>
          <w:trHeight w:val="195"/>
          <w:jc w:val="center"/>
        </w:trPr>
        <w:tc>
          <w:tcPr>
            <w:tcW w:w="350" w:type="pct"/>
            <w:tcBorders>
              <w:top w:val="nil"/>
              <w:left w:val="single" w:sz="8" w:space="0" w:color="auto"/>
              <w:bottom w:val="single" w:sz="8" w:space="0" w:color="auto"/>
              <w:right w:val="single" w:sz="8" w:space="0" w:color="auto"/>
            </w:tcBorders>
            <w:shd w:val="clear" w:color="auto" w:fill="D9E1F2"/>
            <w:noWrap/>
            <w:tcMar>
              <w:top w:w="0" w:type="dxa"/>
              <w:left w:w="70" w:type="dxa"/>
              <w:bottom w:w="0" w:type="dxa"/>
              <w:right w:w="70" w:type="dxa"/>
            </w:tcMar>
            <w:vAlign w:val="center"/>
            <w:hideMark/>
          </w:tcPr>
          <w:p w:rsidR="00D00F18" w:rsidRPr="00D00F18" w:rsidP="00D00F18">
            <w:pPr>
              <w:spacing w:after="0" w:line="240" w:lineRule="auto"/>
              <w:jc w:val="center"/>
              <w:rPr>
                <w:b/>
                <w:bCs/>
                <w:lang w:eastAsia="sk-SK"/>
              </w:rPr>
            </w:pPr>
          </w:p>
        </w:tc>
        <w:tc>
          <w:tcPr>
            <w:tcW w:w="1836" w:type="pct"/>
            <w:tcBorders>
              <w:top w:val="nil"/>
              <w:left w:val="nil"/>
              <w:bottom w:val="single" w:sz="8" w:space="0" w:color="auto"/>
              <w:right w:val="single" w:sz="8" w:space="0" w:color="auto"/>
            </w:tcBorders>
            <w:shd w:val="clear" w:color="auto" w:fill="D9E1F2"/>
            <w:noWrap/>
            <w:tcMar>
              <w:top w:w="0" w:type="dxa"/>
              <w:left w:w="70" w:type="dxa"/>
              <w:bottom w:w="0" w:type="dxa"/>
              <w:right w:w="70" w:type="dxa"/>
            </w:tcMar>
            <w:vAlign w:val="center"/>
            <w:hideMark/>
          </w:tcPr>
          <w:p w:rsidR="00D00F18" w:rsidRPr="00D00F18" w:rsidP="00D00F18">
            <w:pPr>
              <w:spacing w:after="0" w:line="240" w:lineRule="auto"/>
              <w:jc w:val="center"/>
              <w:rPr>
                <w:b/>
                <w:bCs/>
                <w:lang w:eastAsia="sk-SK"/>
              </w:rPr>
            </w:pPr>
            <w:r w:rsidRPr="00D00F18">
              <w:rPr>
                <w:b/>
                <w:bCs/>
                <w:lang w:eastAsia="sk-SK"/>
              </w:rPr>
              <w:t>SPOLU</w:t>
            </w:r>
          </w:p>
        </w:tc>
        <w:tc>
          <w:tcPr>
            <w:tcW w:w="2179" w:type="pct"/>
            <w:tcBorders>
              <w:top w:val="nil"/>
              <w:left w:val="nil"/>
              <w:bottom w:val="single" w:sz="8" w:space="0" w:color="auto"/>
              <w:right w:val="single" w:sz="8" w:space="0" w:color="auto"/>
            </w:tcBorders>
            <w:shd w:val="clear" w:color="auto" w:fill="D9E1F2"/>
            <w:noWrap/>
            <w:tcMar>
              <w:top w:w="0" w:type="dxa"/>
              <w:left w:w="70" w:type="dxa"/>
              <w:bottom w:w="0" w:type="dxa"/>
              <w:right w:w="70" w:type="dxa"/>
            </w:tcMar>
            <w:vAlign w:val="center"/>
            <w:hideMark/>
          </w:tcPr>
          <w:p w:rsidR="00D00F18" w:rsidRPr="00D00F18" w:rsidP="00D00F18">
            <w:pPr>
              <w:spacing w:after="0" w:line="240" w:lineRule="auto"/>
              <w:jc w:val="center"/>
              <w:rPr>
                <w:b/>
                <w:bCs/>
                <w:lang w:eastAsia="sk-SK"/>
              </w:rPr>
            </w:pPr>
          </w:p>
        </w:tc>
        <w:tc>
          <w:tcPr>
            <w:tcW w:w="635" w:type="pct"/>
            <w:tcBorders>
              <w:top w:val="nil"/>
              <w:left w:val="nil"/>
              <w:bottom w:val="single" w:sz="8" w:space="0" w:color="auto"/>
              <w:right w:val="single" w:sz="8" w:space="0" w:color="auto"/>
            </w:tcBorders>
            <w:shd w:val="clear" w:color="auto" w:fill="D9E1F2"/>
            <w:noWrap/>
            <w:tcMar>
              <w:top w:w="0" w:type="dxa"/>
              <w:left w:w="70" w:type="dxa"/>
              <w:bottom w:w="0" w:type="dxa"/>
              <w:right w:w="70" w:type="dxa"/>
            </w:tcMar>
            <w:vAlign w:val="center"/>
            <w:hideMark/>
          </w:tcPr>
          <w:p w:rsidR="00D00F18" w:rsidRPr="00D00F18" w:rsidP="00D00F18">
            <w:pPr>
              <w:spacing w:after="0" w:line="240" w:lineRule="auto"/>
              <w:jc w:val="center"/>
              <w:rPr>
                <w:b/>
                <w:bCs/>
                <w:lang w:eastAsia="sk-SK"/>
              </w:rPr>
            </w:pPr>
            <w:r w:rsidRPr="00D00F18">
              <w:rPr>
                <w:b/>
                <w:bCs/>
                <w:lang w:eastAsia="sk-SK"/>
              </w:rPr>
              <w:t>1096</w:t>
            </w:r>
          </w:p>
        </w:tc>
      </w:tr>
    </w:tbl>
    <w:p w:rsidR="00D00F18" w:rsidRPr="00D00F18" w:rsidP="00D00F18">
      <w:pPr>
        <w:jc w:val="center"/>
        <w:rPr>
          <w:rFonts w:ascii="Times New Roman" w:hAnsi="Times New Roman"/>
        </w:rPr>
      </w:pPr>
    </w:p>
    <w:p w:rsidR="00D00F18" w:rsidRPr="00D00F18" w:rsidP="00D00F18">
      <w:pPr>
        <w:jc w:val="center"/>
        <w:rPr>
          <w:rFonts w:ascii="Times New Roman" w:hAnsi="Times New Roman"/>
        </w:rPr>
      </w:pPr>
      <w:r w:rsidRPr="00D00F18">
        <w:rPr>
          <w:rFonts w:ascii="Times New Roman" w:hAnsi="Times New Roman"/>
        </w:rPr>
        <w:t xml:space="preserve">Odhadovaná celková suma nákladov z upgrade informačného systému v súvislosti s požiadavkami smernice (EÚ) 2020/2184 je </w:t>
      </w:r>
      <w:r w:rsidRPr="00D00F18">
        <w:rPr>
          <w:rFonts w:ascii="Times New Roman" w:hAnsi="Times New Roman"/>
          <w:b/>
          <w:bCs/>
        </w:rPr>
        <w:t>762 816 EUR</w:t>
      </w:r>
      <w:r w:rsidRPr="00D00F18">
        <w:rPr>
          <w:rFonts w:ascii="Times New Roman" w:hAnsi="Times New Roman"/>
        </w:rPr>
        <w:t>.</w:t>
      </w:r>
    </w:p>
    <w:p w:rsidR="00D00F18" w:rsidRPr="00FB241E" w:rsidP="00D00F18">
      <w:pPr>
        <w:spacing w:after="120"/>
        <w:ind w:firstLine="708"/>
        <w:jc w:val="both"/>
        <w:rPr>
          <w:rFonts w:ascii="Times New Roman" w:hAnsi="Times New Roman"/>
          <w:b/>
          <w:i/>
        </w:rPr>
      </w:pPr>
    </w:p>
    <w:p w:rsidR="00663FDB" w:rsidRPr="00453C46" w:rsidP="00663FDB">
      <w:pPr>
        <w:widowControl w:val="0"/>
        <w:autoSpaceDE w:val="0"/>
        <w:autoSpaceDN w:val="0"/>
        <w:adjustRightInd w:val="0"/>
        <w:spacing w:after="0" w:line="240" w:lineRule="auto"/>
        <w:jc w:val="center"/>
        <w:rPr>
          <w:rFonts w:ascii="Times New Roman" w:eastAsia="Times New Roman" w:hAnsi="Times New Roman"/>
          <w:b/>
          <w:caps/>
          <w:spacing w:val="30"/>
          <w:sz w:val="24"/>
          <w:szCs w:val="24"/>
          <w:lang w:eastAsia="sk-SK"/>
        </w:rPr>
      </w:pPr>
      <w:r>
        <w:rPr>
          <w:rFonts w:ascii="Times New Roman" w:hAnsi="Times New Roman"/>
          <w:b/>
          <w:iCs/>
        </w:rPr>
        <w:br w:type="page"/>
      </w:r>
      <w:r w:rsidRPr="00453C46">
        <w:rPr>
          <w:rFonts w:ascii="Times New Roman" w:eastAsia="Times New Roman" w:hAnsi="Times New Roman"/>
          <w:b/>
          <w:caps/>
          <w:spacing w:val="30"/>
          <w:sz w:val="24"/>
          <w:szCs w:val="24"/>
          <w:lang w:eastAsia="sk-SK"/>
        </w:rPr>
        <w:t>Doložka zlučiteľnosti</w:t>
      </w:r>
    </w:p>
    <w:p w:rsidR="00663FDB" w:rsidRPr="00453C46" w:rsidP="00663FDB">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p>
    <w:p w:rsidR="00663FDB" w:rsidRPr="00453C46" w:rsidP="00663FDB">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453C46">
        <w:rPr>
          <w:rFonts w:ascii="Times New Roman" w:eastAsia="Times New Roman" w:hAnsi="Times New Roman"/>
          <w:b/>
          <w:sz w:val="24"/>
          <w:szCs w:val="24"/>
          <w:lang w:eastAsia="sk-SK"/>
        </w:rPr>
        <w:t>návrhu zákona s právom Európskej únie</w:t>
      </w:r>
    </w:p>
    <w:p w:rsidR="00663FDB" w:rsidRPr="00453C46" w:rsidP="00663FDB">
      <w:pPr>
        <w:pStyle w:val="ListParagraph"/>
        <w:spacing w:after="160" w:line="259" w:lineRule="auto"/>
        <w:ind w:left="284"/>
        <w:contextualSpacing/>
        <w:jc w:val="both"/>
      </w:pPr>
    </w:p>
    <w:p w:rsidR="00663FDB" w:rsidRPr="00453C46" w:rsidP="00AC2F0E">
      <w:pPr>
        <w:pStyle w:val="ListParagraph"/>
        <w:numPr>
          <w:ilvl w:val="0"/>
          <w:numId w:val="39"/>
        </w:numPr>
        <w:spacing w:after="160" w:line="259" w:lineRule="auto"/>
        <w:ind w:left="284" w:hanging="284"/>
        <w:contextualSpacing/>
        <w:jc w:val="both"/>
      </w:pPr>
      <w:r w:rsidRPr="00453C46">
        <w:rPr>
          <w:b/>
        </w:rPr>
        <w:t>Navrhovateľ zákona:</w:t>
      </w:r>
      <w:r w:rsidRPr="00453C46">
        <w:t xml:space="preserve"> Ministerstvo zdravotníctva Slovenskej republiky.</w:t>
      </w:r>
    </w:p>
    <w:p w:rsidR="00663FDB" w:rsidRPr="00453C46" w:rsidP="00663FDB">
      <w:pPr>
        <w:spacing w:after="0" w:line="240" w:lineRule="auto"/>
        <w:ind w:left="284" w:hanging="284"/>
        <w:jc w:val="both"/>
        <w:rPr>
          <w:rFonts w:ascii="Times New Roman" w:hAnsi="Times New Roman"/>
          <w:sz w:val="24"/>
          <w:szCs w:val="24"/>
        </w:rPr>
      </w:pPr>
      <w:r w:rsidRPr="00453C46">
        <w:rPr>
          <w:rFonts w:ascii="Times New Roman" w:hAnsi="Times New Roman"/>
          <w:b/>
          <w:sz w:val="24"/>
          <w:szCs w:val="24"/>
        </w:rPr>
        <w:t>2.</w:t>
      </w:r>
      <w:r w:rsidRPr="00453C46">
        <w:rPr>
          <w:rFonts w:ascii="Times New Roman" w:hAnsi="Times New Roman"/>
          <w:sz w:val="24"/>
          <w:szCs w:val="24"/>
        </w:rPr>
        <w:t xml:space="preserve"> </w:t>
      </w:r>
      <w:r w:rsidRPr="00453C46">
        <w:rPr>
          <w:rFonts w:ascii="Times New Roman" w:hAnsi="Times New Roman"/>
          <w:b/>
          <w:sz w:val="24"/>
          <w:szCs w:val="24"/>
        </w:rPr>
        <w:t>Názov návrhu zákona:</w:t>
      </w:r>
      <w:r w:rsidRPr="00453C46">
        <w:rPr>
          <w:rFonts w:ascii="Times New Roman" w:hAnsi="Times New Roman"/>
          <w:sz w:val="24"/>
          <w:szCs w:val="24"/>
        </w:rPr>
        <w:t xml:space="preserve"> Návrh zákona č. .../2022, ktorým sa mení a dopĺňa zákon č. 355/2007 Z. z. o ochrane, podpore a rozvoji verejného zdravia a o zmene a doplnení niektorých zákonov v znení neskorších predpisov a ktorým sa menia a dopĺňajú niektoré zákony.</w:t>
      </w:r>
    </w:p>
    <w:p w:rsidR="00663FDB" w:rsidRPr="00453C46" w:rsidP="00663FDB">
      <w:pPr>
        <w:pStyle w:val="ListParagraph"/>
        <w:jc w:val="both"/>
      </w:pPr>
    </w:p>
    <w:p w:rsidR="00663FDB" w:rsidRPr="00453C46" w:rsidP="00663FDB">
      <w:pPr>
        <w:spacing w:after="0"/>
        <w:jc w:val="both"/>
        <w:rPr>
          <w:rFonts w:ascii="Times New Roman" w:hAnsi="Times New Roman"/>
          <w:sz w:val="24"/>
          <w:szCs w:val="24"/>
        </w:rPr>
      </w:pPr>
      <w:r w:rsidRPr="00453C46">
        <w:rPr>
          <w:rFonts w:ascii="Times New Roman" w:hAnsi="Times New Roman"/>
          <w:b/>
          <w:sz w:val="24"/>
          <w:szCs w:val="24"/>
        </w:rPr>
        <w:t>3.</w:t>
      </w:r>
      <w:r w:rsidRPr="00453C46">
        <w:rPr>
          <w:rFonts w:ascii="Times New Roman" w:hAnsi="Times New Roman"/>
          <w:sz w:val="24"/>
          <w:szCs w:val="24"/>
        </w:rPr>
        <w:t xml:space="preserve"> </w:t>
      </w:r>
      <w:r w:rsidRPr="00453C46">
        <w:rPr>
          <w:rFonts w:ascii="Times New Roman" w:hAnsi="Times New Roman"/>
          <w:b/>
          <w:sz w:val="24"/>
          <w:szCs w:val="24"/>
        </w:rPr>
        <w:t>Predmet návrhu zákona je upravený v práve Európskej únie:</w:t>
      </w:r>
    </w:p>
    <w:p w:rsidR="00663FDB" w:rsidRPr="00453C46" w:rsidP="00663FDB">
      <w:pPr>
        <w:ind w:right="353"/>
        <w:jc w:val="both"/>
        <w:rPr>
          <w:rFonts w:ascii="Times" w:eastAsia="Times New Roman" w:hAnsi="Times" w:cs="Times"/>
        </w:rPr>
      </w:pPr>
      <w:r w:rsidRPr="00453C46">
        <w:rPr>
          <w:rFonts w:ascii="Times" w:eastAsia="Times New Roman" w:hAnsi="Times" w:cs="Times"/>
        </w:rPr>
        <w:t>a)</w:t>
      </w:r>
      <w:r w:rsidRPr="00453C46">
        <w:rPr>
          <w:rFonts w:ascii="Times" w:eastAsia="Times New Roman" w:hAnsi="Times" w:cs="Times"/>
          <w:i/>
          <w:iCs/>
        </w:rPr>
        <w:t xml:space="preserve">  v primárnom práve</w:t>
      </w:r>
      <w:r w:rsidRPr="00453C46">
        <w:rPr>
          <w:rFonts w:ascii="Times" w:eastAsia="Times New Roman" w:hAnsi="Times" w:cs="Times"/>
        </w:rPr>
        <w:t xml:space="preserve">  v  Zmluve o fungovaní Európskej únie  - Hlava XIV – Verejné zdravie (čl. 168),</w:t>
      </w:r>
    </w:p>
    <w:p w:rsidR="00663FDB" w:rsidRPr="00453C46" w:rsidP="00663FDB">
      <w:pPr>
        <w:spacing w:after="60"/>
        <w:jc w:val="both"/>
        <w:rPr>
          <w:rFonts w:ascii="Times" w:eastAsia="Times New Roman" w:hAnsi="Times" w:cs="Times"/>
        </w:rPr>
      </w:pPr>
      <w:r w:rsidRPr="00453C46">
        <w:rPr>
          <w:rFonts w:ascii="Times" w:eastAsia="Times New Roman" w:hAnsi="Times" w:cs="Times"/>
        </w:rPr>
        <w:t>b)</w:t>
      </w:r>
      <w:r w:rsidRPr="00453C46">
        <w:rPr>
          <w:rFonts w:ascii="Times" w:eastAsia="Times New Roman" w:hAnsi="Times" w:cs="Times"/>
          <w:i/>
          <w:iCs/>
        </w:rPr>
        <w:t xml:space="preserve"> v sekundárnom práve </w:t>
      </w:r>
      <w:r w:rsidRPr="00453C46">
        <w:rPr>
          <w:rFonts w:ascii="Times" w:eastAsia="Times New Roman" w:hAnsi="Times" w:cs="Times"/>
        </w:rPr>
        <w:t xml:space="preserve">v </w:t>
      </w:r>
    </w:p>
    <w:p w:rsidR="00663FDB" w:rsidRPr="00453C46" w:rsidP="00AC2F0E">
      <w:pPr>
        <w:pStyle w:val="ListParagraph"/>
        <w:numPr>
          <w:ilvl w:val="0"/>
          <w:numId w:val="40"/>
        </w:numPr>
        <w:jc w:val="both"/>
        <w:rPr>
          <w:rFonts w:ascii="Times" w:hAnsi="Times" w:cs="Times"/>
          <w:sz w:val="22"/>
          <w:szCs w:val="22"/>
        </w:rPr>
      </w:pPr>
      <w:r w:rsidRPr="00453C46">
        <w:rPr>
          <w:rFonts w:ascii="Times" w:hAnsi="Times" w:cs="Times"/>
          <w:sz w:val="22"/>
          <w:szCs w:val="22"/>
        </w:rPr>
        <w:t xml:space="preserve">smernici Európskeho parlamentu a Rady (EÚ) 2020/2184 zo 16. decembra 2020 o kvalite vody určenej na ľudskú </w:t>
      </w:r>
      <w:r w:rsidRPr="00453C46">
        <w:rPr>
          <w:sz w:val="22"/>
          <w:szCs w:val="22"/>
        </w:rPr>
        <w:t>spotrebu</w:t>
      </w:r>
      <w:r w:rsidRPr="00453C46">
        <w:t xml:space="preserve"> </w:t>
      </w:r>
      <w:r w:rsidRPr="00453C46">
        <w:rPr>
          <w:bCs/>
          <w:sz w:val="22"/>
          <w:szCs w:val="22"/>
        </w:rPr>
        <w:t>(prepracované znenie)</w:t>
      </w:r>
      <w:r w:rsidRPr="00453C46">
        <w:t xml:space="preserve"> (Ú.</w:t>
      </w:r>
      <w:r w:rsidRPr="00453C46">
        <w:rPr>
          <w:rFonts w:ascii="Times" w:hAnsi="Times" w:cs="Times"/>
          <w:sz w:val="22"/>
          <w:szCs w:val="22"/>
        </w:rPr>
        <w:t xml:space="preserve"> v. EÚ L 435, 23.12.2020), gestor: Ministerstvo zdravotníctva Slovenskej republiky;</w:t>
      </w:r>
    </w:p>
    <w:p w:rsidR="00663FDB" w:rsidRPr="00453C46" w:rsidP="00AC2F0E">
      <w:pPr>
        <w:pStyle w:val="ListParagraph"/>
        <w:numPr>
          <w:ilvl w:val="0"/>
          <w:numId w:val="40"/>
        </w:numPr>
        <w:jc w:val="both"/>
        <w:rPr>
          <w:rFonts w:ascii="Times" w:hAnsi="Times" w:cs="Times"/>
          <w:sz w:val="22"/>
          <w:szCs w:val="22"/>
        </w:rPr>
      </w:pPr>
      <w:r w:rsidRPr="00453C46">
        <w:rPr>
          <w:rFonts w:ascii="Times" w:hAnsi="Times" w:cs="Times"/>
          <w:sz w:val="22"/>
          <w:szCs w:val="22"/>
        </w:rPr>
        <w:t>smernici Európskeho parlamentu a Rady 2000/60/ES z 23. októbra 2000, ktorou sa stanovuje rámec pôsobnosti pre opatrenia spoločenstva v oblasti vodného hospodárstva (Ú. v. ES L 327, 22.12.2000; Mimoriadne vydanie Ú. v EÚ, kap. 15/zv. 5) v platnom znení; gestor: Ministerstvo životného prostredia Slovenskej republiky;</w:t>
      </w:r>
    </w:p>
    <w:p w:rsidR="00663FDB" w:rsidRPr="00453C46" w:rsidP="00AC2F0E">
      <w:pPr>
        <w:pStyle w:val="ListParagraph"/>
        <w:numPr>
          <w:ilvl w:val="0"/>
          <w:numId w:val="40"/>
        </w:numPr>
        <w:jc w:val="both"/>
        <w:rPr>
          <w:rFonts w:ascii="Times" w:hAnsi="Times" w:cs="Times"/>
          <w:sz w:val="22"/>
          <w:szCs w:val="22"/>
        </w:rPr>
      </w:pPr>
      <w:r w:rsidRPr="00453C46">
        <w:rPr>
          <w:sz w:val="22"/>
          <w:szCs w:val="22"/>
        </w:rPr>
        <w:t xml:space="preserve">smernici Európskeho parlamentu a Rady 2006/7/ES z 15. februára 2006 o riadení kvality vody určenej na kúpanie, ktorou sa zrušuje smernica 76/160/EHS (Ú. v. EÚ L 64, 4.3.2006) v platnom znení, </w:t>
      </w:r>
      <w:r w:rsidRPr="00453C46">
        <w:rPr>
          <w:rFonts w:ascii="Times" w:hAnsi="Times" w:cs="Times"/>
          <w:sz w:val="22"/>
          <w:szCs w:val="22"/>
        </w:rPr>
        <w:t>gestor: Ministerstvo zdravotníctva Slovenskej republiky;</w:t>
      </w:r>
    </w:p>
    <w:p w:rsidR="00663FDB" w:rsidRPr="00453C46" w:rsidP="00AC2F0E">
      <w:pPr>
        <w:pStyle w:val="ListParagraph"/>
        <w:numPr>
          <w:ilvl w:val="0"/>
          <w:numId w:val="40"/>
        </w:numPr>
        <w:jc w:val="both"/>
        <w:rPr>
          <w:rFonts w:ascii="Times" w:hAnsi="Times" w:cs="Times"/>
          <w:sz w:val="22"/>
          <w:szCs w:val="22"/>
        </w:rPr>
      </w:pPr>
      <w:r w:rsidRPr="00453C46">
        <w:rPr>
          <w:sz w:val="22"/>
          <w:szCs w:val="22"/>
        </w:rPr>
        <w:t xml:space="preserve">smernici Rady 2013/51/Euratom z 22. októbra 2013, ktorou sa stanovujú požiadavky na ochranu zdravia obyvateľstva vzhľadom na rádioaktívne látky obsiahnuté vo vode určenej na ľudskú spotrebu (Ú. v. EÚ L 296, 7.11.2013), </w:t>
      </w:r>
      <w:r w:rsidRPr="00453C46">
        <w:rPr>
          <w:rFonts w:ascii="Times" w:hAnsi="Times" w:cs="Times"/>
          <w:sz w:val="22"/>
          <w:szCs w:val="22"/>
        </w:rPr>
        <w:t>gestor: Ministerstvo zdravotníctva Slovenskej republiky.</w:t>
      </w:r>
    </w:p>
    <w:p w:rsidR="00663FDB" w:rsidRPr="00453C46" w:rsidP="00AC2F0E">
      <w:pPr>
        <w:pStyle w:val="ListParagraph"/>
        <w:numPr>
          <w:ilvl w:val="0"/>
          <w:numId w:val="40"/>
        </w:numPr>
        <w:jc w:val="both"/>
        <w:rPr>
          <w:sz w:val="22"/>
          <w:szCs w:val="22"/>
        </w:rPr>
      </w:pPr>
      <w:r w:rsidRPr="00453C46">
        <w:rPr>
          <w:bCs/>
          <w:sz w:val="22"/>
          <w:szCs w:val="22"/>
        </w:rPr>
        <w:t xml:space="preserve">smernici Rady 98/24/ES zo 7. apríla 1998 o ochrane zdravia a bezpečnosti pracovníkov pred rizikami súvisiacimi s chemickými faktormi pri práci (štrnásta samostatná smernica v zmysle článku 16 ods. 1 smernice 89/391/EHS) (Ú. v. ES L 131, 5. 5. 1998; Mimoriadne vydanie Ú. v. EÚ, kap. 5/zv. 3), </w:t>
      </w:r>
      <w:r w:rsidRPr="00453C46">
        <w:rPr>
          <w:rFonts w:ascii="Times" w:hAnsi="Times" w:cs="Times"/>
          <w:sz w:val="22"/>
          <w:szCs w:val="22"/>
        </w:rPr>
        <w:t xml:space="preserve">gestor: </w:t>
      </w:r>
      <w:r w:rsidRPr="00453C46">
        <w:rPr>
          <w:sz w:val="22"/>
          <w:szCs w:val="22"/>
          <w:lang w:eastAsia="sk-SK"/>
        </w:rPr>
        <w:t>Ministerstvo zdravotníctva Slovenskej republiky, spolugestor: Ministerstvo práce, sociálnych vecí a rodiny Slovenskej republiky</w:t>
      </w:r>
      <w:r w:rsidRPr="00453C46">
        <w:rPr>
          <w:bCs/>
          <w:sz w:val="22"/>
          <w:szCs w:val="22"/>
        </w:rPr>
        <w:t>,</w:t>
      </w:r>
    </w:p>
    <w:p w:rsidR="00663FDB" w:rsidRPr="00453C46" w:rsidP="00AC2F0E">
      <w:pPr>
        <w:pStyle w:val="ListParagraph"/>
        <w:numPr>
          <w:ilvl w:val="0"/>
          <w:numId w:val="40"/>
        </w:numPr>
        <w:jc w:val="both"/>
        <w:rPr>
          <w:sz w:val="22"/>
          <w:szCs w:val="22"/>
        </w:rPr>
      </w:pPr>
      <w:r w:rsidRPr="00453C46">
        <w:rPr>
          <w:bCs/>
          <w:sz w:val="22"/>
          <w:szCs w:val="22"/>
        </w:rPr>
        <w:t>nariadení (ES) č. 178/2002 Európskeho parlamentu a Rady  z 28. januára 2002, ktorým sa ustanovujú všeobecné zásady a požiadavky potravinového práva, zriaďuje Európsky úrad pre bezpečnosť potravín a stanovujú postupy v záležitostiach bezpečnosti potravín (</w:t>
      </w:r>
      <w:r w:rsidRPr="00453C46">
        <w:rPr>
          <w:iCs/>
          <w:sz w:val="22"/>
          <w:szCs w:val="22"/>
          <w:shd w:val="clear" w:color="auto" w:fill="FFFFFF"/>
        </w:rPr>
        <w:t>Ú. v. ES L 31, 1.2.2002; Mimoriadne vydanie Ú. v. EÚ, kap. 15/zv. 6) v platnom znení,</w:t>
      </w:r>
      <w:r w:rsidRPr="00453C46">
        <w:rPr>
          <w:rFonts w:ascii="Times" w:hAnsi="Times" w:cs="Times"/>
          <w:sz w:val="22"/>
          <w:szCs w:val="22"/>
        </w:rPr>
        <w:t xml:space="preserve"> gestor: Ministerstvo pôdohospodárstva a rozvoja vidieka SR   </w:t>
      </w:r>
      <w:r w:rsidRPr="00453C46">
        <w:rPr>
          <w:iCs/>
          <w:sz w:val="22"/>
          <w:szCs w:val="22"/>
          <w:shd w:val="clear" w:color="auto" w:fill="FFFFFF"/>
        </w:rPr>
        <w:t xml:space="preserve">   </w:t>
      </w:r>
    </w:p>
    <w:p w:rsidR="00663FDB" w:rsidRPr="00453C46" w:rsidP="00AC2F0E">
      <w:pPr>
        <w:pStyle w:val="ListParagraph"/>
        <w:numPr>
          <w:ilvl w:val="0"/>
          <w:numId w:val="40"/>
        </w:numPr>
        <w:jc w:val="both"/>
        <w:rPr>
          <w:sz w:val="22"/>
          <w:szCs w:val="22"/>
        </w:rPr>
      </w:pPr>
      <w:r w:rsidRPr="00453C46">
        <w:rPr>
          <w:bCs/>
          <w:sz w:val="22"/>
          <w:szCs w:val="22"/>
        </w:rPr>
        <w:t>nariadení Európskeho parlamentu a Rady (ES) č. 852/2004 z 29. apríla 2004 o hygiene potravín (Ú. v. ES L 139 30.4.2004</w:t>
      </w:r>
      <w:r w:rsidRPr="00453C46">
        <w:rPr>
          <w:iCs/>
          <w:sz w:val="22"/>
          <w:szCs w:val="22"/>
          <w:shd w:val="clear" w:color="auto" w:fill="FFFFFF"/>
        </w:rPr>
        <w:t xml:space="preserve">; Mimoriadne vydanie Ú. v. EÚ, kap. 13/zv. 34) v platnom znení, </w:t>
      </w:r>
      <w:r w:rsidRPr="00453C46">
        <w:rPr>
          <w:rFonts w:ascii="Times" w:hAnsi="Times" w:cs="Times"/>
          <w:sz w:val="22"/>
          <w:szCs w:val="22"/>
        </w:rPr>
        <w:t xml:space="preserve">gestor:  Ministerstvo pôdohospodárstva a rozvoja vidieka SR  </w:t>
      </w:r>
    </w:p>
    <w:p w:rsidR="00663FDB" w:rsidRPr="00453C46" w:rsidP="00AC2F0E">
      <w:pPr>
        <w:pStyle w:val="ListParagraph"/>
        <w:numPr>
          <w:ilvl w:val="0"/>
          <w:numId w:val="40"/>
        </w:numPr>
        <w:jc w:val="both"/>
        <w:rPr>
          <w:sz w:val="22"/>
          <w:szCs w:val="22"/>
        </w:rPr>
      </w:pPr>
      <w:r w:rsidRPr="00453C46">
        <w:rPr>
          <w:bCs/>
          <w:sz w:val="22"/>
          <w:szCs w:val="22"/>
        </w:rPr>
        <w:t xml:space="preserve">smernici Európskeho parlamentu a Rady 2006/25/ES z 5. apríla 2006 o minimálnych zdravotných a bezpečnostných požiadavkách týkajúcich sa vystavenia pracovníkov rizikám vyplývajúcim z fyzikálnych faktorov (umelé optické žiarenie) (19. samostatná smernica v zmysle článku 16 ods. 1 smernice 89/391/EHS) (Ú. v. EÚ L 114, 27. 4. 2006), </w:t>
      </w:r>
      <w:r w:rsidRPr="00453C46">
        <w:rPr>
          <w:rFonts w:ascii="Times" w:hAnsi="Times" w:cs="Times"/>
          <w:sz w:val="22"/>
          <w:szCs w:val="22"/>
        </w:rPr>
        <w:t xml:space="preserve">gestor: </w:t>
      </w:r>
      <w:r w:rsidRPr="00453C46">
        <w:rPr>
          <w:sz w:val="22"/>
          <w:szCs w:val="22"/>
          <w:lang w:eastAsia="sk-SK"/>
        </w:rPr>
        <w:t>Ministerstvo zdravotníctva Slovenskej republiky, spolugestor: Ministerstvo práce, sociálnych vecí a rodiny Slovenskej republiky</w:t>
      </w:r>
      <w:r w:rsidRPr="00453C46">
        <w:rPr>
          <w:rFonts w:ascii="Times" w:hAnsi="Times" w:cs="Times"/>
          <w:sz w:val="22"/>
          <w:szCs w:val="22"/>
        </w:rPr>
        <w:t xml:space="preserve">,  </w:t>
      </w:r>
    </w:p>
    <w:p w:rsidR="00663FDB" w:rsidRPr="00453C46" w:rsidP="00AC2F0E">
      <w:pPr>
        <w:pStyle w:val="ListParagraph"/>
        <w:numPr>
          <w:ilvl w:val="0"/>
          <w:numId w:val="40"/>
        </w:numPr>
        <w:jc w:val="both"/>
        <w:rPr>
          <w:rStyle w:val="Emphasis"/>
          <w:i w:val="0"/>
          <w:iCs w:val="0"/>
          <w:sz w:val="22"/>
          <w:szCs w:val="22"/>
        </w:rPr>
      </w:pPr>
      <w:r w:rsidRPr="00453C46">
        <w:rPr>
          <w:bCs/>
          <w:sz w:val="22"/>
          <w:szCs w:val="22"/>
        </w:rPr>
        <w:t>nariadení  Európskeho parlamentu a Rady (ES) č. 1272/2008 z 16. decembra 2008 o klasifikácii, označovaní a balení látok a zmesí, o zmene, doplnení a zrušení smerníc 67/548/EHS a 1999/45/ES a o zmene a doplnení nariadenia (ES) č. 1907/2006 (</w:t>
      </w:r>
      <w:r w:rsidRPr="00453C46">
        <w:rPr>
          <w:rStyle w:val="Emphasis"/>
          <w:sz w:val="22"/>
          <w:szCs w:val="22"/>
          <w:shd w:val="clear" w:color="auto" w:fill="FFFFFF"/>
        </w:rPr>
        <w:t xml:space="preserve">Ú. v. EÚ L 353, 31.12.2008) v platnom znení, </w:t>
      </w:r>
      <w:r w:rsidRPr="00453C46">
        <w:rPr>
          <w:rFonts w:ascii="Times" w:hAnsi="Times" w:cs="Times"/>
          <w:sz w:val="22"/>
          <w:szCs w:val="22"/>
        </w:rPr>
        <w:t xml:space="preserve">gestor: </w:t>
      </w:r>
      <w:r w:rsidRPr="00453C46">
        <w:rPr>
          <w:sz w:val="22"/>
          <w:szCs w:val="22"/>
          <w:lang w:eastAsia="sk-SK"/>
        </w:rPr>
        <w:t>Ministerstvo hospodárstva Slovenskej republiky</w:t>
      </w:r>
      <w:r w:rsidRPr="00453C46">
        <w:rPr>
          <w:rStyle w:val="Emphasis"/>
          <w:sz w:val="22"/>
          <w:szCs w:val="22"/>
          <w:shd w:val="clear" w:color="auto" w:fill="FFFFFF"/>
        </w:rPr>
        <w:t>,</w:t>
      </w:r>
    </w:p>
    <w:p w:rsidR="00663FDB" w:rsidRPr="00453C46" w:rsidP="00AC2F0E">
      <w:pPr>
        <w:pStyle w:val="ListParagraph"/>
        <w:numPr>
          <w:ilvl w:val="0"/>
          <w:numId w:val="40"/>
        </w:numPr>
        <w:jc w:val="both"/>
        <w:rPr>
          <w:sz w:val="22"/>
          <w:szCs w:val="22"/>
        </w:rPr>
      </w:pPr>
      <w:r w:rsidRPr="00453C46">
        <w:rPr>
          <w:bCs/>
          <w:sz w:val="22"/>
          <w:szCs w:val="22"/>
        </w:rPr>
        <w:t xml:space="preserve">nariadení Európskeho parlamentu a Rady (EÚ) č. 528/2012 z 22. mája 2012 o sprístupňovaní biocídnych výrobkov na trh a ich používaní (Ú. v. EÚ L 167, 27.6.2012) v platnom znení, </w:t>
      </w:r>
      <w:r w:rsidRPr="00453C46">
        <w:rPr>
          <w:rFonts w:ascii="Times" w:hAnsi="Times" w:cs="Times"/>
          <w:sz w:val="22"/>
          <w:szCs w:val="22"/>
        </w:rPr>
        <w:t xml:space="preserve">gestor: </w:t>
      </w:r>
      <w:r w:rsidRPr="00453C46">
        <w:rPr>
          <w:sz w:val="22"/>
          <w:szCs w:val="22"/>
          <w:lang w:eastAsia="sk-SK"/>
        </w:rPr>
        <w:t>Ministerstvo hospodárstva Slovenskej republiky</w:t>
      </w:r>
      <w:r w:rsidRPr="00453C46">
        <w:rPr>
          <w:bCs/>
          <w:sz w:val="22"/>
          <w:szCs w:val="22"/>
        </w:rPr>
        <w:t>,</w:t>
      </w:r>
    </w:p>
    <w:p w:rsidR="00663FDB" w:rsidRPr="00453C46" w:rsidP="00AC2F0E">
      <w:pPr>
        <w:pStyle w:val="ListParagraph"/>
        <w:numPr>
          <w:ilvl w:val="0"/>
          <w:numId w:val="40"/>
        </w:numPr>
        <w:jc w:val="both"/>
        <w:rPr>
          <w:sz w:val="22"/>
          <w:szCs w:val="22"/>
        </w:rPr>
      </w:pPr>
      <w:r w:rsidRPr="00453C46">
        <w:rPr>
          <w:bCs/>
        </w:rPr>
        <w:t>nariadení Komisie (EÚ) 2020/1149 z 3. augusta 2020, ktorým sa mení príloha XVII k nariadeniu Európskeho parlamentu a Rady (ES) č. 1907/2006 o registrácii, hodnotení,</w:t>
      </w:r>
      <w:r w:rsidRPr="00663FDB">
        <w:rPr>
          <w:rFonts w:ascii="Calibri" w:hAnsi="Calibri" w:cs="Calibri"/>
          <w:bCs/>
        </w:rPr>
        <w:t xml:space="preserve"> </w:t>
      </w:r>
      <w:r w:rsidRPr="00453C46">
        <w:rPr>
          <w:bCs/>
        </w:rPr>
        <w:t>autorizácii a obmedzovaní chemikálií (REACH), pokiaľ ide o diizokyanáty (</w:t>
      </w:r>
      <w:r w:rsidRPr="00453C46">
        <w:rPr>
          <w:bCs/>
          <w:iCs/>
        </w:rPr>
        <w:t xml:space="preserve">Ú. v. EÚ L 252, 4.8.2020), </w:t>
      </w:r>
      <w:r w:rsidRPr="00453C46">
        <w:rPr>
          <w:rFonts w:ascii="Times" w:hAnsi="Times" w:cs="Times"/>
          <w:sz w:val="22"/>
          <w:szCs w:val="22"/>
        </w:rPr>
        <w:t xml:space="preserve">gestor: </w:t>
      </w:r>
      <w:r w:rsidRPr="00453C46">
        <w:rPr>
          <w:sz w:val="22"/>
          <w:szCs w:val="22"/>
          <w:lang w:eastAsia="sk-SK"/>
        </w:rPr>
        <w:t>Ministerstvo hospodárstva Slovenskej republiky</w:t>
      </w:r>
      <w:r w:rsidRPr="00453C46">
        <w:rPr>
          <w:bCs/>
          <w:iCs/>
        </w:rPr>
        <w:t>.</w:t>
      </w:r>
    </w:p>
    <w:p w:rsidR="00663FDB" w:rsidRPr="00453C46" w:rsidP="00663FDB">
      <w:pPr>
        <w:pStyle w:val="ListParagraph"/>
        <w:ind w:left="720"/>
        <w:jc w:val="both"/>
        <w:rPr>
          <w:rFonts w:ascii="Times" w:hAnsi="Times" w:cs="Times"/>
        </w:rPr>
      </w:pPr>
    </w:p>
    <w:p w:rsidR="00663FDB" w:rsidRPr="00453C46" w:rsidP="00663FDB">
      <w:pPr>
        <w:jc w:val="both"/>
      </w:pPr>
      <w:r w:rsidRPr="00453C46">
        <w:rPr>
          <w:rFonts w:ascii="Times" w:hAnsi="Times" w:cs="Times"/>
        </w:rPr>
        <w:t>c)</w:t>
      </w:r>
      <w:r w:rsidRPr="00453C46">
        <w:rPr>
          <w:rFonts w:ascii="Times" w:hAnsi="Times" w:cs="Times"/>
          <w:i/>
          <w:iCs/>
        </w:rPr>
        <w:t xml:space="preserve"> nie je obsiahnutá  v judikatúre Súdneho dvora Európskej únie.</w:t>
      </w:r>
    </w:p>
    <w:p w:rsidR="00663FDB" w:rsidRPr="00453C46" w:rsidP="00663FDB">
      <w:pPr>
        <w:jc w:val="both"/>
        <w:rPr>
          <w:rFonts w:ascii="Times New Roman" w:hAnsi="Times New Roman"/>
          <w:b/>
          <w:sz w:val="24"/>
          <w:szCs w:val="24"/>
        </w:rPr>
      </w:pPr>
    </w:p>
    <w:p w:rsidR="00663FDB" w:rsidRPr="00453C46" w:rsidP="00663FDB">
      <w:pPr>
        <w:jc w:val="both"/>
        <w:rPr>
          <w:rFonts w:ascii="Times New Roman" w:hAnsi="Times New Roman"/>
          <w:b/>
          <w:sz w:val="24"/>
          <w:szCs w:val="24"/>
        </w:rPr>
      </w:pPr>
      <w:r w:rsidRPr="00453C46">
        <w:rPr>
          <w:rFonts w:ascii="Times New Roman" w:hAnsi="Times New Roman"/>
          <w:b/>
          <w:sz w:val="24"/>
          <w:szCs w:val="24"/>
        </w:rPr>
        <w:t>4.</w:t>
      </w:r>
      <w:r w:rsidRPr="00453C46">
        <w:rPr>
          <w:rFonts w:ascii="Times New Roman" w:hAnsi="Times New Roman"/>
          <w:sz w:val="24"/>
          <w:szCs w:val="24"/>
        </w:rPr>
        <w:t xml:space="preserve"> </w:t>
      </w:r>
      <w:r w:rsidRPr="00453C46">
        <w:rPr>
          <w:rFonts w:ascii="Times New Roman" w:hAnsi="Times New Roman"/>
          <w:b/>
          <w:sz w:val="24"/>
          <w:szCs w:val="24"/>
        </w:rPr>
        <w:t>Záväzky Slovenskej republiky vo vzťahu k Európskej únii:</w:t>
      </w:r>
    </w:p>
    <w:tbl>
      <w:tblPr>
        <w:tblStyle w:val="TableNormal"/>
        <w:tblW w:w="10031" w:type="dxa"/>
        <w:jc w:val="center"/>
        <w:tblCellMar>
          <w:left w:w="0" w:type="dxa"/>
          <w:right w:w="0" w:type="dxa"/>
        </w:tblCellMar>
        <w:tblLook w:val="0000"/>
      </w:tblPr>
      <w:tblGrid>
        <w:gridCol w:w="501"/>
        <w:gridCol w:w="301"/>
        <w:gridCol w:w="9229"/>
      </w:tblGrid>
      <w:tr w:rsidTr="00AC2F0E">
        <w:tblPrEx>
          <w:tblW w:w="10031" w:type="dxa"/>
          <w:jc w:val="center"/>
          <w:tblCellMar>
            <w:left w:w="0" w:type="dxa"/>
            <w:right w:w="0" w:type="dxa"/>
          </w:tblCellMar>
          <w:tblLook w:val="0000"/>
        </w:tblPrEx>
        <w:trPr>
          <w:jc w:val="center"/>
        </w:trPr>
        <w:tc>
          <w:tcPr>
            <w:tcW w:w="470" w:type="dxa"/>
            <w:tcBorders>
              <w:top w:val="nil"/>
              <w:left w:val="nil"/>
              <w:bottom w:val="nil"/>
              <w:right w:val="nil"/>
            </w:tcBorders>
          </w:tcPr>
          <w:p w:rsidR="00663FDB" w:rsidRPr="00453C46" w:rsidP="00AC2F0E">
            <w:pPr>
              <w:spacing w:after="250"/>
              <w:rPr>
                <w:rFonts w:ascii="Times" w:eastAsia="Times New Roman" w:hAnsi="Times" w:cs="Times"/>
                <w:b/>
                <w:bCs/>
              </w:rPr>
            </w:pPr>
          </w:p>
        </w:tc>
        <w:tc>
          <w:tcPr>
            <w:tcW w:w="282" w:type="dxa"/>
            <w:tcBorders>
              <w:top w:val="nil"/>
              <w:left w:val="nil"/>
              <w:bottom w:val="nil"/>
              <w:right w:val="nil"/>
            </w:tcBorders>
          </w:tcPr>
          <w:p w:rsidR="00663FDB" w:rsidRPr="00453C46" w:rsidP="00AC2F0E">
            <w:pPr>
              <w:rPr>
                <w:rFonts w:ascii="Times" w:eastAsia="Times New Roman" w:hAnsi="Times" w:cs="Times"/>
              </w:rPr>
            </w:pPr>
            <w:r w:rsidRPr="00453C46">
              <w:rPr>
                <w:rFonts w:ascii="Times" w:eastAsia="Times New Roman" w:hAnsi="Times" w:cs="Times"/>
              </w:rPr>
              <w:t>a)</w:t>
            </w:r>
          </w:p>
        </w:tc>
        <w:tc>
          <w:tcPr>
            <w:tcW w:w="8654" w:type="dxa"/>
            <w:tcBorders>
              <w:top w:val="nil"/>
              <w:left w:val="nil"/>
              <w:bottom w:val="nil"/>
              <w:right w:val="nil"/>
            </w:tcBorders>
            <w:vAlign w:val="center"/>
          </w:tcPr>
          <w:p w:rsidR="00663FDB" w:rsidRPr="00453C46" w:rsidP="00AC2F0E">
            <w:pPr>
              <w:spacing w:after="0"/>
              <w:ind w:right="476"/>
              <w:rPr>
                <w:rFonts w:ascii="Times" w:eastAsia="Times New Roman" w:hAnsi="Times" w:cs="Times"/>
              </w:rPr>
            </w:pPr>
            <w:r w:rsidRPr="00453C46">
              <w:rPr>
                <w:rFonts w:ascii="Times" w:eastAsia="Times New Roman" w:hAnsi="Times" w:cs="Times"/>
              </w:rPr>
              <w:t xml:space="preserve">lehota na prebratie smernice (EÚ) 2020/2184 alebo lehota na implementáciu nariadenia alebo rozhodnutia </w:t>
            </w:r>
          </w:p>
        </w:tc>
      </w:tr>
      <w:tr w:rsidTr="00AC2F0E">
        <w:tblPrEx>
          <w:tblW w:w="10031" w:type="dxa"/>
          <w:jc w:val="center"/>
          <w:tblCellMar>
            <w:left w:w="0" w:type="dxa"/>
            <w:right w:w="0" w:type="dxa"/>
          </w:tblCellMar>
          <w:tblLook w:val="0000"/>
        </w:tblPrEx>
        <w:trPr>
          <w:jc w:val="center"/>
        </w:trPr>
        <w:tc>
          <w:tcPr>
            <w:tcW w:w="470" w:type="dxa"/>
            <w:tcBorders>
              <w:top w:val="nil"/>
              <w:left w:val="nil"/>
              <w:bottom w:val="nil"/>
              <w:right w:val="nil"/>
            </w:tcBorders>
          </w:tcPr>
          <w:p w:rsidR="00663FDB" w:rsidRPr="00453C46" w:rsidP="00AC2F0E">
            <w:pPr>
              <w:spacing w:after="250"/>
              <w:rPr>
                <w:rFonts w:ascii="Times" w:eastAsia="Times New Roman" w:hAnsi="Times" w:cs="Times"/>
              </w:rPr>
            </w:pPr>
          </w:p>
        </w:tc>
        <w:tc>
          <w:tcPr>
            <w:tcW w:w="282" w:type="dxa"/>
            <w:tcBorders>
              <w:top w:val="nil"/>
              <w:left w:val="nil"/>
              <w:bottom w:val="nil"/>
              <w:right w:val="nil"/>
            </w:tcBorders>
          </w:tcPr>
          <w:p w:rsidR="00663FDB" w:rsidRPr="00453C46" w:rsidP="00AC2F0E">
            <w:pPr>
              <w:rPr>
                <w:rFonts w:eastAsia="Times New Roman"/>
              </w:rPr>
            </w:pPr>
          </w:p>
        </w:tc>
        <w:tc>
          <w:tcPr>
            <w:tcW w:w="8654" w:type="dxa"/>
            <w:tcBorders>
              <w:top w:val="nil"/>
              <w:left w:val="nil"/>
              <w:bottom w:val="nil"/>
              <w:right w:val="nil"/>
            </w:tcBorders>
            <w:vAlign w:val="center"/>
          </w:tcPr>
          <w:p w:rsidR="00663FDB" w:rsidRPr="00453C46" w:rsidP="00AC2F0E">
            <w:pPr>
              <w:spacing w:after="0"/>
              <w:ind w:right="476"/>
              <w:jc w:val="both"/>
              <w:rPr>
                <w:rFonts w:ascii="Times New Roman" w:hAnsi="Times New Roman"/>
                <w:iCs/>
              </w:rPr>
            </w:pPr>
            <w:r w:rsidRPr="00453C46">
              <w:rPr>
                <w:rFonts w:ascii="Times New Roman" w:eastAsia="Times New Roman" w:hAnsi="Times New Roman"/>
              </w:rPr>
              <w:t xml:space="preserve">- </w:t>
            </w:r>
            <w:r w:rsidRPr="00453C46">
              <w:rPr>
                <w:rFonts w:ascii="Times New Roman" w:hAnsi="Times New Roman"/>
                <w:iCs/>
              </w:rPr>
              <w:t xml:space="preserve">termín transpozície </w:t>
            </w:r>
            <w:r w:rsidRPr="00453C46">
              <w:rPr>
                <w:rFonts w:ascii="Times" w:eastAsia="Times New Roman" w:hAnsi="Times" w:cs="Times"/>
              </w:rPr>
              <w:t xml:space="preserve">smernice (EÚ) 2020/2184 </w:t>
            </w:r>
            <w:r w:rsidRPr="00453C46">
              <w:rPr>
                <w:rFonts w:ascii="Times New Roman" w:hAnsi="Times New Roman"/>
                <w:iCs/>
              </w:rPr>
              <w:t>je 12. január 2023</w:t>
            </w:r>
            <w:r w:rsidRPr="00453C46">
              <w:rPr>
                <w:rFonts w:ascii="Times" w:hAnsi="Times" w:cs="Times"/>
              </w:rPr>
              <w:t>;</w:t>
            </w:r>
          </w:p>
          <w:p w:rsidR="00663FDB" w:rsidRPr="00453C46" w:rsidP="00AC2F0E">
            <w:pPr>
              <w:spacing w:after="0"/>
              <w:ind w:right="476"/>
              <w:jc w:val="both"/>
              <w:rPr>
                <w:rFonts w:ascii="Times New Roman" w:hAnsi="Times New Roman"/>
                <w:iCs/>
              </w:rPr>
            </w:pPr>
            <w:r w:rsidRPr="00453C46">
              <w:rPr>
                <w:rFonts w:ascii="Times New Roman" w:hAnsi="Times New Roman"/>
                <w:iCs/>
              </w:rPr>
              <w:t>- termín na zabezpečenie opatrení, aby pitná voda spĺňala limitné hodnoty ukazovateľov kvality pre bisfenol A, chlorečnany, chloritany, halooctové kyseliny, mikrocystín-LR, PFAS spolu a súčet PFAS a urán je 12. január 2026</w:t>
            </w:r>
            <w:r w:rsidRPr="00453C46">
              <w:rPr>
                <w:rFonts w:ascii="Times" w:hAnsi="Times" w:cs="Times"/>
              </w:rPr>
              <w:t>;</w:t>
            </w:r>
          </w:p>
          <w:p w:rsidR="00663FDB" w:rsidRPr="00453C46" w:rsidP="00AC2F0E">
            <w:pPr>
              <w:spacing w:after="0"/>
              <w:ind w:right="476"/>
              <w:jc w:val="both"/>
              <w:rPr>
                <w:rFonts w:ascii="Times New Roman" w:hAnsi="Times New Roman"/>
                <w:iCs/>
              </w:rPr>
            </w:pPr>
            <w:r w:rsidRPr="00453C46">
              <w:rPr>
                <w:rFonts w:ascii="Times New Roman" w:hAnsi="Times New Roman"/>
                <w:iCs/>
              </w:rPr>
              <w:t>- do 12. januára 2026 nie sú dodávatelia pitnej vody povinní monitorovať ukazovatele podľa predchádzajúcej odrážky.</w:t>
            </w:r>
          </w:p>
          <w:p w:rsidR="00663FDB" w:rsidRPr="00453C46" w:rsidP="00AC2F0E">
            <w:pPr>
              <w:pStyle w:val="NormalWeb"/>
              <w:spacing w:before="0" w:beforeAutospacing="0" w:after="0" w:afterAutospacing="0" w:line="276" w:lineRule="auto"/>
              <w:jc w:val="both"/>
              <w:rPr>
                <w:bCs/>
                <w:iCs/>
                <w:sz w:val="22"/>
                <w:szCs w:val="22"/>
              </w:rPr>
            </w:pPr>
          </w:p>
          <w:p w:rsidR="00663FDB" w:rsidRPr="00453C46" w:rsidP="00AC2F0E">
            <w:pPr>
              <w:pStyle w:val="NormalWeb"/>
              <w:spacing w:before="0" w:beforeAutospacing="0" w:after="0" w:afterAutospacing="0" w:line="276" w:lineRule="auto"/>
              <w:jc w:val="both"/>
              <w:rPr>
                <w:b/>
                <w:bCs/>
                <w:sz w:val="22"/>
                <w:szCs w:val="22"/>
              </w:rPr>
            </w:pPr>
            <w:r w:rsidRPr="00453C46">
              <w:rPr>
                <w:bCs/>
                <w:iCs/>
                <w:sz w:val="22"/>
                <w:szCs w:val="22"/>
              </w:rPr>
              <w:t>Lehota na prebratie smernice 98/24/ES v platnom znení bola do 01.05.2004.</w:t>
            </w:r>
          </w:p>
          <w:p w:rsidR="00663FDB" w:rsidRPr="00453C46" w:rsidP="00AC2F0E">
            <w:pPr>
              <w:pStyle w:val="NormalWeb"/>
              <w:spacing w:before="0" w:beforeAutospacing="0" w:after="0" w:afterAutospacing="0" w:line="276" w:lineRule="auto"/>
              <w:jc w:val="both"/>
              <w:rPr>
                <w:bCs/>
                <w:iCs/>
                <w:sz w:val="22"/>
                <w:szCs w:val="22"/>
              </w:rPr>
            </w:pPr>
            <w:r w:rsidRPr="00453C46">
              <w:rPr>
                <w:bCs/>
                <w:iCs/>
                <w:sz w:val="22"/>
                <w:szCs w:val="22"/>
              </w:rPr>
              <w:t>Lehota na prebratie smernice 2000/60/ES v platnom znení bola do 01.05.2004.</w:t>
            </w:r>
          </w:p>
          <w:p w:rsidR="00663FDB" w:rsidRPr="00453C46" w:rsidP="00AC2F0E">
            <w:pPr>
              <w:pStyle w:val="NormalWeb"/>
              <w:spacing w:before="0" w:beforeAutospacing="0" w:after="0" w:afterAutospacing="0" w:line="276" w:lineRule="auto"/>
              <w:jc w:val="both"/>
              <w:rPr>
                <w:bCs/>
                <w:iCs/>
                <w:sz w:val="22"/>
                <w:szCs w:val="22"/>
              </w:rPr>
            </w:pPr>
            <w:r w:rsidRPr="00453C46">
              <w:rPr>
                <w:bCs/>
                <w:iCs/>
                <w:sz w:val="22"/>
                <w:szCs w:val="22"/>
              </w:rPr>
              <w:t>Lehota na prebratie smernice 2006/7/ES v platnom znení bola do 24.03.2008.</w:t>
            </w:r>
          </w:p>
          <w:p w:rsidR="00663FDB" w:rsidRPr="00453C46" w:rsidP="00AC2F0E">
            <w:pPr>
              <w:pStyle w:val="NormalWeb"/>
              <w:spacing w:before="0" w:beforeAutospacing="0" w:after="0" w:afterAutospacing="0" w:line="276" w:lineRule="auto"/>
              <w:jc w:val="both"/>
              <w:rPr>
                <w:b/>
                <w:bCs/>
                <w:iCs/>
                <w:sz w:val="22"/>
                <w:szCs w:val="22"/>
              </w:rPr>
            </w:pPr>
            <w:r w:rsidRPr="00453C46">
              <w:rPr>
                <w:bCs/>
                <w:iCs/>
                <w:sz w:val="22"/>
                <w:szCs w:val="22"/>
              </w:rPr>
              <w:t>Lehota na prebratie smernice 2006/25/ES v platnom znení bola do 27.04.2010.</w:t>
            </w:r>
          </w:p>
          <w:p w:rsidR="00663FDB" w:rsidRPr="00453C46" w:rsidP="00AC2F0E">
            <w:pPr>
              <w:pStyle w:val="NormalWeb"/>
              <w:spacing w:before="0" w:beforeAutospacing="0" w:after="0" w:afterAutospacing="0" w:line="276" w:lineRule="auto"/>
              <w:jc w:val="both"/>
              <w:rPr>
                <w:bCs/>
                <w:iCs/>
                <w:sz w:val="22"/>
                <w:szCs w:val="22"/>
              </w:rPr>
            </w:pPr>
            <w:r w:rsidRPr="00453C46">
              <w:rPr>
                <w:bCs/>
                <w:iCs/>
                <w:sz w:val="22"/>
                <w:szCs w:val="22"/>
              </w:rPr>
              <w:t>Lehota na prebratie smernice 2013/51/Euratom bola do 28.11.2015.</w:t>
            </w:r>
          </w:p>
          <w:p w:rsidR="00663FDB" w:rsidRPr="00453C46" w:rsidP="00AC2F0E">
            <w:pPr>
              <w:spacing w:after="250"/>
              <w:ind w:right="479"/>
              <w:jc w:val="both"/>
              <w:rPr>
                <w:rFonts w:ascii="Times New Roman" w:hAnsi="Times New Roman"/>
                <w:iCs/>
              </w:rPr>
            </w:pPr>
          </w:p>
        </w:tc>
      </w:tr>
      <w:tr w:rsidTr="00AC2F0E">
        <w:tblPrEx>
          <w:tblW w:w="10031" w:type="dxa"/>
          <w:jc w:val="center"/>
          <w:tblCellMar>
            <w:left w:w="0" w:type="dxa"/>
            <w:right w:w="0" w:type="dxa"/>
          </w:tblCellMar>
          <w:tblLook w:val="0000"/>
        </w:tblPrEx>
        <w:trPr>
          <w:jc w:val="center"/>
        </w:trPr>
        <w:tc>
          <w:tcPr>
            <w:tcW w:w="470" w:type="dxa"/>
            <w:tcBorders>
              <w:top w:val="nil"/>
              <w:left w:val="nil"/>
              <w:bottom w:val="nil"/>
              <w:right w:val="nil"/>
            </w:tcBorders>
          </w:tcPr>
          <w:p w:rsidR="00663FDB" w:rsidRPr="00453C46" w:rsidP="00AC2F0E">
            <w:pPr>
              <w:spacing w:after="250"/>
              <w:rPr>
                <w:rFonts w:ascii="Times" w:eastAsia="Times New Roman" w:hAnsi="Times" w:cs="Times"/>
              </w:rPr>
            </w:pPr>
          </w:p>
        </w:tc>
        <w:tc>
          <w:tcPr>
            <w:tcW w:w="282" w:type="dxa"/>
            <w:tcBorders>
              <w:top w:val="nil"/>
              <w:left w:val="nil"/>
              <w:bottom w:val="nil"/>
              <w:right w:val="nil"/>
            </w:tcBorders>
          </w:tcPr>
          <w:p w:rsidR="00663FDB" w:rsidRPr="00453C46" w:rsidP="00AC2F0E">
            <w:pPr>
              <w:rPr>
                <w:rFonts w:ascii="Times" w:eastAsia="Times New Roman" w:hAnsi="Times" w:cs="Times"/>
              </w:rPr>
            </w:pPr>
            <w:r w:rsidRPr="00453C46">
              <w:rPr>
                <w:rFonts w:ascii="Times" w:eastAsia="Times New Roman" w:hAnsi="Times" w:cs="Times"/>
              </w:rPr>
              <w:t>b)</w:t>
            </w:r>
          </w:p>
        </w:tc>
        <w:tc>
          <w:tcPr>
            <w:tcW w:w="8654" w:type="dxa"/>
            <w:tcBorders>
              <w:top w:val="nil"/>
              <w:left w:val="nil"/>
              <w:bottom w:val="nil"/>
              <w:right w:val="nil"/>
            </w:tcBorders>
            <w:vAlign w:val="center"/>
          </w:tcPr>
          <w:p w:rsidR="00663FDB" w:rsidRPr="00453C46" w:rsidP="00AC2F0E">
            <w:pPr>
              <w:spacing w:after="250"/>
              <w:ind w:right="479"/>
              <w:jc w:val="both"/>
              <w:rPr>
                <w:rFonts w:ascii="Times" w:eastAsia="Times New Roman" w:hAnsi="Times" w:cs="Times"/>
              </w:rPr>
            </w:pPr>
            <w:r w:rsidRPr="00453C46">
              <w:rPr>
                <w:rFonts w:ascii="Times" w:eastAsia="Times New Roman" w:hAnsi="Times" w:cs="Times"/>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rsidR="00663FDB" w:rsidRPr="00453C46" w:rsidP="00AC2F0E">
            <w:pPr>
              <w:spacing w:after="250"/>
              <w:ind w:right="479"/>
              <w:jc w:val="both"/>
              <w:rPr>
                <w:rFonts w:ascii="Times" w:eastAsia="Times New Roman" w:hAnsi="Times" w:cs="Times"/>
              </w:rPr>
            </w:pPr>
            <w:r w:rsidRPr="00453C46">
              <w:rPr>
                <w:rFonts w:ascii="Times New Roman" w:hAnsi="Times New Roman"/>
              </w:rPr>
              <w:t>- šetrenie v rámci systému EU Pilot č. EUP(2020)9802 - konanie o porušení zmlúv č. 2014/4190, v štádiu dodatočného formálneho oznámenia z 9. februára 2022</w:t>
            </w:r>
          </w:p>
        </w:tc>
      </w:tr>
      <w:tr w:rsidTr="00AC2F0E">
        <w:tblPrEx>
          <w:tblW w:w="10031" w:type="dxa"/>
          <w:jc w:val="center"/>
          <w:tblCellMar>
            <w:left w:w="0" w:type="dxa"/>
            <w:right w:w="0" w:type="dxa"/>
          </w:tblCellMar>
          <w:tblLook w:val="0000"/>
        </w:tblPrEx>
        <w:trPr>
          <w:jc w:val="center"/>
        </w:trPr>
        <w:tc>
          <w:tcPr>
            <w:tcW w:w="470" w:type="dxa"/>
            <w:tcBorders>
              <w:top w:val="nil"/>
              <w:left w:val="nil"/>
              <w:bottom w:val="nil"/>
              <w:right w:val="nil"/>
            </w:tcBorders>
          </w:tcPr>
          <w:p w:rsidR="00663FDB" w:rsidRPr="00453C46" w:rsidP="00AC2F0E">
            <w:pPr>
              <w:spacing w:after="250"/>
              <w:rPr>
                <w:rFonts w:ascii="Times" w:eastAsia="Times New Roman" w:hAnsi="Times" w:cs="Times"/>
              </w:rPr>
            </w:pPr>
          </w:p>
        </w:tc>
        <w:tc>
          <w:tcPr>
            <w:tcW w:w="282" w:type="dxa"/>
            <w:tcBorders>
              <w:top w:val="nil"/>
              <w:left w:val="nil"/>
              <w:bottom w:val="nil"/>
              <w:right w:val="nil"/>
            </w:tcBorders>
          </w:tcPr>
          <w:p w:rsidR="00663FDB" w:rsidRPr="00453C46" w:rsidP="00AC2F0E">
            <w:pPr>
              <w:rPr>
                <w:rFonts w:eastAsia="Times New Roman"/>
              </w:rPr>
            </w:pPr>
          </w:p>
        </w:tc>
        <w:tc>
          <w:tcPr>
            <w:tcW w:w="8654" w:type="dxa"/>
            <w:tcBorders>
              <w:top w:val="nil"/>
              <w:left w:val="nil"/>
              <w:bottom w:val="nil"/>
              <w:right w:val="nil"/>
            </w:tcBorders>
            <w:vAlign w:val="center"/>
          </w:tcPr>
          <w:p w:rsidR="00663FDB" w:rsidRPr="00453C46" w:rsidP="00AC2F0E">
            <w:pPr>
              <w:spacing w:after="250"/>
              <w:ind w:right="479"/>
              <w:jc w:val="both"/>
              <w:rPr>
                <w:rFonts w:ascii="Times" w:eastAsia="Times New Roman" w:hAnsi="Times" w:cs="Times"/>
              </w:rPr>
            </w:pPr>
            <w:r w:rsidRPr="00453C46">
              <w:rPr>
                <w:rFonts w:ascii="Times" w:eastAsia="Times New Roman" w:hAnsi="Times" w:cs="Times"/>
              </w:rPr>
              <w:t>- nie je</w:t>
            </w:r>
          </w:p>
        </w:tc>
      </w:tr>
      <w:tr w:rsidTr="00AC2F0E">
        <w:tblPrEx>
          <w:tblW w:w="10031" w:type="dxa"/>
          <w:jc w:val="center"/>
          <w:tblCellMar>
            <w:left w:w="0" w:type="dxa"/>
            <w:right w:w="0" w:type="dxa"/>
          </w:tblCellMar>
          <w:tblLook w:val="0000"/>
        </w:tblPrEx>
        <w:trPr>
          <w:jc w:val="center"/>
        </w:trPr>
        <w:tc>
          <w:tcPr>
            <w:tcW w:w="470" w:type="dxa"/>
            <w:tcBorders>
              <w:top w:val="nil"/>
              <w:left w:val="nil"/>
              <w:bottom w:val="nil"/>
              <w:right w:val="nil"/>
            </w:tcBorders>
          </w:tcPr>
          <w:p w:rsidR="00663FDB" w:rsidRPr="00453C46" w:rsidP="00AC2F0E">
            <w:pPr>
              <w:spacing w:after="250"/>
              <w:rPr>
                <w:rFonts w:ascii="Times" w:eastAsia="Times New Roman" w:hAnsi="Times" w:cs="Times"/>
              </w:rPr>
            </w:pPr>
          </w:p>
        </w:tc>
        <w:tc>
          <w:tcPr>
            <w:tcW w:w="282" w:type="dxa"/>
            <w:tcBorders>
              <w:top w:val="nil"/>
              <w:left w:val="nil"/>
              <w:bottom w:val="nil"/>
              <w:right w:val="nil"/>
            </w:tcBorders>
          </w:tcPr>
          <w:p w:rsidR="00663FDB" w:rsidRPr="00453C46" w:rsidP="00AC2F0E">
            <w:pPr>
              <w:rPr>
                <w:rFonts w:ascii="Times" w:eastAsia="Times New Roman" w:hAnsi="Times" w:cs="Times"/>
              </w:rPr>
            </w:pPr>
            <w:r w:rsidRPr="00453C46">
              <w:rPr>
                <w:rFonts w:ascii="Times" w:eastAsia="Times New Roman" w:hAnsi="Times" w:cs="Times"/>
              </w:rPr>
              <w:t>c)</w:t>
            </w:r>
          </w:p>
        </w:tc>
        <w:tc>
          <w:tcPr>
            <w:tcW w:w="8654" w:type="dxa"/>
            <w:tcBorders>
              <w:top w:val="nil"/>
              <w:left w:val="nil"/>
              <w:bottom w:val="nil"/>
              <w:right w:val="nil"/>
            </w:tcBorders>
            <w:vAlign w:val="center"/>
          </w:tcPr>
          <w:p w:rsidR="00663FDB" w:rsidRPr="00453C46" w:rsidP="00AC2F0E">
            <w:pPr>
              <w:spacing w:after="250"/>
              <w:ind w:right="479"/>
              <w:jc w:val="both"/>
              <w:rPr>
                <w:rFonts w:ascii="Times" w:eastAsia="Times New Roman" w:hAnsi="Times" w:cs="Times"/>
              </w:rPr>
            </w:pPr>
            <w:r w:rsidRPr="00453C46">
              <w:rPr>
                <w:rFonts w:ascii="Times" w:eastAsia="Times New Roman" w:hAnsi="Times" w:cs="Times"/>
              </w:rPr>
              <w:t xml:space="preserve">informácia o právnych predpisoch, v ktorých sú preberané smernice už prebraté spolu s uvedením rozsahu tohto prebratia </w:t>
            </w:r>
          </w:p>
          <w:p w:rsidR="00663FDB" w:rsidRPr="00453C46" w:rsidP="00AC2F0E">
            <w:pPr>
              <w:spacing w:after="250"/>
              <w:ind w:right="479"/>
              <w:jc w:val="both"/>
              <w:rPr>
                <w:rFonts w:ascii="Times" w:hAnsi="Times" w:cs="Times"/>
                <w:b/>
                <w:bCs/>
              </w:rPr>
            </w:pPr>
            <w:r w:rsidRPr="00453C46">
              <w:rPr>
                <w:rFonts w:ascii="Times" w:hAnsi="Times" w:cs="Times"/>
                <w:b/>
                <w:bCs/>
              </w:rPr>
              <w:t>Smernica Európskeho parlamentu a Rady (EÚ) 2020/2184</w:t>
            </w:r>
          </w:p>
          <w:p w:rsidR="00663FDB" w:rsidRPr="00453C46" w:rsidP="00AC2F0E">
            <w:pPr>
              <w:pStyle w:val="ListParagraph"/>
              <w:numPr>
                <w:ilvl w:val="0"/>
                <w:numId w:val="41"/>
              </w:numPr>
              <w:spacing w:after="60"/>
              <w:ind w:right="479"/>
              <w:jc w:val="both"/>
              <w:rPr>
                <w:rFonts w:ascii="Times" w:hAnsi="Times" w:cs="Times"/>
                <w:sz w:val="22"/>
                <w:szCs w:val="22"/>
              </w:rPr>
            </w:pPr>
            <w:r w:rsidRPr="00453C46">
              <w:rPr>
                <w:rFonts w:ascii="Times" w:hAnsi="Times" w:cs="Times"/>
                <w:sz w:val="22"/>
                <w:szCs w:val="22"/>
              </w:rPr>
              <w:t>zákon č. 442/2002 Z. z. o verejných vodovodoch a verejných kanalizáciách a o zmene a doplnení zákona č. 276/2001 Z. z. o regulácii v sieťových odvetviach</w:t>
            </w:r>
          </w:p>
          <w:p w:rsidR="00663FDB" w:rsidRPr="00453C46" w:rsidP="00AC2F0E">
            <w:pPr>
              <w:pStyle w:val="ListParagraph"/>
              <w:numPr>
                <w:ilvl w:val="0"/>
                <w:numId w:val="41"/>
              </w:numPr>
              <w:spacing w:after="60"/>
              <w:ind w:right="479"/>
              <w:jc w:val="both"/>
              <w:rPr>
                <w:rFonts w:ascii="Times" w:hAnsi="Times" w:cs="Times"/>
                <w:sz w:val="22"/>
                <w:szCs w:val="22"/>
              </w:rPr>
            </w:pPr>
            <w:r w:rsidRPr="00453C46">
              <w:rPr>
                <w:rFonts w:ascii="Times" w:hAnsi="Times" w:cs="Times"/>
                <w:sz w:val="22"/>
                <w:szCs w:val="22"/>
              </w:rPr>
              <w:t>zákon č. 364/2004 Z. z. o vodách a o zmene zákona Slovenskej národnej rady č. 372/1990 Zb. o priestupkoch v znení neskorších predpisov (vodný zákon)</w:t>
            </w:r>
          </w:p>
          <w:p w:rsidR="00663FDB" w:rsidRPr="00453C46" w:rsidP="00AC2F0E">
            <w:pPr>
              <w:pStyle w:val="ListParagraph"/>
              <w:numPr>
                <w:ilvl w:val="0"/>
                <w:numId w:val="41"/>
              </w:numPr>
              <w:spacing w:after="60"/>
              <w:ind w:right="479"/>
              <w:jc w:val="both"/>
              <w:rPr>
                <w:rFonts w:ascii="Times" w:hAnsi="Times" w:cs="Times"/>
                <w:sz w:val="22"/>
                <w:szCs w:val="22"/>
              </w:rPr>
            </w:pPr>
            <w:r w:rsidRPr="00453C46">
              <w:rPr>
                <w:rFonts w:ascii="Times" w:hAnsi="Times" w:cs="Times"/>
                <w:sz w:val="22"/>
                <w:szCs w:val="22"/>
              </w:rPr>
              <w:t>zákon č. 355/2007 Z. z. o ochrane, podpore a rozvoji verejného zdravia a o zmene a doplnení niektorých zákonov</w:t>
            </w:r>
          </w:p>
          <w:p w:rsidR="00663FDB" w:rsidRPr="00453C46" w:rsidP="00AC2F0E">
            <w:pPr>
              <w:pStyle w:val="ListParagraph"/>
              <w:numPr>
                <w:ilvl w:val="0"/>
                <w:numId w:val="41"/>
              </w:numPr>
              <w:spacing w:after="100" w:afterAutospacing="1"/>
              <w:ind w:right="479"/>
              <w:jc w:val="both"/>
              <w:rPr>
                <w:rFonts w:ascii="Times" w:hAnsi="Times" w:cs="Times"/>
                <w:sz w:val="22"/>
                <w:szCs w:val="22"/>
              </w:rPr>
            </w:pPr>
            <w:r w:rsidRPr="00453C46">
              <w:rPr>
                <w:rFonts w:ascii="Times" w:hAnsi="Times" w:cs="Times"/>
                <w:sz w:val="22"/>
                <w:szCs w:val="22"/>
              </w:rPr>
              <w:t xml:space="preserve">zákon č. 87/2018  Z. z. o </w:t>
            </w:r>
            <w:r w:rsidRPr="00453C46">
              <w:rPr>
                <w:sz w:val="22"/>
                <w:szCs w:val="22"/>
              </w:rPr>
              <w:t>radiačnej ochrane a o zmene a doplnení niektorých zákonov</w:t>
            </w:r>
          </w:p>
          <w:p w:rsidR="00663FDB" w:rsidRPr="00453C46" w:rsidP="00AC2F0E">
            <w:pPr>
              <w:spacing w:after="0" w:line="240" w:lineRule="auto"/>
              <w:jc w:val="both"/>
              <w:textAlignment w:val="baseline"/>
              <w:rPr>
                <w:rFonts w:ascii="Times" w:hAnsi="Times" w:cs="Times"/>
                <w:b/>
                <w:bCs/>
              </w:rPr>
            </w:pPr>
          </w:p>
          <w:p w:rsidR="00663FDB" w:rsidRPr="00453C46" w:rsidP="00AC2F0E">
            <w:pPr>
              <w:spacing w:after="0" w:line="240" w:lineRule="auto"/>
              <w:jc w:val="both"/>
              <w:textAlignment w:val="baseline"/>
              <w:rPr>
                <w:rFonts w:ascii="Times New Roman" w:hAnsi="Times New Roman"/>
                <w:b/>
                <w:bCs/>
                <w:sz w:val="24"/>
                <w:szCs w:val="24"/>
              </w:rPr>
            </w:pPr>
            <w:r w:rsidRPr="00453C46">
              <w:rPr>
                <w:rFonts w:ascii="Times New Roman" w:hAnsi="Times New Roman"/>
                <w:b/>
                <w:bCs/>
                <w:sz w:val="24"/>
                <w:szCs w:val="24"/>
              </w:rPr>
              <w:t>Smernica Európskeho parlamentu a Rady 2000/60/ES</w:t>
            </w:r>
          </w:p>
          <w:p w:rsidR="00663FDB" w:rsidRPr="00453C46" w:rsidP="00AC2F0E">
            <w:pPr>
              <w:numPr>
                <w:ilvl w:val="0"/>
                <w:numId w:val="42"/>
              </w:numPr>
              <w:spacing w:after="0" w:line="240" w:lineRule="auto"/>
              <w:ind w:left="0" w:hanging="357"/>
              <w:jc w:val="both"/>
              <w:rPr>
                <w:rFonts w:ascii="Times New Roman" w:eastAsia="Times New Roman" w:hAnsi="Times New Roman"/>
                <w:sz w:val="24"/>
                <w:szCs w:val="24"/>
                <w:lang w:eastAsia="sk-SK"/>
              </w:rPr>
            </w:pPr>
            <w:hyperlink r:id="rId26" w:history="1">
              <w:r w:rsidRPr="00453C46">
                <w:rPr>
                  <w:rFonts w:ascii="Times New Roman" w:eastAsia="Times New Roman" w:hAnsi="Times New Roman"/>
                  <w:sz w:val="24"/>
                  <w:szCs w:val="24"/>
                  <w:lang w:eastAsia="sk-SK"/>
                </w:rPr>
                <w:t>Zákon č. 364/2004 Z. z. o vodách a o zmene zákona Slovenskej národnej rady č. 372/1990 Zb. o priestupkoch v znení neskorších predpisov (vodný zákon)</w:t>
              </w:r>
            </w:hyperlink>
            <w:r w:rsidRPr="00453C46">
              <w:rPr>
                <w:rFonts w:ascii="Times New Roman" w:eastAsia="Times New Roman" w:hAnsi="Times New Roman"/>
                <w:sz w:val="24"/>
                <w:szCs w:val="24"/>
                <w:lang w:eastAsia="sk-SK"/>
              </w:rPr>
              <w:t xml:space="preserve"> v znení neskorších predpisov</w:t>
            </w:r>
          </w:p>
          <w:p w:rsidR="00663FDB" w:rsidRPr="00453C46" w:rsidP="00AC2F0E">
            <w:pPr>
              <w:numPr>
                <w:ilvl w:val="0"/>
                <w:numId w:val="42"/>
              </w:numPr>
              <w:spacing w:after="0" w:line="240" w:lineRule="auto"/>
              <w:ind w:left="0"/>
              <w:jc w:val="both"/>
              <w:rPr>
                <w:rFonts w:ascii="Times New Roman" w:eastAsia="Times New Roman" w:hAnsi="Times New Roman"/>
                <w:sz w:val="24"/>
                <w:szCs w:val="24"/>
                <w:lang w:eastAsia="sk-SK"/>
              </w:rPr>
            </w:pPr>
            <w:hyperlink r:id="rId27" w:history="1">
              <w:r w:rsidRPr="00453C46">
                <w:rPr>
                  <w:rFonts w:ascii="Times New Roman" w:eastAsia="Times New Roman" w:hAnsi="Times New Roman"/>
                  <w:sz w:val="24"/>
                  <w:szCs w:val="24"/>
                  <w:lang w:eastAsia="sk-SK"/>
                </w:rPr>
                <w:t>Zákon č. 7/2010 Z. z. o ochrane pred povodňami</w:t>
              </w:r>
            </w:hyperlink>
          </w:p>
          <w:p w:rsidR="00663FDB" w:rsidRPr="00453C46" w:rsidP="00AC2F0E">
            <w:pPr>
              <w:numPr>
                <w:ilvl w:val="0"/>
                <w:numId w:val="42"/>
              </w:numPr>
              <w:spacing w:after="0" w:line="240" w:lineRule="auto"/>
              <w:ind w:left="0"/>
              <w:jc w:val="both"/>
              <w:rPr>
                <w:rFonts w:ascii="Times New Roman" w:eastAsia="Times New Roman" w:hAnsi="Times New Roman"/>
                <w:sz w:val="24"/>
                <w:szCs w:val="24"/>
                <w:lang w:eastAsia="sk-SK"/>
              </w:rPr>
            </w:pPr>
            <w:hyperlink r:id="rId28" w:history="1">
              <w:r w:rsidRPr="00453C46">
                <w:rPr>
                  <w:rFonts w:ascii="Times New Roman" w:eastAsia="Times New Roman" w:hAnsi="Times New Roman"/>
                  <w:sz w:val="24"/>
                  <w:szCs w:val="24"/>
                  <w:lang w:eastAsia="sk-SK"/>
                </w:rPr>
                <w:t>Nariadenie vlády Slovenskej republiky č. 269/2010 Z. z., ktorým sa ustanovujú požiadavky na dosiahnutie dobrého stavu vôd</w:t>
              </w:r>
            </w:hyperlink>
            <w:r w:rsidRPr="00453C46">
              <w:rPr>
                <w:rFonts w:ascii="Times New Roman" w:eastAsia="Times New Roman" w:hAnsi="Times New Roman"/>
                <w:sz w:val="24"/>
                <w:szCs w:val="24"/>
                <w:lang w:eastAsia="sk-SK"/>
              </w:rPr>
              <w:t xml:space="preserve"> v znení nariadenia vlády Slovenskej republiky č. 398/2012 Z. z. </w:t>
            </w:r>
          </w:p>
          <w:p w:rsidR="00663FDB" w:rsidRPr="00453C46" w:rsidP="00AC2F0E">
            <w:pPr>
              <w:numPr>
                <w:ilvl w:val="0"/>
                <w:numId w:val="42"/>
              </w:numPr>
              <w:spacing w:after="0" w:line="240" w:lineRule="auto"/>
              <w:ind w:left="0"/>
              <w:jc w:val="both"/>
              <w:rPr>
                <w:rFonts w:ascii="Times New Roman" w:eastAsia="Times New Roman" w:hAnsi="Times New Roman"/>
                <w:sz w:val="24"/>
                <w:szCs w:val="24"/>
                <w:lang w:eastAsia="sk-SK"/>
              </w:rPr>
            </w:pPr>
            <w:hyperlink r:id="rId29" w:history="1">
              <w:r w:rsidRPr="00453C46">
                <w:rPr>
                  <w:rFonts w:ascii="Times New Roman" w:eastAsia="Times New Roman" w:hAnsi="Times New Roman"/>
                  <w:sz w:val="24"/>
                  <w:szCs w:val="24"/>
                  <w:lang w:eastAsia="sk-SK"/>
                </w:rPr>
                <w:t>Vyhláška Ministerstva pôdohospodárstva, životného prostredia a regionálneho rozvoja Slovenskej republiky č. 418/2010 Z. z. o vykonaní niektorých ustanovení vodného zákona</w:t>
              </w:r>
            </w:hyperlink>
            <w:r w:rsidRPr="00453C46">
              <w:rPr>
                <w:rFonts w:ascii="Times New Roman" w:eastAsia="Times New Roman" w:hAnsi="Times New Roman"/>
                <w:sz w:val="24"/>
                <w:szCs w:val="24"/>
                <w:lang w:eastAsia="sk-SK"/>
              </w:rPr>
              <w:t xml:space="preserve"> v znení vyhlášky Ministerstva životného prostredia Slovenskej republiky č. 212/2016 Z. z.</w:t>
            </w:r>
          </w:p>
          <w:p w:rsidR="00663FDB" w:rsidRPr="00453C46" w:rsidP="00AC2F0E">
            <w:pPr>
              <w:numPr>
                <w:ilvl w:val="0"/>
                <w:numId w:val="42"/>
              </w:numPr>
              <w:spacing w:after="0" w:line="240" w:lineRule="auto"/>
              <w:ind w:left="0"/>
              <w:jc w:val="both"/>
              <w:rPr>
                <w:rFonts w:ascii="Times New Roman" w:eastAsia="Times New Roman" w:hAnsi="Times New Roman"/>
                <w:sz w:val="24"/>
                <w:szCs w:val="24"/>
                <w:lang w:eastAsia="sk-SK"/>
              </w:rPr>
            </w:pPr>
            <w:hyperlink r:id="rId30" w:history="1">
              <w:r w:rsidRPr="00453C46">
                <w:rPr>
                  <w:rFonts w:ascii="Times New Roman" w:eastAsia="Times New Roman" w:hAnsi="Times New Roman"/>
                  <w:sz w:val="24"/>
                  <w:szCs w:val="24"/>
                  <w:lang w:eastAsia="sk-SK"/>
                </w:rPr>
                <w:t>Vyhláška Ministerstva životného prostredia Slovenskej republiky č. 242/2016 Z. z., ktorou sa ustanovujú podrobnosti o vymedzení správneho územia povodia, environmentálnych cieľoch, ekonomickej analýze a o vodnom plánovaní</w:t>
              </w:r>
            </w:hyperlink>
          </w:p>
          <w:p w:rsidR="00663FDB" w:rsidRPr="00453C46" w:rsidP="00AC2F0E">
            <w:pPr>
              <w:numPr>
                <w:ilvl w:val="0"/>
                <w:numId w:val="42"/>
              </w:numPr>
              <w:spacing w:after="0" w:line="240" w:lineRule="auto"/>
              <w:ind w:left="0"/>
              <w:jc w:val="both"/>
              <w:rPr>
                <w:rFonts w:ascii="Times New Roman" w:eastAsia="Times New Roman" w:hAnsi="Times New Roman"/>
                <w:sz w:val="24"/>
                <w:szCs w:val="24"/>
                <w:lang w:eastAsia="sk-SK"/>
              </w:rPr>
            </w:pPr>
            <w:hyperlink r:id="rId31" w:history="1">
              <w:r w:rsidRPr="00453C46">
                <w:rPr>
                  <w:rFonts w:ascii="Times New Roman" w:eastAsia="Times New Roman" w:hAnsi="Times New Roman"/>
                  <w:sz w:val="24"/>
                  <w:szCs w:val="24"/>
                  <w:lang w:eastAsia="sk-SK"/>
                </w:rPr>
                <w:t>Zákon č. 305/2018 Z. z. o chránených oblastiach prirodzenej akumulácie vôd a o zmene a doplnení niektorých zákonov</w:t>
              </w:r>
            </w:hyperlink>
          </w:p>
          <w:p w:rsidR="00663FDB" w:rsidRPr="00453C46" w:rsidP="00AC2F0E">
            <w:pPr>
              <w:spacing w:after="0" w:line="240" w:lineRule="auto"/>
              <w:jc w:val="both"/>
              <w:textAlignment w:val="baseline"/>
              <w:rPr>
                <w:rFonts w:ascii="Times" w:hAnsi="Times" w:cs="Times"/>
                <w:b/>
                <w:bCs/>
              </w:rPr>
            </w:pPr>
          </w:p>
          <w:p w:rsidR="00663FDB" w:rsidRPr="00453C46" w:rsidP="00AC2F0E">
            <w:pPr>
              <w:spacing w:after="0" w:line="240" w:lineRule="auto"/>
              <w:jc w:val="both"/>
              <w:textAlignment w:val="baseline"/>
              <w:rPr>
                <w:rFonts w:ascii="Times New Roman" w:hAnsi="Times New Roman"/>
                <w:b/>
                <w:sz w:val="24"/>
                <w:szCs w:val="24"/>
                <w:lang w:eastAsia="sk-SK"/>
              </w:rPr>
            </w:pPr>
          </w:p>
          <w:p w:rsidR="00663FDB" w:rsidRPr="00453C46" w:rsidP="00AC2F0E">
            <w:pPr>
              <w:spacing w:after="0" w:line="240" w:lineRule="auto"/>
              <w:jc w:val="both"/>
              <w:rPr>
                <w:rFonts w:ascii="Times New Roman" w:hAnsi="Times New Roman"/>
                <w:b/>
                <w:bCs/>
              </w:rPr>
            </w:pPr>
            <w:r w:rsidRPr="00453C46">
              <w:rPr>
                <w:rFonts w:ascii="Times New Roman" w:hAnsi="Times New Roman"/>
                <w:b/>
                <w:bCs/>
              </w:rPr>
              <w:t xml:space="preserve">Smernica Európskeho parlamentu a Rady 2006/7/ES </w:t>
            </w:r>
          </w:p>
          <w:p w:rsidR="00663FDB" w:rsidRPr="00453C46" w:rsidP="00AC2F0E">
            <w:pPr>
              <w:spacing w:after="0" w:line="240" w:lineRule="auto"/>
              <w:jc w:val="both"/>
              <w:rPr>
                <w:rFonts w:ascii="Times New Roman" w:eastAsia="Times New Roman" w:hAnsi="Times New Roman"/>
                <w:sz w:val="24"/>
                <w:szCs w:val="24"/>
                <w:lang w:eastAsia="sk-SK"/>
              </w:rPr>
            </w:pPr>
            <w:r w:rsidRPr="00453C46">
              <w:rPr>
                <w:rFonts w:ascii="Times New Roman" w:eastAsia="Times New Roman" w:hAnsi="Times New Roman"/>
                <w:sz w:val="24"/>
                <w:szCs w:val="24"/>
                <w:lang w:eastAsia="sk-SK"/>
              </w:rPr>
              <w:t>Zákon č. 355/2007 Z. z. o ochrane, podpore a rozvoji verejného zdravia a o zmene a doplnení niektorých zákonov v znení neskorších predpisov.</w:t>
            </w:r>
          </w:p>
          <w:p w:rsidR="00663FDB" w:rsidRPr="00453C46" w:rsidP="00AC2F0E">
            <w:pPr>
              <w:spacing w:after="0"/>
              <w:ind w:right="479"/>
              <w:jc w:val="both"/>
              <w:rPr>
                <w:rFonts w:ascii="Times" w:hAnsi="Times" w:cs="Times"/>
              </w:rPr>
            </w:pPr>
            <w:r w:rsidRPr="00663FDB">
              <w:rPr>
                <w:rFonts w:ascii="Times New Roman" w:hAnsi="Times New Roman"/>
              </w:rPr>
              <w:t>Z</w:t>
            </w:r>
            <w:r w:rsidRPr="00453C46">
              <w:rPr>
                <w:rFonts w:ascii="Times" w:hAnsi="Times" w:cs="Times"/>
              </w:rPr>
              <w:t>ákon č. 364/2004 Z. z. o vodách a o zmene zákona Slovenskej národnej rady č. 372/1990 Zb. o priestupkoch v znení neskorších predpisov (vodný zákon).</w:t>
            </w:r>
          </w:p>
          <w:p w:rsidR="00663FDB" w:rsidRPr="00663FDB" w:rsidP="00AC2F0E">
            <w:pPr>
              <w:spacing w:after="0"/>
              <w:ind w:right="479"/>
              <w:jc w:val="both"/>
              <w:rPr>
                <w:rFonts w:ascii="Times New Roman" w:hAnsi="Times New Roman"/>
              </w:rPr>
            </w:pPr>
            <w:r w:rsidRPr="00663FDB">
              <w:rPr>
                <w:rFonts w:ascii="Times New Roman" w:hAnsi="Times New Roman"/>
              </w:rPr>
              <w:t>Vyhláška Ministerstva zdravotníctva Slovenskej republiky č. 309/2012 Z. z. o požiadavkách na vodu určenú na kúpanie.</w:t>
            </w:r>
          </w:p>
          <w:p w:rsidR="00663FDB" w:rsidRPr="00663FDB" w:rsidP="00AC2F0E">
            <w:pPr>
              <w:spacing w:after="100" w:afterAutospacing="1"/>
              <w:ind w:right="479"/>
              <w:jc w:val="both"/>
              <w:rPr>
                <w:rFonts w:ascii="Times New Roman" w:hAnsi="Times New Roman"/>
              </w:rPr>
            </w:pPr>
          </w:p>
          <w:p w:rsidR="00663FDB" w:rsidRPr="00453C46" w:rsidP="00AC2F0E">
            <w:pPr>
              <w:spacing w:after="0" w:line="240" w:lineRule="auto"/>
              <w:jc w:val="both"/>
              <w:textAlignment w:val="baseline"/>
              <w:rPr>
                <w:rFonts w:ascii="Times New Roman" w:hAnsi="Times New Roman"/>
                <w:b/>
                <w:bCs/>
              </w:rPr>
            </w:pPr>
            <w:r w:rsidRPr="00453C46">
              <w:rPr>
                <w:rFonts w:ascii="Times New Roman" w:hAnsi="Times New Roman"/>
                <w:b/>
                <w:bCs/>
              </w:rPr>
              <w:t xml:space="preserve">Smernica Rady 2013/51/Euratom </w:t>
            </w:r>
          </w:p>
          <w:p w:rsidR="00663FDB" w:rsidRPr="00453C46" w:rsidP="00AC2F0E">
            <w:pPr>
              <w:pStyle w:val="Nadpis2Nadpis-tun"/>
              <w:spacing w:before="0" w:after="0"/>
              <w:jc w:val="both"/>
              <w:rPr>
                <w:b w:val="0"/>
                <w:sz w:val="22"/>
                <w:szCs w:val="22"/>
              </w:rPr>
            </w:pPr>
            <w:r w:rsidRPr="00453C46">
              <w:rPr>
                <w:sz w:val="22"/>
                <w:szCs w:val="22"/>
              </w:rPr>
              <w:t xml:space="preserve">Zákon č. 87 /2018 Z. z. </w:t>
            </w:r>
            <w:r w:rsidRPr="00453C46">
              <w:rPr>
                <w:b w:val="0"/>
                <w:sz w:val="22"/>
                <w:szCs w:val="22"/>
              </w:rPr>
              <w:t>o radiačnej ochrane</w:t>
            </w:r>
            <w:r w:rsidRPr="00453C46">
              <w:rPr>
                <w:sz w:val="22"/>
                <w:szCs w:val="22"/>
              </w:rPr>
              <w:t xml:space="preserve"> </w:t>
            </w:r>
            <w:r w:rsidRPr="00453C46">
              <w:rPr>
                <w:b w:val="0"/>
                <w:sz w:val="22"/>
                <w:szCs w:val="22"/>
              </w:rPr>
              <w:t>a o zmene a doplnení niektorých zákonov.</w:t>
            </w:r>
          </w:p>
          <w:p w:rsidR="00663FDB" w:rsidRPr="00453C46" w:rsidP="00AC2F0E">
            <w:pPr>
              <w:autoSpaceDE w:val="0"/>
              <w:autoSpaceDN w:val="0"/>
              <w:spacing w:after="0"/>
              <w:jc w:val="both"/>
              <w:rPr>
                <w:rFonts w:ascii="Times New Roman" w:hAnsi="Times New Roman"/>
              </w:rPr>
            </w:pPr>
            <w:r w:rsidRPr="00453C46">
              <w:rPr>
                <w:rFonts w:ascii="Times New Roman" w:hAnsi="Times New Roman"/>
                <w:b/>
              </w:rPr>
              <w:t xml:space="preserve">Zákon č. 355/2007 Z. z. </w:t>
            </w:r>
            <w:r w:rsidRPr="00453C46">
              <w:rPr>
                <w:rFonts w:ascii="Times New Roman" w:hAnsi="Times New Roman"/>
              </w:rPr>
              <w:t>o ochrane, podpore a rozvoji verejného zdravia a o zmene a doplnení niektorých zákonov.</w:t>
            </w:r>
          </w:p>
          <w:p w:rsidR="00663FDB" w:rsidRPr="00453C46" w:rsidP="00AC2F0E">
            <w:pPr>
              <w:spacing w:after="0"/>
              <w:jc w:val="both"/>
              <w:rPr>
                <w:rFonts w:ascii="Times New Roman" w:hAnsi="Times New Roman"/>
              </w:rPr>
            </w:pPr>
            <w:r w:rsidRPr="00453C46">
              <w:rPr>
                <w:rFonts w:ascii="Times New Roman" w:hAnsi="Times New Roman"/>
                <w:b/>
              </w:rPr>
              <w:t>Zákon č. 538/2005 Z. z.</w:t>
            </w:r>
            <w:r w:rsidRPr="00453C46">
              <w:rPr>
                <w:rFonts w:ascii="Times New Roman" w:hAnsi="Times New Roman"/>
              </w:rPr>
              <w:t xml:space="preserve">  o prírodných liečivých vodách, prírodných liečebných kúpeľoch, kúpeľných miestach a prírodných minerálnych vodách a o zmene a doplnení niektorých zákonov.</w:t>
            </w:r>
          </w:p>
          <w:p w:rsidR="00663FDB" w:rsidRPr="00453C46" w:rsidP="00AC2F0E">
            <w:pPr>
              <w:jc w:val="both"/>
              <w:rPr>
                <w:rFonts w:ascii="Times New Roman" w:hAnsi="Times New Roman"/>
              </w:rPr>
            </w:pPr>
            <w:r w:rsidRPr="00453C46">
              <w:rPr>
                <w:rFonts w:ascii="Times New Roman" w:hAnsi="Times New Roman"/>
              </w:rPr>
              <w:t>Vyhláška Ministerstva zdravotníctva Slovenskej republiky č. 100/2018 Z. z. o obmedzovaní ožiarenia obyvateľov z pitnej vody, z prírodnej minerálnej vody a z pramenitej vody.</w:t>
            </w:r>
          </w:p>
          <w:p w:rsidR="00663FDB" w:rsidRPr="00453C46" w:rsidP="00AC2F0E">
            <w:pPr>
              <w:spacing w:after="0" w:line="240" w:lineRule="auto"/>
              <w:jc w:val="both"/>
              <w:textAlignment w:val="baseline"/>
              <w:rPr>
                <w:rFonts w:ascii="Times New Roman" w:hAnsi="Times New Roman"/>
                <w:b/>
                <w:bCs/>
                <w:sz w:val="24"/>
                <w:szCs w:val="24"/>
                <w:lang w:eastAsia="sk-SK"/>
              </w:rPr>
            </w:pPr>
          </w:p>
          <w:p w:rsidR="00663FDB" w:rsidRPr="00453C46" w:rsidP="00AC2F0E">
            <w:pPr>
              <w:spacing w:after="0" w:line="240" w:lineRule="auto"/>
              <w:jc w:val="both"/>
              <w:textAlignment w:val="baseline"/>
              <w:rPr>
                <w:rFonts w:ascii="Times New Roman" w:eastAsia="Times New Roman" w:hAnsi="Times New Roman"/>
                <w:b/>
                <w:sz w:val="24"/>
                <w:szCs w:val="24"/>
                <w:lang w:eastAsia="sk-SK"/>
              </w:rPr>
            </w:pPr>
            <w:r w:rsidRPr="00453C46">
              <w:rPr>
                <w:rFonts w:ascii="Times New Roman" w:eastAsia="Times New Roman" w:hAnsi="Times New Roman"/>
                <w:b/>
                <w:sz w:val="24"/>
                <w:szCs w:val="24"/>
                <w:lang w:eastAsia="sk-SK"/>
              </w:rPr>
              <w:t>Smernica Rady 98/24/ES</w:t>
            </w:r>
          </w:p>
          <w:p w:rsidR="00663FDB" w:rsidRPr="00453C46" w:rsidP="00AC2F0E">
            <w:pPr>
              <w:spacing w:after="0" w:line="240" w:lineRule="auto"/>
              <w:jc w:val="both"/>
              <w:rPr>
                <w:rFonts w:ascii="Times New Roman" w:eastAsia="Times New Roman" w:hAnsi="Times New Roman"/>
                <w:sz w:val="24"/>
                <w:szCs w:val="24"/>
                <w:lang w:eastAsia="sk-SK"/>
              </w:rPr>
            </w:pPr>
            <w:r w:rsidRPr="00453C46">
              <w:rPr>
                <w:rFonts w:ascii="Times New Roman" w:eastAsia="Times New Roman" w:hAnsi="Times New Roman"/>
                <w:sz w:val="24"/>
                <w:szCs w:val="24"/>
                <w:lang w:eastAsia="sk-SK"/>
              </w:rPr>
              <w:t>Zákon č. 355/2007 Z. z. o ochrane, podpore a rozvoji verejného zdravia a o zmene a doplnení niektorých zákonov v znení neskorších predpisov.</w:t>
            </w:r>
          </w:p>
          <w:p w:rsidR="00663FDB" w:rsidRPr="00453C46" w:rsidP="00AC2F0E">
            <w:pPr>
              <w:pStyle w:val="NormalWeb"/>
              <w:spacing w:before="0" w:beforeAutospacing="0" w:after="0" w:afterAutospacing="0"/>
              <w:jc w:val="both"/>
              <w:rPr>
                <w:bCs/>
                <w:iCs/>
              </w:rPr>
            </w:pPr>
            <w:r w:rsidRPr="00453C46">
              <w:t>Nariadenie vlády Slovenskej republiky č. 355/2006 Z. z. o ochrane zamestnancov pred rizikami súvisiacimi s expozíciou chemickým faktorom pri práci v znení neskorších predpisov.</w:t>
            </w:r>
          </w:p>
          <w:p w:rsidR="00663FDB" w:rsidRPr="00453C46" w:rsidP="00AC2F0E">
            <w:pPr>
              <w:pStyle w:val="NormalWeb"/>
              <w:spacing w:before="0" w:beforeAutospacing="0" w:after="0" w:afterAutospacing="0"/>
              <w:jc w:val="both"/>
              <w:rPr>
                <w:bCs/>
                <w:iCs/>
              </w:rPr>
            </w:pPr>
            <w:r w:rsidRPr="00453C46">
              <w:rPr>
                <w:bCs/>
                <w:iCs/>
              </w:rPr>
              <w:t>Nariadenie vlády Slovenskej republiky č. 236/2020 Z. z., ktorým sa mení a dopĺňa nariadenie vlády Slovenskej republiky č. 355/2006 Z. z. o ochrane zamestnancov pred rizikami súvisiacimi s expozíciou chemickým faktorom pri práci v znení neskorších predpisov.</w:t>
            </w:r>
          </w:p>
          <w:p w:rsidR="00663FDB" w:rsidRPr="00453C46" w:rsidP="00AC2F0E">
            <w:pPr>
              <w:pStyle w:val="NormalWeb"/>
              <w:spacing w:before="0" w:beforeAutospacing="0" w:after="0" w:afterAutospacing="0"/>
              <w:jc w:val="both"/>
              <w:rPr>
                <w:bCs/>
                <w:iCs/>
              </w:rPr>
            </w:pPr>
            <w:r w:rsidRPr="00453C46">
              <w:rPr>
                <w:bCs/>
                <w:iCs/>
              </w:rPr>
              <w:t>Zákon č. 249/2022 Z. z., ktorým sa menia a dopĺňajú niektoré zákony v súvislosti so zlepšovaním podnikateľského prostredia.</w:t>
            </w:r>
          </w:p>
          <w:p w:rsidR="00663FDB" w:rsidRPr="00453C46" w:rsidP="00AC2F0E">
            <w:pPr>
              <w:pStyle w:val="NormalWeb"/>
              <w:spacing w:before="0" w:beforeAutospacing="0" w:after="0" w:afterAutospacing="0"/>
              <w:jc w:val="both"/>
              <w:rPr>
                <w:bCs/>
                <w:iCs/>
              </w:rPr>
            </w:pPr>
            <w:r w:rsidRPr="00453C46">
              <w:rPr>
                <w:bCs/>
                <w:iCs/>
              </w:rPr>
              <w:t>Nariadenie vlády Slovenskej republiky č. 33/2018 Z. z., ktorým sa mení a dopĺňa nariadenie vlády Slovenskej republiky č. 355/2006 Z. z. o ochrane zamestnancov pred rizikami súvisiacimi s expozíciou chemickým faktorom pri práci v znení neskorších predpisov.</w:t>
            </w:r>
          </w:p>
          <w:p w:rsidR="00663FDB" w:rsidRPr="00453C46" w:rsidP="00AC2F0E">
            <w:pPr>
              <w:pStyle w:val="NormalWeb"/>
              <w:spacing w:before="0" w:beforeAutospacing="0" w:after="0" w:afterAutospacing="0"/>
              <w:jc w:val="both"/>
              <w:rPr>
                <w:bCs/>
                <w:iCs/>
              </w:rPr>
            </w:pPr>
            <w:r w:rsidRPr="00453C46">
              <w:rPr>
                <w:bCs/>
                <w:iCs/>
              </w:rPr>
              <w:t>Nariadenie vlády Slovenskej republiky č. 104/2015 Z. z., ktorým sa mení a dopĺňa nariadenie vlády Slovenskej republiky č. 387/2006 Z. z. o požiadavkách na zaistenie bezpečnostného a zdravotného označenia pri práci.</w:t>
            </w:r>
          </w:p>
          <w:p w:rsidR="00663FDB" w:rsidRPr="00453C46" w:rsidP="00AC2F0E">
            <w:pPr>
              <w:pStyle w:val="NormalWeb"/>
              <w:spacing w:before="0" w:beforeAutospacing="0" w:after="0" w:afterAutospacing="0"/>
              <w:jc w:val="both"/>
              <w:rPr>
                <w:bCs/>
                <w:iCs/>
              </w:rPr>
            </w:pPr>
            <w:r w:rsidRPr="00453C46">
              <w:rPr>
                <w:bCs/>
                <w:iCs/>
              </w:rPr>
              <w:t>Nariadenie vlády Slovenskej republiky č. 106/2015 Z. z., ktorým sa mení a dopĺňa nariadenie vlády Slovenskej republiky č. 272/2004 Z. 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nariadenia vlády č. 310/2010 Z. z.</w:t>
            </w:r>
          </w:p>
          <w:p w:rsidR="00663FDB" w:rsidRPr="00453C46" w:rsidP="00AC2F0E">
            <w:pPr>
              <w:pStyle w:val="NormalWeb"/>
              <w:spacing w:before="0" w:beforeAutospacing="0" w:after="0" w:afterAutospacing="0"/>
              <w:jc w:val="both"/>
              <w:rPr>
                <w:bCs/>
                <w:iCs/>
              </w:rPr>
            </w:pPr>
            <w:r w:rsidRPr="00453C46">
              <w:rPr>
                <w:bCs/>
                <w:iCs/>
              </w:rPr>
              <w:t>Nariadenie vlády Slovenskej republiky č. 105/2015 Z. z., ktorým sa mení a dopĺňa nariadenie vlády Slovenskej republiky č. 286/2004 Z. z., ktorým sa ustanovuje zoznam prác a pracovísk, ktoré sú zakázané mladistvým zamestnancom, a ktorým sa ustanovujú niektoré povinnosti zamestnávateľom pri zamestnávaní mladistvých zamestnancov v znení nariadenia vlády č. 309/2010 Z. z.</w:t>
            </w:r>
          </w:p>
          <w:p w:rsidR="00663FDB" w:rsidRPr="00453C46" w:rsidP="00AC2F0E">
            <w:pPr>
              <w:pStyle w:val="NormalWeb"/>
              <w:spacing w:before="0" w:beforeAutospacing="0" w:after="0" w:afterAutospacing="0"/>
              <w:jc w:val="both"/>
              <w:rPr>
                <w:bCs/>
                <w:iCs/>
              </w:rPr>
            </w:pPr>
            <w:r w:rsidRPr="00453C46">
              <w:rPr>
                <w:bCs/>
                <w:iCs/>
              </w:rPr>
              <w:t>Nariadenie vlády Slovenskej republiky č. 82/2015 Z. z., ktorým sa mení a dopĺňa nariadenie vlády Slovenskej republiky č. 355/2006 Z. z. o ochrane zamestnancov pred rizikami súvisiacimi s expozíciou chemickým faktorom pri práci v znení neskorších predpisov.</w:t>
            </w:r>
          </w:p>
          <w:p w:rsidR="00663FDB" w:rsidRPr="00453C46" w:rsidP="00AC2F0E">
            <w:pPr>
              <w:pStyle w:val="NormalWeb"/>
              <w:spacing w:before="0" w:beforeAutospacing="0" w:after="0" w:afterAutospacing="0"/>
              <w:jc w:val="both"/>
              <w:rPr>
                <w:bCs/>
                <w:iCs/>
              </w:rPr>
            </w:pPr>
            <w:r w:rsidRPr="00453C46">
              <w:rPr>
                <w:bCs/>
                <w:iCs/>
              </w:rPr>
              <w:t>Nariadenie vlády Slovenskej republiky č. 83/2015 Z. z., ktorým sa mení a dopĺňa nariadenie vlády Slovenskej republiky č. 356/2006 Z. z. o ochrane zdravia zamestnancov pred rizikami súvisiacimi s expozíciou karcinogénnym a mutagénnym faktorom pri práci v znení nariadenia vlády Slovenskej republiky č. 301/2007 Z. z.</w:t>
            </w:r>
          </w:p>
          <w:p w:rsidR="00663FDB" w:rsidRPr="00453C46" w:rsidP="00AC2F0E">
            <w:pPr>
              <w:pStyle w:val="NormalWeb"/>
              <w:spacing w:before="0" w:beforeAutospacing="0" w:after="0" w:afterAutospacing="0"/>
              <w:jc w:val="both"/>
              <w:rPr>
                <w:bCs/>
                <w:iCs/>
              </w:rPr>
            </w:pPr>
            <w:r w:rsidRPr="00453C46">
              <w:rPr>
                <w:bCs/>
                <w:iCs/>
              </w:rPr>
              <w:t>Nariadenie vlády Slovenskej republiky č. 471/2011 Z. z., ktorým sa mení a dopĺňa nariadenie vlády Slovenskej republiky č. 355/2006 Z. z. o ochrane zamestnancov pred rizikami súvisiacimi s expozíciou chemickým faktorom pri práci v znení nariadenia vlády Slovenskej republiky č. 300/2007 Z. z.</w:t>
            </w:r>
          </w:p>
          <w:p w:rsidR="00663FDB" w:rsidRPr="00453C46" w:rsidP="00AC2F0E">
            <w:pPr>
              <w:pStyle w:val="NormalWeb"/>
              <w:spacing w:before="0" w:beforeAutospacing="0" w:after="0" w:afterAutospacing="0"/>
              <w:jc w:val="both"/>
              <w:rPr>
                <w:bCs/>
                <w:iCs/>
              </w:rPr>
            </w:pPr>
          </w:p>
          <w:p w:rsidR="00663FDB" w:rsidRPr="00453C46" w:rsidP="00AC2F0E">
            <w:pPr>
              <w:spacing w:after="0" w:line="240" w:lineRule="auto"/>
              <w:jc w:val="both"/>
              <w:textAlignment w:val="baseline"/>
              <w:rPr>
                <w:rFonts w:ascii="Times New Roman" w:eastAsia="Times New Roman" w:hAnsi="Times New Roman"/>
                <w:b/>
                <w:sz w:val="24"/>
                <w:szCs w:val="24"/>
                <w:lang w:eastAsia="sk-SK"/>
              </w:rPr>
            </w:pPr>
            <w:r w:rsidRPr="00453C46">
              <w:rPr>
                <w:rFonts w:ascii="Times New Roman" w:eastAsia="Times New Roman" w:hAnsi="Times New Roman"/>
                <w:b/>
                <w:sz w:val="24"/>
                <w:szCs w:val="24"/>
                <w:lang w:eastAsia="sk-SK"/>
              </w:rPr>
              <w:t>Smernica Európskeho parlamentu a Rady 2006/25/ES</w:t>
            </w:r>
          </w:p>
          <w:p w:rsidR="00663FDB" w:rsidRPr="00453C46" w:rsidP="00AC2F0E">
            <w:pPr>
              <w:spacing w:after="0" w:line="240" w:lineRule="auto"/>
              <w:jc w:val="both"/>
              <w:rPr>
                <w:rFonts w:ascii="Times New Roman" w:eastAsia="Times New Roman" w:hAnsi="Times New Roman"/>
                <w:sz w:val="24"/>
                <w:szCs w:val="24"/>
                <w:lang w:eastAsia="sk-SK"/>
              </w:rPr>
            </w:pPr>
            <w:r w:rsidRPr="00453C46">
              <w:rPr>
                <w:rFonts w:ascii="Times New Roman" w:eastAsia="Times New Roman" w:hAnsi="Times New Roman"/>
                <w:sz w:val="24"/>
                <w:szCs w:val="24"/>
                <w:lang w:eastAsia="sk-SK"/>
              </w:rPr>
              <w:t>Zákon č. 355/2007 Z. z. o ochrane, podpore a rozvoji verejného zdravia a o zmene a doplnení niektorých zákonov v znení neskorších predpisov.</w:t>
            </w:r>
          </w:p>
          <w:p w:rsidR="00663FDB" w:rsidRPr="00453C46" w:rsidP="00AC2F0E">
            <w:pPr>
              <w:pStyle w:val="NormalWeb"/>
              <w:spacing w:before="0" w:beforeAutospacing="0" w:after="0" w:afterAutospacing="0"/>
              <w:jc w:val="both"/>
              <w:rPr>
                <w:bCs/>
                <w:iCs/>
              </w:rPr>
            </w:pPr>
            <w:r w:rsidRPr="00453C46">
              <w:t xml:space="preserve">Nariadenie vlády Slovenskej republiky č. 410/2007 Z. z. o minimálnych zdravotných a bezpečnostných požiadavkách na ochranu zamestnancov pred rizikami súvisiacimi s expozíciou umelému optickému žiareniu.  </w:t>
            </w:r>
          </w:p>
          <w:p w:rsidR="00663FDB" w:rsidRPr="00453C46" w:rsidP="00AC2F0E">
            <w:pPr>
              <w:pStyle w:val="NormalWeb"/>
              <w:spacing w:before="0" w:beforeAutospacing="0" w:after="0" w:afterAutospacing="0"/>
              <w:jc w:val="both"/>
              <w:rPr>
                <w:bCs/>
                <w:iCs/>
              </w:rPr>
            </w:pPr>
            <w:r w:rsidRPr="00453C46">
              <w:rPr>
                <w:bCs/>
                <w:iCs/>
              </w:rPr>
              <w:t>Zákon č. 249/2022 Z. z., ktorým sa menia a dopĺňajú niektoré zákony v súvislosti so zlepšovaním podnikateľského prostredia.</w:t>
            </w:r>
          </w:p>
          <w:p w:rsidR="00663FDB" w:rsidRPr="00663FDB" w:rsidP="00AC2F0E">
            <w:pPr>
              <w:spacing w:after="0"/>
              <w:ind w:right="476"/>
              <w:contextualSpacing/>
              <w:jc w:val="both"/>
              <w:rPr>
                <w:rFonts w:ascii="Times New Roman" w:hAnsi="Times New Roman"/>
              </w:rPr>
            </w:pPr>
          </w:p>
          <w:p w:rsidR="00663FDB" w:rsidRPr="00453C46" w:rsidP="00AC2F0E">
            <w:pPr>
              <w:spacing w:after="100" w:afterAutospacing="1"/>
              <w:ind w:right="479"/>
              <w:jc w:val="both"/>
              <w:rPr>
                <w:rFonts w:ascii="Times" w:hAnsi="Times" w:cs="Times"/>
              </w:rPr>
            </w:pPr>
          </w:p>
        </w:tc>
      </w:tr>
      <w:tr w:rsidTr="00AC2F0E">
        <w:tblPrEx>
          <w:tblW w:w="10031" w:type="dxa"/>
          <w:jc w:val="center"/>
          <w:tblCellMar>
            <w:left w:w="0" w:type="dxa"/>
            <w:right w:w="0" w:type="dxa"/>
          </w:tblCellMar>
          <w:tblLook w:val="0000"/>
        </w:tblPrEx>
        <w:trPr>
          <w:jc w:val="center"/>
        </w:trPr>
        <w:tc>
          <w:tcPr>
            <w:tcW w:w="470" w:type="dxa"/>
            <w:tcBorders>
              <w:top w:val="nil"/>
              <w:left w:val="nil"/>
              <w:bottom w:val="nil"/>
              <w:right w:val="nil"/>
            </w:tcBorders>
          </w:tcPr>
          <w:p w:rsidR="00663FDB" w:rsidRPr="00453C46" w:rsidP="00AC2F0E">
            <w:pPr>
              <w:spacing w:after="250"/>
              <w:rPr>
                <w:rFonts w:ascii="Times" w:eastAsia="Times New Roman" w:hAnsi="Times" w:cs="Times"/>
              </w:rPr>
            </w:pPr>
          </w:p>
        </w:tc>
        <w:tc>
          <w:tcPr>
            <w:tcW w:w="282" w:type="dxa"/>
            <w:tcBorders>
              <w:top w:val="nil"/>
              <w:left w:val="nil"/>
              <w:bottom w:val="nil"/>
              <w:right w:val="nil"/>
            </w:tcBorders>
          </w:tcPr>
          <w:p w:rsidR="00663FDB" w:rsidRPr="00453C46" w:rsidP="00AC2F0E">
            <w:pPr>
              <w:rPr>
                <w:rFonts w:eastAsia="Times New Roman"/>
              </w:rPr>
            </w:pPr>
          </w:p>
        </w:tc>
        <w:tc>
          <w:tcPr>
            <w:tcW w:w="8654" w:type="dxa"/>
            <w:tcBorders>
              <w:top w:val="nil"/>
              <w:left w:val="nil"/>
              <w:bottom w:val="nil"/>
              <w:right w:val="nil"/>
            </w:tcBorders>
            <w:vAlign w:val="center"/>
          </w:tcPr>
          <w:p w:rsidR="00663FDB" w:rsidRPr="00453C46" w:rsidP="00AC2F0E">
            <w:pPr>
              <w:spacing w:after="250"/>
              <w:ind w:right="479"/>
              <w:jc w:val="both"/>
              <w:rPr>
                <w:rFonts w:ascii="Times" w:eastAsia="Times New Roman" w:hAnsi="Times" w:cs="Times"/>
              </w:rPr>
            </w:pPr>
            <w:r w:rsidRPr="00453C46">
              <w:rPr>
                <w:rFonts w:ascii="Times" w:eastAsia="Times New Roman" w:hAnsi="Times" w:cs="Times"/>
              </w:rPr>
              <w:t>- nie je</w:t>
            </w:r>
          </w:p>
        </w:tc>
      </w:tr>
    </w:tbl>
    <w:p w:rsidR="00663FDB" w:rsidRPr="00453C46" w:rsidP="00663FDB">
      <w:pPr>
        <w:rPr>
          <w:rFonts w:ascii="Times New Roman" w:hAnsi="Times New Roman"/>
          <w:b/>
          <w:sz w:val="24"/>
          <w:szCs w:val="24"/>
        </w:rPr>
      </w:pPr>
      <w:r w:rsidRPr="00453C46">
        <w:rPr>
          <w:rFonts w:ascii="Times New Roman" w:hAnsi="Times New Roman"/>
          <w:b/>
          <w:sz w:val="24"/>
          <w:szCs w:val="24"/>
        </w:rPr>
        <w:t>5.</w:t>
      </w:r>
      <w:r w:rsidRPr="00453C46">
        <w:rPr>
          <w:rFonts w:ascii="Times New Roman" w:hAnsi="Times New Roman"/>
          <w:sz w:val="24"/>
          <w:szCs w:val="24"/>
        </w:rPr>
        <w:t xml:space="preserve"> </w:t>
      </w:r>
      <w:r w:rsidRPr="00453C46">
        <w:rPr>
          <w:rFonts w:ascii="Times New Roman" w:hAnsi="Times New Roman"/>
          <w:b/>
          <w:sz w:val="24"/>
          <w:szCs w:val="24"/>
        </w:rPr>
        <w:t>Návrh zákona je zlučiteľný s právom Európskej únie:</w:t>
      </w:r>
    </w:p>
    <w:tbl>
      <w:tblPr>
        <w:tblStyle w:val="TableNormal"/>
        <w:tblW w:w="10031" w:type="dxa"/>
        <w:jc w:val="center"/>
        <w:tblCellMar>
          <w:left w:w="0" w:type="dxa"/>
          <w:right w:w="0" w:type="dxa"/>
        </w:tblCellMar>
        <w:tblLook w:val="0000"/>
      </w:tblPr>
      <w:tblGrid>
        <w:gridCol w:w="501"/>
        <w:gridCol w:w="301"/>
        <w:gridCol w:w="9229"/>
      </w:tblGrid>
      <w:tr w:rsidTr="00AC2F0E">
        <w:tblPrEx>
          <w:tblW w:w="10031" w:type="dxa"/>
          <w:jc w:val="center"/>
          <w:tblCellMar>
            <w:left w:w="0" w:type="dxa"/>
            <w:right w:w="0" w:type="dxa"/>
          </w:tblCellMar>
          <w:tblLook w:val="0000"/>
        </w:tblPrEx>
        <w:trPr>
          <w:jc w:val="center"/>
        </w:trPr>
        <w:tc>
          <w:tcPr>
            <w:tcW w:w="470" w:type="dxa"/>
            <w:tcBorders>
              <w:top w:val="nil"/>
              <w:left w:val="nil"/>
              <w:bottom w:val="nil"/>
              <w:right w:val="nil"/>
            </w:tcBorders>
          </w:tcPr>
          <w:p w:rsidR="00663FDB" w:rsidRPr="00453C46" w:rsidP="00AC2F0E">
            <w:pPr>
              <w:spacing w:after="250"/>
              <w:rPr>
                <w:rFonts w:ascii="Times" w:eastAsia="Times New Roman" w:hAnsi="Times" w:cs="Times"/>
              </w:rPr>
            </w:pPr>
          </w:p>
        </w:tc>
        <w:tc>
          <w:tcPr>
            <w:tcW w:w="282" w:type="dxa"/>
            <w:tcBorders>
              <w:top w:val="nil"/>
              <w:left w:val="nil"/>
              <w:bottom w:val="nil"/>
              <w:right w:val="nil"/>
            </w:tcBorders>
          </w:tcPr>
          <w:p w:rsidR="00663FDB" w:rsidRPr="00453C46" w:rsidP="00AC2F0E">
            <w:pPr>
              <w:rPr>
                <w:rFonts w:eastAsia="Times New Roman"/>
              </w:rPr>
            </w:pPr>
          </w:p>
        </w:tc>
        <w:tc>
          <w:tcPr>
            <w:tcW w:w="8654" w:type="dxa"/>
            <w:tcBorders>
              <w:top w:val="nil"/>
              <w:left w:val="nil"/>
              <w:bottom w:val="nil"/>
              <w:right w:val="nil"/>
            </w:tcBorders>
            <w:vAlign w:val="center"/>
          </w:tcPr>
          <w:p w:rsidR="00663FDB" w:rsidRPr="00453C46" w:rsidP="00AC2F0E">
            <w:pPr>
              <w:spacing w:after="250"/>
              <w:ind w:right="479"/>
              <w:jc w:val="both"/>
              <w:rPr>
                <w:rFonts w:ascii="Times" w:eastAsia="Times New Roman" w:hAnsi="Times" w:cs="Times"/>
              </w:rPr>
            </w:pPr>
            <w:r w:rsidRPr="00453C46">
              <w:rPr>
                <w:rFonts w:ascii="Times" w:eastAsia="Times New Roman" w:hAnsi="Times" w:cs="Times"/>
              </w:rPr>
              <w:t>- úplne</w:t>
            </w:r>
          </w:p>
        </w:tc>
      </w:tr>
    </w:tbl>
    <w:p w:rsidR="00663FDB" w:rsidRPr="00453C46" w:rsidP="00663FDB"/>
    <w:p w:rsidR="00A45E3E" w:rsidRPr="000519DA" w:rsidP="00A45E3E">
      <w:pPr>
        <w:jc w:val="center"/>
        <w:rPr>
          <w:rFonts w:ascii="Times New Roman" w:hAnsi="Times New Roman"/>
          <w:b/>
          <w:iCs/>
        </w:rPr>
      </w:pPr>
      <w:r w:rsidR="00663FDB">
        <w:rPr>
          <w:rFonts w:ascii="Times New Roman" w:hAnsi="Times New Roman"/>
          <w:b/>
          <w:iCs/>
        </w:rPr>
        <w:br w:type="page"/>
      </w:r>
      <w:r w:rsidRPr="000519DA">
        <w:rPr>
          <w:rFonts w:ascii="Times New Roman" w:hAnsi="Times New Roman"/>
          <w:b/>
          <w:iCs/>
        </w:rPr>
        <w:t>Dôvodová správa</w:t>
      </w:r>
    </w:p>
    <w:p w:rsidR="00A45E3E" w:rsidRPr="000519DA" w:rsidP="00A45E3E">
      <w:pPr>
        <w:jc w:val="both"/>
        <w:rPr>
          <w:rFonts w:ascii="Times New Roman" w:hAnsi="Times New Roman"/>
          <w:b/>
          <w:i/>
        </w:rPr>
      </w:pPr>
      <w:r w:rsidRPr="000519DA">
        <w:rPr>
          <w:rFonts w:ascii="Times New Roman" w:hAnsi="Times New Roman"/>
          <w:b/>
          <w:i/>
        </w:rPr>
        <w:t>Osobitná časť</w:t>
      </w:r>
    </w:p>
    <w:p w:rsidR="00A45E3E" w:rsidRPr="000519DA" w:rsidP="00A45E3E">
      <w:pPr>
        <w:spacing w:after="0" w:line="240" w:lineRule="auto"/>
        <w:contextualSpacing/>
        <w:jc w:val="both"/>
        <w:rPr>
          <w:rFonts w:ascii="Times New Roman" w:hAnsi="Times New Roman"/>
          <w:b/>
          <w:bCs/>
          <w:iCs/>
          <w:sz w:val="24"/>
          <w:szCs w:val="24"/>
        </w:rPr>
      </w:pPr>
      <w:r w:rsidRPr="000519DA">
        <w:rPr>
          <w:rFonts w:ascii="Times New Roman" w:hAnsi="Times New Roman"/>
          <w:b/>
          <w:bCs/>
          <w:iCs/>
        </w:rPr>
        <w:t>Čl. I</w:t>
      </w:r>
    </w:p>
    <w:p w:rsidR="00F7007B" w:rsidRPr="000519DA" w:rsidP="00F7007B">
      <w:pPr>
        <w:spacing w:after="0" w:line="240" w:lineRule="auto"/>
        <w:jc w:val="both"/>
        <w:rPr>
          <w:rFonts w:ascii="Times New Roman" w:eastAsia="Times New Roman" w:hAnsi="Times New Roman"/>
          <w:b/>
          <w:sz w:val="24"/>
          <w:szCs w:val="24"/>
          <w:lang w:eastAsia="sk-SK"/>
        </w:rPr>
      </w:pPr>
    </w:p>
    <w:p w:rsidR="000B5A7F" w:rsidRPr="000519DA" w:rsidP="00F7007B">
      <w:pPr>
        <w:spacing w:after="0" w:line="240" w:lineRule="auto"/>
        <w:jc w:val="both"/>
        <w:rPr>
          <w:rFonts w:ascii="Times New Roman" w:eastAsia="Times New Roman" w:hAnsi="Times New Roman"/>
          <w:b/>
          <w:sz w:val="24"/>
          <w:szCs w:val="24"/>
          <w:lang w:eastAsia="sk-SK"/>
        </w:rPr>
      </w:pPr>
      <w:r w:rsidRPr="000519DA">
        <w:rPr>
          <w:rFonts w:ascii="Times New Roman" w:eastAsia="Times New Roman" w:hAnsi="Times New Roman"/>
          <w:b/>
          <w:sz w:val="24"/>
          <w:szCs w:val="24"/>
          <w:lang w:eastAsia="sk-SK"/>
        </w:rPr>
        <w:t>K</w:t>
      </w:r>
      <w:r w:rsidRPr="000519DA" w:rsidR="00F7007B">
        <w:rPr>
          <w:rFonts w:ascii="Times New Roman" w:eastAsia="Times New Roman" w:hAnsi="Times New Roman"/>
          <w:b/>
          <w:sz w:val="24"/>
          <w:szCs w:val="24"/>
          <w:lang w:eastAsia="sk-SK"/>
        </w:rPr>
        <w:t> </w:t>
      </w:r>
      <w:r w:rsidRPr="000519DA">
        <w:rPr>
          <w:rFonts w:ascii="Times New Roman" w:eastAsia="Times New Roman" w:hAnsi="Times New Roman"/>
          <w:b/>
          <w:sz w:val="24"/>
          <w:szCs w:val="24"/>
          <w:lang w:eastAsia="sk-SK"/>
        </w:rPr>
        <w:t>bodu 1</w:t>
      </w:r>
    </w:p>
    <w:p w:rsidR="000B5A7F" w:rsidRPr="000519DA" w:rsidP="00F7007B">
      <w:pPr>
        <w:spacing w:after="100" w:afterAutospacing="1" w:line="240" w:lineRule="auto"/>
        <w:jc w:val="both"/>
        <w:rPr>
          <w:rFonts w:ascii="Times New Roman" w:eastAsia="Times New Roman" w:hAnsi="Times New Roman"/>
          <w:sz w:val="24"/>
          <w:szCs w:val="24"/>
          <w:lang w:eastAsia="sk-SK"/>
        </w:rPr>
      </w:pPr>
      <w:r w:rsidRPr="000519DA">
        <w:rPr>
          <w:rFonts w:ascii="Times New Roman" w:eastAsia="Times New Roman" w:hAnsi="Times New Roman"/>
          <w:sz w:val="24"/>
          <w:szCs w:val="24"/>
          <w:lang w:eastAsia="sk-SK"/>
        </w:rPr>
        <w:t>Legislatívno-technická  úprava.</w:t>
      </w:r>
    </w:p>
    <w:p w:rsidR="000B5A7F" w:rsidRPr="000519DA" w:rsidP="00F7007B">
      <w:pPr>
        <w:spacing w:after="0" w:line="240" w:lineRule="auto"/>
        <w:jc w:val="both"/>
        <w:rPr>
          <w:rFonts w:ascii="Times New Roman" w:eastAsia="Times New Roman" w:hAnsi="Times New Roman"/>
          <w:b/>
          <w:sz w:val="24"/>
          <w:szCs w:val="24"/>
          <w:lang w:eastAsia="sk-SK"/>
        </w:rPr>
      </w:pPr>
      <w:r w:rsidRPr="000519DA">
        <w:rPr>
          <w:rFonts w:ascii="Times New Roman" w:eastAsia="Times New Roman" w:hAnsi="Times New Roman"/>
          <w:b/>
          <w:sz w:val="24"/>
          <w:szCs w:val="24"/>
          <w:lang w:eastAsia="sk-SK"/>
        </w:rPr>
        <w:t>K</w:t>
      </w:r>
      <w:r w:rsidRPr="000519DA" w:rsidR="00F7007B">
        <w:rPr>
          <w:rFonts w:ascii="Times New Roman" w:eastAsia="Times New Roman" w:hAnsi="Times New Roman"/>
          <w:b/>
          <w:sz w:val="24"/>
          <w:szCs w:val="24"/>
          <w:lang w:eastAsia="sk-SK"/>
        </w:rPr>
        <w:t> </w:t>
      </w:r>
      <w:r w:rsidRPr="000519DA">
        <w:rPr>
          <w:rFonts w:ascii="Times New Roman" w:eastAsia="Times New Roman" w:hAnsi="Times New Roman"/>
          <w:b/>
          <w:sz w:val="24"/>
          <w:szCs w:val="24"/>
          <w:lang w:eastAsia="sk-SK"/>
        </w:rPr>
        <w:t>bodu 2</w:t>
      </w:r>
    </w:p>
    <w:p w:rsidR="00A0136A" w:rsidRPr="000519DA" w:rsidP="00F7007B">
      <w:pPr>
        <w:pStyle w:val="ListParagraph"/>
        <w:ind w:left="0"/>
        <w:contextualSpacing/>
        <w:jc w:val="both"/>
      </w:pPr>
      <w:r w:rsidRPr="000519DA" w:rsidR="00F7007B">
        <w:t>Ide o legislatívno-technickú úpravu v súvislosti s novým znením § 17b a to tak, že sa vypúšťa pojem manažment rizík pri zásobovaní pitnou vodou, ktorý sa</w:t>
      </w:r>
      <w:r w:rsidRPr="000519DA" w:rsidR="00F7007B">
        <w:rPr>
          <w:b/>
        </w:rPr>
        <w:t xml:space="preserve"> </w:t>
      </w:r>
      <w:r w:rsidRPr="000519DA" w:rsidR="00F7007B">
        <w:t xml:space="preserve">v súlade </w:t>
        <w:br/>
        <w:t xml:space="preserve">s novými požiadavkami Smernice Európskeho parlamentu a Rady  (EÚ) 2020/2184 zo 16. decembra 2020 o kvalite vody určenej na ľudskú spotrebu </w:t>
      </w:r>
      <w:r w:rsidRPr="000519DA" w:rsidR="007D63E4">
        <w:t xml:space="preserve">(prepracované znenie) </w:t>
      </w:r>
      <w:r w:rsidRPr="000519DA" w:rsidR="00F7007B">
        <w:t>(ďalej len „</w:t>
      </w:r>
      <w:bookmarkStart w:id="4" w:name="_Hlk110253628"/>
      <w:r w:rsidRPr="000519DA" w:rsidR="00253208">
        <w:t>smernica (EÚ) 2020/2184</w:t>
      </w:r>
      <w:bookmarkEnd w:id="4"/>
      <w:r w:rsidRPr="000519DA" w:rsidR="00F7007B">
        <w:t xml:space="preserve">“) spresňuje a dopĺňa do § 17b.  </w:t>
      </w:r>
    </w:p>
    <w:p w:rsidR="00A0136A" w:rsidRPr="000519DA" w:rsidP="00F7007B">
      <w:pPr>
        <w:pStyle w:val="ListParagraph"/>
        <w:ind w:left="0"/>
        <w:contextualSpacing/>
        <w:jc w:val="both"/>
      </w:pPr>
    </w:p>
    <w:p w:rsidR="00F7007B" w:rsidRPr="000519DA" w:rsidP="00F7007B">
      <w:pPr>
        <w:pStyle w:val="ListParagraph"/>
        <w:ind w:left="0"/>
        <w:contextualSpacing/>
        <w:jc w:val="both"/>
      </w:pPr>
      <w:r w:rsidRPr="000519DA">
        <w:t xml:space="preserve">Do § 2 sa dopĺňa nová definícia incidentu, ktorú ustanovuje </w:t>
      </w:r>
      <w:r w:rsidRPr="000519DA" w:rsidR="00253208">
        <w:t xml:space="preserve">smernica (EÚ) 2020/2184 </w:t>
      </w:r>
      <w:r w:rsidRPr="000519DA">
        <w:t>pre situácie, ktoré predstavujú významné zdravotné riziko v súvislosti so zásobovaním pitnou vodou pre stanovený počet zásobovaných obyvateľov.</w:t>
      </w:r>
    </w:p>
    <w:p w:rsidR="00F7007B" w:rsidRPr="000519DA" w:rsidP="00F7007B">
      <w:pPr>
        <w:spacing w:before="240" w:after="0" w:line="240" w:lineRule="auto"/>
        <w:jc w:val="both"/>
        <w:rPr>
          <w:rFonts w:ascii="Times New Roman" w:eastAsia="Times New Roman" w:hAnsi="Times New Roman"/>
          <w:b/>
          <w:bCs/>
          <w:sz w:val="24"/>
          <w:szCs w:val="24"/>
          <w:lang w:eastAsia="sk-SK"/>
        </w:rPr>
      </w:pPr>
      <w:r w:rsidRPr="000519DA" w:rsidR="000B5A7F">
        <w:rPr>
          <w:rFonts w:ascii="Times New Roman" w:eastAsia="Times New Roman" w:hAnsi="Times New Roman"/>
          <w:b/>
          <w:bCs/>
          <w:sz w:val="24"/>
          <w:szCs w:val="24"/>
          <w:lang w:eastAsia="sk-SK"/>
        </w:rPr>
        <w:t>K</w:t>
      </w:r>
      <w:r w:rsidRPr="000519DA">
        <w:rPr>
          <w:rFonts w:ascii="Times New Roman" w:eastAsia="Times New Roman" w:hAnsi="Times New Roman"/>
          <w:b/>
          <w:bCs/>
          <w:sz w:val="24"/>
          <w:szCs w:val="24"/>
          <w:lang w:eastAsia="sk-SK"/>
        </w:rPr>
        <w:t> </w:t>
      </w:r>
      <w:r w:rsidRPr="000519DA" w:rsidR="000B5A7F">
        <w:rPr>
          <w:rFonts w:ascii="Times New Roman" w:eastAsia="Times New Roman" w:hAnsi="Times New Roman"/>
          <w:b/>
          <w:bCs/>
          <w:sz w:val="24"/>
          <w:szCs w:val="24"/>
          <w:lang w:eastAsia="sk-SK"/>
        </w:rPr>
        <w:t>bodu 3</w:t>
      </w:r>
    </w:p>
    <w:p w:rsidR="00F7007B" w:rsidRPr="000519DA" w:rsidP="00F7007B">
      <w:pPr>
        <w:pStyle w:val="ListParagraph"/>
        <w:ind w:left="0"/>
        <w:contextualSpacing/>
        <w:jc w:val="both"/>
      </w:pPr>
      <w:r w:rsidRPr="000519DA">
        <w:t xml:space="preserve">Kompetencia Úradu verejného zdravotníctva Slovenskej republiky (ďalej len „ÚVZ“) povoľovať použitie iných metód a pravidiel pri analýzach pitnej vody a pri analýzach vody na kúpanie bola v súlade s požiadavkami </w:t>
      </w:r>
      <w:r w:rsidRPr="000519DA" w:rsidR="00253208">
        <w:t xml:space="preserve">smernice (EÚ) 2020/2184 </w:t>
      </w:r>
      <w:r w:rsidRPr="000519DA">
        <w:t xml:space="preserve">zrušená a nahradená povinnosťou ÚVZ vykonať národnú analýzu rizík z domových rozvodných systémov. Domové rozvodné systémy v budovách sú významným faktorom, ktorý môže v procese zásobovania pitnou vodu ovplyvniť kvalitu pitnej vody u spotrebiteľa na kohútiku. Za ich stav a údržbu domových rozvodných systémov nezodpovedá dodávateľ pitnej vody. Vplyvu domových rozvodných systémov nebola doteraz venovaná dostatočná pozornosť, preto sa </w:t>
      </w:r>
      <w:r w:rsidRPr="000519DA" w:rsidR="00253208">
        <w:t xml:space="preserve">smernicou (EÚ) 2020/2184 </w:t>
      </w:r>
      <w:r w:rsidRPr="000519DA">
        <w:t>zavádza tento nový pojem a následne aj nové požiadavky v oblasti zisťovania ich možného vplyvu na kvalitu pitnej vody.</w:t>
      </w:r>
    </w:p>
    <w:p w:rsidR="00F7007B" w:rsidRPr="000519DA" w:rsidP="00F7007B">
      <w:pPr>
        <w:spacing w:after="0" w:line="240" w:lineRule="auto"/>
        <w:jc w:val="both"/>
        <w:rPr>
          <w:rFonts w:ascii="Times New Roman" w:eastAsia="Times New Roman" w:hAnsi="Times New Roman"/>
          <w:b/>
          <w:bCs/>
          <w:sz w:val="24"/>
          <w:szCs w:val="24"/>
          <w:lang w:eastAsia="sk-SK"/>
        </w:rPr>
      </w:pPr>
    </w:p>
    <w:p w:rsidR="000B5A7F" w:rsidRPr="000519DA" w:rsidP="00F7007B">
      <w:pPr>
        <w:spacing w:after="0" w:line="240" w:lineRule="auto"/>
        <w:jc w:val="both"/>
        <w:rPr>
          <w:rFonts w:ascii="Times New Roman" w:eastAsia="Times New Roman" w:hAnsi="Times New Roman"/>
          <w:b/>
          <w:bCs/>
          <w:sz w:val="24"/>
          <w:szCs w:val="24"/>
          <w:lang w:eastAsia="sk-SK"/>
        </w:rPr>
      </w:pPr>
      <w:r w:rsidRPr="000519DA">
        <w:rPr>
          <w:rFonts w:ascii="Times New Roman" w:eastAsia="Times New Roman" w:hAnsi="Times New Roman"/>
          <w:b/>
          <w:bCs/>
          <w:sz w:val="24"/>
          <w:szCs w:val="24"/>
          <w:lang w:eastAsia="sk-SK"/>
        </w:rPr>
        <w:t>K bodu 4</w:t>
      </w:r>
    </w:p>
    <w:p w:rsidR="000B5A7F" w:rsidRPr="000519DA" w:rsidP="00D513DA">
      <w:pPr>
        <w:spacing w:after="100" w:afterAutospacing="1" w:line="240" w:lineRule="auto"/>
        <w:jc w:val="both"/>
        <w:rPr>
          <w:rStyle w:val="awspanawtext3"/>
          <w:rFonts w:ascii="Times New Roman" w:eastAsia="Times New Roman" w:hAnsi="Times New Roman"/>
          <w:sz w:val="24"/>
          <w:szCs w:val="24"/>
          <w:lang w:eastAsia="sk-SK"/>
        </w:rPr>
      </w:pPr>
      <w:r w:rsidRPr="000519DA">
        <w:rPr>
          <w:rFonts w:ascii="Times New Roman" w:eastAsia="Times New Roman" w:hAnsi="Times New Roman"/>
          <w:sz w:val="24"/>
          <w:szCs w:val="24"/>
          <w:lang w:eastAsia="sk-SK"/>
        </w:rPr>
        <w:t>Legislatívno-technická  úprava.</w:t>
      </w:r>
    </w:p>
    <w:p w:rsidR="00A45E3E" w:rsidRPr="000519DA" w:rsidP="00D513DA">
      <w:pPr>
        <w:pStyle w:val="ListParagraph"/>
        <w:spacing w:before="240"/>
        <w:ind w:left="0"/>
        <w:contextualSpacing/>
        <w:jc w:val="both"/>
        <w:rPr>
          <w:rStyle w:val="awspanawtext3"/>
          <w:b/>
          <w:bCs/>
        </w:rPr>
      </w:pPr>
      <w:r w:rsidRPr="000519DA">
        <w:rPr>
          <w:rStyle w:val="awspanawtext3"/>
          <w:b/>
          <w:bCs/>
        </w:rPr>
        <w:t xml:space="preserve">K bodu </w:t>
      </w:r>
      <w:r w:rsidRPr="000519DA" w:rsidR="00F7007B">
        <w:rPr>
          <w:rStyle w:val="awspanawtext3"/>
          <w:b/>
          <w:bCs/>
        </w:rPr>
        <w:t>5</w:t>
      </w:r>
    </w:p>
    <w:p w:rsidR="00276804" w:rsidRPr="000519DA" w:rsidP="00F7007B">
      <w:pPr>
        <w:pStyle w:val="ListParagraph"/>
        <w:ind w:left="0"/>
        <w:contextualSpacing/>
        <w:jc w:val="both"/>
      </w:pPr>
      <w:r w:rsidRPr="000519DA">
        <w:t>Podľa požiadaviek novej smernice (EÚ) 2020/2184 je ÚVZ povinný poskytovať informácie Európskej komisii (ďalej len „EK“) formou zasielania údajov o metódach, ktoré nie sú štandardne využívané pri analýzach pitnej vody a vody na kúpanie sú však s nimi rovnocenné.</w:t>
      </w:r>
    </w:p>
    <w:p w:rsidR="00F7007B" w:rsidRPr="000519DA" w:rsidP="00F7007B">
      <w:pPr>
        <w:pStyle w:val="ListParagraph"/>
        <w:ind w:left="0"/>
        <w:contextualSpacing/>
        <w:jc w:val="both"/>
      </w:pPr>
      <w:r w:rsidRPr="000519DA">
        <w:t xml:space="preserve">Podľa požiadaviek novej </w:t>
      </w:r>
      <w:r w:rsidRPr="000519DA" w:rsidR="00253208">
        <w:t xml:space="preserve">smernice (EÚ) 2020/2184 </w:t>
      </w:r>
      <w:r w:rsidRPr="000519DA">
        <w:t xml:space="preserve">už nie je ÚVZ povinný poskytovať informácie Európskej komisii (ďalej len „EK“) formou zasielania údajov. Doterajšie povinnosti ÚVZ sa v návrhu zákona preto vypúšťajú a nahrádzajú novou povinnosťou v § 5 ods. 4 písm. at) poskytovať k informáciám priamy prístup. </w:t>
      </w:r>
    </w:p>
    <w:p w:rsidR="00A45E3E" w:rsidRPr="000519DA" w:rsidP="00A45E3E">
      <w:pPr>
        <w:pStyle w:val="ListParagraph"/>
        <w:ind w:left="0"/>
        <w:contextualSpacing/>
        <w:jc w:val="both"/>
      </w:pPr>
    </w:p>
    <w:p w:rsidR="00A45E3E" w:rsidRPr="000519DA" w:rsidP="00A45E3E">
      <w:pPr>
        <w:pStyle w:val="ListParagraph"/>
        <w:ind w:left="0"/>
        <w:contextualSpacing/>
        <w:jc w:val="both"/>
        <w:rPr>
          <w:rStyle w:val="awspanawtext3"/>
          <w:b/>
          <w:bCs/>
        </w:rPr>
      </w:pPr>
      <w:r w:rsidRPr="000519DA">
        <w:rPr>
          <w:rStyle w:val="awspanawtext3"/>
          <w:b/>
          <w:bCs/>
        </w:rPr>
        <w:t xml:space="preserve">K bodu </w:t>
      </w:r>
      <w:r w:rsidRPr="000519DA" w:rsidR="00F7007B">
        <w:rPr>
          <w:rStyle w:val="awspanawtext3"/>
          <w:b/>
          <w:bCs/>
        </w:rPr>
        <w:t>6</w:t>
      </w:r>
      <w:r w:rsidRPr="000519DA">
        <w:rPr>
          <w:rStyle w:val="awspanawtext3"/>
          <w:b/>
          <w:bCs/>
        </w:rPr>
        <w:t xml:space="preserve"> </w:t>
      </w:r>
    </w:p>
    <w:p w:rsidR="00F7007B" w:rsidRPr="000519DA" w:rsidP="00F7007B">
      <w:pPr>
        <w:pStyle w:val="ListParagraph"/>
        <w:ind w:left="0"/>
        <w:contextualSpacing/>
        <w:jc w:val="both"/>
        <w:rPr>
          <w:rStyle w:val="awspanawtext3"/>
        </w:rPr>
      </w:pPr>
      <w:r w:rsidRPr="000519DA">
        <w:rPr>
          <w:rStyle w:val="awspanawtext3"/>
        </w:rPr>
        <w:t>Do</w:t>
      </w:r>
      <w:r w:rsidRPr="000519DA">
        <w:rPr>
          <w:rStyle w:val="awspanawtext3"/>
          <w:spacing w:val="86"/>
        </w:rPr>
        <w:t xml:space="preserve"> </w:t>
      </w:r>
      <w:r w:rsidRPr="000519DA">
        <w:rPr>
          <w:rStyle w:val="awspanawtext3"/>
        </w:rPr>
        <w:t>návrhu</w:t>
      </w:r>
      <w:r w:rsidRPr="000519DA">
        <w:rPr>
          <w:rStyle w:val="awspanawtext3"/>
          <w:spacing w:val="86"/>
        </w:rPr>
        <w:t xml:space="preserve"> </w:t>
      </w:r>
      <w:r w:rsidRPr="000519DA">
        <w:rPr>
          <w:rStyle w:val="awspanawtext3"/>
        </w:rPr>
        <w:t>zákona</w:t>
      </w:r>
      <w:r w:rsidRPr="000519DA">
        <w:rPr>
          <w:rStyle w:val="awspanawtext3"/>
          <w:spacing w:val="86"/>
        </w:rPr>
        <w:t xml:space="preserve"> </w:t>
      </w:r>
      <w:r w:rsidRPr="000519DA">
        <w:rPr>
          <w:rStyle w:val="awspanawtext3"/>
        </w:rPr>
        <w:t>sa</w:t>
      </w:r>
      <w:r w:rsidRPr="000519DA">
        <w:rPr>
          <w:rStyle w:val="awspanawtext3"/>
          <w:spacing w:val="86"/>
        </w:rPr>
        <w:t xml:space="preserve"> </w:t>
      </w:r>
      <w:r w:rsidRPr="000519DA">
        <w:rPr>
          <w:rStyle w:val="awspanawtext3"/>
        </w:rPr>
        <w:t>dopĺňa</w:t>
      </w:r>
      <w:r w:rsidRPr="000519DA">
        <w:rPr>
          <w:rStyle w:val="awspanawtext3"/>
          <w:spacing w:val="86"/>
        </w:rPr>
        <w:t xml:space="preserve"> </w:t>
      </w:r>
      <w:r w:rsidRPr="000519DA">
        <w:rPr>
          <w:rStyle w:val="awspanawtext3"/>
        </w:rPr>
        <w:t xml:space="preserve">povinnosť ÚVZ informovať EK v súlade s požiadavkami </w:t>
      </w:r>
      <w:r w:rsidRPr="000519DA" w:rsidR="00253208">
        <w:t xml:space="preserve">smernice (EÚ) 2020/2184 </w:t>
      </w:r>
      <w:r w:rsidRPr="000519DA">
        <w:rPr>
          <w:rStyle w:val="awspanawtext3"/>
        </w:rPr>
        <w:t>o druhej výnimke na použitie vody, ktorá nespĺňa limity ukazovateľov kvality pitnej vody. Doteraz ÚVZ informovalo Komisiu</w:t>
      </w:r>
      <w:r w:rsidRPr="000519DA" w:rsidR="00276804">
        <w:rPr>
          <w:rStyle w:val="awspanawtext3"/>
        </w:rPr>
        <w:t xml:space="preserve"> iba</w:t>
      </w:r>
      <w:r w:rsidRPr="000519DA">
        <w:rPr>
          <w:rStyle w:val="awspanawtext3"/>
        </w:rPr>
        <w:t xml:space="preserve"> o tretej výnimke, ktorú </w:t>
      </w:r>
      <w:r w:rsidRPr="000519DA" w:rsidR="00276804">
        <w:rPr>
          <w:rStyle w:val="awspanawtext3"/>
        </w:rPr>
        <w:t xml:space="preserve">však </w:t>
      </w:r>
      <w:r w:rsidRPr="000519DA" w:rsidR="00253208">
        <w:t xml:space="preserve">smernica (EÚ) 2020/2184 </w:t>
      </w:r>
      <w:r w:rsidRPr="000519DA">
        <w:rPr>
          <w:rStyle w:val="awspanawtext3"/>
        </w:rPr>
        <w:t xml:space="preserve">zrušila. </w:t>
      </w:r>
    </w:p>
    <w:p w:rsidR="00A45E3E" w:rsidRPr="000519DA" w:rsidP="00A45E3E">
      <w:pPr>
        <w:pStyle w:val="ListParagraph"/>
        <w:ind w:left="0"/>
        <w:contextualSpacing/>
        <w:jc w:val="both"/>
        <w:rPr>
          <w:rStyle w:val="awspanawtext3"/>
          <w:b/>
        </w:rPr>
      </w:pPr>
    </w:p>
    <w:p w:rsidR="00A45E3E" w:rsidRPr="000519DA" w:rsidP="00A45E3E">
      <w:pPr>
        <w:pStyle w:val="ListParagraph"/>
        <w:ind w:left="0"/>
        <w:contextualSpacing/>
        <w:jc w:val="both"/>
        <w:rPr>
          <w:rStyle w:val="awspanawtext3"/>
          <w:b/>
        </w:rPr>
      </w:pPr>
      <w:r w:rsidRPr="000519DA">
        <w:rPr>
          <w:rStyle w:val="awspanawtext3"/>
          <w:b/>
          <w:bCs/>
        </w:rPr>
        <w:t>K bodu</w:t>
      </w:r>
      <w:r w:rsidRPr="000519DA">
        <w:rPr>
          <w:rStyle w:val="awspanawtext3"/>
        </w:rPr>
        <w:t xml:space="preserve"> </w:t>
      </w:r>
      <w:r w:rsidRPr="000519DA" w:rsidR="00F7007B">
        <w:rPr>
          <w:rStyle w:val="awspanawtext3"/>
          <w:b/>
        </w:rPr>
        <w:t>7</w:t>
      </w:r>
    </w:p>
    <w:p w:rsidR="00F7007B" w:rsidRPr="000519DA" w:rsidP="00F7007B">
      <w:pPr>
        <w:pStyle w:val="ListParagraph"/>
        <w:ind w:left="0"/>
        <w:contextualSpacing/>
        <w:jc w:val="both"/>
        <w:rPr>
          <w:rStyle w:val="awspanawtext3"/>
        </w:rPr>
      </w:pPr>
      <w:r w:rsidRPr="000519DA">
        <w:rPr>
          <w:rStyle w:val="awspanawtext3"/>
        </w:rPr>
        <w:t xml:space="preserve">Dopĺňajú  sa povinnosti ÚVZ poskytovať verejnosti viaceré typy údajov. Ide o vhodné a zo zdravotného hľadiska dôležité informácie o kvalite pitnej vody a o povolených výnimkách na použitie vody, ktorá nespĺňa limitné hodnoty ukazovateľov. Ak obyvatelia nemajú možnosť využívať verejné vodovody a spoľahlivé spôsoby zásobovania a sú odkázaní na zásobovanie z vlastných zdrojov, ÚVZ je podľa </w:t>
      </w:r>
      <w:r w:rsidRPr="000519DA" w:rsidR="00253208">
        <w:t xml:space="preserve">smernice (EÚ) 2020/2184 </w:t>
      </w:r>
      <w:r w:rsidRPr="000519DA">
        <w:rPr>
          <w:rStyle w:val="awspanawtext3"/>
        </w:rPr>
        <w:t>povinný poskytnúť verejnosti informácie o rizikách z používania vody a spôsoboch, ako predísť vplyvu k</w:t>
      </w:r>
      <w:r w:rsidRPr="000519DA" w:rsidR="00B40E8B">
        <w:rPr>
          <w:rStyle w:val="awspanawtext3"/>
        </w:rPr>
        <w:t xml:space="preserve">ontaminovanej vody na zdravie. Úroveň primeraných informácií nie je možné jednoznačne špecifikovať, nakoľko vždy je potrebné </w:t>
      </w:r>
      <w:r w:rsidRPr="000519DA" w:rsidR="0066142A">
        <w:rPr>
          <w:rStyle w:val="awspanawtext3"/>
        </w:rPr>
        <w:t>prihliadať na konkrétnu situáciu – podmienky prístupu k vode, charakter populácie, ktorej sa informácie týkajú atď. Orgány verejného zdravotníctva, ktoré dlhodobo vykonávajú monitoring pitnej vody a dohľad nad hromadným zásobovaním sú schopné odborne posúdiť primeranosť informácií, ktoré je verejnosti vhodné poskytnúť.</w:t>
      </w:r>
    </w:p>
    <w:p w:rsidR="00F7007B" w:rsidRPr="000519DA" w:rsidP="00F7007B">
      <w:pPr>
        <w:pStyle w:val="ListParagraph"/>
        <w:ind w:left="0"/>
        <w:contextualSpacing/>
        <w:jc w:val="both"/>
        <w:rPr>
          <w:rStyle w:val="awspanawtext3"/>
        </w:rPr>
      </w:pPr>
    </w:p>
    <w:p w:rsidR="00F7007B" w:rsidRPr="000519DA" w:rsidP="00F7007B">
      <w:pPr>
        <w:pStyle w:val="ListParagraph"/>
        <w:ind w:left="0"/>
        <w:contextualSpacing/>
        <w:jc w:val="both"/>
        <w:rPr>
          <w:rStyle w:val="awspanawtext3"/>
        </w:rPr>
      </w:pPr>
      <w:r w:rsidRPr="000519DA">
        <w:rPr>
          <w:rStyle w:val="awspanawtext3"/>
        </w:rPr>
        <w:t>Pre zlepšenie informovanosti dodávateľov pitnej vody o kontaminantoch, ktoré je v pitnej vode potrebné kontrolovať, sa dopĺňa povinnosť ÚVZ zverejňovať aktuálny zoznam sledovaných látok alebo zlúčenín, ktoré vykonávacími rozhodnutiami zverejňuje EK ako látky a zlúčeniny, vzbudzujúce obavy. Ide o látky a zlúčeniny, ktorých príjem z pitnej vody je nežiadúci, pretože ich vplyv na zdravie nie je dostatočne nepreskúmaný a na základe určitých poznatkov môže predstavovať riziko.</w:t>
      </w:r>
    </w:p>
    <w:p w:rsidR="00F7007B" w:rsidRPr="000519DA" w:rsidP="00F7007B">
      <w:pPr>
        <w:pStyle w:val="ListParagraph"/>
        <w:ind w:left="0"/>
        <w:contextualSpacing/>
        <w:jc w:val="both"/>
        <w:rPr>
          <w:rStyle w:val="awspanawtext3"/>
        </w:rPr>
      </w:pPr>
    </w:p>
    <w:p w:rsidR="00F7007B" w:rsidRPr="000519DA" w:rsidP="00F7007B">
      <w:pPr>
        <w:pStyle w:val="ListParagraph"/>
        <w:ind w:left="0"/>
        <w:contextualSpacing/>
        <w:jc w:val="both"/>
        <w:rPr>
          <w:rStyle w:val="awspanawtext3"/>
        </w:rPr>
      </w:pPr>
      <w:r w:rsidRPr="000519DA">
        <w:rPr>
          <w:rStyle w:val="awspanawtext3"/>
        </w:rPr>
        <w:t xml:space="preserve">Navrhovanou úpravou sa upravuje v súlade s požiadavkami </w:t>
      </w:r>
      <w:r w:rsidRPr="000519DA" w:rsidR="00253208">
        <w:t xml:space="preserve">smernice (EÚ) 2020/2184 </w:t>
      </w:r>
      <w:r w:rsidRPr="000519DA">
        <w:rPr>
          <w:rStyle w:val="awspanawtext3"/>
        </w:rPr>
        <w:t>kompetencia ÚVZ určiť na území Slovenskej republiky z hľadiska ochrany zdravia doplnkové ukazovatele kvality pitnej vody, ktoré je potrebné analyzovať nad rámec štandardne vyšetrovaných ukazovateľov určených platným vykonávacím predpisom. ÚVZ určí tieto doplnkové ukazovatele a ich limitné hodnoty iba na obmedzené obdobie a v prípade, že sa preukáže potreba ich ďalšieho sledovania, zaradí ich do zoznamu štandardne vyšetrovaných ukazovateľov.</w:t>
      </w:r>
    </w:p>
    <w:p w:rsidR="00F7007B" w:rsidRPr="000519DA" w:rsidP="00F7007B">
      <w:pPr>
        <w:pStyle w:val="ListParagraph"/>
        <w:ind w:left="0"/>
        <w:contextualSpacing/>
        <w:jc w:val="both"/>
        <w:rPr>
          <w:rStyle w:val="awspanawtext3"/>
        </w:rPr>
      </w:pPr>
    </w:p>
    <w:p w:rsidR="00F7007B" w:rsidRPr="000519DA" w:rsidP="00F7007B">
      <w:pPr>
        <w:pStyle w:val="ListParagraph"/>
        <w:ind w:left="0"/>
        <w:contextualSpacing/>
        <w:jc w:val="both"/>
        <w:rPr>
          <w:rStyle w:val="awspanawtext3"/>
        </w:rPr>
      </w:pPr>
      <w:r w:rsidRPr="000519DA">
        <w:rPr>
          <w:rStyle w:val="awspanawtext3"/>
        </w:rPr>
        <w:t xml:space="preserve">Podľa požiadaviek </w:t>
      </w:r>
      <w:r w:rsidRPr="000519DA" w:rsidR="00253208">
        <w:t xml:space="preserve">smernice (EÚ) 2020/2184 </w:t>
      </w:r>
      <w:r w:rsidRPr="000519DA">
        <w:rPr>
          <w:rStyle w:val="awspanawtext3"/>
        </w:rPr>
        <w:t xml:space="preserve">sa dopĺňa nová kompetencia pre ÚVZ v oblasti kontroly nad používanými metódami analýz pitnej vody. </w:t>
      </w:r>
    </w:p>
    <w:p w:rsidR="00F7007B" w:rsidRPr="000519DA" w:rsidP="00F7007B">
      <w:pPr>
        <w:pStyle w:val="ListParagraph"/>
        <w:ind w:left="0"/>
        <w:contextualSpacing/>
        <w:jc w:val="both"/>
        <w:rPr>
          <w:rStyle w:val="awspanawtext3"/>
        </w:rPr>
      </w:pPr>
    </w:p>
    <w:p w:rsidR="000866C6" w:rsidRPr="000519DA" w:rsidP="00A45E3E">
      <w:pPr>
        <w:pStyle w:val="ListParagraph"/>
        <w:ind w:left="0"/>
        <w:contextualSpacing/>
        <w:jc w:val="both"/>
        <w:rPr>
          <w:rStyle w:val="awspanawtext3"/>
        </w:rPr>
      </w:pPr>
      <w:r w:rsidRPr="000519DA" w:rsidR="00F7007B">
        <w:rPr>
          <w:rStyle w:val="awspanawtext3"/>
        </w:rPr>
        <w:t xml:space="preserve">Ďalej sa dopĺňa nová povinnosť poskytovať vybrané údaje pre </w:t>
      </w:r>
      <w:r w:rsidRPr="000519DA" w:rsidR="00F7007B">
        <w:t xml:space="preserve">EK, Európsku environmentálnu agentúru a Európske centrum pre prevenciu a kontrolu chorôb. </w:t>
      </w:r>
      <w:r w:rsidRPr="000519DA" w:rsidR="00F7007B">
        <w:rPr>
          <w:rStyle w:val="awspanawtext3"/>
        </w:rPr>
        <w:t xml:space="preserve">K údajom umožní pre uvedené inštitúcie ÚVZ priamy prístup. Niektoré údaje (o nevyhovujúcej kvalite pitnej vody a prijatých opatreniach, o incidentoch a povolených výnimkách) musia byť sprístupňované v ročných intervaloch. Údaje o krokoch ÚVZ v oblasti podpory používania pitnej vody z vodovodu a výsledkoch posúdenia rizík z domových rozvodných systémov musia byť aktualizované v šesťročných cykloch.  </w:t>
      </w:r>
    </w:p>
    <w:p w:rsidR="00D513DA" w:rsidRPr="000519DA" w:rsidP="00D513DA">
      <w:pPr>
        <w:spacing w:before="240" w:after="0" w:line="240" w:lineRule="auto"/>
        <w:jc w:val="both"/>
        <w:rPr>
          <w:rFonts w:ascii="Times New Roman" w:eastAsia="Times New Roman" w:hAnsi="Times New Roman"/>
          <w:b/>
          <w:bCs/>
          <w:sz w:val="24"/>
          <w:szCs w:val="24"/>
          <w:lang w:eastAsia="sk-SK"/>
        </w:rPr>
      </w:pPr>
      <w:r w:rsidRPr="000519DA">
        <w:rPr>
          <w:rFonts w:ascii="Times New Roman" w:eastAsia="Times New Roman" w:hAnsi="Times New Roman"/>
          <w:b/>
          <w:bCs/>
          <w:sz w:val="24"/>
          <w:szCs w:val="24"/>
          <w:lang w:eastAsia="sk-SK"/>
        </w:rPr>
        <w:t>K bodu 8</w:t>
      </w:r>
    </w:p>
    <w:p w:rsidR="00D513DA" w:rsidRPr="000519DA" w:rsidP="00D513DA">
      <w:pPr>
        <w:spacing w:after="240" w:line="240" w:lineRule="auto"/>
        <w:jc w:val="both"/>
        <w:rPr>
          <w:rFonts w:ascii="Times New Roman" w:eastAsia="Times New Roman" w:hAnsi="Times New Roman"/>
          <w:sz w:val="24"/>
          <w:szCs w:val="24"/>
          <w:lang w:eastAsia="sk-SK"/>
        </w:rPr>
      </w:pPr>
      <w:r w:rsidRPr="000519DA">
        <w:rPr>
          <w:rFonts w:ascii="Times New Roman" w:eastAsia="Times New Roman" w:hAnsi="Times New Roman"/>
          <w:sz w:val="24"/>
          <w:szCs w:val="24"/>
          <w:lang w:eastAsia="sk-SK"/>
        </w:rPr>
        <w:t xml:space="preserve">Doplnenie ďalšej kompetencie </w:t>
      </w:r>
      <w:r w:rsidRPr="000519DA" w:rsidR="00767A41">
        <w:rPr>
          <w:rFonts w:ascii="Times New Roman" w:eastAsia="Times New Roman" w:hAnsi="Times New Roman"/>
          <w:sz w:val="24"/>
          <w:szCs w:val="24"/>
          <w:lang w:eastAsia="sk-SK"/>
        </w:rPr>
        <w:t>ÚVZ</w:t>
      </w:r>
      <w:r w:rsidRPr="000519DA">
        <w:rPr>
          <w:rFonts w:ascii="Times New Roman" w:eastAsia="Times New Roman" w:hAnsi="Times New Roman"/>
          <w:sz w:val="24"/>
          <w:szCs w:val="24"/>
          <w:lang w:eastAsia="sk-SK"/>
        </w:rPr>
        <w:t>, ktorá umožňuje rovnako ako pri pitnej vode ustanoviť limit pre ukazovatele a látky, ktoré nemajú vzhľadom na ich ojedinelý výskyt alebo z dôvodu, že ide o nové látky, určené limitné hodnoty.</w:t>
      </w:r>
    </w:p>
    <w:p w:rsidR="000866C6" w:rsidRPr="000519DA" w:rsidP="00D513DA">
      <w:pPr>
        <w:spacing w:before="240" w:after="0" w:line="240" w:lineRule="auto"/>
        <w:jc w:val="both"/>
        <w:rPr>
          <w:rFonts w:ascii="Times New Roman" w:eastAsia="Times New Roman" w:hAnsi="Times New Roman"/>
          <w:sz w:val="24"/>
          <w:szCs w:val="24"/>
          <w:lang w:eastAsia="sk-SK"/>
        </w:rPr>
      </w:pPr>
      <w:r w:rsidRPr="000519DA" w:rsidR="00D513DA">
        <w:rPr>
          <w:rFonts w:ascii="Times New Roman" w:eastAsia="Times New Roman" w:hAnsi="Times New Roman"/>
          <w:b/>
          <w:bCs/>
          <w:sz w:val="24"/>
          <w:szCs w:val="24"/>
          <w:lang w:eastAsia="sk-SK"/>
        </w:rPr>
        <w:t>K bodu 9</w:t>
      </w:r>
    </w:p>
    <w:p w:rsidR="0056194E" w:rsidRPr="000519DA" w:rsidP="00F948D5">
      <w:pPr>
        <w:spacing w:after="240" w:line="240" w:lineRule="auto"/>
        <w:jc w:val="both"/>
        <w:rPr>
          <w:rFonts w:ascii="Times New Roman" w:eastAsia="Times New Roman" w:hAnsi="Times New Roman"/>
          <w:sz w:val="24"/>
          <w:szCs w:val="24"/>
          <w:lang w:eastAsia="sk-SK"/>
        </w:rPr>
      </w:pPr>
      <w:r w:rsidRPr="000519DA" w:rsidR="00767A41">
        <w:rPr>
          <w:rFonts w:ascii="Times New Roman" w:eastAsia="Times New Roman" w:hAnsi="Times New Roman"/>
          <w:sz w:val="24"/>
          <w:szCs w:val="24"/>
          <w:lang w:eastAsia="sk-SK"/>
        </w:rPr>
        <w:t>Dopĺňa sa kompetencia ÚVZ</w:t>
      </w:r>
      <w:r w:rsidRPr="000519DA" w:rsidR="000866C6">
        <w:rPr>
          <w:rFonts w:ascii="Times New Roman" w:eastAsia="Times New Roman" w:hAnsi="Times New Roman"/>
          <w:sz w:val="24"/>
          <w:szCs w:val="24"/>
          <w:lang w:eastAsia="sk-SK"/>
        </w:rPr>
        <w:t xml:space="preserve">, ktorá je  v súlade s ustanoveniami </w:t>
      </w:r>
      <w:bookmarkStart w:id="5" w:name="_Hlk110251858"/>
      <w:r w:rsidRPr="000519DA" w:rsidR="000866C6">
        <w:rPr>
          <w:rFonts w:ascii="Times New Roman" w:eastAsia="Times New Roman" w:hAnsi="Times New Roman"/>
          <w:sz w:val="24"/>
          <w:szCs w:val="24"/>
          <w:lang w:eastAsia="sk-SK"/>
        </w:rPr>
        <w:t>zákona č. 7/2010 Z. z. o ochrane pred povodňami v znení neskorších predpisov</w:t>
      </w:r>
      <w:bookmarkEnd w:id="5"/>
      <w:r w:rsidRPr="000519DA" w:rsidR="000866C6">
        <w:rPr>
          <w:rFonts w:ascii="Times New Roman" w:eastAsia="Times New Roman" w:hAnsi="Times New Roman"/>
          <w:sz w:val="24"/>
          <w:szCs w:val="24"/>
          <w:lang w:eastAsia="sk-SK"/>
        </w:rPr>
        <w:t xml:space="preserve">. Odborní pracovníci Úradu verejného zdravotníctva Slovenskej republiky sa zúčastňujú rokovaní povodňových komisií, krízových štábov a vyhodnocujú povodňové škody. </w:t>
      </w:r>
      <w:r w:rsidRPr="000519DA" w:rsidR="00D513DA">
        <w:rPr>
          <w:rFonts w:ascii="Times New Roman" w:eastAsia="Times New Roman" w:hAnsi="Times New Roman"/>
          <w:sz w:val="24"/>
          <w:szCs w:val="24"/>
          <w:lang w:eastAsia="sk-SK"/>
        </w:rPr>
        <w:t>Dopĺňajú sa kompetencie regionálnym úradom verejného zdravotníctva, ktoré sa v súlade s ustanoveniami zákona č. 7/2010 Z. z. o ochrane pred povodňami v znení neskorších predpisov. Regionálne úrady verejného zdravotníctva sa zúčastňujú rokovaní povodňových komisií, krízových štábov a vyhodnocujú povodňové škody.  Súčasne sa vypúšťa ustanovenie, podľa ktorého sa majú regionálne úrady verejného zdravotníctva vyjadrovať k poskytovaniu financií z environmentálnemu fondu, konkrétne k financovaniu riešení na zabezpečenie starostlivosti o životné prostredie. Regionálne úrady verejného zdravotníctva nemôžu byť kompetentnou inštitúciou na vydanie vyjadrenia na financovanie riešení na zabezpečenie starostlivosti o životné prostredie.</w:t>
      </w:r>
    </w:p>
    <w:p w:rsidR="00D513DA" w:rsidRPr="000519DA" w:rsidP="00D513DA">
      <w:pPr>
        <w:spacing w:before="240" w:after="0" w:line="240" w:lineRule="auto"/>
        <w:jc w:val="both"/>
        <w:rPr>
          <w:rFonts w:ascii="Times New Roman" w:eastAsia="Times New Roman" w:hAnsi="Times New Roman"/>
          <w:b/>
          <w:bCs/>
          <w:sz w:val="24"/>
          <w:szCs w:val="24"/>
          <w:lang w:eastAsia="sk-SK"/>
        </w:rPr>
      </w:pPr>
      <w:r w:rsidRPr="000519DA">
        <w:rPr>
          <w:rFonts w:ascii="Times New Roman" w:eastAsia="Times New Roman" w:hAnsi="Times New Roman"/>
          <w:b/>
          <w:bCs/>
          <w:sz w:val="24"/>
          <w:szCs w:val="24"/>
          <w:lang w:eastAsia="sk-SK"/>
        </w:rPr>
        <w:t>K bodu 10</w:t>
      </w:r>
    </w:p>
    <w:p w:rsidR="00D513DA" w:rsidRPr="000519DA" w:rsidP="00D513DA">
      <w:pPr>
        <w:spacing w:after="0" w:line="240" w:lineRule="auto"/>
        <w:jc w:val="both"/>
        <w:rPr>
          <w:rFonts w:ascii="Times New Roman" w:eastAsia="Times New Roman" w:hAnsi="Times New Roman"/>
          <w:sz w:val="24"/>
          <w:szCs w:val="24"/>
          <w:lang w:eastAsia="sk-SK"/>
        </w:rPr>
      </w:pPr>
      <w:r w:rsidRPr="000519DA" w:rsidR="001B2D9C">
        <w:rPr>
          <w:rFonts w:ascii="Times New Roman" w:eastAsia="Times New Roman" w:hAnsi="Times New Roman"/>
          <w:sz w:val="24"/>
          <w:szCs w:val="24"/>
          <w:shd w:val="clear" w:color="auto" w:fill="FFFFFF"/>
          <w:lang w:eastAsia="sk-SK"/>
        </w:rPr>
        <w:t xml:space="preserve">Legislatívno-technická úprava. Ide o zosúladenie </w:t>
      </w:r>
      <w:r w:rsidRPr="000519DA" w:rsidR="001B2D9C">
        <w:rPr>
          <w:rFonts w:ascii="Times New Roman" w:eastAsia="Times New Roman" w:hAnsi="Times New Roman"/>
          <w:sz w:val="24"/>
          <w:szCs w:val="24"/>
          <w:lang w:eastAsia="sk-SK"/>
        </w:rPr>
        <w:t>§ 6 ods. 3 písm. r)</w:t>
      </w:r>
      <w:r w:rsidRPr="000519DA" w:rsidR="001B2D9C">
        <w:rPr>
          <w:rFonts w:ascii="Times New Roman" w:eastAsia="Times New Roman" w:hAnsi="Times New Roman"/>
          <w:b/>
          <w:bCs/>
          <w:sz w:val="24"/>
          <w:szCs w:val="24"/>
          <w:lang w:eastAsia="sk-SK"/>
        </w:rPr>
        <w:t xml:space="preserve"> </w:t>
      </w:r>
      <w:r w:rsidRPr="000519DA" w:rsidR="001B2D9C">
        <w:rPr>
          <w:rFonts w:ascii="Times New Roman" w:eastAsia="Times New Roman" w:hAnsi="Times New Roman"/>
          <w:sz w:val="24"/>
          <w:szCs w:val="24"/>
          <w:shd w:val="clear" w:color="auto" w:fill="FFFFFF"/>
          <w:lang w:eastAsia="sk-SK"/>
        </w:rPr>
        <w:t>so znením § 11 písm. m)</w:t>
      </w:r>
      <w:r w:rsidRPr="000519DA" w:rsidR="001B2D9C">
        <w:rPr>
          <w:rFonts w:ascii="Times New Roman" w:eastAsia="Times New Roman" w:hAnsi="Times New Roman"/>
          <w:sz w:val="24"/>
          <w:szCs w:val="24"/>
          <w:lang w:eastAsia="sk-SK"/>
        </w:rPr>
        <w:t xml:space="preserve"> zákona.</w:t>
      </w:r>
    </w:p>
    <w:p w:rsidR="00D513DA" w:rsidRPr="000519DA" w:rsidP="00D513DA">
      <w:pPr>
        <w:spacing w:before="240" w:after="0" w:line="240" w:lineRule="auto"/>
        <w:jc w:val="both"/>
        <w:rPr>
          <w:rFonts w:ascii="Times New Roman" w:eastAsia="Times New Roman" w:hAnsi="Times New Roman"/>
          <w:sz w:val="24"/>
          <w:szCs w:val="24"/>
          <w:lang w:eastAsia="sk-SK"/>
        </w:rPr>
      </w:pPr>
      <w:r w:rsidRPr="000519DA">
        <w:rPr>
          <w:rFonts w:ascii="Times New Roman" w:eastAsia="Times New Roman" w:hAnsi="Times New Roman"/>
          <w:b/>
          <w:bCs/>
          <w:sz w:val="24"/>
          <w:szCs w:val="24"/>
          <w:lang w:eastAsia="sk-SK"/>
        </w:rPr>
        <w:t>K bodu 11</w:t>
      </w:r>
    </w:p>
    <w:p w:rsidR="00D513DA" w:rsidRPr="000519DA" w:rsidP="00D513DA">
      <w:pPr>
        <w:spacing w:after="0" w:line="240" w:lineRule="auto"/>
        <w:jc w:val="both"/>
        <w:rPr>
          <w:rFonts w:ascii="Times New Roman" w:eastAsia="Times New Roman" w:hAnsi="Times New Roman"/>
          <w:sz w:val="24"/>
          <w:szCs w:val="24"/>
          <w:lang w:eastAsia="sk-SK"/>
        </w:rPr>
      </w:pPr>
      <w:r w:rsidRPr="000519DA">
        <w:rPr>
          <w:rFonts w:ascii="Times New Roman" w:eastAsia="Times New Roman" w:hAnsi="Times New Roman"/>
          <w:sz w:val="24"/>
          <w:szCs w:val="24"/>
          <w:lang w:eastAsia="sk-SK"/>
        </w:rPr>
        <w:t>Legislatívno-technická úprava.</w:t>
      </w:r>
    </w:p>
    <w:p w:rsidR="00D513DA" w:rsidRPr="000519DA" w:rsidP="00D513DA">
      <w:pPr>
        <w:spacing w:before="240" w:after="0" w:line="240" w:lineRule="auto"/>
        <w:jc w:val="both"/>
        <w:rPr>
          <w:rFonts w:ascii="Times New Roman" w:eastAsia="Times New Roman" w:hAnsi="Times New Roman"/>
          <w:sz w:val="24"/>
          <w:szCs w:val="24"/>
          <w:lang w:eastAsia="sk-SK"/>
        </w:rPr>
      </w:pPr>
      <w:r w:rsidRPr="000519DA">
        <w:rPr>
          <w:rFonts w:ascii="Times New Roman" w:eastAsia="Times New Roman" w:hAnsi="Times New Roman"/>
          <w:b/>
          <w:bCs/>
          <w:sz w:val="24"/>
          <w:szCs w:val="24"/>
          <w:lang w:eastAsia="sk-SK"/>
        </w:rPr>
        <w:t>K bodu 12</w:t>
      </w:r>
    </w:p>
    <w:p w:rsidR="000866C6" w:rsidRPr="000519DA" w:rsidP="00227CF5">
      <w:pPr>
        <w:spacing w:after="0" w:line="240" w:lineRule="auto"/>
        <w:contextualSpacing/>
        <w:jc w:val="both"/>
        <w:rPr>
          <w:rStyle w:val="awspanawtext3"/>
          <w:rFonts w:ascii="Times New Roman" w:hAnsi="Times New Roman"/>
          <w:bCs/>
          <w:sz w:val="24"/>
          <w:szCs w:val="24"/>
        </w:rPr>
      </w:pPr>
      <w:r w:rsidRPr="000519DA" w:rsidR="00227CF5">
        <w:rPr>
          <w:rStyle w:val="awspanawtext3"/>
          <w:rFonts w:ascii="Times New Roman" w:hAnsi="Times New Roman"/>
          <w:bCs/>
          <w:sz w:val="24"/>
          <w:szCs w:val="24"/>
        </w:rPr>
        <w:t>Navrhovaným znením sa ukladá RÚVZ povinnosť informovať ÚVZ o povolení prvej výnimky na pitnú vodu, ktorá nespĺňa limity ukazovateľov kvality pitnej vody. Druhú výnimku, ktorú v minulosti povoľoval miestne príslušný RÚVZ, povoľuje podľa návrhu znenie ÚVZ (tretia výnimka bola zrušená).</w:t>
      </w:r>
    </w:p>
    <w:p w:rsidR="00227CF5" w:rsidRPr="000519DA" w:rsidP="00227CF5">
      <w:pPr>
        <w:spacing w:before="240" w:after="0" w:line="240" w:lineRule="auto"/>
        <w:jc w:val="both"/>
        <w:rPr>
          <w:rFonts w:ascii="Times New Roman" w:eastAsia="Times New Roman" w:hAnsi="Times New Roman"/>
          <w:sz w:val="24"/>
          <w:szCs w:val="24"/>
          <w:lang w:eastAsia="sk-SK"/>
        </w:rPr>
      </w:pPr>
      <w:r w:rsidRPr="000519DA">
        <w:rPr>
          <w:rFonts w:ascii="Times New Roman" w:eastAsia="Times New Roman" w:hAnsi="Times New Roman"/>
          <w:b/>
          <w:bCs/>
          <w:sz w:val="24"/>
          <w:szCs w:val="24"/>
          <w:lang w:eastAsia="sk-SK"/>
        </w:rPr>
        <w:t>K bodu 13</w:t>
      </w:r>
    </w:p>
    <w:p w:rsidR="004425EF" w:rsidRPr="000519DA" w:rsidP="004425EF">
      <w:pPr>
        <w:pStyle w:val="ListParagraph"/>
        <w:ind w:left="0"/>
        <w:contextualSpacing/>
        <w:jc w:val="both"/>
        <w:rPr>
          <w:rStyle w:val="awspanawtext3"/>
          <w:rFonts w:eastAsia="MS Gothic"/>
          <w:bCs/>
        </w:rPr>
      </w:pPr>
      <w:r w:rsidRPr="000519DA" w:rsidR="00227CF5">
        <w:rPr>
          <w:lang w:eastAsia="sk-SK"/>
        </w:rPr>
        <w:t xml:space="preserve">Legislatívno-technická úprava. </w:t>
      </w:r>
      <w:r w:rsidRPr="000519DA">
        <w:rPr>
          <w:rStyle w:val="awspanawtext3"/>
          <w:rFonts w:eastAsia="MS Gothic"/>
          <w:bCs/>
        </w:rPr>
        <w:t xml:space="preserve">Zrušila sa kompetencia RÚVZ povoľovania prvej a druhej výnimky. Povoľovanie výnimky je v súlade s požiadavkami </w:t>
      </w:r>
      <w:r w:rsidRPr="000519DA" w:rsidR="00253208">
        <w:t xml:space="preserve">smernice (EÚ) 2020/2184 </w:t>
      </w:r>
      <w:r w:rsidRPr="000519DA">
        <w:rPr>
          <w:rStyle w:val="awspanawtext3"/>
          <w:rFonts w:eastAsia="MS Gothic"/>
          <w:bCs/>
        </w:rPr>
        <w:t>upravené v rámci posudkovej činnosti orgánov štátnej správy na úseku verejného zdravotníctva.</w:t>
      </w:r>
    </w:p>
    <w:p w:rsidR="00227CF5" w:rsidRPr="000519DA" w:rsidP="00227CF5">
      <w:pPr>
        <w:spacing w:before="240" w:after="0" w:line="240" w:lineRule="auto"/>
        <w:jc w:val="both"/>
        <w:rPr>
          <w:rFonts w:ascii="Times New Roman" w:eastAsia="Times New Roman" w:hAnsi="Times New Roman"/>
          <w:sz w:val="24"/>
          <w:szCs w:val="24"/>
          <w:lang w:eastAsia="sk-SK"/>
        </w:rPr>
      </w:pPr>
      <w:r w:rsidRPr="000519DA">
        <w:rPr>
          <w:rFonts w:ascii="Times New Roman" w:eastAsia="Times New Roman" w:hAnsi="Times New Roman"/>
          <w:b/>
          <w:bCs/>
          <w:sz w:val="24"/>
          <w:szCs w:val="24"/>
          <w:lang w:eastAsia="sk-SK"/>
        </w:rPr>
        <w:t>K bodu 14</w:t>
      </w:r>
    </w:p>
    <w:p w:rsidR="00227CF5" w:rsidRPr="000519DA" w:rsidP="00227CF5">
      <w:pPr>
        <w:spacing w:after="0" w:line="240" w:lineRule="auto"/>
        <w:jc w:val="both"/>
        <w:rPr>
          <w:rFonts w:ascii="Times New Roman" w:eastAsia="Times New Roman" w:hAnsi="Times New Roman"/>
          <w:sz w:val="24"/>
          <w:szCs w:val="24"/>
          <w:lang w:eastAsia="sk-SK"/>
        </w:rPr>
      </w:pPr>
      <w:r w:rsidRPr="000519DA">
        <w:rPr>
          <w:rFonts w:ascii="Times New Roman" w:eastAsia="Times New Roman" w:hAnsi="Times New Roman"/>
          <w:sz w:val="24"/>
          <w:szCs w:val="24"/>
          <w:lang w:eastAsia="sk-SK"/>
        </w:rPr>
        <w:t>Dopĺňajú sa kompetencie regionálnym úradom verejného zdravotníctva, ktoré sa v súlade s ustanoveniami zákona č. 7/2010 Z. z. o ochrane pred povodňami v znení neskorších predpisov. Regionálne úrady verejného zdravotníctva sa zúčastňujú rokovaní povodňových komisií, krízových štábov a vyhodnocujú povodňové škody.  Súčasne sa vypúšťa ustanovenie, podľa ktorého sa majú regionálne úrady verejného zdravotníctva vyjadrovať k poskytovaniu financií z environmentálnemu fondu, konkrétne k financovaniu riešení na zabezpečenie starostlivosti o životné prostredie. Regionálne úrady verejného zdravotníctva nemôžu byť kompetentnou inštitúciou na vydanie vyjadrenia na financovanie riešení na zabezpečenie starostlivosti o životné prostredie.</w:t>
      </w:r>
    </w:p>
    <w:p w:rsidR="00227CF5" w:rsidRPr="000519DA" w:rsidP="00227CF5">
      <w:pPr>
        <w:spacing w:before="240" w:after="0" w:line="240" w:lineRule="auto"/>
        <w:jc w:val="both"/>
        <w:rPr>
          <w:rFonts w:ascii="Times New Roman" w:eastAsia="Times New Roman" w:hAnsi="Times New Roman"/>
          <w:sz w:val="24"/>
          <w:szCs w:val="24"/>
          <w:lang w:eastAsia="sk-SK"/>
        </w:rPr>
      </w:pPr>
      <w:r w:rsidRPr="000519DA">
        <w:rPr>
          <w:rFonts w:ascii="Times New Roman" w:eastAsia="Times New Roman" w:hAnsi="Times New Roman"/>
          <w:b/>
          <w:bCs/>
          <w:sz w:val="24"/>
          <w:szCs w:val="24"/>
          <w:lang w:eastAsia="sk-SK"/>
        </w:rPr>
        <w:t>K bodu 15</w:t>
      </w:r>
    </w:p>
    <w:p w:rsidR="00227CF5" w:rsidRPr="000519DA" w:rsidP="00227CF5">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 xml:space="preserve">Rozširujú sa kompetencie RÚVZ so sídlom v Poprade, ktoré bude ako národná inštitúcia oprávnené posudzovať, či chemické látky na úpravu vody na pitnú vodu a filtračné médiá, ktoré prichádzajú do kontaktu s pitnou vodou, spĺňajú minimálne hygienické požiadavky. Uvedená kompetencia bola zavedená na základe požiadavky </w:t>
      </w:r>
      <w:r w:rsidRPr="000519DA" w:rsidR="00253208">
        <w:rPr>
          <w:rFonts w:ascii="Times New Roman" w:hAnsi="Times New Roman"/>
          <w:sz w:val="24"/>
          <w:szCs w:val="24"/>
        </w:rPr>
        <w:t xml:space="preserve">smernice (EÚ) 2020/2184 </w:t>
      </w:r>
      <w:r w:rsidRPr="000519DA">
        <w:rPr>
          <w:rStyle w:val="awspanawtext3"/>
          <w:rFonts w:ascii="Times New Roman" w:hAnsi="Times New Roman"/>
          <w:sz w:val="24"/>
          <w:szCs w:val="24"/>
        </w:rPr>
        <w:t>vykonávať dohľad nad chemickými látkami, používanými na úpravu pitnej vody.</w:t>
      </w:r>
    </w:p>
    <w:p w:rsidR="00227CF5" w:rsidRPr="000519DA" w:rsidP="00227CF5">
      <w:pPr>
        <w:spacing w:after="0" w:line="240" w:lineRule="auto"/>
        <w:contextualSpacing/>
        <w:jc w:val="both"/>
        <w:rPr>
          <w:rStyle w:val="awspanawtext3"/>
          <w:rFonts w:ascii="Times New Roman" w:hAnsi="Times New Roman"/>
          <w:sz w:val="24"/>
          <w:szCs w:val="24"/>
        </w:rPr>
      </w:pPr>
    </w:p>
    <w:p w:rsidR="00227CF5" w:rsidRPr="000519DA" w:rsidP="00227CF5">
      <w:pPr>
        <w:spacing w:after="0" w:line="240" w:lineRule="auto"/>
        <w:contextualSpacing/>
        <w:jc w:val="both"/>
        <w:rPr>
          <w:rStyle w:val="awspanawtext3"/>
          <w:rFonts w:ascii="Times New Roman" w:hAnsi="Times New Roman"/>
          <w:sz w:val="24"/>
          <w:szCs w:val="24"/>
        </w:rPr>
      </w:pPr>
      <w:r w:rsidRPr="000519DA">
        <w:rPr>
          <w:rFonts w:ascii="Times New Roman" w:eastAsia="Times New Roman" w:hAnsi="Times New Roman"/>
          <w:b/>
          <w:bCs/>
          <w:sz w:val="24"/>
          <w:szCs w:val="24"/>
          <w:lang w:eastAsia="sk-SK"/>
        </w:rPr>
        <w:t>K bodu 16</w:t>
      </w:r>
    </w:p>
    <w:p w:rsidR="001D2DD1" w:rsidRPr="000519DA" w:rsidP="001D2DD1">
      <w:pPr>
        <w:spacing w:line="240" w:lineRule="auto"/>
        <w:contextualSpacing/>
        <w:jc w:val="both"/>
        <w:rPr>
          <w:rFonts w:ascii="Times New Roman" w:hAnsi="Times New Roman"/>
          <w:sz w:val="24"/>
          <w:szCs w:val="24"/>
        </w:rPr>
      </w:pPr>
      <w:r w:rsidRPr="000519DA">
        <w:rPr>
          <w:rFonts w:ascii="Times New Roman" w:hAnsi="Times New Roman"/>
          <w:sz w:val="24"/>
          <w:szCs w:val="24"/>
        </w:rPr>
        <w:t>Spresňujú sa miesta odberov vzoriek pitnej vody pre monitoring vykonávaný RÚVZ.</w:t>
      </w:r>
    </w:p>
    <w:p w:rsidR="00A45E3E" w:rsidRPr="000519DA" w:rsidP="001D2DD1">
      <w:pPr>
        <w:spacing w:line="240" w:lineRule="auto"/>
        <w:contextualSpacing/>
        <w:jc w:val="both"/>
        <w:rPr>
          <w:rFonts w:ascii="Times New Roman" w:hAnsi="Times New Roman"/>
          <w:sz w:val="24"/>
          <w:szCs w:val="24"/>
        </w:rPr>
      </w:pPr>
      <w:r w:rsidRPr="000519DA">
        <w:rPr>
          <w:rFonts w:ascii="Times New Roman" w:hAnsi="Times New Roman"/>
          <w:b/>
          <w:szCs w:val="24"/>
        </w:rPr>
        <w:t xml:space="preserve">  </w:t>
      </w:r>
    </w:p>
    <w:p w:rsidR="00227CF5" w:rsidRPr="000519DA" w:rsidP="00227CF5">
      <w:pPr>
        <w:spacing w:after="0" w:line="240" w:lineRule="auto"/>
        <w:contextualSpacing/>
        <w:jc w:val="both"/>
        <w:rPr>
          <w:rFonts w:ascii="Times New Roman" w:eastAsia="Times New Roman" w:hAnsi="Times New Roman"/>
          <w:b/>
          <w:bCs/>
          <w:sz w:val="24"/>
          <w:szCs w:val="24"/>
          <w:lang w:eastAsia="sk-SK"/>
        </w:rPr>
      </w:pPr>
      <w:r w:rsidRPr="000519DA">
        <w:rPr>
          <w:rFonts w:ascii="Times New Roman" w:eastAsia="Times New Roman" w:hAnsi="Times New Roman"/>
          <w:b/>
          <w:bCs/>
          <w:sz w:val="24"/>
          <w:szCs w:val="24"/>
          <w:lang w:eastAsia="sk-SK"/>
        </w:rPr>
        <w:t>K bodu 17</w:t>
      </w:r>
    </w:p>
    <w:p w:rsidR="004425EF" w:rsidRPr="000519DA" w:rsidP="004425EF">
      <w:pPr>
        <w:spacing w:line="240" w:lineRule="auto"/>
        <w:contextualSpacing/>
        <w:jc w:val="both"/>
        <w:rPr>
          <w:rFonts w:ascii="Times New Roman" w:hAnsi="Times New Roman"/>
          <w:bCs/>
          <w:sz w:val="24"/>
          <w:szCs w:val="24"/>
        </w:rPr>
      </w:pPr>
      <w:r w:rsidRPr="000519DA">
        <w:rPr>
          <w:rFonts w:ascii="Times New Roman" w:hAnsi="Times New Roman"/>
          <w:bCs/>
          <w:sz w:val="24"/>
          <w:szCs w:val="24"/>
        </w:rPr>
        <w:t xml:space="preserve">Na základe požiadaviek </w:t>
      </w:r>
      <w:r w:rsidRPr="000519DA" w:rsidR="00253208">
        <w:rPr>
          <w:rFonts w:ascii="Times New Roman" w:hAnsi="Times New Roman"/>
          <w:sz w:val="24"/>
          <w:szCs w:val="24"/>
        </w:rPr>
        <w:t xml:space="preserve">smernice (EÚ) 2020/2184 </w:t>
      </w:r>
      <w:r w:rsidRPr="000519DA">
        <w:rPr>
          <w:rFonts w:ascii="Times New Roman" w:hAnsi="Times New Roman"/>
          <w:bCs/>
          <w:sz w:val="24"/>
          <w:szCs w:val="24"/>
        </w:rPr>
        <w:t xml:space="preserve">sa dopĺňa nová špecializovaná úloha pre orgány štátnej správy na úseku verejného zdravotníctva, ktorá by mala zvýšiť dôveru spotrebiteľov k pitnej vode z vodovodu a prispieť k jej používaniu. Cieľom je tiež zníženie používania balenej pitnej vody </w:t>
      </w:r>
      <w:r w:rsidRPr="000519DA" w:rsidR="00F948D5">
        <w:rPr>
          <w:rFonts w:ascii="Times New Roman" w:hAnsi="Times New Roman"/>
          <w:bCs/>
          <w:sz w:val="24"/>
          <w:szCs w:val="24"/>
        </w:rPr>
        <w:t xml:space="preserve">a obmedzenie používania plastov a znížiť riziká s používania pitnej vody s nevyhovujúcou kvalitou. </w:t>
      </w:r>
      <w:r w:rsidRPr="000519DA" w:rsidR="00554398">
        <w:rPr>
          <w:rFonts w:ascii="Times New Roman" w:hAnsi="Times New Roman"/>
          <w:bCs/>
          <w:sz w:val="24"/>
          <w:szCs w:val="24"/>
        </w:rPr>
        <w:t xml:space="preserve">Aktivity môžu zahŕňať cielené kampane na detskú populáciu, obyvateľov využívajúcich vlastné studne </w:t>
      </w:r>
      <w:r w:rsidRPr="000519DA" w:rsidR="009079A8">
        <w:rPr>
          <w:rFonts w:ascii="Times New Roman" w:hAnsi="Times New Roman"/>
          <w:bCs/>
          <w:sz w:val="24"/>
          <w:szCs w:val="24"/>
        </w:rPr>
        <w:t>a pod. V rámci možností úradov budú poskytované aj analýzy pitnej vody napr. v prípade mimoriadnych situácií (napr. povodne). Osobitnou súčasťou by mali byť printové aktivity v súvislosti s využívaním pitnej vody z verejného vodovodu.</w:t>
      </w:r>
    </w:p>
    <w:p w:rsidR="00E12223" w:rsidRPr="000519DA" w:rsidP="00227CF5">
      <w:pPr>
        <w:spacing w:after="0" w:line="240" w:lineRule="auto"/>
        <w:contextualSpacing/>
        <w:jc w:val="both"/>
        <w:rPr>
          <w:rFonts w:ascii="Times New Roman" w:eastAsia="Times New Roman" w:hAnsi="Times New Roman"/>
          <w:sz w:val="24"/>
          <w:szCs w:val="24"/>
          <w:lang w:eastAsia="sk-SK"/>
        </w:rPr>
      </w:pPr>
    </w:p>
    <w:p w:rsidR="00E12223" w:rsidRPr="000519DA" w:rsidP="00227CF5">
      <w:pPr>
        <w:spacing w:after="0" w:line="240" w:lineRule="auto"/>
        <w:contextualSpacing/>
        <w:jc w:val="both"/>
        <w:rPr>
          <w:rFonts w:ascii="Times New Roman" w:eastAsia="Times New Roman" w:hAnsi="Times New Roman"/>
          <w:b/>
          <w:bCs/>
          <w:sz w:val="24"/>
          <w:szCs w:val="24"/>
          <w:lang w:eastAsia="sk-SK"/>
        </w:rPr>
      </w:pPr>
      <w:r w:rsidRPr="000519DA">
        <w:rPr>
          <w:rFonts w:ascii="Times New Roman" w:eastAsia="Times New Roman" w:hAnsi="Times New Roman"/>
          <w:b/>
          <w:bCs/>
          <w:sz w:val="24"/>
          <w:szCs w:val="24"/>
          <w:lang w:eastAsia="sk-SK"/>
        </w:rPr>
        <w:t>K bodu 18</w:t>
      </w:r>
    </w:p>
    <w:p w:rsidR="003C6E52" w:rsidRPr="000519DA" w:rsidP="00D07ADB">
      <w:pPr>
        <w:pStyle w:val="ListParagraph"/>
        <w:ind w:left="0"/>
        <w:contextualSpacing/>
        <w:jc w:val="both"/>
      </w:pPr>
      <w:r w:rsidRPr="000519DA" w:rsidR="004425EF">
        <w:t>Do opatrení na predchádzanie vzniku a šíreniu prenosných ochorení, pri ktorých je faktorom prenosu voda, sa v nadväznosti na zavedenie požiadaviek na zdravot</w:t>
      </w:r>
      <w:r w:rsidRPr="000519DA" w:rsidR="00B554E4">
        <w:t>nú bezpečnosť teplej vody v § 17e</w:t>
      </w:r>
      <w:r w:rsidRPr="000519DA" w:rsidR="004425EF">
        <w:t xml:space="preserve"> dopĺňa aj vykonávanie odberov vzoriek teplej vody. Opatrenie je nevyhnutné v súvislosti so zvyšovaním sa výskytu ochorení (legionelóz) spôsobené prítomnosťou baktérií rodu </w:t>
      </w:r>
      <w:r w:rsidRPr="000519DA" w:rsidR="004425EF">
        <w:rPr>
          <w:i/>
        </w:rPr>
        <w:t>Legionella</w:t>
      </w:r>
      <w:r w:rsidRPr="000519DA" w:rsidR="00B554E4">
        <w:t xml:space="preserve"> predovšetkým v teplej vode, ktoré sú prioritne zisťované v teplej vode. </w:t>
      </w:r>
      <w:r w:rsidRPr="000519DA" w:rsidR="00D07ADB">
        <w:t>Zároveň sa do ustanovenia dopĺňa požiadavka na zohľadňovanie vplyvov nariadených opatrení v praxi napr. aký dopad bude mať vydaný zákaz používania pitnej na dotknutých spotrebiteľov v konkrétnej situácii a či nie je prijateľnejším riešením z hľadiska zdravia iba jej obmedzenie alebo iné opatrenia, ktorými je možné nedostatky odstrániť. Prihliadať by sa malo i na početnosť vzniku takejto situácie. V prípade opatrení v súvislosti s pitnou vodu</w:t>
      </w:r>
      <w:r w:rsidRPr="000519DA" w:rsidR="00090461">
        <w:t xml:space="preserve"> ide priamo o požiadavku novej s</w:t>
      </w:r>
      <w:r w:rsidRPr="000519DA" w:rsidR="00D07ADB">
        <w:t>mernice (EÚ) 2020/2184.</w:t>
      </w:r>
      <w:r w:rsidRPr="000519DA">
        <w:t xml:space="preserve"> </w:t>
      </w:r>
    </w:p>
    <w:p w:rsidR="00D07ADB" w:rsidRPr="000519DA" w:rsidP="00D07ADB">
      <w:pPr>
        <w:pStyle w:val="ListParagraph"/>
        <w:ind w:left="0"/>
        <w:contextualSpacing/>
        <w:jc w:val="both"/>
      </w:pPr>
      <w:r w:rsidRPr="000519DA" w:rsidR="003C6E52">
        <w:t>Čo sa týka vypustenia požiadavky na  zabezpečenie dostatočného množstva zdravotne bezpečnej vody, zabezpečiť obyvateľom pitnú vodu je podľa zákona o obecnom zriadení povinná obec. Uvedené znenie sa vzťahovalo iba na prípady, keď došlo na základe rozhodnutia orgánov verejného zdravotníctva k zákazu používaniu pitnej vody alebo k jej obmedzeniu.  Uvedená povinnosť bola z dôvodu odlíšenia povinností vložená do povinností dodávateľov pitnej vody podľa § 17 odsek 4 písmeno o).</w:t>
      </w:r>
    </w:p>
    <w:p w:rsidR="004425EF" w:rsidRPr="000519DA" w:rsidP="00A45E3E">
      <w:pPr>
        <w:spacing w:after="0" w:line="240" w:lineRule="auto"/>
        <w:contextualSpacing/>
        <w:jc w:val="both"/>
        <w:rPr>
          <w:rStyle w:val="awspanawtext3"/>
          <w:rFonts w:ascii="Times New Roman" w:hAnsi="Times New Roman"/>
          <w:b/>
          <w:bCs/>
          <w:sz w:val="24"/>
          <w:szCs w:val="24"/>
        </w:rPr>
      </w:pPr>
    </w:p>
    <w:p w:rsidR="003C6E52" w:rsidRPr="000519DA" w:rsidP="00A45E3E">
      <w:pPr>
        <w:spacing w:after="0" w:line="240" w:lineRule="auto"/>
        <w:contextualSpacing/>
        <w:jc w:val="both"/>
        <w:rPr>
          <w:rStyle w:val="awspanawtext3"/>
          <w:rFonts w:ascii="Times New Roman" w:hAnsi="Times New Roman"/>
          <w:b/>
          <w:bCs/>
          <w:sz w:val="24"/>
          <w:szCs w:val="24"/>
        </w:rPr>
      </w:pPr>
    </w:p>
    <w:p w:rsidR="00A45E3E" w:rsidRPr="000519DA" w:rsidP="00A45E3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 xml:space="preserve">K bodu </w:t>
      </w:r>
      <w:r w:rsidRPr="000519DA" w:rsidR="00E12223">
        <w:rPr>
          <w:rStyle w:val="awspanawtext3"/>
          <w:rFonts w:ascii="Times New Roman" w:hAnsi="Times New Roman"/>
          <w:b/>
          <w:bCs/>
          <w:sz w:val="24"/>
          <w:szCs w:val="24"/>
        </w:rPr>
        <w:t>1</w:t>
      </w:r>
      <w:r w:rsidRPr="000519DA">
        <w:rPr>
          <w:rStyle w:val="awspanawtext3"/>
          <w:rFonts w:ascii="Times New Roman" w:hAnsi="Times New Roman"/>
          <w:b/>
          <w:bCs/>
          <w:sz w:val="24"/>
          <w:szCs w:val="24"/>
        </w:rPr>
        <w:t>9</w:t>
      </w:r>
    </w:p>
    <w:p w:rsidR="003C6E52" w:rsidRPr="000519DA" w:rsidP="003C6E52">
      <w:pPr>
        <w:pStyle w:val="ListParagraph"/>
        <w:ind w:left="0"/>
        <w:contextualSpacing/>
        <w:jc w:val="both"/>
      </w:pPr>
      <w:r w:rsidRPr="000519DA" w:rsidR="005A0FDB">
        <w:t xml:space="preserve">Opatrenia na predchádzanie vzniku a šíreniu prenosných ochorení sa vzťahujú na opatrenia pre pitnú vodu a teplú vodu, ktoré môžu byť faktorom prenosu. Zároveň sa do ustanovenia dopĺňa požiadavka na zohľadňovanie vplyvov nariadených opatrení v praxi napr. aký dopad bude mať vydaný zákaz používania pitnej na dotknutých spotrebiteľov v konkrétnej situácii a či nie je vhodnejším riešením iba </w:t>
      </w:r>
      <w:r w:rsidRPr="000519DA" w:rsidR="00D07ADB">
        <w:t xml:space="preserve">jej </w:t>
      </w:r>
      <w:r w:rsidRPr="000519DA" w:rsidR="005A0FDB">
        <w:t>obmedzenie alebo iné opatrenia, ktorými je možné nedostatky odstrániť. Prihliadať by sa malo i na početnosť vzniku takejto situácie.</w:t>
      </w:r>
      <w:r w:rsidRPr="000519DA">
        <w:t xml:space="preserve"> V prípade opatrení v súvislosti s pitnou vodu ide priamo o požiadavku novej </w:t>
      </w:r>
      <w:r w:rsidRPr="000519DA" w:rsidR="00090461">
        <w:t>s</w:t>
      </w:r>
      <w:r w:rsidRPr="000519DA">
        <w:t>mernice (EÚ) 2020/2184.</w:t>
      </w:r>
    </w:p>
    <w:p w:rsidR="003C6E52" w:rsidRPr="000519DA" w:rsidP="003C6E52">
      <w:pPr>
        <w:pStyle w:val="ListParagraph"/>
        <w:ind w:left="0"/>
        <w:contextualSpacing/>
        <w:jc w:val="both"/>
      </w:pPr>
      <w:r w:rsidRPr="000519DA">
        <w:t>Čo sa týka vypustenia požiadavky na  zabezpečenie dostatočného množstva zdravotne bezpečnej vody, zabezpečiť obyvateľom pitnú vodu je podľa zákona o obecnom zriadení povinná obec. Uvedené znenie sa vzťahovalo iba na prípady, keď došlo na základe rozhodnutia orgánov verejného zdravotníctva k zákazu používaniu pitnej vody alebo k jej obmedzeniu.  Uvedená povinnosť bola z dôvodu odlíšenia povinností vložená do povinností dodávateľov pitnej vody podľa § 17 odsek 4 písmeno o).</w:t>
      </w:r>
    </w:p>
    <w:p w:rsidR="003C6E52" w:rsidRPr="000519DA" w:rsidP="00A45E3E">
      <w:pPr>
        <w:spacing w:after="0" w:line="240" w:lineRule="auto"/>
        <w:contextualSpacing/>
        <w:jc w:val="both"/>
        <w:rPr>
          <w:rFonts w:ascii="Times New Roman" w:hAnsi="Times New Roman"/>
          <w:sz w:val="24"/>
          <w:szCs w:val="24"/>
        </w:rPr>
      </w:pPr>
    </w:p>
    <w:p w:rsidR="00E12223" w:rsidRPr="000519DA" w:rsidP="00A45E3E">
      <w:pPr>
        <w:spacing w:after="0" w:line="240" w:lineRule="auto"/>
        <w:contextualSpacing/>
        <w:jc w:val="both"/>
        <w:rPr>
          <w:rFonts w:ascii="Times New Roman" w:hAnsi="Times New Roman"/>
          <w:b/>
          <w:bCs/>
          <w:sz w:val="24"/>
          <w:szCs w:val="24"/>
        </w:rPr>
      </w:pPr>
      <w:r w:rsidRPr="000519DA">
        <w:rPr>
          <w:rFonts w:ascii="Times New Roman" w:hAnsi="Times New Roman"/>
          <w:b/>
          <w:bCs/>
          <w:sz w:val="24"/>
          <w:szCs w:val="24"/>
        </w:rPr>
        <w:t>K bodu 20</w:t>
      </w:r>
    </w:p>
    <w:p w:rsidR="00E12223" w:rsidRPr="000519DA" w:rsidP="00325937">
      <w:pPr>
        <w:pStyle w:val="ListParagraph"/>
        <w:ind w:left="0"/>
        <w:contextualSpacing/>
        <w:jc w:val="both"/>
        <w:rPr>
          <w:rStyle w:val="awspanawtext3"/>
        </w:rPr>
      </w:pPr>
      <w:r w:rsidRPr="000519DA" w:rsidR="005A0FDB">
        <w:t>Legislatívno-technická úprava.</w:t>
      </w:r>
      <w:r w:rsidRPr="000519DA" w:rsidR="00325937">
        <w:t xml:space="preserve"> Právnou úpravou sa neznižujú nároky na zdravotnú bezpečnosť pitnej vody, nakoľko všetky pôvodné opatrenia zostávajú súčasťou novely zákona.  </w:t>
      </w:r>
    </w:p>
    <w:p w:rsidR="00325937" w:rsidRPr="000519DA" w:rsidP="00A45E3E">
      <w:pPr>
        <w:spacing w:after="0" w:line="240" w:lineRule="auto"/>
        <w:contextualSpacing/>
        <w:jc w:val="both"/>
        <w:rPr>
          <w:rStyle w:val="awspanawtext3"/>
          <w:rFonts w:ascii="Times New Roman" w:hAnsi="Times New Roman"/>
          <w:sz w:val="24"/>
          <w:szCs w:val="24"/>
        </w:rPr>
      </w:pPr>
    </w:p>
    <w:p w:rsidR="00E12223" w:rsidRPr="000519DA" w:rsidP="00A45E3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21</w:t>
      </w:r>
    </w:p>
    <w:p w:rsidR="00E12223" w:rsidRPr="000519DA" w:rsidP="00E12223">
      <w:pPr>
        <w:spacing w:after="0" w:line="240" w:lineRule="auto"/>
        <w:contextualSpacing/>
        <w:jc w:val="both"/>
        <w:rPr>
          <w:rFonts w:ascii="Times New Roman" w:hAnsi="Times New Roman"/>
          <w:b/>
          <w:bCs/>
          <w:sz w:val="24"/>
          <w:szCs w:val="24"/>
          <w:lang w:eastAsia="sk-SK"/>
        </w:rPr>
      </w:pPr>
      <w:r w:rsidRPr="000519DA">
        <w:rPr>
          <w:rFonts w:ascii="Times New Roman" w:hAnsi="Times New Roman"/>
          <w:sz w:val="24"/>
          <w:szCs w:val="24"/>
        </w:rPr>
        <w:t>Dopĺňa sa všeobecné opatrenie na obnovenie kvality a zdravotnej bezpečnosti pitnej vody alebo teplej vody, ktoré môže byť v konkrétnej situácii relevantné a môžu prispieť k ochrane zdravia. I prax ukazuje, že opatrenia na predchádzanie ochoreniam nemusia mať vždy charakter zákazu alebo významného obmedzenia používania pitnej vody, ale môžu byť prijaté i miernejšie opatrenia, ktoré môžu byť pri včasnej realizácií rovnako účinné a postačujúce.</w:t>
      </w:r>
    </w:p>
    <w:p w:rsidR="00E12223" w:rsidRPr="000519DA" w:rsidP="00A45E3E">
      <w:pPr>
        <w:spacing w:after="0" w:line="240" w:lineRule="auto"/>
        <w:contextualSpacing/>
        <w:jc w:val="both"/>
        <w:rPr>
          <w:rStyle w:val="awspanawtext3"/>
          <w:rFonts w:ascii="Times New Roman" w:hAnsi="Times New Roman"/>
          <w:sz w:val="24"/>
          <w:szCs w:val="24"/>
        </w:rPr>
      </w:pPr>
    </w:p>
    <w:p w:rsidR="00E12223" w:rsidRPr="000519DA" w:rsidP="00A45E3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22</w:t>
      </w:r>
    </w:p>
    <w:p w:rsidR="00E12223" w:rsidRPr="000519DA" w:rsidP="00E12223">
      <w:pPr>
        <w:pStyle w:val="BlockText"/>
        <w:ind w:left="0" w:right="0"/>
        <w:contextualSpacing/>
        <w:jc w:val="left"/>
        <w:rPr>
          <w:b w:val="0"/>
          <w:sz w:val="24"/>
          <w:szCs w:val="24"/>
        </w:rPr>
      </w:pPr>
      <w:r w:rsidRPr="000519DA">
        <w:rPr>
          <w:b w:val="0"/>
          <w:sz w:val="24"/>
          <w:szCs w:val="24"/>
        </w:rPr>
        <w:t xml:space="preserve">Opatrenia sa vypúšťajú z dôvodu duplicity a prijatím všeobecných opatrení podľa § 12 odsek 2 písmeno o), ktorými je možné nariadiť aj vypustené opatrenia. </w:t>
      </w:r>
    </w:p>
    <w:p w:rsidR="00E12223" w:rsidRPr="000519DA" w:rsidP="00A45E3E">
      <w:pPr>
        <w:spacing w:after="0" w:line="240" w:lineRule="auto"/>
        <w:contextualSpacing/>
        <w:jc w:val="both"/>
        <w:rPr>
          <w:rStyle w:val="awspanawtext3"/>
          <w:rFonts w:ascii="Times New Roman" w:hAnsi="Times New Roman"/>
          <w:sz w:val="24"/>
          <w:szCs w:val="24"/>
        </w:rPr>
      </w:pPr>
    </w:p>
    <w:p w:rsidR="00D55907" w:rsidRPr="000519DA" w:rsidP="00A45E3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23</w:t>
      </w:r>
    </w:p>
    <w:p w:rsidR="00D55907" w:rsidRPr="000519DA" w:rsidP="00D55907">
      <w:pPr>
        <w:pStyle w:val="ListParagraph"/>
        <w:ind w:left="0"/>
        <w:contextualSpacing/>
        <w:jc w:val="both"/>
      </w:pPr>
      <w:r w:rsidRPr="000519DA">
        <w:t>Opatrenia na predchádzanie vzniku a šíreniu prenosných ochorení sa vzťahujú na opatrenia pre pitnú vodu a teplú vodu, ktoré môžu byť faktorom prenosu. Zároveň sa do ustanovenia dopĺňa požiadavka na zohľadňovanie vplyvov nariadených opatrení v praxi napr. aký dopad bude mať vydaný zákaz používania pitnej na dotknutých spotrebiteľov v konkrétnej situácii a či nie je vhodnejším riešením iba obmedzenie alebo iné opatrenia, ktorými je možné nedostatky odstrániť. Prihliadať by sa malo i na početnosť vzniku takejto situácie.</w:t>
      </w:r>
    </w:p>
    <w:p w:rsidR="00D55907" w:rsidRPr="000519DA" w:rsidP="00A45E3E">
      <w:pPr>
        <w:spacing w:after="0" w:line="240" w:lineRule="auto"/>
        <w:contextualSpacing/>
        <w:jc w:val="both"/>
        <w:rPr>
          <w:rStyle w:val="awspanawtext3"/>
          <w:rFonts w:ascii="Times New Roman" w:hAnsi="Times New Roman"/>
          <w:sz w:val="24"/>
          <w:szCs w:val="24"/>
        </w:rPr>
      </w:pPr>
    </w:p>
    <w:p w:rsidR="00D55907" w:rsidRPr="000519DA" w:rsidP="00A45E3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24</w:t>
      </w:r>
    </w:p>
    <w:p w:rsidR="00D55907" w:rsidRPr="000519DA" w:rsidP="00D55907">
      <w:pPr>
        <w:spacing w:after="0" w:line="240" w:lineRule="auto"/>
        <w:contextualSpacing/>
        <w:jc w:val="both"/>
        <w:rPr>
          <w:rFonts w:ascii="Times New Roman" w:hAnsi="Times New Roman"/>
          <w:b/>
          <w:bCs/>
          <w:sz w:val="24"/>
          <w:szCs w:val="24"/>
          <w:lang w:eastAsia="sk-SK"/>
        </w:rPr>
      </w:pPr>
      <w:r w:rsidRPr="000519DA">
        <w:rPr>
          <w:rFonts w:ascii="Times New Roman" w:hAnsi="Times New Roman"/>
          <w:sz w:val="24"/>
          <w:szCs w:val="24"/>
        </w:rPr>
        <w:t>Dopĺňa sa všeobecné opatrenie na obnovenie kvality a zdravotnej bezpečnosti pitnej vody alebo teplej vody, ktoré môže byť v konkrétnej situácii relevantné a môžu prispieť k ochrane zdravia. I prax ukazuje, že opatrenia na predchádzanie ochoreniam nemusia mať vždy charakter zákazu alebo významného obmedzenia používania pitnej vody, ale môžu byť prijaté i miernejšie opatrenia, ktoré môžu byť pri včasnej realizácií rovnako účinné a postačujúce.</w:t>
      </w:r>
    </w:p>
    <w:p w:rsidR="00D55907" w:rsidRPr="000519DA" w:rsidP="00A45E3E">
      <w:pPr>
        <w:spacing w:after="0" w:line="240" w:lineRule="auto"/>
        <w:contextualSpacing/>
        <w:jc w:val="both"/>
        <w:rPr>
          <w:rStyle w:val="awspanawtext3"/>
          <w:rFonts w:ascii="Times New Roman" w:hAnsi="Times New Roman"/>
          <w:sz w:val="24"/>
          <w:szCs w:val="24"/>
        </w:rPr>
      </w:pPr>
    </w:p>
    <w:p w:rsidR="00D55907" w:rsidRPr="000519DA" w:rsidP="00A45E3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25</w:t>
      </w:r>
    </w:p>
    <w:p w:rsidR="00D55907" w:rsidRPr="000519DA" w:rsidP="00D55907">
      <w:pPr>
        <w:spacing w:after="0" w:line="240" w:lineRule="auto"/>
        <w:contextualSpacing/>
        <w:jc w:val="both"/>
        <w:rPr>
          <w:rFonts w:ascii="Times New Roman" w:hAnsi="Times New Roman"/>
          <w:sz w:val="24"/>
          <w:szCs w:val="24"/>
          <w:lang w:eastAsia="sk-SK"/>
        </w:rPr>
      </w:pPr>
      <w:r w:rsidRPr="000519DA">
        <w:rPr>
          <w:rFonts w:ascii="Times New Roman" w:hAnsi="Times New Roman"/>
          <w:sz w:val="24"/>
          <w:szCs w:val="24"/>
          <w:lang w:eastAsia="sk-SK"/>
        </w:rPr>
        <w:t xml:space="preserve">Navrhovaným znením sa upravujú kompetencia ÚVZ a RÚVZ pri vydávaní záväzných stanovísk. Prax ukázala, že  žiadosti o záväzné stanoviská o určenie osobitného režimu území sa týkajú výlučne návrhov na určenie ochranných pásiem vodárenských zdrojov. Iné návrhy, ktoré možno považovať za návrhy na určenie osobitného režimu území sa posudzujú podľa iných ustanovení zákona č. 355/2007 Z. z. </w:t>
      </w:r>
    </w:p>
    <w:p w:rsidR="00D55907" w:rsidRPr="000519DA" w:rsidP="00A45E3E">
      <w:pPr>
        <w:spacing w:after="0" w:line="240" w:lineRule="auto"/>
        <w:contextualSpacing/>
        <w:jc w:val="both"/>
        <w:rPr>
          <w:rStyle w:val="awspanawtext3"/>
          <w:rFonts w:ascii="Times New Roman" w:hAnsi="Times New Roman"/>
          <w:b/>
          <w:bCs/>
          <w:sz w:val="24"/>
          <w:szCs w:val="24"/>
        </w:rPr>
      </w:pPr>
    </w:p>
    <w:p w:rsidR="00C24EEE" w:rsidRPr="000519DA" w:rsidP="00A45E3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26</w:t>
      </w:r>
    </w:p>
    <w:p w:rsidR="00C24EEE" w:rsidRPr="000519DA" w:rsidP="00A45E3E">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Vypúšťa sa rozhodovacia činnosť, ktorá bola duplicitou kompetencií orgánov rezortu životného prostredia vydáv</w:t>
      </w:r>
      <w:r w:rsidRPr="000519DA" w:rsidR="008F5870">
        <w:rPr>
          <w:rStyle w:val="awspanawtext3"/>
          <w:rFonts w:ascii="Times New Roman" w:hAnsi="Times New Roman"/>
          <w:sz w:val="24"/>
          <w:szCs w:val="24"/>
        </w:rPr>
        <w:t xml:space="preserve">ajúcich povolenia na osobitné </w:t>
      </w:r>
      <w:r w:rsidRPr="000519DA">
        <w:rPr>
          <w:rStyle w:val="awspanawtext3"/>
          <w:rFonts w:ascii="Times New Roman" w:hAnsi="Times New Roman"/>
          <w:sz w:val="24"/>
          <w:szCs w:val="24"/>
        </w:rPr>
        <w:t xml:space="preserve">užívanie vôd a vodné stavby podľa vodného zákona (zákon č. 364/2007 Z. z.). </w:t>
      </w:r>
    </w:p>
    <w:p w:rsidR="00C24EEE" w:rsidRPr="000519DA" w:rsidP="00A45E3E">
      <w:pPr>
        <w:spacing w:after="0" w:line="240" w:lineRule="auto"/>
        <w:contextualSpacing/>
        <w:jc w:val="both"/>
        <w:rPr>
          <w:rStyle w:val="awspanawtext3"/>
          <w:rFonts w:ascii="Times New Roman" w:hAnsi="Times New Roman"/>
          <w:b/>
          <w:bCs/>
          <w:sz w:val="24"/>
          <w:szCs w:val="24"/>
        </w:rPr>
      </w:pPr>
    </w:p>
    <w:p w:rsidR="00D55907" w:rsidRPr="000519DA" w:rsidP="00A45E3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27</w:t>
      </w:r>
    </w:p>
    <w:p w:rsidR="00D55907" w:rsidRPr="000519DA" w:rsidP="00D55907">
      <w:pPr>
        <w:pStyle w:val="ListParagraph"/>
        <w:ind w:left="0"/>
        <w:contextualSpacing/>
        <w:jc w:val="both"/>
        <w:rPr>
          <w:lang w:eastAsia="sk-SK"/>
        </w:rPr>
      </w:pPr>
      <w:r w:rsidRPr="000519DA">
        <w:rPr>
          <w:rStyle w:val="HTMLVariable"/>
          <w:i w:val="0"/>
        </w:rPr>
        <w:t xml:space="preserve">Navrhovaným znením </w:t>
      </w:r>
      <w:r w:rsidRPr="000519DA">
        <w:rPr>
          <w:lang w:eastAsia="sk-SK"/>
        </w:rPr>
        <w:t>upravuje vydávanie rozhodnutí</w:t>
      </w:r>
      <w:r w:rsidRPr="000519DA">
        <w:rPr>
          <w:i/>
          <w:lang w:eastAsia="sk-SK"/>
        </w:rPr>
        <w:t xml:space="preserve"> </w:t>
      </w:r>
      <w:r w:rsidRPr="000519DA">
        <w:rPr>
          <w:rStyle w:val="HTMLVariable"/>
          <w:i w:val="0"/>
        </w:rPr>
        <w:t xml:space="preserve">RÚVZ a ÚVZ v nadväznosti na novozavedené </w:t>
      </w:r>
      <w:r w:rsidRPr="000519DA">
        <w:rPr>
          <w:lang w:eastAsia="sk-SK"/>
        </w:rPr>
        <w:t xml:space="preserve">požiadavky </w:t>
      </w:r>
      <w:r w:rsidRPr="000519DA" w:rsidR="00253208">
        <w:t>smernice (EÚ) 2020/2184</w:t>
      </w:r>
      <w:r w:rsidRPr="000519DA">
        <w:rPr>
          <w:i/>
          <w:lang w:eastAsia="sk-SK"/>
        </w:rPr>
        <w:t xml:space="preserve">. </w:t>
      </w:r>
      <w:r w:rsidRPr="000519DA">
        <w:rPr>
          <w:rStyle w:val="HTMLVariable"/>
          <w:i w:val="0"/>
        </w:rPr>
        <w:t xml:space="preserve">RÚVZ a ÚVZ budú vydávať rozhodnutia </w:t>
      </w:r>
      <w:r w:rsidRPr="000519DA">
        <w:rPr>
          <w:lang w:eastAsia="sk-SK"/>
        </w:rPr>
        <w:t xml:space="preserve">o manažmente rizík systému zásobovania pitnou vodou a rozhodnutia o zmene v programe monitorovania v nadväznosti a v súlade so záväznými stanoviskami okresných úradov životného prostredia ako príslušných orgánov štátnej vodnej správy, ktoré schvaľujú využívanie vodárenských zdrojov a povoľujú odber vôd, ich ochranné pásma atď. V prípadoch, keď ide o verejné vodovody, budú orgány štátnej vodnej správy vydávať záväzné stanoviská podľa zákona o verejných vodovodoch, pokiaľ nepôjde o verejný vodovod, vydá okresný úrad záväzné stanovisko podľa vodného zákona. </w:t>
      </w:r>
    </w:p>
    <w:p w:rsidR="00D55907" w:rsidRPr="000519DA" w:rsidP="00D55907">
      <w:pPr>
        <w:pStyle w:val="ListParagraph"/>
        <w:ind w:left="0"/>
        <w:contextualSpacing/>
        <w:jc w:val="both"/>
        <w:rPr>
          <w:lang w:eastAsia="sk-SK"/>
        </w:rPr>
      </w:pPr>
    </w:p>
    <w:p w:rsidR="00D55907" w:rsidRPr="000519DA" w:rsidP="00D55907">
      <w:pPr>
        <w:pStyle w:val="ListParagraph"/>
        <w:ind w:left="0"/>
        <w:contextualSpacing/>
        <w:jc w:val="both"/>
      </w:pPr>
      <w:r w:rsidRPr="000519DA">
        <w:rPr>
          <w:lang w:eastAsia="sk-SK"/>
        </w:rPr>
        <w:t xml:space="preserve">ÚVZ môže vydať rozhodnutie o zmene v programe monitorovania aj na základe žiadosti Ministerstva životného prostredia SR a </w:t>
      </w:r>
      <w:r w:rsidRPr="000519DA">
        <w:t>výsledkov z manažmentu rizík v súvislosti s plochami povodia.</w:t>
      </w:r>
    </w:p>
    <w:p w:rsidR="00D55907" w:rsidRPr="000519DA" w:rsidP="00A45E3E">
      <w:pPr>
        <w:spacing w:after="0" w:line="240" w:lineRule="auto"/>
        <w:contextualSpacing/>
        <w:jc w:val="both"/>
        <w:rPr>
          <w:rStyle w:val="awspanawtext3"/>
          <w:rFonts w:ascii="Times New Roman" w:hAnsi="Times New Roman"/>
          <w:sz w:val="24"/>
          <w:szCs w:val="24"/>
        </w:rPr>
      </w:pPr>
    </w:p>
    <w:p w:rsidR="00D55907" w:rsidRPr="000519DA" w:rsidP="00A45E3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28</w:t>
      </w:r>
    </w:p>
    <w:p w:rsidR="00D55907" w:rsidRPr="000519DA" w:rsidP="00D55907">
      <w:pPr>
        <w:pStyle w:val="ListParagraph"/>
        <w:ind w:left="0"/>
        <w:contextualSpacing/>
        <w:jc w:val="both"/>
      </w:pPr>
      <w:bookmarkStart w:id="6" w:name="_Hlk77066746"/>
      <w:r w:rsidRPr="000519DA" w:rsidR="00755D4D">
        <w:t>Nové znenie § 17 až 17d</w:t>
      </w:r>
      <w:r w:rsidRPr="000519DA">
        <w:t xml:space="preserve"> zosúlaďuje zákon s požiadavkami </w:t>
      </w:r>
      <w:r w:rsidRPr="000519DA" w:rsidR="00253208">
        <w:t>smernice (EÚ) 2020/2184</w:t>
      </w:r>
      <w:r w:rsidRPr="000519DA">
        <w:t>, zjednocuje terminológiu a zapracúva do zákona požiadavky z praxe.</w:t>
      </w:r>
    </w:p>
    <w:p w:rsidR="00D55907" w:rsidRPr="000519DA" w:rsidP="00D55907">
      <w:pPr>
        <w:pStyle w:val="ListParagraph"/>
        <w:ind w:left="0"/>
        <w:contextualSpacing/>
        <w:jc w:val="both"/>
      </w:pPr>
    </w:p>
    <w:p w:rsidR="00D55907" w:rsidRPr="000519DA" w:rsidP="00982CDF">
      <w:pPr>
        <w:spacing w:after="0" w:line="240" w:lineRule="auto"/>
        <w:contextualSpacing/>
        <w:jc w:val="both"/>
        <w:rPr>
          <w:rFonts w:ascii="Times New Roman" w:hAnsi="Times New Roman"/>
          <w:sz w:val="24"/>
          <w:szCs w:val="24"/>
        </w:rPr>
      </w:pPr>
      <w:r w:rsidRPr="000519DA">
        <w:rPr>
          <w:rFonts w:ascii="Times New Roman" w:hAnsi="Times New Roman"/>
          <w:sz w:val="24"/>
          <w:szCs w:val="24"/>
        </w:rPr>
        <w:t xml:space="preserve">V § 17 sa dopĺňa informácia, že požiadavky na pitnú vodu sa s výnimkou mikrobiologických ukazovateľov vzťahujú aj na pramenitú vodu. Dopĺňajú sa informácie, ktoré ukazovatele reprezentujú a sú nevyhnutné pre kontrolu kvality pitnej vody a aké kategórie hodnôt ich môžu limitovať. V nadväznosti na uvedené sa upravuje definícia zdravotnej bezpečnosti pitnej vody. </w:t>
      </w:r>
      <w:r w:rsidRPr="000519DA" w:rsidR="00B571D1">
        <w:rPr>
          <w:rFonts w:ascii="Times New Roman" w:hAnsi="Times New Roman"/>
          <w:sz w:val="24"/>
          <w:szCs w:val="24"/>
        </w:rPr>
        <w:t>Medzi požiadavky bolo v súlade so</w:t>
      </w:r>
      <w:r w:rsidRPr="000519DA" w:rsidR="000A366F">
        <w:rPr>
          <w:rFonts w:ascii="Times New Roman" w:hAnsi="Times New Roman"/>
          <w:sz w:val="24"/>
          <w:szCs w:val="24"/>
        </w:rPr>
        <w:t xml:space="preserve"> smernicou</w:t>
      </w:r>
      <w:r w:rsidRPr="000519DA" w:rsidR="00B571D1">
        <w:rPr>
          <w:rFonts w:ascii="Times New Roman" w:hAnsi="Times New Roman"/>
          <w:sz w:val="24"/>
          <w:szCs w:val="24"/>
        </w:rPr>
        <w:t xml:space="preserve"> </w:t>
      </w:r>
      <w:r w:rsidRPr="000519DA" w:rsidR="00B571D1">
        <w:rPr>
          <w:rFonts w:ascii="Times New Roman" w:hAnsi="Times New Roman"/>
        </w:rPr>
        <w:t xml:space="preserve">(EÚ) 2020/2184 </w:t>
      </w:r>
      <w:r w:rsidRPr="000519DA" w:rsidR="00B571D1">
        <w:rPr>
          <w:rFonts w:ascii="Times New Roman" w:hAnsi="Times New Roman"/>
          <w:sz w:val="24"/>
          <w:szCs w:val="24"/>
        </w:rPr>
        <w:t xml:space="preserve">zaradené aj uplatňovanie opatrení vychádzajúcich </w:t>
      </w:r>
      <w:r w:rsidRPr="000519DA" w:rsidR="005E2B6C">
        <w:rPr>
          <w:rFonts w:ascii="Times New Roman" w:hAnsi="Times New Roman"/>
          <w:sz w:val="24"/>
          <w:szCs w:val="24"/>
        </w:rPr>
        <w:t>zo zásady predbežnej opatrnosti</w:t>
      </w:r>
      <w:r w:rsidRPr="000519DA" w:rsidR="00982CDF">
        <w:rPr>
          <w:rFonts w:ascii="Times New Roman" w:hAnsi="Times New Roman"/>
          <w:sz w:val="24"/>
          <w:szCs w:val="24"/>
        </w:rPr>
        <w:t xml:space="preserve">, ktorých cieľom je zaistenie </w:t>
      </w:r>
      <w:r w:rsidRPr="000519DA" w:rsidR="005E2B6C">
        <w:rPr>
          <w:rFonts w:ascii="Times New Roman" w:hAnsi="Times New Roman"/>
          <w:sz w:val="24"/>
          <w:szCs w:val="24"/>
        </w:rPr>
        <w:t>bezpečn</w:t>
      </w:r>
      <w:r w:rsidRPr="000519DA" w:rsidR="00982CDF">
        <w:rPr>
          <w:rFonts w:ascii="Times New Roman" w:hAnsi="Times New Roman"/>
          <w:sz w:val="24"/>
          <w:szCs w:val="24"/>
        </w:rPr>
        <w:t>ej</w:t>
      </w:r>
      <w:r w:rsidRPr="000519DA" w:rsidR="005E2B6C">
        <w:rPr>
          <w:rFonts w:ascii="Times New Roman" w:hAnsi="Times New Roman"/>
          <w:sz w:val="24"/>
          <w:szCs w:val="24"/>
        </w:rPr>
        <w:t xml:space="preserve">  konzumáci</w:t>
      </w:r>
      <w:r w:rsidRPr="000519DA" w:rsidR="00982CDF">
        <w:rPr>
          <w:rFonts w:ascii="Times New Roman" w:hAnsi="Times New Roman"/>
          <w:sz w:val="24"/>
          <w:szCs w:val="24"/>
        </w:rPr>
        <w:t>e</w:t>
      </w:r>
      <w:r w:rsidRPr="000519DA" w:rsidR="005E2B6C">
        <w:rPr>
          <w:rFonts w:ascii="Times New Roman" w:hAnsi="Times New Roman"/>
          <w:sz w:val="24"/>
          <w:szCs w:val="24"/>
        </w:rPr>
        <w:t xml:space="preserve"> pitnej vody počas celého života</w:t>
      </w:r>
      <w:r w:rsidRPr="000519DA" w:rsidR="00982CDF">
        <w:rPr>
          <w:rFonts w:ascii="Times New Roman" w:hAnsi="Times New Roman"/>
          <w:sz w:val="24"/>
          <w:szCs w:val="24"/>
        </w:rPr>
        <w:t>. Táto zásad</w:t>
      </w:r>
      <w:r w:rsidRPr="000519DA" w:rsidR="00802D43">
        <w:rPr>
          <w:rFonts w:ascii="Times New Roman" w:hAnsi="Times New Roman"/>
          <w:sz w:val="24"/>
          <w:szCs w:val="24"/>
        </w:rPr>
        <w:t>a</w:t>
      </w:r>
      <w:r w:rsidRPr="000519DA" w:rsidR="00982CDF">
        <w:rPr>
          <w:rFonts w:ascii="Times New Roman" w:hAnsi="Times New Roman"/>
          <w:sz w:val="24"/>
          <w:szCs w:val="24"/>
        </w:rPr>
        <w:t xml:space="preserve"> sa má podľa EK použiť, keď jav, produkt alebo proces môžu mať nebezpečný vplyv, ktorý sa zistí na základe vedeckého a objektívneho hodnotenia, ale toto hodnotenie neumožňuje určiť dané riziko s dostatočnou istotou. Zásada sa môže uplatniť len v prípade možného ohrozenia a nikdy sa ňou nemôžu odôvodňovať svojvoľné rozhodnutia.</w:t>
      </w:r>
    </w:p>
    <w:p w:rsidR="00D55907" w:rsidRPr="000519DA" w:rsidP="00D55907">
      <w:pPr>
        <w:spacing w:after="0" w:line="240" w:lineRule="auto"/>
        <w:contextualSpacing/>
        <w:jc w:val="both"/>
        <w:rPr>
          <w:rFonts w:ascii="Times New Roman" w:hAnsi="Times New Roman"/>
          <w:sz w:val="24"/>
          <w:szCs w:val="24"/>
        </w:rPr>
      </w:pPr>
    </w:p>
    <w:p w:rsidR="00D55907" w:rsidRPr="000519DA" w:rsidP="00D55907">
      <w:pPr>
        <w:spacing w:after="0" w:line="240" w:lineRule="auto"/>
        <w:contextualSpacing/>
        <w:jc w:val="both"/>
        <w:rPr>
          <w:rFonts w:ascii="Times New Roman" w:hAnsi="Times New Roman"/>
          <w:sz w:val="24"/>
          <w:szCs w:val="24"/>
        </w:rPr>
      </w:pPr>
      <w:r w:rsidRPr="000519DA">
        <w:rPr>
          <w:rFonts w:ascii="Times New Roman" w:hAnsi="Times New Roman"/>
          <w:sz w:val="24"/>
          <w:szCs w:val="24"/>
        </w:rPr>
        <w:t xml:space="preserve">Ustanovenia, týkajúce sa výnimiek na pitnú vodu, ktoré nespĺňajú limity ukazovateľov kvality pitnej vody, sú z dôvodu sprehľadnenia návrhu zákona spracované v osobitnom § 17a. Podľa novej </w:t>
      </w:r>
      <w:r w:rsidRPr="000519DA" w:rsidR="00253208">
        <w:rPr>
          <w:rFonts w:ascii="Times New Roman" w:hAnsi="Times New Roman"/>
          <w:sz w:val="24"/>
          <w:szCs w:val="24"/>
        </w:rPr>
        <w:t xml:space="preserve">smernice (EÚ) 2020/2184 </w:t>
      </w:r>
      <w:r w:rsidRPr="000519DA">
        <w:rPr>
          <w:rFonts w:ascii="Times New Roman" w:hAnsi="Times New Roman"/>
          <w:sz w:val="24"/>
          <w:szCs w:val="24"/>
        </w:rPr>
        <w:t xml:space="preserve">je možno výnimku vydať iba pre vybrané situácie v súvislosťami s plochami povodia a umožňuje sa vydať iba prvú a druhú výnimku; tretia výnimka bola zrušená. V dôsledku toho boli upravené aj kompetencie ÚVZ a RÚVZ. RÚVZ bude vydávať prvú výnimku a ÚVZ bude vydávať druhú výnimku. Do paragrafu boli zahrnuté aj náležitosti žiadosti o výnimku a náležitosti rozhodnutia o výnimke vydaného príslušným úradom. </w:t>
      </w:r>
    </w:p>
    <w:p w:rsidR="00D55907" w:rsidRPr="000519DA" w:rsidP="00D55907">
      <w:pPr>
        <w:spacing w:after="0" w:line="240" w:lineRule="auto"/>
        <w:contextualSpacing/>
        <w:jc w:val="both"/>
        <w:rPr>
          <w:rFonts w:ascii="Times New Roman" w:hAnsi="Times New Roman"/>
          <w:sz w:val="24"/>
          <w:szCs w:val="24"/>
        </w:rPr>
      </w:pPr>
    </w:p>
    <w:p w:rsidR="00D55907" w:rsidRPr="000519DA" w:rsidP="00D55907">
      <w:pPr>
        <w:pStyle w:val="ListParagraph"/>
        <w:ind w:left="0"/>
        <w:contextualSpacing/>
        <w:jc w:val="both"/>
      </w:pPr>
      <w:bookmarkEnd w:id="6"/>
      <w:r w:rsidRPr="000519DA">
        <w:t xml:space="preserve">Do § 17b sú transponované základné požiadavky a princípy </w:t>
      </w:r>
      <w:r w:rsidRPr="000519DA" w:rsidR="00253208">
        <w:t xml:space="preserve">smernice (EÚ) 2020/2184 </w:t>
      </w:r>
      <w:r w:rsidRPr="000519DA">
        <w:t>pre proces manažmentu rizík, ktorý sa musí uplatňovať</w:t>
      </w:r>
      <w:r w:rsidRPr="000519DA" w:rsidR="00755D4D">
        <w:t xml:space="preserve"> v procese zásobovania pitnou vodou</w:t>
      </w:r>
      <w:r w:rsidRPr="000519DA">
        <w:t xml:space="preserve"> vo všetkých troch častiach</w:t>
      </w:r>
      <w:r w:rsidRPr="000519DA" w:rsidR="00755D4D">
        <w:t xml:space="preserve"> vodárenského</w:t>
      </w:r>
      <w:r w:rsidRPr="000519DA">
        <w:t xml:space="preserve"> dodávateľského reťazca – v plochách povodia, v samotnom systéme zásobovania pitnou vodou ako aj v rozvodných systémoch budov, ktoré sa bližšie špecifikujú; súčasne sa definujú pojmy, ktoré sú nevyhnutné pri uplatňovaní prístupu založeného na manažmente rizík a jeho náplň. </w:t>
      </w:r>
    </w:p>
    <w:p w:rsidR="00D55907" w:rsidRPr="000519DA" w:rsidP="00D55907">
      <w:pPr>
        <w:pStyle w:val="ListParagraph"/>
        <w:ind w:left="0"/>
        <w:contextualSpacing/>
        <w:jc w:val="both"/>
      </w:pPr>
    </w:p>
    <w:p w:rsidR="00D55907" w:rsidRPr="000519DA" w:rsidP="00D55907">
      <w:pPr>
        <w:pStyle w:val="ListParagraph"/>
        <w:ind w:left="0"/>
        <w:contextualSpacing/>
        <w:jc w:val="both"/>
      </w:pPr>
      <w:r w:rsidRPr="000519DA">
        <w:t>§ 17c uvádza základné kritériá na manažment rizík zásobovania pitnou vodou, ktorý pozostáva z posúdenie rizík a z opatrení pre ich riadenie. Manažment rizík zásobovania pitnou vodou vypracúva dodávateľ pitnej vody v štruktúrovanej podobe</w:t>
      </w:r>
      <w:r w:rsidRPr="000519DA" w:rsidR="00536385">
        <w:t xml:space="preserve"> a postupom, ktorý bude podrobnejšie určovať návrh nového všeobecne záväzného právneho predpisu. </w:t>
      </w:r>
      <w:r w:rsidRPr="000519DA">
        <w:t>RÚVZ alebo ÚVZ môžu na základe manažmentu rizík zásobovania pitnou vodou podľa stanovených pravidiel povoliť zmenu v rozsahu a početnosti kontroly kvality pitnej vody. Navrhovaným znením sa ďalej ustanovujú požiadavky na náležitosti žiadosti o posúdenie manažmentu rizík systému zásobovania pitnou vodou a žiadosti o posúdenie rozšíren</w:t>
      </w:r>
      <w:r w:rsidRPr="000519DA" w:rsidR="00536385">
        <w:t>ia alebo zúženia</w:t>
      </w:r>
      <w:r w:rsidRPr="000519DA">
        <w:t xml:space="preserve"> kontroly kvality vody v programe monitorovania.</w:t>
      </w:r>
    </w:p>
    <w:p w:rsidR="00D55907" w:rsidRPr="000519DA" w:rsidP="00D55907">
      <w:pPr>
        <w:pStyle w:val="ListParagraph"/>
        <w:ind w:left="0"/>
        <w:contextualSpacing/>
        <w:jc w:val="both"/>
      </w:pPr>
    </w:p>
    <w:p w:rsidR="00D55907" w:rsidRPr="000519DA" w:rsidP="00D55907">
      <w:pPr>
        <w:pStyle w:val="ListParagraph"/>
        <w:ind w:left="0"/>
        <w:contextualSpacing/>
        <w:jc w:val="both"/>
      </w:pPr>
      <w:r w:rsidRPr="000519DA">
        <w:rPr>
          <w:bCs/>
          <w:lang w:eastAsia="sk-SK"/>
        </w:rPr>
        <w:t>V</w:t>
      </w:r>
      <w:r w:rsidRPr="000519DA">
        <w:t xml:space="preserve"> nadväznosti na nové požiadavky </w:t>
      </w:r>
      <w:r w:rsidRPr="000519DA" w:rsidR="00253208">
        <w:t xml:space="preserve">smernice (EÚ) 2020/2184 </w:t>
      </w:r>
      <w:r w:rsidRPr="000519DA">
        <w:t xml:space="preserve">sa dopĺňajú a spresňujú povinnosti dodávateľov pitnej vody. Rozširuje sa definícia dodávateľ pitnej vody (ďalej len „dodávateľ“)  kde na základe praxe k dodávateľom doplnil aj subjekt, ktorý na vlastné podnikateľské účely alebo vo verejnom záujme pitnú vodu používa alebo dodáva od iného dodávateľa pitnej vody. </w:t>
      </w:r>
    </w:p>
    <w:p w:rsidR="00D55907" w:rsidRPr="000519DA" w:rsidP="00D55907">
      <w:pPr>
        <w:pStyle w:val="ListParagraph"/>
        <w:ind w:left="0"/>
        <w:contextualSpacing/>
        <w:jc w:val="both"/>
      </w:pPr>
    </w:p>
    <w:p w:rsidR="00D55907" w:rsidRPr="000519DA" w:rsidP="00D55907">
      <w:pPr>
        <w:pStyle w:val="ListParagraph"/>
        <w:ind w:left="0"/>
        <w:contextualSpacing/>
        <w:jc w:val="both"/>
      </w:pPr>
      <w:r w:rsidRPr="000519DA">
        <w:t>Dodávateľovi sa dopĺňa nová povinnosť vypracovať a aktualizovať mana</w:t>
      </w:r>
      <w:r w:rsidRPr="000519DA" w:rsidR="000937CC">
        <w:t xml:space="preserve">žment rizík systému zásobovania </w:t>
      </w:r>
      <w:r w:rsidRPr="000519DA">
        <w:t>(doteraz išlo o dobrovoľný prístup), predkladať informácie o používaných metódach pri analýzach pitnej vody a povinnosť používať pri úprave vody okrem zdravotne bezpečných výrobkov určených na styk s pitnou vodu aj materiály a filtračné médiá určené na styk s pitnou vodou a vhodné a zdravotne bezpečné chemické látky na úpravu vody. Návrhom zákona sa rozširujú aj oznamovacie povinnosti dodávateľa. Dodávateľ je povinný oznámiť RÚVZ okrem prekročenia limitu zdravotne významného ukazovateľa kvality pitnej vody bezodkladne aj zmenu vo vodárenskej úprave vody</w:t>
      </w:r>
      <w:r w:rsidRPr="000519DA" w:rsidR="000937CC">
        <w:t>,</w:t>
      </w:r>
      <w:r w:rsidRPr="000519DA">
        <w:t> nedodržanie odporúčanej hodnoty látky alebo zlúčeniny vzbudzujúcej obavy</w:t>
      </w:r>
      <w:r w:rsidRPr="000519DA" w:rsidR="000937CC">
        <w:t>, zmeny miest odberu a prípadné vzniknuté incidenty. D</w:t>
      </w:r>
      <w:r w:rsidRPr="000519DA">
        <w:t xml:space="preserve">odávateľ je povinný poskytnúť údaje o manažmente rizík systému zásobovania a výsledky kontroly kvality pitnej vody inému dodávateľovi pitnej vody, ak tento dodávanú pitnú vodu ďalej používa pre vlastnú podnikateľskú činnosť alebo vo verejnom </w:t>
      </w:r>
      <w:r w:rsidRPr="000519DA" w:rsidR="000937CC">
        <w:t xml:space="preserve">záujme. Verejnosti je dodávateľ </w:t>
      </w:r>
      <w:r w:rsidRPr="000519DA">
        <w:t>povinný okrem sprístupňovania relevantných informácií poskytovať v zmysle nových požiadaviek raz ročne aj údaje súvisiace s konkrétnou dodávkou vody a informovať spotrebiteľov v prípade obmedzenia zásobovania o jeho obnovení. Do kategórie vykonávania opatrení v prípade nevyhovujúcej kvalite pitnej vody sa dopĺňa potreba prijatia vhodných postupov na úpravu vody pred jej dodávaním do domových rozvodných systémov budov na zníženie alebo odstránenie rizík z nedodržania požiadaviek na kvalitu pitnej vody a povinnosť poskytovania súčinnosti pri zmierňovaní rizík.</w:t>
      </w:r>
    </w:p>
    <w:p w:rsidR="00D55907" w:rsidRPr="000519DA" w:rsidP="00D55907">
      <w:pPr>
        <w:pStyle w:val="ListParagraph"/>
        <w:ind w:left="0"/>
        <w:contextualSpacing/>
        <w:jc w:val="both"/>
        <w:rPr>
          <w:strike/>
        </w:rPr>
      </w:pPr>
    </w:p>
    <w:p w:rsidR="00D55907" w:rsidRPr="000519DA" w:rsidP="00D55907">
      <w:pPr>
        <w:pStyle w:val="Odsekzoznamu4"/>
        <w:ind w:left="0"/>
        <w:contextualSpacing/>
        <w:jc w:val="both"/>
        <w:rPr>
          <w:rFonts w:ascii="Times New Roman" w:hAnsi="Times New Roman"/>
          <w:sz w:val="24"/>
          <w:szCs w:val="24"/>
        </w:rPr>
      </w:pPr>
      <w:r w:rsidRPr="000519DA">
        <w:rPr>
          <w:rFonts w:ascii="Times New Roman" w:hAnsi="Times New Roman"/>
          <w:sz w:val="24"/>
          <w:szCs w:val="24"/>
          <w:lang w:eastAsia="cs-CZ"/>
        </w:rPr>
        <w:t>Ďalšími ustanoveniami sa od niektorých povinností oslobodzujú</w:t>
      </w:r>
      <w:r w:rsidRPr="000519DA">
        <w:rPr>
          <w:rFonts w:ascii="Times New Roman" w:hAnsi="Times New Roman"/>
          <w:sz w:val="24"/>
          <w:szCs w:val="24"/>
        </w:rPr>
        <w:t xml:space="preserve"> dodávatelia, ktorí dodávajú alebo používajú v priemere 10 až 100 m</w:t>
      </w:r>
      <w:r w:rsidRPr="000519DA">
        <w:rPr>
          <w:rFonts w:ascii="Times New Roman" w:hAnsi="Times New Roman"/>
          <w:sz w:val="24"/>
          <w:szCs w:val="24"/>
          <w:vertAlign w:val="superscript"/>
        </w:rPr>
        <w:t>3</w:t>
      </w:r>
      <w:r w:rsidRPr="000519DA">
        <w:rPr>
          <w:rFonts w:ascii="Times New Roman" w:hAnsi="Times New Roman"/>
          <w:sz w:val="24"/>
          <w:szCs w:val="24"/>
        </w:rPr>
        <w:t xml:space="preserve"> pitnej vody za deň alebo zásobujú 50 až 500 osôb  a dodávatelia pitnej vody, ktorý dodávajú alebo používajú na podnikateľské účely alebo </w:t>
        <w:br/>
        <w:t>vo verejnom záujme v priemere menej ako 10 m</w:t>
      </w:r>
      <w:r w:rsidRPr="000519DA">
        <w:rPr>
          <w:rFonts w:ascii="Times New Roman" w:hAnsi="Times New Roman"/>
          <w:sz w:val="24"/>
          <w:szCs w:val="24"/>
          <w:vertAlign w:val="superscript"/>
        </w:rPr>
        <w:t>3</w:t>
      </w:r>
      <w:r w:rsidRPr="000519DA">
        <w:rPr>
          <w:rFonts w:ascii="Times New Roman" w:hAnsi="Times New Roman"/>
          <w:sz w:val="24"/>
          <w:szCs w:val="24"/>
        </w:rPr>
        <w:t xml:space="preserve"> pitnej vody za deň alebo zásobujú menej ako 50 osôb. </w:t>
      </w:r>
    </w:p>
    <w:p w:rsidR="00D55907" w:rsidRPr="000519DA" w:rsidP="00D55907">
      <w:pPr>
        <w:pStyle w:val="ListParagraph"/>
        <w:ind w:left="0"/>
        <w:contextualSpacing/>
        <w:rPr>
          <w:b/>
          <w:bCs/>
        </w:rPr>
      </w:pPr>
    </w:p>
    <w:p w:rsidR="00D55907" w:rsidRPr="000519DA" w:rsidP="00D55907">
      <w:pPr>
        <w:pStyle w:val="ListParagraph"/>
        <w:ind w:left="0"/>
        <w:contextualSpacing/>
        <w:jc w:val="both"/>
      </w:pPr>
      <w:r w:rsidRPr="000519DA">
        <w:t xml:space="preserve">V § 17d sa určuje obsah posúdenia rizík z domových rozvodných systémov, ktoré v súlade </w:t>
        <w:br/>
        <w:t xml:space="preserve">so </w:t>
      </w:r>
      <w:r w:rsidRPr="000519DA" w:rsidR="00253208">
        <w:t xml:space="preserve">smernicou (EÚ) 2020/2184 </w:t>
      </w:r>
      <w:r w:rsidRPr="000519DA">
        <w:t xml:space="preserve">pozostáva z všeobecnej národnej analýzy rizík a z monitorovania vybraných ukazovateľov kvality pitnej vody, ktoré môžu indikovať vplyv domových rozvodných systémov na kvalitu pitnej vody. Monitorovanie sa má uskutočňovať prednostne v priestoroch, ktoré verejnosť využíva vo zvýšenej miere a môžu znamenať zdravotné riziko. Výber takýchto prioritných priestorov vykoná na základe vlastného uváženia každej krajiny. </w:t>
      </w:r>
    </w:p>
    <w:p w:rsidR="00D55907" w:rsidRPr="000519DA" w:rsidP="00D55907">
      <w:pPr>
        <w:pStyle w:val="ListParagraph"/>
        <w:ind w:left="0"/>
        <w:contextualSpacing/>
        <w:jc w:val="both"/>
      </w:pPr>
    </w:p>
    <w:p w:rsidR="00D55907" w:rsidRPr="000519DA" w:rsidP="00D55907">
      <w:pPr>
        <w:pStyle w:val="ListParagraph"/>
        <w:ind w:left="0"/>
        <w:contextualSpacing/>
        <w:jc w:val="both"/>
      </w:pPr>
      <w:r w:rsidRPr="000519DA">
        <w:t>Požiadavky na vypracovanie ich analýz a príslušné monitorovanie boli stanovené v súvislosti so vzrastajúcim výskytom ochorení – legionelóz, ktoré predstavujú v Európskej ú</w:t>
      </w:r>
      <w:r w:rsidRPr="000519DA">
        <w:rPr>
          <w:bCs/>
          <w:iCs/>
          <w:lang w:eastAsia="sk-SK"/>
        </w:rPr>
        <w:t xml:space="preserve">nii najväčšiu zdravotnú záťaž spomedzi všetkých ochorení, ktoré sú prenášané patogénmi z vody. Osoby, ktoré majú vo vlastníctve bytové a nebytové budovy, musia v prípade nevyhovujúcej kvality, ktorú spôsobil domový rozvodný systém, vykonať nápravné opatrenia. </w:t>
      </w:r>
      <w:r w:rsidRPr="000519DA">
        <w:t>Pre verejné budovy bola z dôvodu podpory používania pitnej vody zavedená povinnosť vytvoriť podmienky pre prístup verejnosti k pitnej vode.</w:t>
      </w:r>
    </w:p>
    <w:p w:rsidR="00D55907" w:rsidRPr="000519DA" w:rsidP="00A45E3E">
      <w:pPr>
        <w:spacing w:after="0" w:line="240" w:lineRule="auto"/>
        <w:contextualSpacing/>
        <w:jc w:val="both"/>
        <w:rPr>
          <w:rStyle w:val="awspanawtext3"/>
          <w:rFonts w:ascii="Times New Roman" w:hAnsi="Times New Roman"/>
          <w:b/>
          <w:bCs/>
          <w:sz w:val="24"/>
          <w:szCs w:val="24"/>
        </w:rPr>
      </w:pPr>
    </w:p>
    <w:p w:rsidR="00D55907" w:rsidRPr="000519DA" w:rsidP="00A45E3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29</w:t>
      </w:r>
    </w:p>
    <w:p w:rsidR="00D55907" w:rsidRPr="000519DA" w:rsidP="00D55907">
      <w:pPr>
        <w:pStyle w:val="ListParagraph"/>
        <w:ind w:left="0"/>
        <w:contextualSpacing/>
        <w:jc w:val="both"/>
      </w:pPr>
      <w:r w:rsidRPr="000519DA">
        <w:t xml:space="preserve">Nový § 17e prihliada na požiadavky </w:t>
      </w:r>
      <w:r w:rsidRPr="000519DA" w:rsidR="00253208">
        <w:t xml:space="preserve">smernice (EÚ) 2020/2184 </w:t>
      </w:r>
      <w:r w:rsidRPr="000519DA">
        <w:t xml:space="preserve">na monitorovanie domových rozvodných systémov a skúsenosti z praxe. Baktérie rodu </w:t>
      </w:r>
      <w:r w:rsidRPr="000519DA">
        <w:rPr>
          <w:i/>
        </w:rPr>
        <w:t xml:space="preserve">Legionella, </w:t>
      </w:r>
      <w:r w:rsidRPr="000519DA">
        <w:t>čo potvrdzujú aj prípady ochorení,</w:t>
      </w:r>
      <w:r w:rsidRPr="000519DA">
        <w:rPr>
          <w:i/>
        </w:rPr>
        <w:t xml:space="preserve"> </w:t>
      </w:r>
      <w:r w:rsidRPr="000519DA">
        <w:t xml:space="preserve">sa vyskytujú najmä v systémoch s teplou vodou. Ukázala sa potreba ustanovenia požiadaviek na zdravotne bezpečnú teplú vodu, ktorú s cieľom ušetrenia finančných prostriedkov začína čoraz viac prevádzkovateľov vyrábať z vody z vlastných zdrojov. Dlhodobo sa tiež potvrdzuje, že prevádzkovatelia budov sa snažia znižovať teplotu teplej vody, ktorá tak nespĺňa požiadavky na </w:t>
      </w:r>
      <w:r w:rsidRPr="000519DA" w:rsidR="00757D6A">
        <w:t xml:space="preserve">zdravotne bezpečnú </w:t>
      </w:r>
      <w:r w:rsidRPr="000519DA">
        <w:t xml:space="preserve">teplú vodu a vytvára </w:t>
      </w:r>
      <w:r w:rsidRPr="000519DA" w:rsidR="00757D6A">
        <w:t xml:space="preserve">tak </w:t>
      </w:r>
      <w:r w:rsidRPr="000519DA">
        <w:t xml:space="preserve">ideálne prostredie pre množenie patogénnych baktérií. </w:t>
      </w:r>
    </w:p>
    <w:p w:rsidR="00D55907" w:rsidRPr="000519DA" w:rsidP="00D55907">
      <w:pPr>
        <w:pStyle w:val="ListParagraph"/>
        <w:ind w:left="0"/>
        <w:contextualSpacing/>
        <w:jc w:val="both"/>
      </w:pPr>
    </w:p>
    <w:p w:rsidR="00D55907" w:rsidRPr="000519DA" w:rsidP="00D55907">
      <w:pPr>
        <w:pStyle w:val="ListParagraph"/>
        <w:ind w:left="0"/>
        <w:contextualSpacing/>
        <w:jc w:val="both"/>
      </w:pPr>
      <w:r w:rsidRPr="000519DA">
        <w:t>Teplotu teplej vody ako aj ostatné požiadavky na jej kvalitu ustanoví vykonávací predpis. Pre teplú vodu na vodovodnom kohútiku sa odporúča teplota 50</w:t>
      </w:r>
      <w:r w:rsidRPr="000519DA" w:rsidR="00272845">
        <w:t>° C</w:t>
      </w:r>
      <w:r w:rsidRPr="000519DA">
        <w:t xml:space="preserve"> </w:t>
      </w:r>
      <w:r w:rsidRPr="000519DA" w:rsidR="00272845">
        <w:t>–</w:t>
      </w:r>
      <w:r w:rsidRPr="000519DA">
        <w:t xml:space="preserve"> 55</w:t>
      </w:r>
      <w:r w:rsidRPr="000519DA" w:rsidR="00272845">
        <w:t xml:space="preserve"> </w:t>
      </w:r>
      <w:r w:rsidRPr="000519DA">
        <w:t xml:space="preserve">ºC. </w:t>
      </w:r>
    </w:p>
    <w:p w:rsidR="00D55907" w:rsidRPr="000519DA" w:rsidP="00A45E3E">
      <w:pPr>
        <w:spacing w:after="0" w:line="240" w:lineRule="auto"/>
        <w:contextualSpacing/>
        <w:jc w:val="both"/>
        <w:rPr>
          <w:rStyle w:val="awspanawtext3"/>
          <w:rFonts w:ascii="Times New Roman" w:hAnsi="Times New Roman"/>
          <w:b/>
          <w:bCs/>
          <w:sz w:val="24"/>
          <w:szCs w:val="24"/>
        </w:rPr>
      </w:pPr>
    </w:p>
    <w:p w:rsidR="00D55907" w:rsidRPr="000519DA" w:rsidP="00A45E3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30</w:t>
      </w:r>
    </w:p>
    <w:p w:rsidR="004162CD" w:rsidRPr="000519DA" w:rsidP="004162CD">
      <w:pPr>
        <w:spacing w:after="0" w:line="240" w:lineRule="auto"/>
        <w:contextualSpacing/>
        <w:jc w:val="both"/>
        <w:rPr>
          <w:rFonts w:ascii="Times New Roman" w:hAnsi="Times New Roman"/>
          <w:sz w:val="24"/>
          <w:szCs w:val="24"/>
        </w:rPr>
      </w:pPr>
      <w:r w:rsidRPr="000519DA">
        <w:rPr>
          <w:rFonts w:ascii="Times New Roman" w:hAnsi="Times New Roman"/>
          <w:sz w:val="24"/>
          <w:szCs w:val="24"/>
        </w:rPr>
        <w:t xml:space="preserve">V zmysle </w:t>
      </w:r>
      <w:r w:rsidRPr="000519DA" w:rsidR="00253208">
        <w:rPr>
          <w:rFonts w:ascii="Times New Roman" w:hAnsi="Times New Roman"/>
          <w:sz w:val="24"/>
          <w:szCs w:val="24"/>
        </w:rPr>
        <w:t xml:space="preserve">smernice (EÚ) 2020/2184 </w:t>
      </w:r>
      <w:r w:rsidRPr="000519DA">
        <w:rPr>
          <w:rFonts w:ascii="Times New Roman" w:hAnsi="Times New Roman"/>
          <w:sz w:val="24"/>
          <w:szCs w:val="24"/>
        </w:rPr>
        <w:t xml:space="preserve">sa rozširujú zdravotné požiadavky na výrobky, materiály a filtračné média, ktoré prichádzajú do styku s pitnou vodou a na chemické látky na úpravu vody. Návrhom sa definujú požiadavky na ich zdravotnú bezpečnosť a spôsob ich hodnotenia. Fyzickým osobám-podnikateľom alebo právnickým osobám, ktoré uvádzajú uvedené produkty na trh, je uložená povinnosť zabezpečiť ich súlad s požiadavkami na zdravotnú bezpečnosť. </w:t>
      </w:r>
    </w:p>
    <w:p w:rsidR="004162CD" w:rsidRPr="000519DA" w:rsidP="004162CD">
      <w:pPr>
        <w:spacing w:after="0" w:line="240" w:lineRule="auto"/>
        <w:contextualSpacing/>
        <w:jc w:val="both"/>
        <w:rPr>
          <w:rFonts w:ascii="Times New Roman" w:hAnsi="Times New Roman"/>
          <w:sz w:val="24"/>
          <w:szCs w:val="24"/>
        </w:rPr>
      </w:pPr>
    </w:p>
    <w:p w:rsidR="004162CD" w:rsidRPr="000519DA" w:rsidP="004162CD">
      <w:pPr>
        <w:spacing w:after="0" w:line="240" w:lineRule="auto"/>
        <w:contextualSpacing/>
        <w:jc w:val="both"/>
        <w:rPr>
          <w:rFonts w:ascii="Times New Roman" w:hAnsi="Times New Roman"/>
          <w:b/>
          <w:bCs/>
          <w:sz w:val="24"/>
          <w:szCs w:val="24"/>
        </w:rPr>
      </w:pPr>
      <w:r w:rsidRPr="000519DA">
        <w:rPr>
          <w:rFonts w:ascii="Times New Roman" w:hAnsi="Times New Roman"/>
          <w:b/>
          <w:bCs/>
          <w:sz w:val="24"/>
          <w:szCs w:val="24"/>
        </w:rPr>
        <w:t>K bodu 31</w:t>
      </w:r>
    </w:p>
    <w:p w:rsidR="004162CD" w:rsidRPr="000519DA" w:rsidP="004162CD">
      <w:pPr>
        <w:spacing w:after="0" w:line="240" w:lineRule="auto"/>
        <w:contextualSpacing/>
        <w:jc w:val="both"/>
        <w:rPr>
          <w:rFonts w:ascii="Times New Roman" w:hAnsi="Times New Roman"/>
          <w:sz w:val="24"/>
          <w:szCs w:val="24"/>
        </w:rPr>
      </w:pPr>
      <w:r w:rsidRPr="000519DA">
        <w:rPr>
          <w:rFonts w:ascii="Times New Roman" w:hAnsi="Times New Roman"/>
          <w:sz w:val="24"/>
          <w:szCs w:val="24"/>
        </w:rPr>
        <w:t xml:space="preserve">Doplnenie  kompetencie </w:t>
      </w:r>
      <w:r w:rsidRPr="000519DA" w:rsidR="00245CF7">
        <w:rPr>
          <w:rFonts w:ascii="Times New Roman" w:hAnsi="Times New Roman"/>
          <w:sz w:val="24"/>
          <w:szCs w:val="24"/>
        </w:rPr>
        <w:t>ÚVZ</w:t>
      </w:r>
      <w:r w:rsidRPr="000519DA">
        <w:rPr>
          <w:rFonts w:ascii="Times New Roman" w:hAnsi="Times New Roman"/>
          <w:sz w:val="24"/>
          <w:szCs w:val="24"/>
        </w:rPr>
        <w:t>, ktorá umožňuje rovnako ako pri pitnej vode ustanoviť limit pre ukazovatele a</w:t>
      </w:r>
      <w:r w:rsidRPr="000519DA" w:rsidR="00245CF7">
        <w:rPr>
          <w:rFonts w:ascii="Times New Roman" w:hAnsi="Times New Roman"/>
          <w:sz w:val="24"/>
          <w:szCs w:val="24"/>
        </w:rPr>
        <w:t> </w:t>
      </w:r>
      <w:r w:rsidRPr="000519DA">
        <w:rPr>
          <w:rFonts w:ascii="Times New Roman" w:hAnsi="Times New Roman"/>
          <w:sz w:val="24"/>
          <w:szCs w:val="24"/>
        </w:rPr>
        <w:t>látky</w:t>
      </w:r>
      <w:r w:rsidRPr="000519DA" w:rsidR="00245CF7">
        <w:rPr>
          <w:rFonts w:ascii="Times New Roman" w:hAnsi="Times New Roman"/>
          <w:sz w:val="24"/>
          <w:szCs w:val="24"/>
        </w:rPr>
        <w:t xml:space="preserve"> prítomné vo vode určenej na kúpanie</w:t>
      </w:r>
      <w:r w:rsidRPr="000519DA">
        <w:rPr>
          <w:rFonts w:ascii="Times New Roman" w:hAnsi="Times New Roman"/>
          <w:sz w:val="24"/>
          <w:szCs w:val="24"/>
        </w:rPr>
        <w:t>, ktoré nemajú vzhľadom na ich ojedinelý výskyt alebo z dôvodu, že ide o nové látky, určené limitné hodnoty.</w:t>
      </w:r>
    </w:p>
    <w:p w:rsidR="004162CD" w:rsidRPr="000519DA" w:rsidP="004162CD">
      <w:pPr>
        <w:spacing w:after="0" w:line="240" w:lineRule="auto"/>
        <w:contextualSpacing/>
        <w:jc w:val="both"/>
        <w:rPr>
          <w:rFonts w:ascii="Times New Roman" w:hAnsi="Times New Roman"/>
          <w:sz w:val="24"/>
          <w:szCs w:val="24"/>
        </w:rPr>
      </w:pPr>
    </w:p>
    <w:p w:rsidR="004162CD" w:rsidRPr="000519DA" w:rsidP="004162CD">
      <w:pPr>
        <w:spacing w:after="0" w:line="240" w:lineRule="auto"/>
        <w:contextualSpacing/>
        <w:jc w:val="both"/>
        <w:rPr>
          <w:rFonts w:ascii="Times New Roman" w:hAnsi="Times New Roman"/>
          <w:b/>
          <w:bCs/>
          <w:sz w:val="24"/>
          <w:szCs w:val="24"/>
        </w:rPr>
      </w:pPr>
      <w:r w:rsidRPr="000519DA">
        <w:rPr>
          <w:rFonts w:ascii="Times New Roman" w:hAnsi="Times New Roman"/>
          <w:b/>
          <w:bCs/>
          <w:sz w:val="24"/>
          <w:szCs w:val="24"/>
        </w:rPr>
        <w:t xml:space="preserve">K bodu 32 </w:t>
      </w:r>
    </w:p>
    <w:p w:rsidR="004162CD" w:rsidRPr="000519DA" w:rsidP="004162CD">
      <w:pPr>
        <w:spacing w:after="0" w:line="240" w:lineRule="auto"/>
        <w:contextualSpacing/>
        <w:jc w:val="both"/>
        <w:rPr>
          <w:rFonts w:ascii="Times New Roman" w:hAnsi="Times New Roman"/>
          <w:sz w:val="24"/>
          <w:szCs w:val="24"/>
        </w:rPr>
      </w:pPr>
      <w:r w:rsidRPr="000519DA">
        <w:rPr>
          <w:rFonts w:ascii="Times New Roman" w:hAnsi="Times New Roman"/>
          <w:sz w:val="24"/>
          <w:szCs w:val="24"/>
        </w:rPr>
        <w:t>Ustanovenie v súčasnosti  zakazuje vstup so zvieraťom na prírodné kúpalisko a umelé kúpalisko pre všetky osoby. Doplnením ustanovenia sa umožní osobám so zdravotným postihnutím vstup na kúpalisko v sprievode psa so špeciálnym výcvikom.</w:t>
      </w:r>
    </w:p>
    <w:p w:rsidR="004162CD" w:rsidRPr="000519DA" w:rsidP="004162CD">
      <w:pPr>
        <w:spacing w:after="0" w:line="240" w:lineRule="auto"/>
        <w:contextualSpacing/>
        <w:jc w:val="both"/>
        <w:rPr>
          <w:rFonts w:ascii="Times New Roman" w:hAnsi="Times New Roman"/>
          <w:sz w:val="24"/>
          <w:szCs w:val="24"/>
        </w:rPr>
      </w:pPr>
    </w:p>
    <w:p w:rsidR="004162CD" w:rsidRPr="000519DA" w:rsidP="004162CD">
      <w:pPr>
        <w:spacing w:after="0" w:line="240" w:lineRule="auto"/>
        <w:contextualSpacing/>
        <w:jc w:val="both"/>
        <w:rPr>
          <w:rFonts w:ascii="Times New Roman" w:hAnsi="Times New Roman"/>
          <w:b/>
          <w:bCs/>
          <w:sz w:val="24"/>
          <w:szCs w:val="24"/>
        </w:rPr>
      </w:pPr>
      <w:r w:rsidRPr="000519DA">
        <w:rPr>
          <w:rFonts w:ascii="Times New Roman" w:hAnsi="Times New Roman"/>
          <w:b/>
          <w:bCs/>
          <w:sz w:val="24"/>
          <w:szCs w:val="24"/>
        </w:rPr>
        <w:t>K bodu 33</w:t>
      </w:r>
    </w:p>
    <w:p w:rsidR="004162CD" w:rsidRPr="000519DA" w:rsidP="004162CD">
      <w:pPr>
        <w:spacing w:after="0" w:line="240" w:lineRule="auto"/>
        <w:contextualSpacing/>
        <w:jc w:val="both"/>
        <w:rPr>
          <w:rFonts w:ascii="Times New Roman" w:hAnsi="Times New Roman"/>
          <w:sz w:val="24"/>
          <w:szCs w:val="24"/>
        </w:rPr>
      </w:pPr>
      <w:r w:rsidRPr="000519DA">
        <w:rPr>
          <w:rFonts w:ascii="Times New Roman" w:hAnsi="Times New Roman"/>
          <w:sz w:val="24"/>
          <w:szCs w:val="24"/>
        </w:rPr>
        <w:t>Z dôvodu ochrany zdravia verejnosti sa upravujú povinnosti prevádzkovateľov prírodných kúpalísk zabezpečiť plavčíka, ktorý musí mať najmenej 18 rokov a absolvovať akreditovaný kurz prvej pomoci.</w:t>
      </w:r>
    </w:p>
    <w:p w:rsidR="004162CD" w:rsidRPr="000519DA" w:rsidP="004162CD">
      <w:pPr>
        <w:spacing w:after="0" w:line="240" w:lineRule="auto"/>
        <w:contextualSpacing/>
        <w:jc w:val="both"/>
        <w:rPr>
          <w:rFonts w:ascii="Times New Roman" w:hAnsi="Times New Roman"/>
          <w:sz w:val="24"/>
          <w:szCs w:val="24"/>
        </w:rPr>
      </w:pPr>
    </w:p>
    <w:p w:rsidR="00B94527" w:rsidRPr="000519DA" w:rsidP="004162CD">
      <w:pPr>
        <w:spacing w:after="0" w:line="240" w:lineRule="auto"/>
        <w:contextualSpacing/>
        <w:jc w:val="both"/>
        <w:rPr>
          <w:rFonts w:ascii="Times New Roman" w:hAnsi="Times New Roman"/>
          <w:sz w:val="24"/>
          <w:szCs w:val="24"/>
        </w:rPr>
      </w:pPr>
    </w:p>
    <w:p w:rsidR="004162CD" w:rsidRPr="000519DA" w:rsidP="004162CD">
      <w:pPr>
        <w:spacing w:after="0" w:line="240" w:lineRule="auto"/>
        <w:contextualSpacing/>
        <w:jc w:val="both"/>
        <w:rPr>
          <w:rFonts w:ascii="Times New Roman" w:hAnsi="Times New Roman"/>
          <w:b/>
          <w:bCs/>
          <w:sz w:val="24"/>
          <w:szCs w:val="24"/>
        </w:rPr>
      </w:pPr>
      <w:r w:rsidRPr="000519DA">
        <w:rPr>
          <w:rFonts w:ascii="Times New Roman" w:hAnsi="Times New Roman"/>
          <w:b/>
          <w:bCs/>
          <w:sz w:val="24"/>
          <w:szCs w:val="24"/>
        </w:rPr>
        <w:t>K bodu 34</w:t>
      </w:r>
    </w:p>
    <w:p w:rsidR="004162CD" w:rsidRPr="000519DA" w:rsidP="004162CD">
      <w:pPr>
        <w:spacing w:after="0" w:line="240" w:lineRule="auto"/>
        <w:contextualSpacing/>
        <w:jc w:val="both"/>
        <w:rPr>
          <w:rFonts w:ascii="Times New Roman" w:hAnsi="Times New Roman"/>
          <w:sz w:val="24"/>
          <w:szCs w:val="24"/>
        </w:rPr>
      </w:pPr>
      <w:r w:rsidRPr="000519DA">
        <w:rPr>
          <w:rFonts w:ascii="Times New Roman" w:hAnsi="Times New Roman"/>
          <w:sz w:val="24"/>
          <w:szCs w:val="24"/>
        </w:rPr>
        <w:t>Z dôvodu ochrany zdravia verejnosti sa upravujú povinnosti prevádzkovateľov umelých kúpalísk zabezpečiť plavčíka, ktorý musí spĺňať požiadavku na dosiahnutý vek najmenej 18 rokov, ako aj požiadavku absolvovať akreditovaný kurz prvej pomoc.</w:t>
      </w:r>
    </w:p>
    <w:p w:rsidR="004162CD" w:rsidRPr="000519DA" w:rsidP="004162CD">
      <w:pPr>
        <w:spacing w:after="0" w:line="240" w:lineRule="auto"/>
        <w:contextualSpacing/>
        <w:jc w:val="both"/>
        <w:rPr>
          <w:rFonts w:ascii="Times New Roman" w:hAnsi="Times New Roman"/>
          <w:sz w:val="24"/>
          <w:szCs w:val="24"/>
        </w:rPr>
      </w:pPr>
    </w:p>
    <w:p w:rsidR="004162CD" w:rsidRPr="000519DA" w:rsidP="004162CD">
      <w:pPr>
        <w:spacing w:after="0" w:line="240" w:lineRule="auto"/>
        <w:contextualSpacing/>
        <w:jc w:val="both"/>
        <w:rPr>
          <w:rFonts w:ascii="Times New Roman" w:hAnsi="Times New Roman"/>
          <w:b/>
          <w:bCs/>
          <w:sz w:val="24"/>
          <w:szCs w:val="24"/>
        </w:rPr>
      </w:pPr>
      <w:r w:rsidRPr="000519DA">
        <w:rPr>
          <w:rFonts w:ascii="Times New Roman" w:hAnsi="Times New Roman"/>
          <w:b/>
          <w:bCs/>
          <w:sz w:val="24"/>
          <w:szCs w:val="24"/>
        </w:rPr>
        <w:t>K bodu 3</w:t>
      </w:r>
      <w:r w:rsidRPr="000519DA" w:rsidR="00F64E70">
        <w:rPr>
          <w:rFonts w:ascii="Times New Roman" w:hAnsi="Times New Roman"/>
          <w:b/>
          <w:bCs/>
          <w:sz w:val="24"/>
          <w:szCs w:val="24"/>
        </w:rPr>
        <w:t>5</w:t>
      </w:r>
    </w:p>
    <w:p w:rsidR="004162CD" w:rsidRPr="000519DA" w:rsidP="004162CD">
      <w:pPr>
        <w:spacing w:after="0" w:line="240" w:lineRule="auto"/>
        <w:contextualSpacing/>
        <w:jc w:val="both"/>
        <w:rPr>
          <w:rFonts w:ascii="Times New Roman" w:hAnsi="Times New Roman"/>
          <w:sz w:val="24"/>
          <w:szCs w:val="24"/>
        </w:rPr>
      </w:pPr>
      <w:r w:rsidRPr="000519DA">
        <w:rPr>
          <w:rFonts w:ascii="Times New Roman" w:hAnsi="Times New Roman"/>
          <w:sz w:val="24"/>
          <w:szCs w:val="24"/>
        </w:rPr>
        <w:t>Spresnenie povinnosti pri propagácii zariadení v súvislosti s využívaní</w:t>
      </w:r>
      <w:r w:rsidRPr="000519DA" w:rsidR="00B94527">
        <w:rPr>
          <w:rFonts w:ascii="Times New Roman" w:hAnsi="Times New Roman"/>
          <w:sz w:val="24"/>
          <w:szCs w:val="24"/>
        </w:rPr>
        <w:t>m prírodných vodných plôch.</w:t>
      </w:r>
      <w:r w:rsidRPr="000519DA">
        <w:rPr>
          <w:rFonts w:ascii="Times New Roman" w:hAnsi="Times New Roman"/>
          <w:sz w:val="24"/>
          <w:szCs w:val="24"/>
        </w:rPr>
        <w:t xml:space="preserve"> Informácia o kvalite vody je dôležitá z hľadiska ochrany zdravia aj pre osoby, ktoré prichádzajú do kontaktu s</w:t>
      </w:r>
      <w:r w:rsidRPr="000519DA" w:rsidR="00AC3575">
        <w:rPr>
          <w:rFonts w:ascii="Times New Roman" w:hAnsi="Times New Roman"/>
          <w:sz w:val="24"/>
          <w:szCs w:val="24"/>
        </w:rPr>
        <w:t> </w:t>
      </w:r>
      <w:r w:rsidRPr="000519DA">
        <w:rPr>
          <w:rFonts w:ascii="Times New Roman" w:hAnsi="Times New Roman"/>
          <w:sz w:val="24"/>
          <w:szCs w:val="24"/>
        </w:rPr>
        <w:t>vodou</w:t>
      </w:r>
      <w:r w:rsidRPr="000519DA" w:rsidR="00AC3575">
        <w:rPr>
          <w:rFonts w:ascii="Times New Roman" w:hAnsi="Times New Roman"/>
          <w:sz w:val="24"/>
          <w:szCs w:val="24"/>
        </w:rPr>
        <w:t xml:space="preserve"> </w:t>
      </w:r>
      <w:r w:rsidRPr="000519DA">
        <w:rPr>
          <w:rFonts w:ascii="Times New Roman" w:hAnsi="Times New Roman"/>
          <w:sz w:val="24"/>
          <w:szCs w:val="24"/>
        </w:rPr>
        <w:t>na kúpanie pri vodných športoch.</w:t>
      </w:r>
    </w:p>
    <w:p w:rsidR="00D55907" w:rsidRPr="000519DA" w:rsidP="00A45E3E">
      <w:pPr>
        <w:spacing w:after="0" w:line="240" w:lineRule="auto"/>
        <w:contextualSpacing/>
        <w:jc w:val="both"/>
        <w:rPr>
          <w:rStyle w:val="awspanawtext3"/>
          <w:rFonts w:ascii="Times New Roman" w:hAnsi="Times New Roman"/>
          <w:sz w:val="24"/>
          <w:szCs w:val="24"/>
        </w:rPr>
      </w:pPr>
    </w:p>
    <w:p w:rsidR="00032000" w:rsidRPr="000519DA" w:rsidP="00A45E3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3</w:t>
      </w:r>
      <w:r w:rsidRPr="000519DA" w:rsidR="00F64E70">
        <w:rPr>
          <w:rStyle w:val="awspanawtext3"/>
          <w:rFonts w:ascii="Times New Roman" w:hAnsi="Times New Roman"/>
          <w:b/>
          <w:bCs/>
          <w:sz w:val="24"/>
          <w:szCs w:val="24"/>
        </w:rPr>
        <w:t>6</w:t>
      </w:r>
    </w:p>
    <w:p w:rsidR="005B1C3F" w:rsidRPr="000519DA" w:rsidP="00032000">
      <w:pPr>
        <w:spacing w:after="0" w:line="240" w:lineRule="auto"/>
        <w:contextualSpacing/>
        <w:jc w:val="both"/>
        <w:rPr>
          <w:rStyle w:val="awspanawtext3"/>
          <w:rFonts w:ascii="Times New Roman" w:hAnsi="Times New Roman"/>
          <w:sz w:val="24"/>
          <w:szCs w:val="24"/>
        </w:rPr>
      </w:pPr>
      <w:r w:rsidRPr="000519DA" w:rsidR="00032000">
        <w:rPr>
          <w:rStyle w:val="awspanawtext3"/>
          <w:rFonts w:ascii="Times New Roman" w:hAnsi="Times New Roman"/>
          <w:sz w:val="24"/>
          <w:szCs w:val="24"/>
        </w:rPr>
        <w:t xml:space="preserve">Definícia je doplnená a zosúladená s čl. 2 </w:t>
      </w:r>
      <w:r w:rsidRPr="000519DA" w:rsidR="007D63E4">
        <w:rPr>
          <w:rFonts w:ascii="Times New Roman" w:hAnsi="Times New Roman"/>
          <w:sz w:val="24"/>
          <w:szCs w:val="24"/>
        </w:rPr>
        <w:t>nariadenia (ES) č. 178/2002 Európskeho parlamentu a Rady z 28. januára 2002, ktorým sa ustanovujú všeobecné zásady a požiadavky potravinového práva, zriaďuje Európsky úrad pre bezpečnosť potravín a stanovujú postupy v záležitostiach bezpečnosti potravín (Ú. v. ES L 31, 1.2.2002; Mimoriadne vydanie Ú. v. EÚ, kap. 15/zv. 6) v platnom znení a</w:t>
      </w:r>
      <w:r w:rsidRPr="000519DA" w:rsidR="00032000">
        <w:rPr>
          <w:rStyle w:val="awspanawtext3"/>
          <w:rFonts w:ascii="Times New Roman" w:hAnsi="Times New Roman"/>
          <w:sz w:val="24"/>
          <w:szCs w:val="24"/>
        </w:rPr>
        <w:t xml:space="preserve"> nariadením (ES) č. 852/2004 </w:t>
      </w:r>
      <w:r w:rsidRPr="000519DA">
        <w:rPr>
          <w:rStyle w:val="awspanawtext3"/>
          <w:rFonts w:ascii="Times New Roman" w:hAnsi="Times New Roman"/>
          <w:sz w:val="24"/>
          <w:szCs w:val="24"/>
        </w:rPr>
        <w:t xml:space="preserve">v platnom znení. </w:t>
      </w:r>
    </w:p>
    <w:p w:rsidR="005B1C3F" w:rsidRPr="000519DA" w:rsidP="00032000">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 xml:space="preserve"> </w:t>
      </w:r>
    </w:p>
    <w:p w:rsidR="00032000" w:rsidRPr="000519DA" w:rsidP="00032000">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Zariadenia spoločného stravovania sú zariadenia, ktoré poskytujú stravovacie služby spojené s výrobou, prípravou alebo podávaním pokrmov alebo nápojov na pracoviskách, v školských zariadeniach, školách, zariadeniach sociálnych služieb, zariadeniach sociálnoprávnej ochrany detí a sociálnej kurately, zdravotníckych zariadeniach, v prevádzkach verejného stravovania, v jedálňach so samoobsluhou a  v podobných prevádzkach verejného stravovania, cukrárňach, v stánkoch a v iných prevádzkach s ambulantným predajom  potravín, pokrmov alebo nápojov a na zotavovacích a iných hromadných podujatiach.</w:t>
      </w:r>
    </w:p>
    <w:p w:rsidR="00E12223" w:rsidRPr="000519DA" w:rsidP="00A45E3E">
      <w:pPr>
        <w:spacing w:after="0" w:line="240" w:lineRule="auto"/>
        <w:contextualSpacing/>
        <w:jc w:val="both"/>
        <w:rPr>
          <w:rStyle w:val="awspanawtext3"/>
          <w:rFonts w:ascii="Times New Roman" w:hAnsi="Times New Roman"/>
          <w:b/>
          <w:bCs/>
          <w:sz w:val="24"/>
          <w:szCs w:val="24"/>
        </w:rPr>
      </w:pPr>
    </w:p>
    <w:p w:rsidR="00032000" w:rsidRPr="000519DA" w:rsidP="00A45E3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3</w:t>
      </w:r>
      <w:r w:rsidRPr="000519DA" w:rsidR="00F64E70">
        <w:rPr>
          <w:rStyle w:val="awspanawtext3"/>
          <w:rFonts w:ascii="Times New Roman" w:hAnsi="Times New Roman"/>
          <w:b/>
          <w:bCs/>
          <w:sz w:val="24"/>
          <w:szCs w:val="24"/>
        </w:rPr>
        <w:t>7</w:t>
      </w:r>
    </w:p>
    <w:p w:rsidR="00032000" w:rsidRPr="000519DA" w:rsidP="00A45E3E">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Z dôvodu potreby jednoznačnej interpretácie ustanovenia v praxi je potrebná úprava citácií zákona č. 305/2005 Z. z. o sociálnoprávnej ochrane detí a o sociálnej kuratele a o zmene a doplnení niektorých zákonov v znení neskorších predpisov v poznámkach pod čiarou k odkazom 32 a 33.</w:t>
      </w:r>
    </w:p>
    <w:p w:rsidR="00032000" w:rsidRPr="000519DA" w:rsidP="00A45E3E">
      <w:pPr>
        <w:spacing w:after="0" w:line="240" w:lineRule="auto"/>
        <w:contextualSpacing/>
        <w:jc w:val="both"/>
        <w:rPr>
          <w:rStyle w:val="awspanawtext3"/>
          <w:rFonts w:ascii="Times New Roman" w:hAnsi="Times New Roman"/>
          <w:sz w:val="24"/>
          <w:szCs w:val="24"/>
        </w:rPr>
      </w:pPr>
    </w:p>
    <w:p w:rsidR="00032000" w:rsidRPr="000519DA" w:rsidP="00A45E3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3</w:t>
      </w:r>
      <w:r w:rsidRPr="000519DA" w:rsidR="00F64E70">
        <w:rPr>
          <w:rStyle w:val="awspanawtext3"/>
          <w:rFonts w:ascii="Times New Roman" w:hAnsi="Times New Roman"/>
          <w:b/>
          <w:bCs/>
          <w:sz w:val="24"/>
          <w:szCs w:val="24"/>
        </w:rPr>
        <w:t>8</w:t>
      </w:r>
    </w:p>
    <w:p w:rsidR="00032000" w:rsidRPr="000519DA" w:rsidP="00A45E3E">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Spresňujú sa požiadavky na zariadenia spoločného stravovania a kde  možno stravovacie služby poskytovať.</w:t>
      </w:r>
    </w:p>
    <w:p w:rsidR="00032000" w:rsidRPr="000519DA" w:rsidP="00A45E3E">
      <w:pPr>
        <w:spacing w:after="0" w:line="240" w:lineRule="auto"/>
        <w:contextualSpacing/>
        <w:jc w:val="both"/>
        <w:rPr>
          <w:rStyle w:val="awspanawtext3"/>
          <w:rFonts w:ascii="Times New Roman" w:hAnsi="Times New Roman"/>
          <w:sz w:val="24"/>
          <w:szCs w:val="24"/>
        </w:rPr>
      </w:pPr>
    </w:p>
    <w:p w:rsidR="00032000" w:rsidRPr="000519DA" w:rsidP="00A45E3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 xml:space="preserve">K bodu </w:t>
      </w:r>
      <w:r w:rsidRPr="000519DA" w:rsidR="00F64E70">
        <w:rPr>
          <w:rStyle w:val="awspanawtext3"/>
          <w:rFonts w:ascii="Times New Roman" w:hAnsi="Times New Roman"/>
          <w:b/>
          <w:bCs/>
          <w:sz w:val="24"/>
          <w:szCs w:val="24"/>
        </w:rPr>
        <w:t>39</w:t>
      </w:r>
    </w:p>
    <w:p w:rsidR="00032000" w:rsidRPr="000519DA" w:rsidP="00A45E3E">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Zníženie povinnosti uchovávať evidenciu z piatich na dva roky je postačujúce z ohľadom na zásady hygieny potravín.</w:t>
      </w:r>
    </w:p>
    <w:p w:rsidR="00032000" w:rsidRPr="000519DA" w:rsidP="00A45E3E">
      <w:pPr>
        <w:spacing w:after="0" w:line="240" w:lineRule="auto"/>
        <w:contextualSpacing/>
        <w:jc w:val="both"/>
        <w:rPr>
          <w:rStyle w:val="awspanawtext3"/>
          <w:rFonts w:ascii="Times New Roman" w:hAnsi="Times New Roman"/>
          <w:sz w:val="24"/>
          <w:szCs w:val="24"/>
        </w:rPr>
      </w:pPr>
    </w:p>
    <w:p w:rsidR="00032000" w:rsidRPr="000519DA" w:rsidP="00A45E3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4</w:t>
      </w:r>
      <w:r w:rsidRPr="000519DA" w:rsidR="00F64E70">
        <w:rPr>
          <w:rStyle w:val="awspanawtext3"/>
          <w:rFonts w:ascii="Times New Roman" w:hAnsi="Times New Roman"/>
          <w:b/>
          <w:bCs/>
          <w:sz w:val="24"/>
          <w:szCs w:val="24"/>
        </w:rPr>
        <w:t>0</w:t>
      </w:r>
    </w:p>
    <w:p w:rsidR="00032000" w:rsidRPr="000519DA" w:rsidP="00A45E3E">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Doplnenie teploty vody si vyžaduje zosúladenie požiadaviek na teplú vodu podľa vyhlášky Ministerstva zdravotníctva Slovenskej republiky č. 533/2007 Z. z. o podrobnostiach o požiadavkách na zariadenia spoločného stravovania.</w:t>
      </w:r>
    </w:p>
    <w:p w:rsidR="00032000" w:rsidRPr="000519DA" w:rsidP="00A45E3E">
      <w:pPr>
        <w:spacing w:after="0" w:line="240" w:lineRule="auto"/>
        <w:contextualSpacing/>
        <w:jc w:val="both"/>
        <w:rPr>
          <w:rStyle w:val="awspanawtext3"/>
          <w:rFonts w:ascii="Times New Roman" w:hAnsi="Times New Roman"/>
          <w:sz w:val="24"/>
          <w:szCs w:val="24"/>
        </w:rPr>
      </w:pPr>
    </w:p>
    <w:p w:rsidR="00032000" w:rsidRPr="000519DA" w:rsidP="00A45E3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4</w:t>
      </w:r>
      <w:r w:rsidRPr="000519DA" w:rsidR="00F64E70">
        <w:rPr>
          <w:rStyle w:val="awspanawtext3"/>
          <w:rFonts w:ascii="Times New Roman" w:hAnsi="Times New Roman"/>
          <w:b/>
          <w:bCs/>
          <w:sz w:val="24"/>
          <w:szCs w:val="24"/>
        </w:rPr>
        <w:t>1</w:t>
      </w:r>
    </w:p>
    <w:p w:rsidR="00032000" w:rsidRPr="000519DA" w:rsidP="00A45E3E">
      <w:pPr>
        <w:spacing w:after="0" w:line="240" w:lineRule="auto"/>
        <w:contextualSpacing/>
        <w:jc w:val="both"/>
        <w:rPr>
          <w:rStyle w:val="awspanawtext3"/>
          <w:rFonts w:ascii="Times New Roman" w:hAnsi="Times New Roman"/>
          <w:sz w:val="24"/>
          <w:szCs w:val="24"/>
        </w:rPr>
      </w:pPr>
      <w:r w:rsidRPr="000519DA" w:rsidR="00F508C7">
        <w:rPr>
          <w:rStyle w:val="awspanawtext3"/>
          <w:rFonts w:ascii="Times New Roman" w:hAnsi="Times New Roman"/>
          <w:sz w:val="24"/>
          <w:szCs w:val="24"/>
        </w:rPr>
        <w:t>Vypustenie textu na konci vety je z dôvodu jeho  nadbytočnosti a zosúladenie s požiadavkami podľa nariadenia (ES) 852/2004</w:t>
      </w:r>
      <w:r w:rsidRPr="000519DA" w:rsidR="00EB671C">
        <w:rPr>
          <w:rStyle w:val="awspanawtext3"/>
          <w:rFonts w:ascii="Times New Roman" w:hAnsi="Times New Roman"/>
          <w:sz w:val="24"/>
          <w:szCs w:val="24"/>
        </w:rPr>
        <w:t xml:space="preserve"> v platnom znení</w:t>
      </w:r>
      <w:r w:rsidRPr="000519DA" w:rsidR="00F508C7">
        <w:rPr>
          <w:rStyle w:val="awspanawtext3"/>
          <w:rFonts w:ascii="Times New Roman" w:hAnsi="Times New Roman"/>
          <w:sz w:val="24"/>
          <w:szCs w:val="24"/>
        </w:rPr>
        <w:t>.</w:t>
      </w:r>
    </w:p>
    <w:p w:rsidR="00F508C7" w:rsidRPr="000519DA" w:rsidP="00A45E3E">
      <w:pPr>
        <w:spacing w:after="0" w:line="240" w:lineRule="auto"/>
        <w:contextualSpacing/>
        <w:jc w:val="both"/>
        <w:rPr>
          <w:rStyle w:val="awspanawtext3"/>
          <w:rFonts w:ascii="Times New Roman" w:hAnsi="Times New Roman"/>
          <w:sz w:val="24"/>
          <w:szCs w:val="24"/>
        </w:rPr>
      </w:pPr>
    </w:p>
    <w:p w:rsidR="00F508C7" w:rsidRPr="000519DA" w:rsidP="00A45E3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4</w:t>
      </w:r>
      <w:r w:rsidRPr="000519DA" w:rsidR="00F64E70">
        <w:rPr>
          <w:rStyle w:val="awspanawtext3"/>
          <w:rFonts w:ascii="Times New Roman" w:hAnsi="Times New Roman"/>
          <w:b/>
          <w:bCs/>
          <w:sz w:val="24"/>
          <w:szCs w:val="24"/>
        </w:rPr>
        <w:t>2</w:t>
      </w:r>
      <w:r w:rsidRPr="000519DA">
        <w:rPr>
          <w:rStyle w:val="awspanawtext3"/>
          <w:rFonts w:ascii="Times New Roman" w:hAnsi="Times New Roman"/>
          <w:b/>
          <w:bCs/>
          <w:sz w:val="24"/>
          <w:szCs w:val="24"/>
        </w:rPr>
        <w:t xml:space="preserve"> a 4</w:t>
      </w:r>
      <w:r w:rsidRPr="000519DA" w:rsidR="00F64E70">
        <w:rPr>
          <w:rStyle w:val="awspanawtext3"/>
          <w:rFonts w:ascii="Times New Roman" w:hAnsi="Times New Roman"/>
          <w:b/>
          <w:bCs/>
          <w:sz w:val="24"/>
          <w:szCs w:val="24"/>
        </w:rPr>
        <w:t>3</w:t>
      </w:r>
    </w:p>
    <w:p w:rsidR="00F508C7" w:rsidRPr="000519DA" w:rsidP="00A45E3E">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Z dôvodu optimalizácie procesov verejného zdravotníctva, zníženia podnikateľského zaťaženia  sa v súlade s uznesením vlády SR č. 79 z 2. februára 2022 ruší povinnosť prevádzkovateľa zariadenia spoločného stravovania vypracovať a predložiť prevádzkový poriadok regionálnemu úradu verejného zdravotníctva.</w:t>
      </w:r>
    </w:p>
    <w:p w:rsidR="007E0358" w:rsidRPr="000519DA" w:rsidP="00A45E3E">
      <w:pPr>
        <w:spacing w:after="0" w:line="240" w:lineRule="auto"/>
        <w:contextualSpacing/>
        <w:jc w:val="both"/>
        <w:rPr>
          <w:rStyle w:val="awspanawtext3"/>
          <w:rFonts w:ascii="Times New Roman" w:hAnsi="Times New Roman"/>
          <w:b/>
          <w:bCs/>
          <w:sz w:val="24"/>
          <w:szCs w:val="24"/>
        </w:rPr>
      </w:pPr>
    </w:p>
    <w:p w:rsidR="00F508C7" w:rsidRPr="000519DA" w:rsidP="00A45E3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4</w:t>
      </w:r>
      <w:r w:rsidRPr="000519DA" w:rsidR="00F64E70">
        <w:rPr>
          <w:rStyle w:val="awspanawtext3"/>
          <w:rFonts w:ascii="Times New Roman" w:hAnsi="Times New Roman"/>
          <w:b/>
          <w:bCs/>
          <w:sz w:val="24"/>
          <w:szCs w:val="24"/>
        </w:rPr>
        <w:t>4</w:t>
      </w:r>
    </w:p>
    <w:p w:rsidR="00650667" w:rsidRPr="000519DA" w:rsidP="0065066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 xml:space="preserve">Európska komisia prijala </w:t>
      </w:r>
      <w:r w:rsidRPr="000519DA" w:rsidR="00090461">
        <w:rPr>
          <w:rStyle w:val="awspanawtext3"/>
          <w:rFonts w:ascii="Times New Roman" w:hAnsi="Times New Roman"/>
          <w:sz w:val="24"/>
          <w:szCs w:val="24"/>
        </w:rPr>
        <w:t xml:space="preserve">nariadenie </w:t>
      </w:r>
      <w:r w:rsidRPr="000519DA">
        <w:rPr>
          <w:rStyle w:val="awspanawtext3"/>
          <w:rFonts w:ascii="Times New Roman" w:hAnsi="Times New Roman"/>
          <w:sz w:val="24"/>
          <w:szCs w:val="24"/>
        </w:rPr>
        <w:t>(EÚ) 2020/1149 z 3. augusta 2020, ktorým sa mení príloha XVII k nariadeniu Európskeho parlamentu a Rady (ES) č. 1907/2006 o registrácii, hodnotení, autorizácii a obmedzovaní chemikálií (REACH), pokiaľ ide o diizokyanáty (Ú. v. EÚ L 252, 4.8.2020)</w:t>
      </w:r>
      <w:r w:rsidRPr="000519DA" w:rsidR="00090461">
        <w:rPr>
          <w:rStyle w:val="awspanawtext3"/>
          <w:rFonts w:ascii="Times New Roman" w:hAnsi="Times New Roman"/>
          <w:sz w:val="24"/>
          <w:szCs w:val="24"/>
        </w:rPr>
        <w:t xml:space="preserve"> (ďalej „nariadenie </w:t>
      </w:r>
      <w:r w:rsidRPr="000519DA" w:rsidR="007F3E17">
        <w:rPr>
          <w:rStyle w:val="awspanawtext3"/>
          <w:rFonts w:ascii="Times New Roman" w:hAnsi="Times New Roman"/>
          <w:sz w:val="24"/>
          <w:szCs w:val="24"/>
        </w:rPr>
        <w:t>(</w:t>
      </w:r>
      <w:r w:rsidRPr="000519DA">
        <w:rPr>
          <w:rStyle w:val="awspanawtext3"/>
          <w:rFonts w:ascii="Times New Roman" w:hAnsi="Times New Roman"/>
          <w:sz w:val="24"/>
          <w:szCs w:val="24"/>
        </w:rPr>
        <w:t>EÚ</w:t>
      </w:r>
      <w:r w:rsidRPr="000519DA" w:rsidR="007F3E17">
        <w:rPr>
          <w:rStyle w:val="awspanawtext3"/>
          <w:rFonts w:ascii="Times New Roman" w:hAnsi="Times New Roman"/>
          <w:sz w:val="24"/>
          <w:szCs w:val="24"/>
        </w:rPr>
        <w:t>) 2020/1149</w:t>
      </w:r>
      <w:r w:rsidRPr="000519DA">
        <w:rPr>
          <w:rStyle w:val="awspanawtext3"/>
          <w:rFonts w:ascii="Times New Roman" w:hAnsi="Times New Roman"/>
          <w:sz w:val="24"/>
          <w:szCs w:val="24"/>
        </w:rPr>
        <w:t>“), ktorého cieľom je obmedziť používanie diizokyanátov v priemyselných a profesionálnych aplikáciách na tie prípady, pri ktorých sa uplatňuje kombinácia technických a organizačných opatrení, pričom sa uloží požiadavka na absolvovanie kurzu minimálnej štandardizovanej odbornej prípravy. Odborná príprava sa vzťahuje na akéhokoľvek zamestnanca alebo fyzickú osobu – podnikateľa, ktorá nezamestnáva iné fyzické osoby (samostatne zárobkovo činná osoba), ktorý s diizokyanátmi ako takými, alebo diizokyanátmi ako zložkami v iných látkach alebo zmesiach na priemyselné a profesionálne použitie manipuluje, alebo ktorý na takú manipul</w:t>
      </w:r>
      <w:r w:rsidRPr="000519DA" w:rsidR="00090461">
        <w:rPr>
          <w:rStyle w:val="awspanawtext3"/>
          <w:rFonts w:ascii="Times New Roman" w:hAnsi="Times New Roman"/>
          <w:sz w:val="24"/>
          <w:szCs w:val="24"/>
        </w:rPr>
        <w:t>áciu dohliada. Toto nariadenie K</w:t>
      </w:r>
      <w:r w:rsidRPr="000519DA">
        <w:rPr>
          <w:rStyle w:val="awspanawtext3"/>
          <w:rFonts w:ascii="Times New Roman" w:hAnsi="Times New Roman"/>
          <w:sz w:val="24"/>
          <w:szCs w:val="24"/>
        </w:rPr>
        <w:t>omisie EÚ je záväzné v celom rozsahu a priamo uplatniteľné vo všetkých členských štátoch.</w:t>
      </w:r>
    </w:p>
    <w:p w:rsidR="00650667" w:rsidRPr="000519DA" w:rsidP="00650667">
      <w:pPr>
        <w:spacing w:after="0" w:line="240" w:lineRule="auto"/>
        <w:contextualSpacing/>
        <w:jc w:val="both"/>
        <w:rPr>
          <w:rStyle w:val="awspanawtext3"/>
          <w:rFonts w:ascii="Times New Roman" w:hAnsi="Times New Roman"/>
          <w:sz w:val="24"/>
          <w:szCs w:val="24"/>
        </w:rPr>
      </w:pPr>
    </w:p>
    <w:p w:rsidR="00650667" w:rsidRPr="000519DA" w:rsidP="0065066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Diizokyanáty sa používajú najmä v priemyselných odvetviach, napríklad v stavebníctve v penách, tmeloch a náteroch, ale aj pri výrobe nábytku, v automobilovom priemysle, v elektrotechnike. Používanie diizokyanátov predstavuje významné riziko pre zdravie ľudí. Väčšina diizokyanátov je podľa harmonizovanej klasifikácie zatriedená ako respiračný senzibilizátor kategórie 1 a ako kožný senzibilizátor kategórie 1 v súlade s nariadením (ES) č. 1272/2008 v platnom znení. Diizokyanáty spôsobujú profesionálne ochorenia, a to ochorenie dýchacích ciest (astmu bronchiale) a kožné ochorenia (dermatitídy).</w:t>
      </w:r>
    </w:p>
    <w:p w:rsidR="00650667" w:rsidRPr="000519DA" w:rsidP="00650667">
      <w:pPr>
        <w:spacing w:after="0" w:line="240" w:lineRule="auto"/>
        <w:contextualSpacing/>
        <w:jc w:val="both"/>
        <w:rPr>
          <w:rStyle w:val="awspanawtext3"/>
          <w:rFonts w:ascii="Times New Roman" w:hAnsi="Times New Roman"/>
          <w:sz w:val="24"/>
          <w:szCs w:val="24"/>
        </w:rPr>
      </w:pPr>
    </w:p>
    <w:p w:rsidR="00650667" w:rsidRPr="000519DA" w:rsidP="0065066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Na dosiahnutie zníženia rizika pre zdravie osôb, ktoré sú pri práci exponované diizokyanátom, je potrebné obmedziť ich používanie len na tie prípady, pri ktorých je možné uplatniť technické a organizačné opatrenia na ochranu zdravia spolu s absolvovaním odbornej prípravy pred ich používaním. Súčasťou odbornej prípravy týchto osôb, ako aj ich opakovanej odbornej prípravy vo frekvencii minimálne raz za 5 rokov, musia byť najmä informácie o rizikách diizokyanátov pre zdravie, o správnych a bezpečných pracovných postupoch a vhodných opatreniach na ochranu zdravia na pracovisku vrátane používania účinných osobných ochranných pracovných prostriedkov.</w:t>
      </w:r>
    </w:p>
    <w:p w:rsidR="00650667" w:rsidRPr="000519DA" w:rsidP="00650667">
      <w:pPr>
        <w:spacing w:after="0" w:line="240" w:lineRule="auto"/>
        <w:contextualSpacing/>
        <w:jc w:val="both"/>
        <w:rPr>
          <w:rStyle w:val="awspanawtext3"/>
          <w:rFonts w:ascii="Times New Roman" w:hAnsi="Times New Roman"/>
          <w:sz w:val="24"/>
          <w:szCs w:val="24"/>
        </w:rPr>
      </w:pPr>
    </w:p>
    <w:p w:rsidR="00650667" w:rsidRPr="000519DA" w:rsidP="0065066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 xml:space="preserve">Návrhom zákona sa upravuje povinnosť zamestnávateľov zabezpečiť odbornú prípravu všetkých zamestnancov, ktorí sú pri práci exponovaní diizokyanátom,  ako aj  povinnosť fyzických osôb - podnikateľov, ktoré nezamestnávajú iné fyzické osoby a sú pri práci exponované diizokyanátom.         </w:t>
      </w:r>
    </w:p>
    <w:p w:rsidR="00650667" w:rsidRPr="000519DA" w:rsidP="00650667">
      <w:pPr>
        <w:spacing w:after="0" w:line="240" w:lineRule="auto"/>
        <w:contextualSpacing/>
        <w:jc w:val="both"/>
        <w:rPr>
          <w:rStyle w:val="awspanawtext3"/>
          <w:rFonts w:ascii="Times New Roman" w:hAnsi="Times New Roman"/>
          <w:sz w:val="24"/>
          <w:szCs w:val="24"/>
        </w:rPr>
      </w:pPr>
    </w:p>
    <w:p w:rsidR="00650667" w:rsidRPr="000519DA" w:rsidP="0065066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 xml:space="preserve">Odbornú prípravu budú vykonávať odborníci v oblasti bezpečnosti a ochrany zdravia pri práci, ktorými sú v Slovenskej republiky lekári, verejní zdravotníci alebo zdravotnícki pracovníci pracovnej zdravotnej služby a bezpečnostní technici. </w:t>
      </w:r>
    </w:p>
    <w:p w:rsidR="00650667" w:rsidRPr="000519DA" w:rsidP="00650667">
      <w:pPr>
        <w:spacing w:after="0" w:line="240" w:lineRule="auto"/>
        <w:contextualSpacing/>
        <w:jc w:val="both"/>
        <w:rPr>
          <w:rStyle w:val="awspanawtext3"/>
          <w:rFonts w:ascii="Times New Roman" w:hAnsi="Times New Roman"/>
          <w:sz w:val="24"/>
          <w:szCs w:val="24"/>
        </w:rPr>
      </w:pPr>
    </w:p>
    <w:p w:rsidR="00650667" w:rsidRPr="000519DA" w:rsidP="0065066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Odborná príprava sa bude vykonávať na pracoviskách a bude sa preukazovať záznamom o absolvovaní odbornej prípravy na prácu s diizokyanátmi. Následne, najmenej raz za päť rokov,  sa bude odborná príprava osôb exponovaných diizokyanátom opakovať.</w:t>
      </w:r>
    </w:p>
    <w:p w:rsidR="00650667" w:rsidRPr="000519DA" w:rsidP="00650667">
      <w:pPr>
        <w:spacing w:after="0" w:line="240" w:lineRule="auto"/>
        <w:contextualSpacing/>
        <w:jc w:val="both"/>
        <w:rPr>
          <w:rStyle w:val="awspanawtext3"/>
          <w:rFonts w:ascii="Times New Roman" w:hAnsi="Times New Roman"/>
          <w:sz w:val="24"/>
          <w:szCs w:val="24"/>
        </w:rPr>
      </w:pPr>
    </w:p>
    <w:p w:rsidR="00650667" w:rsidRPr="000519DA" w:rsidP="00650667">
      <w:pPr>
        <w:spacing w:after="0" w:line="240" w:lineRule="auto"/>
        <w:contextualSpacing/>
        <w:jc w:val="both"/>
        <w:rPr>
          <w:rStyle w:val="Emphasis"/>
          <w:rFonts w:ascii="Times New Roman" w:hAnsi="Times New Roman"/>
          <w:sz w:val="24"/>
          <w:szCs w:val="24"/>
        </w:rPr>
      </w:pPr>
      <w:r w:rsidRPr="000519DA">
        <w:rPr>
          <w:rStyle w:val="awspanawtext3"/>
          <w:rFonts w:ascii="Times New Roman" w:hAnsi="Times New Roman"/>
          <w:sz w:val="24"/>
          <w:szCs w:val="24"/>
        </w:rPr>
        <w:t xml:space="preserve">Požadovaný rozsah odbornej prípravy, rozčlenený do troch úrovní podľa vykonávanej činnosti s diizokyanátmi je súčasťou </w:t>
      </w:r>
      <w:r w:rsidRPr="000519DA" w:rsidR="00EB671C">
        <w:rPr>
          <w:rFonts w:ascii="Times New Roman" w:hAnsi="Times New Roman"/>
          <w:sz w:val="24"/>
          <w:szCs w:val="24"/>
        </w:rPr>
        <w:t>nariadenia (EÚ) 2020/1149 z 3. augusta 2020, ktorým sa mení príloha XVII k nariadeniu Európskeho parlamentu a Rady (ES) č. 1907/2006 o registrácii, hodnotení, autorizácii a obmedzovaní chemikálií (REACH), pokiaľ ide o diizokyanáty (</w:t>
      </w:r>
      <w:r w:rsidRPr="000519DA" w:rsidR="00EB671C">
        <w:rPr>
          <w:rStyle w:val="Emphasis"/>
          <w:rFonts w:ascii="Times New Roman" w:hAnsi="Times New Roman"/>
          <w:sz w:val="24"/>
          <w:szCs w:val="24"/>
        </w:rPr>
        <w:t>Ú. v. EÚ L 252, 4.8.2020).</w:t>
      </w:r>
    </w:p>
    <w:p w:rsidR="007F3E17" w:rsidRPr="000519DA" w:rsidP="00650667">
      <w:pPr>
        <w:spacing w:after="0" w:line="240" w:lineRule="auto"/>
        <w:contextualSpacing/>
        <w:jc w:val="both"/>
        <w:rPr>
          <w:rStyle w:val="awspanawtext3"/>
          <w:rFonts w:ascii="Times New Roman" w:hAnsi="Times New Roman"/>
          <w:sz w:val="24"/>
          <w:szCs w:val="24"/>
        </w:rPr>
      </w:pPr>
    </w:p>
    <w:p w:rsidR="00650667" w:rsidRPr="000519DA" w:rsidP="0065066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 xml:space="preserve">Zamestnanci, ktorí sú pri práci exponovaní diizokyanátom, ako aj fyzické osoby - podnikatelia, ktoré nezamestnávajú iné fyzické osoby, pracujú samostatne a sú exponovaní diizokyanátom, absolvujú odbornú prípravu alebo opakovanú odbornú prípravu v rozsahu troch možných úrovní podľa vykonávanej činnosti s diizokyanátmi (podľa položky 74 Diizokyanáty, štvrtý bod písm. a), b) alebo c) prílohy XVII k </w:t>
      </w:r>
      <w:r w:rsidRPr="000519DA">
        <w:rPr>
          <w:rFonts w:ascii="Times New Roman" w:hAnsi="Times New Roman"/>
          <w:bCs/>
          <w:iCs/>
          <w:sz w:val="24"/>
          <w:szCs w:val="24"/>
        </w:rPr>
        <w:t>nariadeniu ES č. 1907/2006 v platnom znení).</w:t>
      </w:r>
    </w:p>
    <w:p w:rsidR="00650667" w:rsidRPr="000519DA" w:rsidP="00650667">
      <w:pPr>
        <w:spacing w:after="0" w:line="240" w:lineRule="auto"/>
        <w:contextualSpacing/>
        <w:jc w:val="both"/>
        <w:rPr>
          <w:rStyle w:val="awspanawtext3"/>
          <w:rFonts w:ascii="Times New Roman" w:hAnsi="Times New Roman"/>
          <w:sz w:val="24"/>
          <w:szCs w:val="24"/>
        </w:rPr>
      </w:pPr>
    </w:p>
    <w:p w:rsidR="00650667" w:rsidRPr="000519DA" w:rsidP="00650667">
      <w:pPr>
        <w:spacing w:after="0" w:line="240" w:lineRule="auto"/>
        <w:contextualSpacing/>
        <w:jc w:val="both"/>
        <w:rPr>
          <w:rStyle w:val="awspanawtext3"/>
          <w:rFonts w:ascii="Times New Roman" w:hAnsi="Times New Roman"/>
          <w:sz w:val="24"/>
          <w:szCs w:val="24"/>
        </w:rPr>
      </w:pPr>
      <w:r w:rsidRPr="000519DA">
        <w:rPr>
          <w:rFonts w:ascii="Times New Roman" w:hAnsi="Times New Roman"/>
          <w:sz w:val="24"/>
          <w:szCs w:val="24"/>
        </w:rPr>
        <w:t>V zmysle nariadenia REACH sú fyzická osoba - podnikateľ, ktorá nezamestnáva iné fyzické osoby a vykonáva prácu s diizokyanátmi alebo zamestnávateľ, ktorého zamestnanci vykonávajú prácu s diizokyanátmi, povinní zabezpečiť odbornú prípravu na prácu s diizokyanátmi najneskôr od 24. augusta 2023.</w:t>
      </w:r>
    </w:p>
    <w:p w:rsidR="00F508C7" w:rsidRPr="000519DA" w:rsidP="00F508C7">
      <w:pPr>
        <w:spacing w:after="0" w:line="240" w:lineRule="auto"/>
        <w:contextualSpacing/>
        <w:jc w:val="both"/>
        <w:rPr>
          <w:rStyle w:val="awspanawtext3"/>
          <w:rFonts w:ascii="Times New Roman" w:hAnsi="Times New Roman"/>
          <w:sz w:val="24"/>
          <w:szCs w:val="24"/>
        </w:rPr>
      </w:pPr>
    </w:p>
    <w:p w:rsidR="00F508C7" w:rsidRPr="000519DA" w:rsidP="00F508C7">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4</w:t>
      </w:r>
      <w:r w:rsidRPr="000519DA" w:rsidR="00F64E70">
        <w:rPr>
          <w:rStyle w:val="awspanawtext3"/>
          <w:rFonts w:ascii="Times New Roman" w:hAnsi="Times New Roman"/>
          <w:b/>
          <w:bCs/>
          <w:sz w:val="24"/>
          <w:szCs w:val="24"/>
        </w:rPr>
        <w:t>5</w:t>
      </w:r>
    </w:p>
    <w:p w:rsidR="00F508C7" w:rsidRPr="000519DA" w:rsidP="00F508C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Ustanovením sa spresňuje, že Národná protiepidemická komisia a regionálna protiepidemická komisia vykonávajú svoju činnosť len v čase mimo krízovej situácie. Momentom vyhlásenia krízovej situácie úlohy protiepidemickej komisie plní príslušný orgán krízového riadenia.</w:t>
      </w:r>
    </w:p>
    <w:p w:rsidR="00F508C7" w:rsidRPr="000519DA" w:rsidP="00F508C7">
      <w:pPr>
        <w:spacing w:after="0" w:line="240" w:lineRule="auto"/>
        <w:contextualSpacing/>
        <w:jc w:val="both"/>
        <w:rPr>
          <w:rStyle w:val="awspanawtext3"/>
          <w:rFonts w:ascii="Times New Roman" w:hAnsi="Times New Roman"/>
          <w:sz w:val="24"/>
          <w:szCs w:val="24"/>
        </w:rPr>
      </w:pPr>
    </w:p>
    <w:p w:rsidR="00F508C7" w:rsidRPr="000519DA" w:rsidP="00F508C7">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4</w:t>
      </w:r>
      <w:r w:rsidRPr="000519DA" w:rsidR="00F64E70">
        <w:rPr>
          <w:rStyle w:val="awspanawtext3"/>
          <w:rFonts w:ascii="Times New Roman" w:hAnsi="Times New Roman"/>
          <w:b/>
          <w:bCs/>
          <w:sz w:val="24"/>
          <w:szCs w:val="24"/>
        </w:rPr>
        <w:t>6</w:t>
      </w:r>
    </w:p>
    <w:p w:rsidR="00F508C7" w:rsidRPr="000519DA" w:rsidP="00F508C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Precizuje sa text povinností fyzických osôb-podnikateľov a právnických osôb (zamestnávateľov), ktorá súvisí s ochranou zdravia zamestnancov pri práci, a to doplnením odkazu na nariadenie vlády SR č. 391/2006 Z. z., ktoré upravuje minimálne požiadavky na ochranu zdravia  a bezpečnosť pri práci na pracovisku. Dôvodom doplnenia odkazu je lepšia a komplexnejšia informovanosť zamestnávateľov o povinnostiach súvisiacich s ochranou zdravia zamestnancov na pracovisku.</w:t>
      </w:r>
    </w:p>
    <w:p w:rsidR="00F508C7" w:rsidRPr="000519DA" w:rsidP="00F508C7">
      <w:pPr>
        <w:spacing w:after="0" w:line="240" w:lineRule="auto"/>
        <w:contextualSpacing/>
        <w:jc w:val="both"/>
        <w:rPr>
          <w:rStyle w:val="awspanawtext3"/>
          <w:rFonts w:ascii="Times New Roman" w:hAnsi="Times New Roman"/>
          <w:sz w:val="24"/>
          <w:szCs w:val="24"/>
        </w:rPr>
      </w:pPr>
    </w:p>
    <w:p w:rsidR="00F508C7" w:rsidRPr="000519DA" w:rsidP="00F508C7">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4</w:t>
      </w:r>
      <w:r w:rsidRPr="000519DA" w:rsidR="00F64E70">
        <w:rPr>
          <w:rStyle w:val="awspanawtext3"/>
          <w:rFonts w:ascii="Times New Roman" w:hAnsi="Times New Roman"/>
          <w:b/>
          <w:bCs/>
          <w:sz w:val="24"/>
          <w:szCs w:val="24"/>
        </w:rPr>
        <w:t>7</w:t>
      </w:r>
    </w:p>
    <w:p w:rsidR="00F508C7" w:rsidRPr="000519DA" w:rsidP="00F508C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 xml:space="preserve">Povinnosti fyzických osôb-podnikateľov a právnických osôb (zamestnávateľov), ktoré súvisia  s ochranou zdravia zamestnancov pri práci sa spresňujú, a ak si charakter práce vyžaduje vybavenie pracoviska sprchami, zamestnávateľ je povinný v sprchách zabezpečiť teplú vodu. S cieľom zlepšenia informovanosti zamestnávateľov o povinnostiach súvisiacich s ochranou zdravia zamestnancov na pracovisku sa dopĺňa odkaz na nariadenie vlády SR č. 391/2006 </w:t>
      </w:r>
    </w:p>
    <w:p w:rsidR="00F508C7" w:rsidRPr="000519DA" w:rsidP="00F508C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Z. z., ktoré upravuje minimálne požiadavky na ochranu zdravia a bezpečnosť pri práci na pracovisku.</w:t>
      </w:r>
    </w:p>
    <w:p w:rsidR="00F508C7" w:rsidRPr="000519DA" w:rsidP="00F508C7">
      <w:pPr>
        <w:spacing w:after="0" w:line="240" w:lineRule="auto"/>
        <w:contextualSpacing/>
        <w:jc w:val="both"/>
        <w:rPr>
          <w:rStyle w:val="awspanawtext3"/>
          <w:rFonts w:ascii="Times New Roman" w:hAnsi="Times New Roman"/>
          <w:sz w:val="24"/>
          <w:szCs w:val="24"/>
        </w:rPr>
      </w:pPr>
    </w:p>
    <w:p w:rsidR="00F508C7" w:rsidRPr="000519DA" w:rsidP="00F508C7">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4</w:t>
      </w:r>
      <w:r w:rsidRPr="000519DA" w:rsidR="00F64E70">
        <w:rPr>
          <w:rStyle w:val="awspanawtext3"/>
          <w:rFonts w:ascii="Times New Roman" w:hAnsi="Times New Roman"/>
          <w:b/>
          <w:bCs/>
          <w:sz w:val="24"/>
          <w:szCs w:val="24"/>
        </w:rPr>
        <w:t>8</w:t>
      </w:r>
    </w:p>
    <w:p w:rsidR="00F508C7" w:rsidRPr="000519DA" w:rsidP="00F508C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K opatreniam na odstránenie nedostatkov zistených na mieste výkonu štátneho zdravotného dozoru sa dopĺňa zákaz používania teplej vody, ktorá nespĺňa požiadavky na zdravotnú bezpečnosť.</w:t>
      </w:r>
    </w:p>
    <w:p w:rsidR="00F508C7" w:rsidRPr="000519DA" w:rsidP="00F508C7">
      <w:pPr>
        <w:spacing w:after="0" w:line="240" w:lineRule="auto"/>
        <w:contextualSpacing/>
        <w:jc w:val="both"/>
        <w:rPr>
          <w:rStyle w:val="awspanawtext3"/>
          <w:rFonts w:ascii="Times New Roman" w:hAnsi="Times New Roman"/>
          <w:sz w:val="24"/>
          <w:szCs w:val="24"/>
        </w:rPr>
      </w:pPr>
    </w:p>
    <w:p w:rsidR="00F508C7" w:rsidRPr="000519DA" w:rsidP="00F508C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b/>
          <w:bCs/>
          <w:sz w:val="24"/>
          <w:szCs w:val="24"/>
        </w:rPr>
        <w:t xml:space="preserve">K bodu </w:t>
      </w:r>
      <w:r w:rsidRPr="000519DA" w:rsidR="00F64E70">
        <w:rPr>
          <w:rStyle w:val="awspanawtext3"/>
          <w:rFonts w:ascii="Times New Roman" w:hAnsi="Times New Roman"/>
          <w:b/>
          <w:bCs/>
          <w:sz w:val="24"/>
          <w:szCs w:val="24"/>
        </w:rPr>
        <w:t>49</w:t>
      </w:r>
    </w:p>
    <w:p w:rsidR="00F508C7" w:rsidRPr="000519DA" w:rsidP="00F508C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Dopĺňajú sa ďalšie všeobecné opatrenia na odstránenie nedostatkov zistených na mieste výkonu štátneho zdravotného dozoru.</w:t>
      </w:r>
    </w:p>
    <w:p w:rsidR="00F508C7" w:rsidRPr="000519DA" w:rsidP="00F508C7">
      <w:pPr>
        <w:spacing w:after="0" w:line="240" w:lineRule="auto"/>
        <w:contextualSpacing/>
        <w:jc w:val="both"/>
        <w:rPr>
          <w:rStyle w:val="awspanawtext3"/>
          <w:rFonts w:ascii="Times New Roman" w:hAnsi="Times New Roman"/>
          <w:sz w:val="24"/>
          <w:szCs w:val="24"/>
        </w:rPr>
      </w:pPr>
    </w:p>
    <w:p w:rsidR="00F508C7" w:rsidRPr="000519DA" w:rsidP="00F508C7">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5</w:t>
      </w:r>
      <w:r w:rsidRPr="000519DA" w:rsidR="00F64E70">
        <w:rPr>
          <w:rStyle w:val="awspanawtext3"/>
          <w:rFonts w:ascii="Times New Roman" w:hAnsi="Times New Roman"/>
          <w:b/>
          <w:bCs/>
          <w:sz w:val="24"/>
          <w:szCs w:val="24"/>
        </w:rPr>
        <w:t>0</w:t>
      </w:r>
    </w:p>
    <w:p w:rsidR="00F508C7" w:rsidRPr="000519DA" w:rsidP="00F508C7">
      <w:pPr>
        <w:pStyle w:val="ListParagraph"/>
        <w:ind w:left="0"/>
        <w:contextualSpacing/>
        <w:jc w:val="both"/>
      </w:pPr>
      <w:r w:rsidRPr="000519DA">
        <w:t>Legislatívno-technická úprava.</w:t>
      </w:r>
    </w:p>
    <w:p w:rsidR="007E0358" w:rsidRPr="000519DA" w:rsidP="00F508C7">
      <w:pPr>
        <w:spacing w:after="0" w:line="240" w:lineRule="auto"/>
        <w:contextualSpacing/>
        <w:jc w:val="both"/>
        <w:rPr>
          <w:rStyle w:val="awspanawtext3"/>
          <w:rFonts w:ascii="Times New Roman" w:hAnsi="Times New Roman"/>
          <w:b/>
          <w:bCs/>
          <w:sz w:val="24"/>
          <w:szCs w:val="24"/>
        </w:rPr>
      </w:pPr>
    </w:p>
    <w:p w:rsidR="00F508C7" w:rsidRPr="000519DA" w:rsidP="00F508C7">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5</w:t>
      </w:r>
      <w:r w:rsidRPr="000519DA" w:rsidR="00F64E70">
        <w:rPr>
          <w:rStyle w:val="awspanawtext3"/>
          <w:rFonts w:ascii="Times New Roman" w:hAnsi="Times New Roman"/>
          <w:b/>
          <w:bCs/>
          <w:sz w:val="24"/>
          <w:szCs w:val="24"/>
        </w:rPr>
        <w:t>1</w:t>
      </w:r>
    </w:p>
    <w:p w:rsidR="006F05CC" w:rsidRPr="000519DA" w:rsidP="006F05CC">
      <w:pPr>
        <w:pStyle w:val="ListParagraph"/>
        <w:ind w:left="0"/>
        <w:contextualSpacing/>
        <w:jc w:val="both"/>
      </w:pPr>
      <w:r w:rsidRPr="000519DA">
        <w:t>Upravuje sa správny delikt na úseku verejného zdravotníctva v nadväznosti na začlenenie požiadaviek na zdravotnú bezpečnosť na materiály, filtračné média určené na styk s pitnou vodou a chemické látky na úpravu vody.</w:t>
      </w:r>
    </w:p>
    <w:p w:rsidR="00F508C7" w:rsidRPr="000519DA" w:rsidP="00F508C7">
      <w:pPr>
        <w:spacing w:after="0" w:line="240" w:lineRule="auto"/>
        <w:contextualSpacing/>
        <w:jc w:val="both"/>
        <w:rPr>
          <w:rStyle w:val="awspanawtext3"/>
          <w:rFonts w:ascii="Times New Roman" w:hAnsi="Times New Roman"/>
          <w:sz w:val="24"/>
          <w:szCs w:val="24"/>
        </w:rPr>
      </w:pPr>
    </w:p>
    <w:p w:rsidR="006F05CC" w:rsidRPr="000519DA" w:rsidP="00F508C7">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5</w:t>
      </w:r>
      <w:r w:rsidRPr="000519DA" w:rsidR="00F64E70">
        <w:rPr>
          <w:rStyle w:val="awspanawtext3"/>
          <w:rFonts w:ascii="Times New Roman" w:hAnsi="Times New Roman"/>
          <w:b/>
          <w:bCs/>
          <w:sz w:val="24"/>
          <w:szCs w:val="24"/>
        </w:rPr>
        <w:t>2</w:t>
      </w:r>
    </w:p>
    <w:p w:rsidR="006F05CC" w:rsidRPr="000519DA" w:rsidP="00F508C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Zavádza pre prevádzkovateľa zariadenia spoločného stravovania nový správny delikt za nesplnenie povinnosti podľa § 26 ods. 3.</w:t>
      </w:r>
    </w:p>
    <w:p w:rsidR="006F05CC" w:rsidRPr="000519DA" w:rsidP="00F508C7">
      <w:pPr>
        <w:spacing w:after="0" w:line="240" w:lineRule="auto"/>
        <w:contextualSpacing/>
        <w:jc w:val="both"/>
        <w:rPr>
          <w:rStyle w:val="awspanawtext3"/>
          <w:rFonts w:ascii="Times New Roman" w:hAnsi="Times New Roman"/>
          <w:sz w:val="24"/>
          <w:szCs w:val="24"/>
        </w:rPr>
      </w:pPr>
    </w:p>
    <w:p w:rsidR="006F05CC" w:rsidRPr="000519DA" w:rsidP="00F508C7">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5</w:t>
      </w:r>
      <w:r w:rsidRPr="000519DA" w:rsidR="00F64E70">
        <w:rPr>
          <w:rStyle w:val="awspanawtext3"/>
          <w:rFonts w:ascii="Times New Roman" w:hAnsi="Times New Roman"/>
          <w:b/>
          <w:bCs/>
          <w:sz w:val="24"/>
          <w:szCs w:val="24"/>
        </w:rPr>
        <w:t>3</w:t>
      </w:r>
    </w:p>
    <w:p w:rsidR="006F05CC" w:rsidRPr="000519DA" w:rsidP="006F05CC">
      <w:pPr>
        <w:pStyle w:val="ListParagraph"/>
        <w:ind w:left="0"/>
        <w:contextualSpacing/>
        <w:jc w:val="both"/>
      </w:pPr>
      <w:r w:rsidRPr="000519DA">
        <w:t>Legislatívno-technická úprava.</w:t>
      </w:r>
    </w:p>
    <w:p w:rsidR="006F05CC" w:rsidRPr="000519DA" w:rsidP="00F508C7">
      <w:pPr>
        <w:spacing w:after="0" w:line="240" w:lineRule="auto"/>
        <w:contextualSpacing/>
        <w:jc w:val="both"/>
        <w:rPr>
          <w:rStyle w:val="awspanawtext3"/>
          <w:rFonts w:ascii="Times New Roman" w:hAnsi="Times New Roman"/>
          <w:b/>
          <w:bCs/>
          <w:sz w:val="24"/>
          <w:szCs w:val="24"/>
        </w:rPr>
      </w:pPr>
    </w:p>
    <w:p w:rsidR="006F05CC" w:rsidRPr="000519DA" w:rsidP="00F508C7">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5</w:t>
      </w:r>
      <w:r w:rsidRPr="000519DA" w:rsidR="00F64E70">
        <w:rPr>
          <w:rStyle w:val="awspanawtext3"/>
          <w:rFonts w:ascii="Times New Roman" w:hAnsi="Times New Roman"/>
          <w:b/>
          <w:bCs/>
          <w:sz w:val="24"/>
          <w:szCs w:val="24"/>
        </w:rPr>
        <w:t>4</w:t>
      </w:r>
    </w:p>
    <w:p w:rsidR="006F05CC" w:rsidRPr="000519DA" w:rsidP="00F508C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Vzhľadom na úpravu § 39 sa upravuje aj iný správny delikt.</w:t>
      </w:r>
    </w:p>
    <w:p w:rsidR="006F05CC" w:rsidRPr="000519DA" w:rsidP="00F508C7">
      <w:pPr>
        <w:spacing w:after="0" w:line="240" w:lineRule="auto"/>
        <w:contextualSpacing/>
        <w:jc w:val="both"/>
        <w:rPr>
          <w:rStyle w:val="awspanawtext3"/>
          <w:rFonts w:ascii="Times New Roman" w:hAnsi="Times New Roman"/>
          <w:sz w:val="24"/>
          <w:szCs w:val="24"/>
        </w:rPr>
      </w:pPr>
    </w:p>
    <w:p w:rsidR="006F05CC" w:rsidRPr="000519DA" w:rsidP="00F508C7">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5</w:t>
      </w:r>
      <w:r w:rsidRPr="000519DA" w:rsidR="00F64E70">
        <w:rPr>
          <w:rStyle w:val="awspanawtext3"/>
          <w:rFonts w:ascii="Times New Roman" w:hAnsi="Times New Roman"/>
          <w:b/>
          <w:bCs/>
          <w:sz w:val="24"/>
          <w:szCs w:val="24"/>
        </w:rPr>
        <w:t>5</w:t>
      </w:r>
    </w:p>
    <w:p w:rsidR="006F05CC" w:rsidRPr="000519DA" w:rsidP="00F508C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Ide o precizovanie textu správneho deliktu na úseku verejného zdravotníctva fyzických osôb-podnikateľov a právnických osôb (zamestnávateľov) v nadväznosti na precizovanie textu povinnosti podľa § 52 ods. 1 písm. f), do ktorej sa pre komplexnú informovanosť doplnil odkaz na nariadenie vlády SR č. 391/2006 Z. z., ktoré upravuje minimálne požiadavky na ochranu zdravia  a bezpečnosť pri práci na pracovisku.</w:t>
      </w:r>
    </w:p>
    <w:p w:rsidR="006F05CC" w:rsidRPr="000519DA" w:rsidP="00F508C7">
      <w:pPr>
        <w:spacing w:after="0" w:line="240" w:lineRule="auto"/>
        <w:contextualSpacing/>
        <w:jc w:val="both"/>
        <w:rPr>
          <w:rStyle w:val="awspanawtext3"/>
          <w:rFonts w:ascii="Times New Roman" w:hAnsi="Times New Roman"/>
          <w:sz w:val="24"/>
          <w:szCs w:val="24"/>
        </w:rPr>
      </w:pPr>
    </w:p>
    <w:p w:rsidR="006F05CC" w:rsidRPr="000519DA" w:rsidP="00F508C7">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5</w:t>
      </w:r>
      <w:r w:rsidRPr="000519DA" w:rsidR="00F64E70">
        <w:rPr>
          <w:rStyle w:val="awspanawtext3"/>
          <w:rFonts w:ascii="Times New Roman" w:hAnsi="Times New Roman"/>
          <w:b/>
          <w:bCs/>
          <w:sz w:val="24"/>
          <w:szCs w:val="24"/>
        </w:rPr>
        <w:t>6</w:t>
      </w:r>
    </w:p>
    <w:p w:rsidR="006F05CC" w:rsidRPr="000519DA" w:rsidP="00F508C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Do návrhu zákona sa dopĺňa správny delikt na úseku verejného zdravotníctva v oblasti ochrany zdravia pri práci, ktorého sa dopustí fyzická osoba – podnikateľ, ktorá nezamestnáva iné fyzické osoby a vykonáva prácu s diizokyanátmi, ak si nezabezpečí odbornú prípravu na prácu s diizokyanátmi.</w:t>
      </w:r>
    </w:p>
    <w:p w:rsidR="006F05CC" w:rsidRPr="000519DA" w:rsidP="00F508C7">
      <w:pPr>
        <w:spacing w:after="0" w:line="240" w:lineRule="auto"/>
        <w:contextualSpacing/>
        <w:jc w:val="both"/>
        <w:rPr>
          <w:rStyle w:val="awspanawtext3"/>
          <w:rFonts w:ascii="Times New Roman" w:hAnsi="Times New Roman"/>
          <w:sz w:val="24"/>
          <w:szCs w:val="24"/>
        </w:rPr>
      </w:pPr>
    </w:p>
    <w:p w:rsidR="006F05CC" w:rsidRPr="000519DA" w:rsidP="00F508C7">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5</w:t>
      </w:r>
      <w:r w:rsidRPr="000519DA" w:rsidR="00F64E70">
        <w:rPr>
          <w:rStyle w:val="awspanawtext3"/>
          <w:rFonts w:ascii="Times New Roman" w:hAnsi="Times New Roman"/>
          <w:b/>
          <w:bCs/>
          <w:sz w:val="24"/>
          <w:szCs w:val="24"/>
        </w:rPr>
        <w:t>7</w:t>
      </w:r>
    </w:p>
    <w:p w:rsidR="006F05CC" w:rsidRPr="000519DA" w:rsidP="00F508C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Legislatívno-technická úprava.</w:t>
      </w:r>
    </w:p>
    <w:p w:rsidR="006F05CC" w:rsidRPr="000519DA" w:rsidP="00F508C7">
      <w:pPr>
        <w:spacing w:after="0" w:line="240" w:lineRule="auto"/>
        <w:contextualSpacing/>
        <w:jc w:val="both"/>
        <w:rPr>
          <w:rStyle w:val="awspanawtext3"/>
          <w:rFonts w:ascii="Times New Roman" w:hAnsi="Times New Roman"/>
          <w:sz w:val="24"/>
          <w:szCs w:val="24"/>
        </w:rPr>
      </w:pPr>
    </w:p>
    <w:p w:rsidR="006F05CC" w:rsidRPr="000519DA" w:rsidP="00F508C7">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5</w:t>
      </w:r>
      <w:r w:rsidRPr="000519DA" w:rsidR="00F64E70">
        <w:rPr>
          <w:rStyle w:val="awspanawtext3"/>
          <w:rFonts w:ascii="Times New Roman" w:hAnsi="Times New Roman"/>
          <w:b/>
          <w:bCs/>
          <w:sz w:val="24"/>
          <w:szCs w:val="24"/>
        </w:rPr>
        <w:t>8</w:t>
      </w:r>
    </w:p>
    <w:p w:rsidR="006F05CC" w:rsidRPr="000519DA" w:rsidP="006F05CC">
      <w:pPr>
        <w:spacing w:after="0" w:line="240" w:lineRule="auto"/>
        <w:contextualSpacing/>
        <w:jc w:val="both"/>
        <w:rPr>
          <w:rFonts w:ascii="Times New Roman" w:hAnsi="Times New Roman"/>
          <w:sz w:val="24"/>
          <w:szCs w:val="24"/>
        </w:rPr>
      </w:pPr>
      <w:r w:rsidRPr="000519DA">
        <w:rPr>
          <w:rFonts w:ascii="Times New Roman" w:hAnsi="Times New Roman"/>
          <w:sz w:val="24"/>
          <w:szCs w:val="24"/>
        </w:rPr>
        <w:t>Upravuje sa splnomocňovacie ustanovenie na vydanie vykonávacieho predpisu vzhľadom na zavedenie nových požiadaviek v oblasti pitnej vody a zavedenie požiadaviek na zdravotnú bezpečnosť teplej vody.</w:t>
      </w:r>
    </w:p>
    <w:p w:rsidR="006F05CC" w:rsidRPr="000519DA" w:rsidP="00F508C7">
      <w:pPr>
        <w:spacing w:after="0" w:line="240" w:lineRule="auto"/>
        <w:contextualSpacing/>
        <w:jc w:val="both"/>
        <w:rPr>
          <w:rStyle w:val="awspanawtext3"/>
          <w:rFonts w:ascii="Times New Roman" w:hAnsi="Times New Roman"/>
          <w:b/>
          <w:bCs/>
          <w:sz w:val="24"/>
          <w:szCs w:val="24"/>
        </w:rPr>
      </w:pPr>
    </w:p>
    <w:p w:rsidR="006F05CC" w:rsidRPr="000519DA" w:rsidP="00F508C7">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 xml:space="preserve">K bodu </w:t>
      </w:r>
      <w:r w:rsidRPr="000519DA" w:rsidR="00F64E70">
        <w:rPr>
          <w:rStyle w:val="awspanawtext3"/>
          <w:rFonts w:ascii="Times New Roman" w:hAnsi="Times New Roman"/>
          <w:b/>
          <w:bCs/>
          <w:sz w:val="24"/>
          <w:szCs w:val="24"/>
        </w:rPr>
        <w:t>59</w:t>
      </w:r>
    </w:p>
    <w:p w:rsidR="006F05CC" w:rsidRPr="000519DA" w:rsidP="00F508C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 xml:space="preserve">V súlade s termínmi ustanovenými v </w:t>
      </w:r>
      <w:r w:rsidRPr="000519DA" w:rsidR="00253208">
        <w:rPr>
          <w:rFonts w:ascii="Times New Roman" w:hAnsi="Times New Roman"/>
          <w:sz w:val="24"/>
          <w:szCs w:val="24"/>
        </w:rPr>
        <w:t xml:space="preserve">smernici (EÚ) 2020/2184 </w:t>
      </w:r>
      <w:r w:rsidRPr="000519DA">
        <w:rPr>
          <w:rStyle w:val="awspanawtext3"/>
          <w:rFonts w:ascii="Times New Roman" w:hAnsi="Times New Roman"/>
          <w:sz w:val="24"/>
          <w:szCs w:val="24"/>
        </w:rPr>
        <w:t>sa dopĺňajú prechodné ustanovenia.</w:t>
      </w:r>
    </w:p>
    <w:p w:rsidR="00F3360E" w:rsidRPr="000519DA" w:rsidP="00F508C7">
      <w:pPr>
        <w:spacing w:after="0" w:line="240" w:lineRule="auto"/>
        <w:contextualSpacing/>
        <w:jc w:val="both"/>
        <w:rPr>
          <w:rStyle w:val="awspanawtext3"/>
          <w:rFonts w:ascii="Times New Roman" w:hAnsi="Times New Roman"/>
          <w:b/>
          <w:bCs/>
          <w:sz w:val="24"/>
          <w:szCs w:val="24"/>
        </w:rPr>
      </w:pPr>
    </w:p>
    <w:p w:rsidR="006F05CC" w:rsidRPr="000519DA" w:rsidP="00F508C7">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 xml:space="preserve">K bodu </w:t>
      </w:r>
      <w:r w:rsidRPr="000519DA" w:rsidR="00F64E70">
        <w:rPr>
          <w:rStyle w:val="awspanawtext3"/>
          <w:rFonts w:ascii="Times New Roman" w:hAnsi="Times New Roman"/>
          <w:b/>
          <w:bCs/>
          <w:sz w:val="24"/>
          <w:szCs w:val="24"/>
        </w:rPr>
        <w:t>60</w:t>
      </w:r>
    </w:p>
    <w:p w:rsidR="006F05CC" w:rsidRPr="000519DA" w:rsidP="00F508C7">
      <w:pPr>
        <w:spacing w:after="0" w:line="240" w:lineRule="auto"/>
        <w:contextualSpacing/>
        <w:jc w:val="both"/>
        <w:rPr>
          <w:rStyle w:val="awspanawtext3"/>
          <w:rFonts w:ascii="Times New Roman" w:hAnsi="Times New Roman"/>
          <w:sz w:val="24"/>
          <w:szCs w:val="24"/>
        </w:rPr>
      </w:pPr>
      <w:r w:rsidRPr="000519DA">
        <w:rPr>
          <w:rStyle w:val="awspanawtext3"/>
          <w:rFonts w:ascii="Times New Roman" w:hAnsi="Times New Roman"/>
          <w:sz w:val="24"/>
          <w:szCs w:val="24"/>
        </w:rPr>
        <w:t>Z príloh sa vypúšťa zoznam látok, pre ktoré mohli RÚVZ a ÚVZ povoľovať v minulosti výnimky na použitie vody, ktorá nespĺňa limity ukazovateľov kvality pitnej vody.</w:t>
      </w:r>
    </w:p>
    <w:p w:rsidR="006F05CC" w:rsidRPr="000519DA" w:rsidP="00F508C7">
      <w:pPr>
        <w:spacing w:after="0" w:line="240" w:lineRule="auto"/>
        <w:contextualSpacing/>
        <w:jc w:val="both"/>
        <w:rPr>
          <w:rStyle w:val="awspanawtext3"/>
          <w:rFonts w:ascii="Times New Roman" w:hAnsi="Times New Roman"/>
          <w:sz w:val="24"/>
          <w:szCs w:val="24"/>
        </w:rPr>
      </w:pPr>
    </w:p>
    <w:p w:rsidR="006F05CC" w:rsidRPr="000519DA" w:rsidP="00F508C7">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w:t>
      </w:r>
      <w:r w:rsidRPr="000519DA" w:rsidR="00DE02E6">
        <w:rPr>
          <w:rStyle w:val="awspanawtext3"/>
          <w:rFonts w:ascii="Times New Roman" w:hAnsi="Times New Roman"/>
          <w:b/>
          <w:bCs/>
          <w:sz w:val="24"/>
          <w:szCs w:val="24"/>
        </w:rPr>
        <w:t>om</w:t>
      </w:r>
      <w:r w:rsidRPr="000519DA">
        <w:rPr>
          <w:rStyle w:val="awspanawtext3"/>
          <w:rFonts w:ascii="Times New Roman" w:hAnsi="Times New Roman"/>
          <w:b/>
          <w:bCs/>
          <w:sz w:val="24"/>
          <w:szCs w:val="24"/>
        </w:rPr>
        <w:t xml:space="preserve"> </w:t>
      </w:r>
      <w:r w:rsidRPr="000519DA" w:rsidR="00E24BA6">
        <w:rPr>
          <w:rStyle w:val="awspanawtext3"/>
          <w:rFonts w:ascii="Times New Roman" w:hAnsi="Times New Roman"/>
          <w:b/>
          <w:bCs/>
          <w:sz w:val="24"/>
          <w:szCs w:val="24"/>
        </w:rPr>
        <w:t>6</w:t>
      </w:r>
      <w:r w:rsidRPr="000519DA" w:rsidR="00F64E70">
        <w:rPr>
          <w:rStyle w:val="awspanawtext3"/>
          <w:rFonts w:ascii="Times New Roman" w:hAnsi="Times New Roman"/>
          <w:b/>
          <w:bCs/>
          <w:sz w:val="24"/>
          <w:szCs w:val="24"/>
        </w:rPr>
        <w:t>1</w:t>
      </w:r>
      <w:r w:rsidRPr="000519DA" w:rsidR="00E24BA6">
        <w:rPr>
          <w:rStyle w:val="awspanawtext3"/>
          <w:rFonts w:ascii="Times New Roman" w:hAnsi="Times New Roman"/>
          <w:b/>
          <w:bCs/>
          <w:sz w:val="24"/>
          <w:szCs w:val="24"/>
        </w:rPr>
        <w:t xml:space="preserve"> až 6</w:t>
      </w:r>
      <w:r w:rsidRPr="000519DA" w:rsidR="00F64E70">
        <w:rPr>
          <w:rStyle w:val="awspanawtext3"/>
          <w:rFonts w:ascii="Times New Roman" w:hAnsi="Times New Roman"/>
          <w:b/>
          <w:bCs/>
          <w:sz w:val="24"/>
          <w:szCs w:val="24"/>
        </w:rPr>
        <w:t>5</w:t>
      </w:r>
    </w:p>
    <w:p w:rsidR="00F3360E" w:rsidRPr="000519DA" w:rsidP="006F05CC">
      <w:pPr>
        <w:spacing w:after="0" w:line="240" w:lineRule="auto"/>
        <w:contextualSpacing/>
        <w:jc w:val="both"/>
        <w:rPr>
          <w:rFonts w:ascii="Times New Roman" w:hAnsi="Times New Roman"/>
          <w:sz w:val="24"/>
          <w:szCs w:val="24"/>
          <w:lang w:eastAsia="sk-SK"/>
        </w:rPr>
      </w:pPr>
      <w:r w:rsidRPr="000519DA" w:rsidR="00DE02E6">
        <w:rPr>
          <w:rStyle w:val="awspanawtext3"/>
          <w:rFonts w:ascii="Times New Roman" w:hAnsi="Times New Roman"/>
          <w:sz w:val="24"/>
          <w:szCs w:val="24"/>
        </w:rPr>
        <w:t>Z prílohy č. 9 sa vypúšťajú smernice, ktoré už nie sú platné.</w:t>
      </w:r>
    </w:p>
    <w:p w:rsidR="00F3360E" w:rsidRPr="000519DA" w:rsidP="006F05CC">
      <w:pPr>
        <w:spacing w:after="0" w:line="240" w:lineRule="auto"/>
        <w:contextualSpacing/>
        <w:jc w:val="both"/>
        <w:rPr>
          <w:rFonts w:ascii="Times New Roman" w:hAnsi="Times New Roman"/>
          <w:bCs/>
          <w:sz w:val="24"/>
          <w:szCs w:val="24"/>
          <w:lang w:eastAsia="sk-SK"/>
        </w:rPr>
      </w:pPr>
    </w:p>
    <w:p w:rsidR="00F3360E" w:rsidRPr="000519DA" w:rsidP="00F3360E">
      <w:pPr>
        <w:spacing w:after="0" w:line="240" w:lineRule="auto"/>
        <w:contextualSpacing/>
        <w:jc w:val="both"/>
        <w:rPr>
          <w:rStyle w:val="awspanawtext3"/>
          <w:rFonts w:ascii="Times New Roman" w:hAnsi="Times New Roman"/>
          <w:b/>
          <w:bCs/>
          <w:sz w:val="24"/>
          <w:szCs w:val="24"/>
        </w:rPr>
      </w:pPr>
      <w:r w:rsidRPr="000519DA">
        <w:rPr>
          <w:rStyle w:val="awspanawtext3"/>
          <w:rFonts w:ascii="Times New Roman" w:hAnsi="Times New Roman"/>
          <w:b/>
          <w:bCs/>
          <w:sz w:val="24"/>
          <w:szCs w:val="24"/>
        </w:rPr>
        <w:t>K bodu 6</w:t>
      </w:r>
      <w:r w:rsidRPr="000519DA" w:rsidR="00F64E70">
        <w:rPr>
          <w:rStyle w:val="awspanawtext3"/>
          <w:rFonts w:ascii="Times New Roman" w:hAnsi="Times New Roman"/>
          <w:b/>
          <w:bCs/>
          <w:sz w:val="24"/>
          <w:szCs w:val="24"/>
        </w:rPr>
        <w:t>6</w:t>
      </w:r>
    </w:p>
    <w:p w:rsidR="006F05CC" w:rsidRPr="000519DA" w:rsidP="006F05CC">
      <w:pPr>
        <w:spacing w:after="0" w:line="240" w:lineRule="auto"/>
        <w:contextualSpacing/>
        <w:jc w:val="both"/>
        <w:rPr>
          <w:rFonts w:ascii="Times New Roman" w:hAnsi="Times New Roman"/>
          <w:bCs/>
          <w:sz w:val="24"/>
          <w:szCs w:val="24"/>
          <w:lang w:eastAsia="sk-SK"/>
        </w:rPr>
      </w:pPr>
      <w:r w:rsidRPr="000519DA">
        <w:rPr>
          <w:rFonts w:ascii="Times New Roman" w:hAnsi="Times New Roman"/>
          <w:bCs/>
          <w:sz w:val="24"/>
          <w:szCs w:val="24"/>
          <w:lang w:eastAsia="sk-SK"/>
        </w:rPr>
        <w:t xml:space="preserve">Do zoznamu preberaných európskych právnych aktov sa dopĺňa </w:t>
      </w:r>
      <w:r w:rsidRPr="000519DA" w:rsidR="00B90432">
        <w:rPr>
          <w:rFonts w:ascii="Times New Roman" w:hAnsi="Times New Roman"/>
          <w:sz w:val="24"/>
          <w:szCs w:val="24"/>
        </w:rPr>
        <w:t>smernica Európskeho parlamentu a Rady (EÚ) 2020/2184 zo 16. decembra 2020 o kvalite vody určenej na ľudskú spotrebu (prepracované znenie) (Ú. v. EÚ L 435, 23.12.2020)</w:t>
      </w:r>
      <w:r w:rsidRPr="000519DA">
        <w:rPr>
          <w:rFonts w:ascii="Times New Roman" w:hAnsi="Times New Roman"/>
          <w:bCs/>
          <w:sz w:val="24"/>
          <w:szCs w:val="24"/>
          <w:lang w:eastAsia="sk-SK"/>
        </w:rPr>
        <w:t xml:space="preserve">, ktorá nadobudla </w:t>
      </w:r>
      <w:r w:rsidRPr="000519DA" w:rsidR="00F460F0">
        <w:rPr>
          <w:rFonts w:ascii="Times New Roman" w:hAnsi="Times New Roman"/>
          <w:bCs/>
          <w:sz w:val="24"/>
          <w:szCs w:val="24"/>
          <w:lang w:eastAsia="sk-SK"/>
        </w:rPr>
        <w:t>účinnosť</w:t>
      </w:r>
      <w:r w:rsidRPr="000519DA">
        <w:rPr>
          <w:rFonts w:ascii="Times New Roman" w:hAnsi="Times New Roman"/>
          <w:bCs/>
          <w:sz w:val="24"/>
          <w:szCs w:val="24"/>
          <w:lang w:eastAsia="sk-SK"/>
        </w:rPr>
        <w:t xml:space="preserve"> 12. januára 2021.</w:t>
      </w:r>
    </w:p>
    <w:p w:rsidR="00A45E3E" w:rsidRPr="000519DA" w:rsidP="00A45E3E">
      <w:pPr>
        <w:pStyle w:val="ListParagraph"/>
        <w:shd w:val="clear" w:color="auto" w:fill="FFFFFF"/>
        <w:ind w:left="0"/>
        <w:contextualSpacing/>
        <w:jc w:val="both"/>
        <w:rPr>
          <w:b/>
          <w:iCs/>
        </w:rPr>
      </w:pPr>
    </w:p>
    <w:p w:rsidR="00D213FB" w:rsidRPr="000519DA" w:rsidP="00A45E3E">
      <w:pPr>
        <w:pStyle w:val="ListParagraph"/>
        <w:shd w:val="clear" w:color="auto" w:fill="FFFFFF"/>
        <w:ind w:left="0"/>
        <w:contextualSpacing/>
        <w:jc w:val="both"/>
        <w:rPr>
          <w:b/>
          <w:iCs/>
        </w:rPr>
      </w:pPr>
    </w:p>
    <w:p w:rsidR="005273C3" w:rsidRPr="000519DA" w:rsidP="005273C3">
      <w:pPr>
        <w:pStyle w:val="ListParagraph"/>
        <w:shd w:val="clear" w:color="auto" w:fill="FFFFFF"/>
        <w:ind w:left="0"/>
        <w:contextualSpacing/>
        <w:jc w:val="both"/>
        <w:rPr>
          <w:b/>
          <w:iCs/>
        </w:rPr>
      </w:pPr>
      <w:r w:rsidRPr="000519DA">
        <w:rPr>
          <w:b/>
          <w:iCs/>
        </w:rPr>
        <w:t>K Čl. II</w:t>
      </w:r>
    </w:p>
    <w:p w:rsidR="005273C3" w:rsidRPr="000519DA" w:rsidP="005273C3">
      <w:pPr>
        <w:pStyle w:val="ListParagraph"/>
        <w:shd w:val="clear" w:color="auto" w:fill="FFFFFF"/>
        <w:ind w:left="0"/>
        <w:contextualSpacing/>
        <w:jc w:val="both"/>
        <w:rPr>
          <w:b/>
          <w:iCs/>
        </w:rPr>
      </w:pPr>
    </w:p>
    <w:p w:rsidR="005273C3" w:rsidRPr="000519DA" w:rsidP="005273C3">
      <w:pPr>
        <w:pStyle w:val="ListParagraph"/>
        <w:shd w:val="clear" w:color="auto" w:fill="FFFFFF"/>
        <w:ind w:left="0"/>
        <w:contextualSpacing/>
        <w:jc w:val="both"/>
        <w:rPr>
          <w:b/>
          <w:iCs/>
        </w:rPr>
      </w:pPr>
      <w:r w:rsidRPr="000519DA">
        <w:rPr>
          <w:b/>
          <w:iCs/>
        </w:rPr>
        <w:t>K bodu 1</w:t>
      </w:r>
    </w:p>
    <w:p w:rsidR="005273C3" w:rsidRPr="000519DA" w:rsidP="005273C3">
      <w:pPr>
        <w:pStyle w:val="ListParagraph"/>
        <w:shd w:val="clear" w:color="auto" w:fill="FFFFFF"/>
        <w:ind w:left="0"/>
        <w:contextualSpacing/>
        <w:jc w:val="both"/>
        <w:rPr>
          <w:iCs/>
        </w:rPr>
      </w:pPr>
      <w:r w:rsidRPr="000519DA">
        <w:rPr>
          <w:iCs/>
        </w:rPr>
        <w:t>Legislatívno-technická úprava označenia odkazu a poznámky pod čiarou.</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 xml:space="preserve">K bodu 2 </w:t>
      </w:r>
    </w:p>
    <w:p w:rsidR="005273C3" w:rsidRPr="000519DA" w:rsidP="005273C3">
      <w:pPr>
        <w:pStyle w:val="ListParagraph"/>
        <w:shd w:val="clear" w:color="auto" w:fill="FFFFFF"/>
        <w:ind w:left="0"/>
        <w:contextualSpacing/>
        <w:jc w:val="both"/>
        <w:rPr>
          <w:iCs/>
        </w:rPr>
      </w:pPr>
      <w:r w:rsidRPr="000519DA">
        <w:rPr>
          <w:iCs/>
        </w:rPr>
        <w:t xml:space="preserve">V § 2 sa dopĺňajú nové definície, ktoré vymedzujú nové pojmy v súvislosti so </w:t>
      </w:r>
      <w:r w:rsidRPr="000519DA">
        <w:t>smernicou (EÚ) 2020/2184</w:t>
      </w:r>
      <w:r w:rsidRPr="000519DA">
        <w:rPr>
          <w:iCs/>
        </w:rPr>
        <w:t xml:space="preserve">. </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3</w:t>
      </w:r>
    </w:p>
    <w:p w:rsidR="005273C3" w:rsidRPr="000519DA" w:rsidP="005273C3">
      <w:pPr>
        <w:pStyle w:val="ListParagraph"/>
        <w:shd w:val="clear" w:color="auto" w:fill="FFFFFF"/>
        <w:ind w:left="0"/>
        <w:contextualSpacing/>
        <w:jc w:val="both"/>
        <w:rPr>
          <w:iCs/>
        </w:rPr>
      </w:pPr>
      <w:r w:rsidRPr="000519DA">
        <w:rPr>
          <w:iCs/>
        </w:rPr>
        <w:t>Legislatívno-technická úprava označenia odkazu a poznámky pod čiarou.</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4 až 7</w:t>
      </w:r>
    </w:p>
    <w:p w:rsidR="005273C3" w:rsidRPr="000519DA" w:rsidP="005273C3">
      <w:pPr>
        <w:pStyle w:val="ListParagraph"/>
        <w:shd w:val="clear" w:color="auto" w:fill="FFFFFF"/>
        <w:ind w:left="0"/>
        <w:contextualSpacing/>
        <w:jc w:val="both"/>
        <w:rPr>
          <w:iCs/>
        </w:rPr>
      </w:pPr>
      <w:r w:rsidRPr="000519DA">
        <w:rPr>
          <w:iCs/>
        </w:rPr>
        <w:t xml:space="preserve">Úprava ustanovenia § 12 vyplynula precizovaním a zosúladením so smernicou </w:t>
      </w:r>
      <w:r w:rsidRPr="000519DA">
        <w:t>(EÚ) 2020/2184</w:t>
      </w:r>
      <w:r w:rsidRPr="000519DA">
        <w:rPr>
          <w:iCs/>
        </w:rPr>
        <w:t>.</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8</w:t>
      </w:r>
    </w:p>
    <w:p w:rsidR="005273C3" w:rsidRPr="000519DA" w:rsidP="005273C3">
      <w:pPr>
        <w:pStyle w:val="Default"/>
        <w:jc w:val="both"/>
        <w:rPr>
          <w:color w:val="auto"/>
        </w:rPr>
      </w:pPr>
      <w:r w:rsidRPr="000519DA">
        <w:rPr>
          <w:iCs/>
          <w:color w:val="auto"/>
        </w:rPr>
        <w:t xml:space="preserve">Úprava ustanovenia § 13 ods. 3 vyplynula precizovaním a zosúladením so smernicou </w:t>
      </w:r>
      <w:r w:rsidRPr="000519DA">
        <w:rPr>
          <w:color w:val="auto"/>
        </w:rPr>
        <w:t>(EÚ) 2020/2184</w:t>
      </w:r>
      <w:r w:rsidRPr="000519DA">
        <w:rPr>
          <w:iCs/>
          <w:color w:val="auto"/>
        </w:rPr>
        <w:t>.</w:t>
      </w:r>
      <w:r w:rsidRPr="000519DA">
        <w:rPr>
          <w:color w:val="auto"/>
        </w:rPr>
        <w:t xml:space="preserve"> Jedná sa o informácie o pitnej vode, ktoré budú v manažmente rizík uvedené, a ktoré podľa usmernenia ÚVZ SR bude relevantné/ potrebné zverejňovať pre informovanie spotrebiteľa.</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9</w:t>
      </w:r>
    </w:p>
    <w:p w:rsidR="005273C3" w:rsidRPr="000519DA" w:rsidP="005273C3">
      <w:pPr>
        <w:pStyle w:val="ListParagraph"/>
        <w:shd w:val="clear" w:color="auto" w:fill="FFFFFF"/>
        <w:ind w:left="0"/>
        <w:contextualSpacing/>
        <w:jc w:val="both"/>
        <w:rPr>
          <w:iCs/>
        </w:rPr>
      </w:pPr>
      <w:r w:rsidRPr="000519DA">
        <w:rPr>
          <w:iCs/>
        </w:rPr>
        <w:t>Úprava ustanovenia § 13 ods. 5 vyplynula z precizovania textu.</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10</w:t>
      </w:r>
    </w:p>
    <w:p w:rsidR="005273C3" w:rsidRPr="000519DA" w:rsidP="005273C3">
      <w:pPr>
        <w:pStyle w:val="ListParagraph"/>
        <w:shd w:val="clear" w:color="auto" w:fill="FFFFFF"/>
        <w:ind w:left="0"/>
        <w:contextualSpacing/>
        <w:jc w:val="both"/>
        <w:rPr>
          <w:iCs/>
        </w:rPr>
      </w:pPr>
      <w:r w:rsidRPr="000519DA">
        <w:rPr>
          <w:iCs/>
        </w:rPr>
        <w:t xml:space="preserve">V § 15 ods. 4 sa rozširuje okruh povinností, ktorými môže prevádzkovateľ verejného vodovodu zastupovať vlastníka verejného vodovodu. Tieto povinnosti vyplynuli s implementácie v súvislosti so smernicou </w:t>
      </w:r>
      <w:r w:rsidRPr="000519DA">
        <w:t>(EÚ) 2020/2184</w:t>
      </w:r>
      <w:r w:rsidRPr="000519DA">
        <w:rPr>
          <w:iCs/>
        </w:rPr>
        <w:t xml:space="preserve">. </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11</w:t>
      </w:r>
    </w:p>
    <w:p w:rsidR="005273C3" w:rsidRPr="000519DA" w:rsidP="005273C3">
      <w:pPr>
        <w:pStyle w:val="ListParagraph"/>
        <w:shd w:val="clear" w:color="auto" w:fill="FFFFFF"/>
        <w:ind w:left="0"/>
        <w:contextualSpacing/>
        <w:jc w:val="both"/>
        <w:rPr>
          <w:iCs/>
        </w:rPr>
      </w:pPr>
      <w:r w:rsidRPr="000519DA">
        <w:rPr>
          <w:iCs/>
        </w:rPr>
        <w:t>Úprava ustanovenia § 15 ods. 5 vyplynula z precizovania textu</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12</w:t>
      </w:r>
    </w:p>
    <w:p w:rsidR="005273C3" w:rsidRPr="000519DA" w:rsidP="005273C3">
      <w:pPr>
        <w:pStyle w:val="Default"/>
        <w:jc w:val="both"/>
        <w:rPr>
          <w:color w:val="auto"/>
        </w:rPr>
      </w:pPr>
      <w:r w:rsidRPr="000519DA">
        <w:rPr>
          <w:iCs/>
          <w:color w:val="auto"/>
        </w:rPr>
        <w:t xml:space="preserve">Ustanovenie § 15 sa dopĺňa odsekmi 9 až 14, súvisiace s novými povinnosťami pre vlastníka alebo prevádzkovateľa verejného vodovodu, ktoré vyplynuli v súvislosti so zabezpečením implementácie  smernice </w:t>
      </w:r>
      <w:r w:rsidRPr="000519DA">
        <w:rPr>
          <w:color w:val="auto"/>
        </w:rPr>
        <w:t>(EÚ) 2020/2184</w:t>
      </w:r>
      <w:r w:rsidRPr="000519DA">
        <w:rPr>
          <w:iCs/>
          <w:color w:val="auto"/>
        </w:rPr>
        <w:t xml:space="preserve">. Jedná sa o povinnosť vlastníka verejného vodovodu (alebo prevádzkovateľa) vykonať posúdenie miery strát vody a potenciál zlepšenia v súvislosti so znížením strát vody, a to za použitia posudzovacej metódy založenej na infraštruktúrnom indexe strát alebo inej vhodnej metódy. </w:t>
      </w:r>
      <w:r w:rsidRPr="000519DA">
        <w:rPr>
          <w:color w:val="auto"/>
        </w:rPr>
        <w:t xml:space="preserve">Na základe usmernení, ktoré poskytne Európska komisia, budú použité metódy, ktoré budú vhodné pre jednotlivé krajiny a systémy zásobovania. </w:t>
      </w:r>
    </w:p>
    <w:p w:rsidR="005273C3" w:rsidRPr="000519DA" w:rsidP="005273C3">
      <w:pPr>
        <w:pStyle w:val="ListParagraph"/>
        <w:shd w:val="clear" w:color="auto" w:fill="FFFFFF"/>
        <w:ind w:left="0"/>
        <w:contextualSpacing/>
        <w:jc w:val="both"/>
        <w:rPr>
          <w:iCs/>
        </w:rPr>
      </w:pPr>
      <w:r w:rsidRPr="000519DA">
        <w:rPr>
          <w:iCs/>
        </w:rPr>
        <w:t xml:space="preserve">Pri tomto posúdení sa zohľadnia príslušné aspekty verejného zdravia, environmentálne, technické a hospodárske aspekty a jeho predmetom budú dodávatelia vody, ktorí denne dodávajú aspoň 10 000 m3 alebo zásobujú aspoň 50 000 ľudí. </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iCs/>
        </w:rPr>
      </w:pPr>
      <w:r w:rsidRPr="000519DA">
        <w:rPr>
          <w:iCs/>
        </w:rPr>
        <w:t xml:space="preserve">Následne výsledky tohto posúdenia vlastník verejného vodovodu do 30. júla 2025 oznámi ministerstvu, resp. ministerstvom poverenej osobe. </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iCs/>
        </w:rPr>
      </w:pPr>
      <w:r w:rsidRPr="000519DA">
        <w:rPr>
          <w:iCs/>
        </w:rPr>
        <w:t xml:space="preserve">Ďalšia nová povinnosť pre  vlastníka verejného vodovodu  (alebo prevádzkovateľa verejného vodovodu) vyplývajúca so zabezpečením implementácie  smernice </w:t>
      </w:r>
      <w:r w:rsidRPr="000519DA">
        <w:t>(EÚ) 2020/2184</w:t>
      </w:r>
      <w:r w:rsidRPr="000519DA">
        <w:rPr>
          <w:iCs/>
        </w:rPr>
        <w:t xml:space="preserve">je vykonať manažment rizík pri zásobovaní pitnou vodou, pokiaľ ide o každý systém zásobovania, ktorý zahŕňa miesto odberu, úpravu, akumuláciu a distribúciu vody určenej na ľudskú spotrebu k miestu dodávky vykonávané dodávateľmi vody. </w:t>
      </w:r>
    </w:p>
    <w:p w:rsidR="005273C3" w:rsidRPr="000519DA" w:rsidP="005273C3">
      <w:pPr>
        <w:pStyle w:val="ListParagraph"/>
        <w:shd w:val="clear" w:color="auto" w:fill="FFFFFF"/>
        <w:ind w:left="0"/>
        <w:contextualSpacing/>
        <w:jc w:val="both"/>
        <w:rPr>
          <w:iCs/>
        </w:rPr>
      </w:pPr>
      <w:r w:rsidRPr="000519DA">
        <w:rPr>
          <w:iCs/>
        </w:rPr>
        <w:t>Tento manažment rizík pri zásobovaní pitnou vodou sa po prvýkrát vykoná do 12. januára 2029. Manažment rizík sa preskúmava v pravidelných intervaloch aspoň raz za šesť rokov a v prípade potreby sa aktualizuje.</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iCs/>
        </w:rPr>
      </w:pPr>
      <w:r w:rsidRPr="000519DA">
        <w:rPr>
          <w:iCs/>
        </w:rPr>
        <w:t xml:space="preserve">Ak vlastník verejného vodovodu pri monitorovaní surovej vody zaznamená neobvyklé množstvá alebo koncentrácie monitorovaných parametrov, látok alebo znečisťujúcich látok, je povinný informovať o tom ministerstvom poverenú osobu, okresné úrady a príslušný úrad verejného zdravotníctva. </w:t>
      </w:r>
      <w:r w:rsidRPr="000519DA" w:rsidR="00374156">
        <w:rPr>
          <w:iCs/>
        </w:rPr>
        <w:t>Podrobnosti o špecifikácii o aké množstvá, koncentrácie a trendy sa jedná  bude predmetom vyhlášky.</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iCs/>
        </w:rPr>
      </w:pPr>
      <w:r w:rsidRPr="000519DA">
        <w:rPr>
          <w:iCs/>
        </w:rPr>
        <w:t>Je možnosť uplatniť výnimku pre vlastníka verejného vodovodu, ktorý dodáva pitnú vodu v priemere 10 m3 až 100 m3 za deň alebo zásobuje  pitnou vodou  50 až 500 osôb, že nebude povinný vykonávať manažment rizík systému zásobovania. Musí byť ale splnený predpoklad, že takáto výnimka neohrozí kvalitu vody určenej na ľudskú spotrebu. Dodávatelia vody, ktorým bude udelená takáto výnimka sú povinní vykonávať pravidelné monitorovanie v súlade s osobitným predpisom.</w:t>
      </w:r>
    </w:p>
    <w:p w:rsidR="005273C3" w:rsidRPr="000519DA" w:rsidP="005273C3">
      <w:pPr>
        <w:pStyle w:val="ListParagraph"/>
        <w:shd w:val="clear" w:color="auto" w:fill="FFFFFF"/>
        <w:ind w:left="0"/>
        <w:contextualSpacing/>
        <w:jc w:val="both"/>
        <w:rPr>
          <w:b/>
          <w:iCs/>
        </w:rPr>
      </w:pPr>
    </w:p>
    <w:p w:rsidR="005273C3" w:rsidRPr="000519DA" w:rsidP="005273C3">
      <w:pPr>
        <w:pStyle w:val="ListParagraph"/>
        <w:shd w:val="clear" w:color="auto" w:fill="FFFFFF"/>
        <w:ind w:left="0"/>
        <w:contextualSpacing/>
        <w:jc w:val="both"/>
        <w:rPr>
          <w:b/>
          <w:iCs/>
        </w:rPr>
      </w:pPr>
      <w:r w:rsidRPr="000519DA">
        <w:rPr>
          <w:b/>
          <w:iCs/>
        </w:rPr>
        <w:t>K bodu 13 a 14</w:t>
      </w:r>
    </w:p>
    <w:p w:rsidR="005273C3" w:rsidRPr="000519DA" w:rsidP="005273C3">
      <w:pPr>
        <w:pStyle w:val="ListParagraph"/>
        <w:shd w:val="clear" w:color="auto" w:fill="FFFFFF"/>
        <w:ind w:left="0"/>
        <w:contextualSpacing/>
        <w:jc w:val="both"/>
        <w:rPr>
          <w:iCs/>
        </w:rPr>
      </w:pPr>
      <w:r w:rsidRPr="000519DA">
        <w:rPr>
          <w:iCs/>
        </w:rPr>
        <w:t xml:space="preserve">V § 36 ods. 3 sa dopĺňa pôsobnosť ústredného orgánu štátnej správy činnosťami, ktoré vyplynuli so zabezpečením implementácie  smernice </w:t>
      </w:r>
      <w:r w:rsidRPr="000519DA">
        <w:t>(EÚ) 2020/2184</w:t>
      </w:r>
      <w:r w:rsidRPr="000519DA">
        <w:rPr>
          <w:iCs/>
        </w:rPr>
        <w:t>, oznámiť Komisii výsledky posúdenia miery strát vody a potenciál zlepšenia v súvislosti so znížením strát vody do 12. januára 2026 a zároveň poveriť právnickú osobu na vykonávanie a zabezpečovanie podkladov posúdenia strát vody.</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15</w:t>
      </w:r>
    </w:p>
    <w:p w:rsidR="005273C3" w:rsidRPr="000519DA" w:rsidP="005273C3">
      <w:pPr>
        <w:pStyle w:val="ListParagraph"/>
        <w:shd w:val="clear" w:color="auto" w:fill="FFFFFF"/>
        <w:ind w:left="0"/>
        <w:contextualSpacing/>
        <w:jc w:val="both"/>
        <w:rPr>
          <w:iCs/>
        </w:rPr>
      </w:pPr>
      <w:r w:rsidRPr="000519DA">
        <w:rPr>
          <w:iCs/>
        </w:rPr>
        <w:t>Legislatívno-technická úprava pôsobnosti orgánov štátnej správy.</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16</w:t>
      </w:r>
    </w:p>
    <w:p w:rsidR="005273C3" w:rsidRPr="000519DA" w:rsidP="005273C3">
      <w:pPr>
        <w:pStyle w:val="ListParagraph"/>
        <w:shd w:val="clear" w:color="auto" w:fill="FFFFFF"/>
        <w:ind w:left="0"/>
        <w:contextualSpacing/>
        <w:jc w:val="both"/>
        <w:rPr>
          <w:iCs/>
        </w:rPr>
      </w:pPr>
      <w:r w:rsidRPr="000519DA">
        <w:rPr>
          <w:iCs/>
        </w:rPr>
        <w:t>V § 36 v odseku 5 sa pôsobnosť orgánov štátnej správy dopĺňa činnosťou, vydávaním stanovísk, ktoré sa týkajú programu monitorovania dodávateľov pitnej vody, ktorí spadajú pod režim tohto zákona.</w:t>
      </w:r>
    </w:p>
    <w:p w:rsidR="005273C3" w:rsidRPr="000519DA" w:rsidP="005273C3">
      <w:pPr>
        <w:pStyle w:val="ListParagraph"/>
        <w:shd w:val="clear" w:color="auto" w:fill="FFFFFF"/>
        <w:ind w:left="0"/>
        <w:contextualSpacing/>
        <w:jc w:val="both"/>
        <w:rPr>
          <w:iCs/>
        </w:rPr>
      </w:pPr>
    </w:p>
    <w:p w:rsidR="00374156" w:rsidRPr="000519DA" w:rsidP="005273C3">
      <w:pPr>
        <w:pStyle w:val="ListParagraph"/>
        <w:shd w:val="clear" w:color="auto" w:fill="FFFFFF"/>
        <w:ind w:left="0"/>
        <w:contextualSpacing/>
        <w:jc w:val="both"/>
        <w:rPr>
          <w:b/>
          <w:iCs/>
        </w:rPr>
      </w:pPr>
    </w:p>
    <w:p w:rsidR="00374156" w:rsidRPr="000519DA" w:rsidP="005273C3">
      <w:pPr>
        <w:pStyle w:val="ListParagraph"/>
        <w:shd w:val="clear" w:color="auto" w:fill="FFFFFF"/>
        <w:ind w:left="0"/>
        <w:contextualSpacing/>
        <w:jc w:val="both"/>
        <w:rPr>
          <w:b/>
          <w:iCs/>
        </w:rPr>
      </w:pPr>
    </w:p>
    <w:p w:rsidR="00374156" w:rsidRPr="000519DA" w:rsidP="005273C3">
      <w:pPr>
        <w:pStyle w:val="ListParagraph"/>
        <w:shd w:val="clear" w:color="auto" w:fill="FFFFFF"/>
        <w:ind w:left="0"/>
        <w:contextualSpacing/>
        <w:jc w:val="both"/>
        <w:rPr>
          <w:b/>
          <w:iCs/>
        </w:rPr>
      </w:pPr>
    </w:p>
    <w:p w:rsidR="005273C3" w:rsidRPr="000519DA" w:rsidP="005273C3">
      <w:pPr>
        <w:pStyle w:val="ListParagraph"/>
        <w:shd w:val="clear" w:color="auto" w:fill="FFFFFF"/>
        <w:ind w:left="0"/>
        <w:contextualSpacing/>
        <w:jc w:val="both"/>
        <w:rPr>
          <w:b/>
          <w:iCs/>
        </w:rPr>
      </w:pPr>
      <w:r w:rsidRPr="000519DA">
        <w:rPr>
          <w:b/>
          <w:iCs/>
        </w:rPr>
        <w:t>K bodu 17</w:t>
      </w:r>
    </w:p>
    <w:p w:rsidR="005273C3" w:rsidRPr="000519DA" w:rsidP="005273C3">
      <w:pPr>
        <w:pStyle w:val="ListParagraph"/>
        <w:shd w:val="clear" w:color="auto" w:fill="FFFFFF"/>
        <w:ind w:left="0"/>
        <w:contextualSpacing/>
        <w:jc w:val="both"/>
        <w:rPr>
          <w:iCs/>
        </w:rPr>
      </w:pPr>
      <w:r w:rsidRPr="000519DA">
        <w:rPr>
          <w:iCs/>
        </w:rPr>
        <w:t>V § 36 v odseku 7 v</w:t>
      </w:r>
      <w:r w:rsidRPr="000519DA">
        <w:rPr>
          <w:bCs/>
          <w:lang w:eastAsia="sk-SK"/>
        </w:rPr>
        <w:t xml:space="preserve"> súlade s požiadavkami </w:t>
      </w:r>
      <w:r w:rsidRPr="000519DA">
        <w:rPr>
          <w:iCs/>
        </w:rPr>
        <w:t xml:space="preserve">smernice </w:t>
      </w:r>
      <w:r w:rsidRPr="000519DA">
        <w:t>(EÚ) 2020/2184</w:t>
      </w:r>
      <w:r w:rsidRPr="000519DA">
        <w:rPr>
          <w:bCs/>
          <w:lang w:eastAsia="sk-SK"/>
        </w:rPr>
        <w:t xml:space="preserve"> sa spresňujú a dopĺňajú povinnosti obce pri zabezpečení zásobovania obyvateľov pitnou vodou s dôrazom na skupiny obyvateľstva, ktorých prístup k zdravotne bezpečnej pitnej vode je obmedzený.</w:t>
      </w:r>
    </w:p>
    <w:p w:rsidR="00374156" w:rsidRPr="000519DA" w:rsidP="005273C3">
      <w:pPr>
        <w:pStyle w:val="ListParagraph"/>
        <w:shd w:val="clear" w:color="auto" w:fill="FFFFFF"/>
        <w:ind w:left="0"/>
        <w:contextualSpacing/>
        <w:jc w:val="both"/>
        <w:rPr>
          <w:b/>
          <w:iCs/>
        </w:rPr>
      </w:pPr>
    </w:p>
    <w:p w:rsidR="005273C3" w:rsidRPr="000519DA" w:rsidP="005273C3">
      <w:pPr>
        <w:pStyle w:val="ListParagraph"/>
        <w:shd w:val="clear" w:color="auto" w:fill="FFFFFF"/>
        <w:ind w:left="0"/>
        <w:contextualSpacing/>
        <w:jc w:val="both"/>
        <w:rPr>
          <w:b/>
          <w:iCs/>
        </w:rPr>
      </w:pPr>
      <w:r w:rsidRPr="000519DA">
        <w:rPr>
          <w:b/>
          <w:iCs/>
        </w:rPr>
        <w:t>K bodu 18</w:t>
      </w:r>
    </w:p>
    <w:p w:rsidR="005273C3" w:rsidRPr="000519DA" w:rsidP="005273C3">
      <w:pPr>
        <w:pStyle w:val="ListParagraph"/>
        <w:shd w:val="clear" w:color="auto" w:fill="FFFFFF"/>
        <w:ind w:left="0"/>
        <w:contextualSpacing/>
        <w:jc w:val="both"/>
        <w:rPr>
          <w:iCs/>
        </w:rPr>
      </w:pPr>
      <w:r w:rsidRPr="000519DA">
        <w:rPr>
          <w:iCs/>
        </w:rPr>
        <w:t>Ustanovenie § 37 ods. 2 sa doplnilo v súvislosti s oznámením o zverejnení schváleného dokumentu na webovom sídle ministerstva. Tohto času je dokument zverejňovaný, ale chýbalo v zákone oznámenie o zverejňovaní.</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19</w:t>
      </w:r>
    </w:p>
    <w:p w:rsidR="005273C3" w:rsidRPr="000519DA" w:rsidP="005273C3">
      <w:pPr>
        <w:pStyle w:val="ListParagraph"/>
        <w:shd w:val="clear" w:color="auto" w:fill="FFFFFF"/>
        <w:ind w:left="0"/>
        <w:contextualSpacing/>
        <w:jc w:val="both"/>
        <w:rPr>
          <w:iCs/>
        </w:rPr>
      </w:pPr>
      <w:r w:rsidRPr="000519DA">
        <w:rPr>
          <w:iCs/>
        </w:rPr>
        <w:t>Ustanovenie § 39 ods. 1 písm. c) sa upravilo v súvislosti s doplnením nových povinností v § 15 odsekov 9 až 13.</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20</w:t>
      </w:r>
    </w:p>
    <w:p w:rsidR="005273C3" w:rsidRPr="000519DA" w:rsidP="005273C3">
      <w:pPr>
        <w:pStyle w:val="ListParagraph"/>
        <w:shd w:val="clear" w:color="auto" w:fill="FFFFFF"/>
        <w:ind w:left="0"/>
        <w:contextualSpacing/>
        <w:jc w:val="both"/>
        <w:rPr>
          <w:iCs/>
        </w:rPr>
      </w:pPr>
      <w:r w:rsidRPr="000519DA">
        <w:rPr>
          <w:iCs/>
        </w:rPr>
        <w:t>V prílohe sa dopĺňa bod 3., preberaná smernica Európskeho parlamentu a Rady (EÚ) 2020/2184 zo 16. decembra 2020 o kvalite vody určenej na ľudskú spotrebu (prepracované znenie) (Ú. v. EÚ L 435, 23.12.2020).</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Čl. III</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1</w:t>
      </w:r>
    </w:p>
    <w:p w:rsidR="005273C3" w:rsidRPr="000519DA" w:rsidP="005273C3">
      <w:pPr>
        <w:pStyle w:val="ListParagraph"/>
        <w:shd w:val="clear" w:color="auto" w:fill="FFFFFF"/>
        <w:ind w:left="0"/>
        <w:contextualSpacing/>
        <w:jc w:val="both"/>
        <w:rPr>
          <w:iCs/>
        </w:rPr>
      </w:pPr>
      <w:r w:rsidRPr="000519DA">
        <w:rPr>
          <w:iCs/>
        </w:rPr>
        <w:t xml:space="preserve">V § 2 sa dopĺňajú nové písmená aw) a ax), ktoré vymedzujú nové pojmy v súvislosti so smernicou </w:t>
      </w:r>
      <w:r w:rsidRPr="000519DA">
        <w:t>(EÚ) 2020/2184</w:t>
      </w:r>
      <w:r w:rsidRPr="000519DA">
        <w:rPr>
          <w:iCs/>
        </w:rPr>
        <w:t>. Plocha povodia pre miesta odberu podzemnej vody určenej na ľudskú spotrebu je vymedzená časť vodného útvaru prislúchajúca miestu tvorby a akumulácie zdrojov podzemnej vody. Plocha povodia pre miesto odberu povrchovej vody určenej na ľudskú spotrebu je územie nad miestom odberu vymedzené hydrologickými charakteristikami.</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iCs/>
        </w:rPr>
      </w:pPr>
      <w:r w:rsidRPr="000519DA">
        <w:rPr>
          <w:iCs/>
        </w:rPr>
        <w:t>Prístup založený na riziku v oblasti zdravotnej bezpečnosti vody predstavuje celkový prístup založený na manažmente rizík v plochách povodia pre miesta odberu vody určenej na ľudskú spotrebu. Jedná sa o systematický proces, ktorý pozostáva z analýzy rizík, ktorá identifikuje pravdepodobnosť výskytu a závažnosť nežiaducich následkov nebezpečných udalostí, z posúdenia a vyhodnotenia rizík, ktorým sa určuje miera rizík a vypracovanie opatrení na ich zmiernenie alebo odstránenie, a  riadenia rizík ktorým sa prijímajú, zavádzajú a kontrolujú opatrenia na zmiernenie alebo odstránenie neprijateľných rizík.</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2</w:t>
      </w:r>
    </w:p>
    <w:p w:rsidR="005273C3" w:rsidRPr="000519DA" w:rsidP="005273C3">
      <w:pPr>
        <w:pStyle w:val="ListParagraph"/>
        <w:shd w:val="clear" w:color="auto" w:fill="FFFFFF"/>
        <w:ind w:left="0"/>
        <w:contextualSpacing/>
        <w:jc w:val="both"/>
        <w:rPr>
          <w:iCs/>
        </w:rPr>
      </w:pPr>
      <w:r w:rsidRPr="000519DA">
        <w:rPr>
          <w:iCs/>
        </w:rPr>
        <w:t xml:space="preserve">V názve pod § 7 precizovanie a zosúladenie so smernicou </w:t>
      </w:r>
      <w:r w:rsidRPr="000519DA">
        <w:t>(EÚ) 2020/2184</w:t>
      </w:r>
      <w:r w:rsidRPr="000519DA">
        <w:rPr>
          <w:iCs/>
        </w:rPr>
        <w:t>, voda určená na ľudskú spotrebu je všetka voda v pôvodnom stave v mieste odberu alebo po jej úprave na vodu pitnú.</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3</w:t>
      </w:r>
    </w:p>
    <w:p w:rsidR="005273C3" w:rsidRPr="000519DA" w:rsidP="005273C3">
      <w:pPr>
        <w:pStyle w:val="ListParagraph"/>
        <w:shd w:val="clear" w:color="auto" w:fill="FFFFFF"/>
        <w:ind w:left="0"/>
        <w:contextualSpacing/>
        <w:jc w:val="both"/>
        <w:rPr>
          <w:iCs/>
        </w:rPr>
      </w:pPr>
      <w:r w:rsidRPr="000519DA">
        <w:rPr>
          <w:iCs/>
        </w:rPr>
        <w:t xml:space="preserve">V § 7 odsek 1 precizovanie a zosúladenie so smernicou </w:t>
      </w:r>
      <w:r w:rsidRPr="000519DA">
        <w:t>(EÚ) 2020/2184</w:t>
      </w:r>
      <w:r w:rsidRPr="000519DA">
        <w:rPr>
          <w:iCs/>
        </w:rPr>
        <w:t>, voda určená na ľudskú spotrebu je všetka voda v pôvodnom stave v mieste odberu alebo po jej úprave na vodu pitnú.</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4</w:t>
      </w:r>
    </w:p>
    <w:p w:rsidR="005273C3" w:rsidRPr="000519DA" w:rsidP="005273C3">
      <w:pPr>
        <w:pStyle w:val="ListParagraph"/>
        <w:shd w:val="clear" w:color="auto" w:fill="FFFFFF"/>
        <w:ind w:left="0"/>
        <w:contextualSpacing/>
        <w:jc w:val="both"/>
        <w:rPr>
          <w:iCs/>
        </w:rPr>
      </w:pPr>
      <w:r w:rsidRPr="000519DA">
        <w:rPr>
          <w:iCs/>
        </w:rPr>
        <w:t>V § 7 ods. 5  - precizované ustanovenie.</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5</w:t>
      </w:r>
    </w:p>
    <w:p w:rsidR="005273C3" w:rsidRPr="000519DA" w:rsidP="005273C3">
      <w:pPr>
        <w:pStyle w:val="ListParagraph"/>
        <w:shd w:val="clear" w:color="auto" w:fill="FFFFFF"/>
        <w:ind w:left="0"/>
        <w:contextualSpacing/>
        <w:jc w:val="both"/>
        <w:rPr>
          <w:iCs/>
        </w:rPr>
      </w:pPr>
      <w:r w:rsidRPr="000519DA">
        <w:rPr>
          <w:iCs/>
        </w:rPr>
        <w:t xml:space="preserve">V novom § 7a, sú prebraté ustanovenia </w:t>
      </w:r>
      <w:r w:rsidRPr="000519DA">
        <w:t>smernice (EÚ) 2020/2184</w:t>
      </w:r>
      <w:r w:rsidRPr="000519DA">
        <w:rPr>
          <w:iCs/>
        </w:rPr>
        <w:t xml:space="preserve"> týkajúce sa procesu manažmentu rizík (posúdenia rizika a riadenia rizika), jedná sa o prístup, ktorý sa vzťahuje na celý vodárenský dodávateľský reťazec. Vodárenský dodávateľský reťazec zahŕňa plochu povodia, miesta odberu vody, úpravu vody, akumuláciu vody a distribúciu vody.</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iCs/>
        </w:rPr>
      </w:pPr>
      <w:r w:rsidRPr="000519DA">
        <w:rPr>
          <w:iCs/>
        </w:rPr>
        <w:t xml:space="preserve">Podrobnosti procesu manažmentu rizík  v súvislosti s plochami povodia pre miesta odberu vody určenej na ľudskú spotrebu ustanoví všeobecne záväzný právny predpis, ktorý vydá ministerstvo.  </w:t>
      </w:r>
    </w:p>
    <w:p w:rsidR="005273C3" w:rsidRPr="000519DA" w:rsidP="005273C3">
      <w:pPr>
        <w:pStyle w:val="ListParagraph"/>
        <w:shd w:val="clear" w:color="auto" w:fill="FFFFFF"/>
        <w:ind w:left="0"/>
        <w:contextualSpacing/>
        <w:jc w:val="both"/>
        <w:rPr>
          <w:iCs/>
        </w:rPr>
      </w:pPr>
      <w:r w:rsidRPr="000519DA">
        <w:rPr>
          <w:iCs/>
        </w:rPr>
        <w:t xml:space="preserve">Podľa výsledku posúdenia rizika, sa podľa potreby prijmú opatrenia zamerané na predchádzanie identifikovaným rizikám alebo ich kontrolu, a to počnúc preventívnymi opatreniami. </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iCs/>
        </w:rPr>
      </w:pPr>
      <w:r w:rsidRPr="000519DA">
        <w:rPr>
          <w:iCs/>
        </w:rPr>
        <w:t xml:space="preserve">Manažment rizík v súvislosti s plochami povodia pre miesta odberu vody určenej na ľudskú spotrebu sa po prvýkrát vykoná do 12. júla 2027, v pravidelných intervaloch, ktoré nie sú dlhšie ako šesť rokov sa bude prehodnocovať a  v prípade potreby sa aktualizovať. </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iCs/>
        </w:rPr>
      </w:pPr>
      <w:r w:rsidRPr="000519DA">
        <w:rPr>
          <w:iCs/>
        </w:rPr>
        <w:t xml:space="preserve">Informácie o plochách povodia pre miesta odberu a výsledky monitorovania vykonaného budú prístupné pre vlastníka vodárenského zdroja alebo prevádzkovateľa vodárenského zdroja, pre okresné úrady, Úrad verejného zdravotníctva Slovenskej republiky a príslušné regionálne úrady verejného zdravotníctva. Zároveň sa vytvorí prístup k týmto informáciám pre Európsku komisiu,  Európsku environmentálnu agentúru  a Európskemu centru pre prevenciu a kontrolu chorôb. </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iCs/>
        </w:rPr>
      </w:pPr>
      <w:r w:rsidRPr="000519DA">
        <w:rPr>
          <w:iCs/>
        </w:rPr>
        <w:t>Zároveň vlastník alebo prevádzkovateľ vodárenského zdroja alebo dodávateľ, ktorý monitoruje surovú vodu, je povinný informovať ministerstvom poverenú právnickú osobu, okresné úrady a príslušný úrad verejného zdravotníctva o trendoch a neobvyklých množstvách alebo koncentráciách sledovaných ukazovateľov.</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iCs/>
        </w:rPr>
      </w:pPr>
      <w:r w:rsidRPr="000519DA">
        <w:rPr>
          <w:iCs/>
        </w:rPr>
        <w:t xml:space="preserve">Na základe výsledkov z manažmentu rizík pre oblasti povodia ministerstvo môže </w:t>
      </w:r>
      <w:r w:rsidRPr="000519DA">
        <w:t>požiadať orgány verejného zdravotníctva, aby dodávateľovi vody nariadil vykonať ďalšie monitorovania alebo úpravu vody, pokiaľ ide o niektoré parametre. Zároveň môže požiadať aj o povolenie zmeny frekvencie pre niektoré ukazovatele. V prípade, ak o to ministerstvo požiada, musí zabezpečiť o náležité monitorovanie uvedených parametrov.</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6</w:t>
      </w:r>
    </w:p>
    <w:p w:rsidR="005273C3" w:rsidRPr="000519DA" w:rsidP="005273C3">
      <w:pPr>
        <w:pStyle w:val="ListParagraph"/>
        <w:shd w:val="clear" w:color="auto" w:fill="FFFFFF"/>
        <w:ind w:left="0"/>
        <w:contextualSpacing/>
        <w:jc w:val="both"/>
        <w:rPr>
          <w:iCs/>
        </w:rPr>
      </w:pPr>
      <w:r w:rsidRPr="000519DA">
        <w:rPr>
          <w:iCs/>
        </w:rPr>
        <w:t>Legislatívno-technická úprava označenia legislatívnej skratky, odkazu a poznámky pod čiarou.</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 xml:space="preserve">K bodu 7 </w:t>
      </w:r>
    </w:p>
    <w:p w:rsidR="005273C3" w:rsidRPr="000519DA" w:rsidP="005273C3">
      <w:pPr>
        <w:pStyle w:val="ListParagraph"/>
        <w:shd w:val="clear" w:color="auto" w:fill="FFFFFF"/>
        <w:ind w:left="0"/>
        <w:contextualSpacing/>
        <w:jc w:val="both"/>
        <w:rPr>
          <w:iCs/>
        </w:rPr>
      </w:pPr>
      <w:r w:rsidRPr="000519DA">
        <w:rPr>
          <w:iCs/>
        </w:rPr>
        <w:t>Legislatívno-technická úprava označenia odkazu a poznámky pod čiarou.</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8</w:t>
      </w:r>
    </w:p>
    <w:p w:rsidR="005273C3" w:rsidRPr="000519DA" w:rsidP="005273C3">
      <w:pPr>
        <w:pStyle w:val="ListParagraph"/>
        <w:shd w:val="clear" w:color="auto" w:fill="FFFFFF"/>
        <w:ind w:left="0"/>
        <w:contextualSpacing/>
        <w:jc w:val="both"/>
        <w:rPr>
          <w:iCs/>
        </w:rPr>
      </w:pPr>
      <w:r w:rsidRPr="000519DA">
        <w:rPr>
          <w:iCs/>
        </w:rPr>
        <w:t>Legislatívno-technická úprava.</w:t>
      </w:r>
    </w:p>
    <w:p w:rsidR="005273C3" w:rsidRPr="000519DA" w:rsidP="005273C3">
      <w:pPr>
        <w:pStyle w:val="ListParagraph"/>
        <w:shd w:val="clear" w:color="auto" w:fill="FFFFFF"/>
        <w:ind w:left="0"/>
        <w:contextualSpacing/>
        <w:jc w:val="both"/>
        <w:rPr>
          <w:iCs/>
        </w:rPr>
      </w:pPr>
    </w:p>
    <w:p w:rsidR="00D17392" w:rsidRPr="000519DA" w:rsidP="005273C3">
      <w:pPr>
        <w:pStyle w:val="ListParagraph"/>
        <w:shd w:val="clear" w:color="auto" w:fill="FFFFFF"/>
        <w:ind w:left="0"/>
        <w:contextualSpacing/>
        <w:jc w:val="both"/>
        <w:rPr>
          <w:b/>
          <w:iCs/>
        </w:rPr>
      </w:pPr>
    </w:p>
    <w:p w:rsidR="005273C3" w:rsidRPr="000519DA" w:rsidP="005273C3">
      <w:pPr>
        <w:pStyle w:val="ListParagraph"/>
        <w:shd w:val="clear" w:color="auto" w:fill="FFFFFF"/>
        <w:ind w:left="0"/>
        <w:contextualSpacing/>
        <w:jc w:val="both"/>
        <w:rPr>
          <w:b/>
          <w:iCs/>
        </w:rPr>
      </w:pPr>
      <w:r w:rsidRPr="000519DA">
        <w:rPr>
          <w:b/>
          <w:iCs/>
        </w:rPr>
        <w:t>K bodu 9</w:t>
      </w:r>
    </w:p>
    <w:p w:rsidR="005273C3" w:rsidRPr="000519DA" w:rsidP="005273C3">
      <w:pPr>
        <w:pStyle w:val="ListParagraph"/>
        <w:shd w:val="clear" w:color="auto" w:fill="FFFFFF"/>
        <w:ind w:left="0"/>
        <w:contextualSpacing/>
        <w:jc w:val="both"/>
        <w:rPr>
          <w:iCs/>
        </w:rPr>
      </w:pPr>
      <w:r w:rsidRPr="000519DA">
        <w:rPr>
          <w:iCs/>
        </w:rPr>
        <w:t xml:space="preserve">V § 59 ods. 1 sa doplnila pôsobnosť ministerstva na poverenie právnickej osoby vykonávaním a  zabezpečovaním podkladov na manažment rizík v súvislosti s plochami povodia pre miesta odberu vody určenej na ľudskú spotrebu </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10</w:t>
      </w:r>
    </w:p>
    <w:p w:rsidR="005273C3" w:rsidRPr="000519DA" w:rsidP="005273C3">
      <w:pPr>
        <w:pStyle w:val="ListParagraph"/>
        <w:shd w:val="clear" w:color="auto" w:fill="FFFFFF"/>
        <w:ind w:left="0"/>
        <w:contextualSpacing/>
        <w:jc w:val="both"/>
        <w:rPr>
          <w:iCs/>
        </w:rPr>
      </w:pPr>
      <w:r w:rsidRPr="000519DA">
        <w:rPr>
          <w:iCs/>
        </w:rPr>
        <w:t xml:space="preserve">V § 59 ods. 2 sa doplnila pôsobnosť ministerstva  v súvislosti s implementáciou smernice </w:t>
      </w:r>
      <w:r w:rsidRPr="000519DA">
        <w:t xml:space="preserve">(EÚ) 2020/2184 </w:t>
      </w:r>
      <w:r w:rsidRPr="000519DA">
        <w:rPr>
          <w:iCs/>
        </w:rPr>
        <w:t>týkajúce sa procesu manažmentu rizík.</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11</w:t>
      </w:r>
    </w:p>
    <w:p w:rsidR="005273C3" w:rsidRPr="000519DA" w:rsidP="005273C3">
      <w:pPr>
        <w:pStyle w:val="ListParagraph"/>
        <w:shd w:val="clear" w:color="auto" w:fill="FFFFFF"/>
        <w:ind w:left="0"/>
        <w:contextualSpacing/>
        <w:jc w:val="both"/>
        <w:rPr>
          <w:iCs/>
        </w:rPr>
      </w:pPr>
      <w:r w:rsidRPr="000519DA">
        <w:rPr>
          <w:iCs/>
        </w:rPr>
        <w:t>V § 61 sa pôsobnosť orgánov štátnej vodnej správy dopĺňa činnosťami vydávaním stanovísk pre úrad verejného zdravotníctva alebo regionálny úrad verejného zdravotníctva k zmene v programe monitorovania a vydávaním stanovísk k manažmentu rizík systému zásobovania pitnou vodou v ploche povodia pre dodávateľov pitnej vody, ktorí nespadajú pod režim zákona č. 442/2002 Z. z. o verejných vodovodoch a verejných kanalizáciách.</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12</w:t>
      </w:r>
    </w:p>
    <w:p w:rsidR="005273C3" w:rsidRPr="000519DA" w:rsidP="005273C3">
      <w:pPr>
        <w:pStyle w:val="ListParagraph"/>
        <w:shd w:val="clear" w:color="auto" w:fill="FFFFFF"/>
        <w:ind w:left="0"/>
        <w:contextualSpacing/>
        <w:jc w:val="both"/>
        <w:rPr>
          <w:iCs/>
        </w:rPr>
      </w:pPr>
      <w:r w:rsidRPr="000519DA">
        <w:rPr>
          <w:iCs/>
        </w:rPr>
        <w:t>Dopĺňa sa prechodné ustanovenie k úpravám účinným od účinnosti tohto zákona pre subjekty uvedené v § 32 ods. 4, ktorým boli vydané rozhodnutia o určení ochranných pásiem vodárenského zdroja podľa § 32 sú povinné do 31. decembra 2027 požiadať o ich prehodnotenie.</w:t>
      </w:r>
    </w:p>
    <w:p w:rsidR="005273C3" w:rsidRPr="000519DA" w:rsidP="005273C3">
      <w:pPr>
        <w:pStyle w:val="ListParagraph"/>
        <w:shd w:val="clear" w:color="auto" w:fill="FFFFFF"/>
        <w:ind w:left="0"/>
        <w:contextualSpacing/>
        <w:jc w:val="both"/>
        <w:rPr>
          <w:iCs/>
        </w:rPr>
      </w:pPr>
      <w:r w:rsidRPr="000519DA">
        <w:rPr>
          <w:shd w:val="clear" w:color="auto" w:fill="FFFFFF"/>
        </w:rPr>
        <w:t xml:space="preserve">Ak sa vo všeobecne záväzných právnych predpisoch alebo v rozhodnutiach vydaných podľa doterajších predpisov používa pojem </w:t>
      </w:r>
      <w:r w:rsidRPr="000519DA">
        <w:rPr>
          <w:bCs/>
        </w:rPr>
        <w:t>„</w:t>
      </w:r>
      <w:r w:rsidRPr="000519DA">
        <w:t>pásmo hygienickej ochrany</w:t>
      </w:r>
      <w:r w:rsidRPr="000519DA">
        <w:rPr>
          <w:shd w:val="clear" w:color="auto" w:fill="FFFFFF"/>
        </w:rPr>
        <w:t xml:space="preserve"> vodárenského zdroja" rozumie sa tým</w:t>
      </w:r>
      <w:r w:rsidRPr="000519DA">
        <w:t xml:space="preserve"> </w:t>
      </w:r>
      <w:r w:rsidRPr="000519DA">
        <w:rPr>
          <w:bCs/>
        </w:rPr>
        <w:t>„</w:t>
      </w:r>
      <w:r w:rsidRPr="000519DA">
        <w:t>ochranné pá</w:t>
      </w:r>
      <w:r w:rsidRPr="000519DA">
        <w:rPr>
          <w:shd w:val="clear" w:color="auto" w:fill="FFFFFF"/>
        </w:rPr>
        <w:t>smo vodárenského zdroja.</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13</w:t>
      </w:r>
    </w:p>
    <w:p w:rsidR="005273C3" w:rsidRPr="000519DA" w:rsidP="005273C3">
      <w:pPr>
        <w:pStyle w:val="ListParagraph"/>
        <w:shd w:val="clear" w:color="auto" w:fill="FFFFFF"/>
        <w:ind w:left="0"/>
        <w:contextualSpacing/>
        <w:jc w:val="both"/>
        <w:rPr>
          <w:iCs/>
        </w:rPr>
      </w:pPr>
      <w:r w:rsidRPr="000519DA">
        <w:rPr>
          <w:iCs/>
        </w:rPr>
        <w:t xml:space="preserve">Dopĺňa sa splnomocňovacie ustanovenie § 81 ods. 2 písm. o) na vydanie všeobecne záväzného predpisu, ktoré ustanoví podrobnosti o  manažmente rizík v súvislosti s plochami povodia pre miesta odberu vody určenej na ľudskú spotrebu, v ktorom sa preberú niektoré technické špecifikácie článku 8 smernice </w:t>
      </w:r>
      <w:r w:rsidRPr="000519DA">
        <w:t>(EÚ) 2020/2184</w:t>
      </w:r>
      <w:r w:rsidRPr="000519DA">
        <w:rPr>
          <w:iCs/>
        </w:rPr>
        <w:t>.</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14</w:t>
      </w:r>
    </w:p>
    <w:p w:rsidR="005273C3" w:rsidRPr="000519DA" w:rsidP="005273C3">
      <w:pPr>
        <w:pStyle w:val="ListParagraph"/>
        <w:shd w:val="clear" w:color="auto" w:fill="FFFFFF"/>
        <w:ind w:left="0"/>
        <w:contextualSpacing/>
        <w:jc w:val="both"/>
        <w:rPr>
          <w:iCs/>
        </w:rPr>
      </w:pPr>
      <w:r w:rsidRPr="000519DA">
        <w:t>Vypustenie neúčinnej smernice 98/83/ES z bodu 3 transpozičnej prílohy vodného zákona s účinnosťou od 13. januára 2023.</w:t>
      </w:r>
    </w:p>
    <w:p w:rsidR="005273C3" w:rsidRPr="000519DA" w:rsidP="005273C3">
      <w:pPr>
        <w:pStyle w:val="ListParagraph"/>
        <w:shd w:val="clear" w:color="auto" w:fill="FFFFFF"/>
        <w:ind w:left="0"/>
        <w:contextualSpacing/>
        <w:jc w:val="both"/>
        <w:rPr>
          <w:iCs/>
        </w:rPr>
      </w:pPr>
    </w:p>
    <w:p w:rsidR="005273C3" w:rsidRPr="000519DA" w:rsidP="005273C3">
      <w:pPr>
        <w:pStyle w:val="ListParagraph"/>
        <w:shd w:val="clear" w:color="auto" w:fill="FFFFFF"/>
        <w:ind w:left="0"/>
        <w:contextualSpacing/>
        <w:jc w:val="both"/>
        <w:rPr>
          <w:b/>
          <w:iCs/>
        </w:rPr>
      </w:pPr>
      <w:r w:rsidRPr="000519DA">
        <w:rPr>
          <w:b/>
          <w:iCs/>
        </w:rPr>
        <w:t>K bodu 15</w:t>
      </w:r>
    </w:p>
    <w:p w:rsidR="005273C3" w:rsidRPr="000519DA" w:rsidP="005273C3">
      <w:pPr>
        <w:pStyle w:val="ListParagraph"/>
        <w:shd w:val="clear" w:color="auto" w:fill="FFFFFF"/>
        <w:ind w:left="0"/>
        <w:contextualSpacing/>
        <w:jc w:val="both"/>
        <w:rPr>
          <w:iCs/>
        </w:rPr>
      </w:pPr>
      <w:r w:rsidRPr="000519DA">
        <w:rPr>
          <w:iCs/>
        </w:rPr>
        <w:t>V prílohe č. 6 sa dopĺňa bod 10., preberaná smernica Európskeho parlamentu a Rady (EÚ) 2020/2184 zo 16. decembra 2020 o kvalite vody určenej na ľudskú spotrebu (prepracované znenie)  (Ú. v. EÚ L 435, 23.12.2020).</w:t>
      </w:r>
    </w:p>
    <w:p w:rsidR="00A45E3E" w:rsidRPr="000519DA" w:rsidP="00A45E3E">
      <w:pPr>
        <w:pStyle w:val="ListParagraph"/>
        <w:ind w:left="0"/>
        <w:contextualSpacing/>
        <w:jc w:val="both"/>
      </w:pPr>
    </w:p>
    <w:p w:rsidR="00A45E3E" w:rsidRPr="000519DA" w:rsidP="00A45E3E">
      <w:pPr>
        <w:pStyle w:val="ListParagraph"/>
        <w:ind w:left="0"/>
        <w:contextualSpacing/>
        <w:jc w:val="both"/>
      </w:pPr>
    </w:p>
    <w:p w:rsidR="00A45E3E" w:rsidRPr="000519DA" w:rsidP="00A45E3E">
      <w:pPr>
        <w:spacing w:after="0" w:line="240" w:lineRule="auto"/>
        <w:contextualSpacing/>
        <w:jc w:val="both"/>
        <w:rPr>
          <w:rFonts w:ascii="Times New Roman" w:hAnsi="Times New Roman"/>
          <w:b/>
          <w:bCs/>
          <w:sz w:val="24"/>
          <w:szCs w:val="24"/>
          <w:lang w:eastAsia="sk-SK"/>
        </w:rPr>
      </w:pPr>
      <w:r w:rsidRPr="000519DA">
        <w:rPr>
          <w:rFonts w:ascii="Times New Roman" w:hAnsi="Times New Roman"/>
          <w:b/>
          <w:bCs/>
          <w:sz w:val="24"/>
          <w:szCs w:val="24"/>
          <w:lang w:eastAsia="sk-SK"/>
        </w:rPr>
        <w:t xml:space="preserve">Čl. </w:t>
      </w:r>
      <w:r w:rsidRPr="000519DA" w:rsidR="008421F9">
        <w:rPr>
          <w:rFonts w:ascii="Times New Roman" w:hAnsi="Times New Roman"/>
          <w:b/>
          <w:bCs/>
          <w:sz w:val="24"/>
          <w:szCs w:val="24"/>
          <w:lang w:eastAsia="sk-SK"/>
        </w:rPr>
        <w:t>I</w:t>
      </w:r>
      <w:r w:rsidRPr="000519DA">
        <w:rPr>
          <w:rFonts w:ascii="Times New Roman" w:hAnsi="Times New Roman"/>
          <w:b/>
          <w:bCs/>
          <w:sz w:val="24"/>
          <w:szCs w:val="24"/>
          <w:lang w:eastAsia="sk-SK"/>
        </w:rPr>
        <w:t>V</w:t>
      </w:r>
    </w:p>
    <w:p w:rsidR="00A45E3E" w:rsidP="00A45E3E">
      <w:pPr>
        <w:spacing w:after="0" w:line="240" w:lineRule="auto"/>
        <w:contextualSpacing/>
        <w:rPr>
          <w:rFonts w:ascii="Times New Roman" w:hAnsi="Times New Roman"/>
          <w:bCs/>
          <w:sz w:val="24"/>
          <w:szCs w:val="24"/>
          <w:lang w:eastAsia="sk-SK"/>
        </w:rPr>
      </w:pPr>
      <w:r w:rsidRPr="000519DA">
        <w:rPr>
          <w:rFonts w:ascii="Times New Roman" w:hAnsi="Times New Roman"/>
          <w:bCs/>
          <w:sz w:val="24"/>
          <w:szCs w:val="24"/>
          <w:lang w:eastAsia="sk-SK"/>
        </w:rPr>
        <w:t>Navrhuje sa účinnosť zákona k 1</w:t>
      </w:r>
      <w:r w:rsidRPr="000519DA" w:rsidR="007C0185">
        <w:rPr>
          <w:rFonts w:ascii="Times New Roman" w:hAnsi="Times New Roman"/>
          <w:bCs/>
          <w:sz w:val="24"/>
          <w:szCs w:val="24"/>
          <w:lang w:eastAsia="sk-SK"/>
        </w:rPr>
        <w:t>2</w:t>
      </w:r>
      <w:r w:rsidRPr="000519DA">
        <w:rPr>
          <w:rFonts w:ascii="Times New Roman" w:hAnsi="Times New Roman"/>
          <w:bCs/>
          <w:sz w:val="24"/>
          <w:szCs w:val="24"/>
          <w:lang w:eastAsia="sk-SK"/>
        </w:rPr>
        <w:t xml:space="preserve">. </w:t>
      </w:r>
      <w:r w:rsidRPr="000519DA" w:rsidR="007C0185">
        <w:rPr>
          <w:rFonts w:ascii="Times New Roman" w:hAnsi="Times New Roman"/>
          <w:bCs/>
          <w:sz w:val="24"/>
          <w:szCs w:val="24"/>
          <w:lang w:eastAsia="sk-SK"/>
        </w:rPr>
        <w:t>januáru</w:t>
      </w:r>
      <w:r w:rsidRPr="000519DA">
        <w:rPr>
          <w:rFonts w:ascii="Times New Roman" w:hAnsi="Times New Roman"/>
          <w:bCs/>
          <w:sz w:val="24"/>
          <w:szCs w:val="24"/>
          <w:lang w:eastAsia="sk-SK"/>
        </w:rPr>
        <w:t xml:space="preserve"> 202</w:t>
      </w:r>
      <w:r w:rsidRPr="000519DA" w:rsidR="007C0185">
        <w:rPr>
          <w:rFonts w:ascii="Times New Roman" w:hAnsi="Times New Roman"/>
          <w:bCs/>
          <w:sz w:val="24"/>
          <w:szCs w:val="24"/>
          <w:lang w:eastAsia="sk-SK"/>
        </w:rPr>
        <w:t>3</w:t>
      </w:r>
      <w:r w:rsidRPr="000519DA">
        <w:rPr>
          <w:rFonts w:ascii="Times New Roman" w:hAnsi="Times New Roman"/>
          <w:bCs/>
          <w:sz w:val="24"/>
          <w:szCs w:val="24"/>
          <w:lang w:eastAsia="sk-SK"/>
        </w:rPr>
        <w:t>.</w:t>
      </w:r>
    </w:p>
    <w:p w:rsidR="00D00F18" w:rsidRPr="00246314" w:rsidP="00D00F18">
      <w:pPr>
        <w:spacing w:before="240" w:after="0" w:line="360" w:lineRule="auto"/>
        <w:jc w:val="both"/>
        <w:rPr>
          <w:rFonts w:ascii="Times New Roman" w:hAnsi="Times New Roman"/>
          <w:bCs/>
          <w:sz w:val="24"/>
          <w:szCs w:val="24"/>
        </w:rPr>
      </w:pPr>
    </w:p>
    <w:p w:rsidR="00D00F18" w:rsidRPr="00246314" w:rsidP="00D00F18">
      <w:pPr>
        <w:spacing w:before="240" w:after="0" w:line="360" w:lineRule="auto"/>
        <w:jc w:val="both"/>
        <w:rPr>
          <w:rFonts w:ascii="Times New Roman" w:hAnsi="Times New Roman"/>
          <w:bCs/>
          <w:sz w:val="24"/>
          <w:szCs w:val="24"/>
        </w:rPr>
      </w:pPr>
      <w:r w:rsidRPr="00246314">
        <w:rPr>
          <w:rFonts w:ascii="Times New Roman" w:hAnsi="Times New Roman"/>
          <w:bCs/>
          <w:sz w:val="24"/>
          <w:szCs w:val="24"/>
        </w:rPr>
        <w:t xml:space="preserve">V Bratislave dňa </w:t>
      </w:r>
      <w:r>
        <w:rPr>
          <w:rFonts w:ascii="Times New Roman" w:hAnsi="Times New Roman"/>
          <w:bCs/>
          <w:sz w:val="24"/>
          <w:szCs w:val="24"/>
        </w:rPr>
        <w:t>28</w:t>
      </w:r>
      <w:r w:rsidRPr="00246314">
        <w:rPr>
          <w:rFonts w:ascii="Times New Roman" w:hAnsi="Times New Roman"/>
          <w:bCs/>
          <w:sz w:val="24"/>
          <w:szCs w:val="24"/>
        </w:rPr>
        <w:t xml:space="preserve">. </w:t>
      </w:r>
      <w:r>
        <w:rPr>
          <w:rFonts w:ascii="Times New Roman" w:hAnsi="Times New Roman"/>
          <w:bCs/>
          <w:sz w:val="24"/>
          <w:szCs w:val="24"/>
        </w:rPr>
        <w:t>septembra</w:t>
      </w:r>
      <w:r w:rsidRPr="00246314">
        <w:rPr>
          <w:rFonts w:ascii="Times New Roman" w:hAnsi="Times New Roman"/>
          <w:bCs/>
          <w:sz w:val="24"/>
          <w:szCs w:val="24"/>
        </w:rPr>
        <w:t xml:space="preserve"> 2022</w:t>
      </w:r>
    </w:p>
    <w:p w:rsidR="00D00F18" w:rsidP="00D00F18">
      <w:pPr>
        <w:spacing w:before="240" w:after="0" w:line="360" w:lineRule="auto"/>
        <w:jc w:val="both"/>
        <w:rPr>
          <w:rFonts w:ascii="Times New Roman" w:hAnsi="Times New Roman"/>
          <w:bCs/>
          <w:sz w:val="24"/>
          <w:szCs w:val="24"/>
        </w:rPr>
      </w:pPr>
    </w:p>
    <w:p w:rsidR="00D00F18" w:rsidRPr="00246314" w:rsidP="00D00F18">
      <w:pPr>
        <w:spacing w:before="240" w:after="0" w:line="360" w:lineRule="auto"/>
        <w:jc w:val="both"/>
        <w:rPr>
          <w:rFonts w:ascii="Times New Roman" w:hAnsi="Times New Roman"/>
          <w:bCs/>
          <w:sz w:val="24"/>
          <w:szCs w:val="24"/>
        </w:rPr>
      </w:pPr>
    </w:p>
    <w:p w:rsidR="00D00F18" w:rsidRPr="00246314" w:rsidP="00D00F18">
      <w:pPr>
        <w:spacing w:before="240" w:after="0" w:line="360" w:lineRule="auto"/>
        <w:jc w:val="center"/>
        <w:rPr>
          <w:rFonts w:ascii="Times New Roman" w:hAnsi="Times New Roman"/>
          <w:b/>
          <w:bCs/>
          <w:sz w:val="24"/>
          <w:szCs w:val="24"/>
        </w:rPr>
      </w:pPr>
      <w:r>
        <w:rPr>
          <w:rFonts w:ascii="Times New Roman" w:hAnsi="Times New Roman"/>
          <w:b/>
          <w:bCs/>
          <w:sz w:val="24"/>
          <w:szCs w:val="24"/>
        </w:rPr>
        <w:t>Eduard Heger v.r.</w:t>
      </w:r>
    </w:p>
    <w:p w:rsidR="00D00F18" w:rsidRPr="00246314" w:rsidP="00D00F18">
      <w:pPr>
        <w:spacing w:before="240" w:after="0" w:line="360" w:lineRule="auto"/>
        <w:jc w:val="center"/>
        <w:rPr>
          <w:rFonts w:ascii="Times New Roman" w:hAnsi="Times New Roman"/>
          <w:b/>
          <w:bCs/>
          <w:sz w:val="24"/>
          <w:szCs w:val="24"/>
        </w:rPr>
      </w:pPr>
      <w:r w:rsidRPr="00246314">
        <w:rPr>
          <w:rFonts w:ascii="Times New Roman" w:hAnsi="Times New Roman"/>
          <w:b/>
          <w:bCs/>
          <w:sz w:val="24"/>
          <w:szCs w:val="24"/>
        </w:rPr>
        <w:t>predseda vlády</w:t>
      </w:r>
    </w:p>
    <w:p w:rsidR="00D00F18" w:rsidRPr="00246314" w:rsidP="00D00F18">
      <w:pPr>
        <w:spacing w:before="240" w:after="0" w:line="360" w:lineRule="auto"/>
        <w:jc w:val="center"/>
        <w:rPr>
          <w:rFonts w:ascii="Times New Roman" w:hAnsi="Times New Roman"/>
          <w:b/>
          <w:bCs/>
          <w:sz w:val="24"/>
          <w:szCs w:val="24"/>
        </w:rPr>
      </w:pPr>
      <w:r w:rsidRPr="00246314">
        <w:rPr>
          <w:rFonts w:ascii="Times New Roman" w:hAnsi="Times New Roman"/>
          <w:b/>
          <w:bCs/>
          <w:sz w:val="24"/>
          <w:szCs w:val="24"/>
        </w:rPr>
        <w:t>Slovenskej republiky</w:t>
      </w:r>
    </w:p>
    <w:p w:rsidR="00D00F18" w:rsidRPr="00246314" w:rsidP="00D00F18">
      <w:pPr>
        <w:spacing w:before="240" w:after="0" w:line="360" w:lineRule="auto"/>
        <w:jc w:val="center"/>
        <w:rPr>
          <w:rFonts w:ascii="Times New Roman" w:hAnsi="Times New Roman"/>
          <w:b/>
          <w:bCs/>
          <w:sz w:val="24"/>
          <w:szCs w:val="24"/>
        </w:rPr>
      </w:pPr>
    </w:p>
    <w:p w:rsidR="00D00F18" w:rsidRPr="00246314" w:rsidP="00D00F18">
      <w:pPr>
        <w:spacing w:before="240" w:after="0" w:line="360" w:lineRule="auto"/>
        <w:jc w:val="center"/>
        <w:rPr>
          <w:rFonts w:ascii="Times New Roman" w:hAnsi="Times New Roman"/>
          <w:b/>
          <w:bCs/>
          <w:sz w:val="24"/>
          <w:szCs w:val="24"/>
        </w:rPr>
      </w:pPr>
    </w:p>
    <w:p w:rsidR="00D00F18" w:rsidRPr="00246314" w:rsidP="00D00F18">
      <w:pPr>
        <w:spacing w:before="240" w:after="0" w:line="360" w:lineRule="auto"/>
        <w:jc w:val="center"/>
        <w:rPr>
          <w:rFonts w:ascii="Times New Roman" w:hAnsi="Times New Roman"/>
          <w:b/>
          <w:bCs/>
          <w:sz w:val="24"/>
          <w:szCs w:val="24"/>
        </w:rPr>
      </w:pPr>
      <w:r>
        <w:rPr>
          <w:rFonts w:ascii="Times New Roman" w:hAnsi="Times New Roman"/>
          <w:b/>
          <w:bCs/>
          <w:sz w:val="24"/>
          <w:szCs w:val="24"/>
        </w:rPr>
        <w:t>Vladimír Lengvarský v.r.</w:t>
      </w:r>
    </w:p>
    <w:p w:rsidR="00D00F18" w:rsidRPr="00246314" w:rsidP="00D00F18">
      <w:pPr>
        <w:spacing w:before="240" w:after="0" w:line="360" w:lineRule="auto"/>
        <w:jc w:val="center"/>
        <w:rPr>
          <w:rFonts w:ascii="Times New Roman" w:hAnsi="Times New Roman"/>
          <w:b/>
          <w:bCs/>
          <w:sz w:val="24"/>
          <w:szCs w:val="24"/>
        </w:rPr>
      </w:pPr>
      <w:r w:rsidRPr="00246314">
        <w:rPr>
          <w:rFonts w:ascii="Times New Roman" w:hAnsi="Times New Roman"/>
          <w:b/>
          <w:bCs/>
          <w:sz w:val="24"/>
          <w:szCs w:val="24"/>
        </w:rPr>
        <w:t>minister zdravotníctva</w:t>
      </w:r>
    </w:p>
    <w:p w:rsidR="00D00F18" w:rsidRPr="000519DA" w:rsidP="00663FDB">
      <w:pPr>
        <w:spacing w:before="240" w:after="0" w:line="360" w:lineRule="auto"/>
        <w:jc w:val="center"/>
        <w:rPr>
          <w:rFonts w:ascii="Times New Roman" w:hAnsi="Times New Roman"/>
          <w:bCs/>
          <w:sz w:val="24"/>
          <w:szCs w:val="24"/>
          <w:lang w:eastAsia="sk-SK"/>
        </w:rPr>
      </w:pPr>
      <w:r w:rsidRPr="00246314">
        <w:rPr>
          <w:rFonts w:ascii="Times New Roman" w:hAnsi="Times New Roman"/>
          <w:b/>
          <w:bCs/>
          <w:sz w:val="24"/>
          <w:szCs w:val="24"/>
        </w:rPr>
        <w:t>Slovenskej republiky</w:t>
      </w:r>
    </w:p>
    <w:p w:rsidR="00680DC7" w:rsidRPr="000519DA" w:rsidP="00A45E3E">
      <w:pPr>
        <w:rPr>
          <w:rFonts w:ascii="Times New Roman" w:hAnsi="Times New Roman"/>
        </w:rPr>
      </w:pPr>
    </w:p>
    <w:sectPr w:rsidSect="00B30C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D00F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7E">
    <w:pPr>
      <w:pStyle w:val="Footer"/>
      <w:jc w:val="center"/>
    </w:pPr>
    <w:r>
      <w:fldChar w:fldCharType="begin"/>
    </w:r>
    <w:r>
      <w:instrText>PAGE   \* MERGEFORMAT</w:instrText>
    </w:r>
    <w:r>
      <w:fldChar w:fldCharType="separate"/>
    </w:r>
    <w:r w:rsidRPr="00B30C7E">
      <w:rPr>
        <w:noProof/>
        <w:lang w:val="sk-SK"/>
      </w:rPr>
      <w:t>6</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7E">
    <w:pPr>
      <w:pStyle w:val="Footer"/>
      <w:jc w:val="center"/>
    </w:pPr>
    <w:r>
      <w:fldChar w:fldCharType="begin"/>
    </w:r>
    <w:r>
      <w:instrText>PAGE   \* MERGEFORMAT</w:instrText>
    </w:r>
    <w:r>
      <w:fldChar w:fldCharType="separate"/>
    </w:r>
    <w:r w:rsidRPr="00B30C7E">
      <w:rPr>
        <w:noProof/>
        <w:lang w:val="sk-SK"/>
      </w:rPr>
      <w:t>1</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D00F18">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18">
    <w:pPr>
      <w:pStyle w:val="Footer"/>
      <w:jc w:val="right"/>
    </w:pPr>
    <w:r>
      <w:fldChar w:fldCharType="begin"/>
    </w:r>
    <w:r>
      <w:instrText>PAGE   \* MERGEFORMAT</w:instrText>
    </w:r>
    <w:r>
      <w:fldChar w:fldCharType="separate"/>
    </w:r>
    <w:r>
      <w:rPr>
        <w:noProof/>
      </w:rPr>
      <w:t>79</w:t>
    </w:r>
    <w:r>
      <w:fldChar w:fldCharType="end"/>
    </w:r>
  </w:p>
  <w:p w:rsidR="00D00F1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D00F18">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18">
    <w:pPr>
      <w:pStyle w:val="Footer"/>
      <w:jc w:val="right"/>
    </w:pPr>
    <w:r>
      <w:fldChar w:fldCharType="begin"/>
    </w:r>
    <w:r>
      <w:instrText>PAGE   \* MERGEFORMAT</w:instrText>
    </w:r>
    <w:r>
      <w:fldChar w:fldCharType="separate"/>
    </w:r>
    <w:r>
      <w:rPr>
        <w:noProof/>
      </w:rPr>
      <w:t>0</w:t>
    </w:r>
    <w:r>
      <w:fldChar w:fldCharType="end"/>
    </w:r>
  </w:p>
  <w:p w:rsidR="00D00F1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18" w:rsidP="00D00F18">
    <w:pPr>
      <w:pStyle w:val="Header"/>
      <w:jc w:val="right"/>
      <w:rPr>
        <w:sz w:val="24"/>
        <w:szCs w:val="24"/>
      </w:rPr>
    </w:pPr>
    <w:r>
      <w:rPr>
        <w:sz w:val="24"/>
        <w:szCs w:val="24"/>
      </w:rPr>
      <w:t>Príloha č. 2</w:t>
    </w:r>
  </w:p>
  <w:p w:rsidR="00D00F18" w:rsidRPr="00EB59C8" w:rsidP="00D00F18">
    <w:pPr>
      <w:pStyle w:val="Header"/>
      <w:jc w:val="right"/>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18" w:rsidP="00D00F18">
    <w:pPr>
      <w:pStyle w:val="Header"/>
      <w:jc w:val="right"/>
      <w:rPr>
        <w:sz w:val="24"/>
        <w:szCs w:val="24"/>
      </w:rPr>
    </w:pPr>
    <w:r>
      <w:rPr>
        <w:sz w:val="24"/>
        <w:szCs w:val="24"/>
      </w:rPr>
      <w:t>Príloha č. 2</w:t>
    </w:r>
  </w:p>
  <w:p w:rsidR="00D00F18" w:rsidRPr="00EB59C8" w:rsidP="00D00F18">
    <w:pPr>
      <w:pStyle w:val="Header"/>
      <w:jc w:val="right"/>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18" w:rsidRPr="00B30C7E" w:rsidP="00B30C7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18" w:rsidRPr="00C42A86" w:rsidP="00D00F18">
    <w:pPr>
      <w:pStyle w:val="Header"/>
      <w:pBdr>
        <w:top w:val="single" w:sz="4" w:space="1" w:color="auto"/>
        <w:left w:val="single" w:sz="4" w:space="4" w:color="auto"/>
        <w:bottom w:val="single" w:sz="4" w:space="1" w:color="auto"/>
        <w:right w:val="single" w:sz="4" w:space="4" w:color="auto"/>
      </w:pBdr>
      <w:jc w:val="both"/>
      <w:rPr>
        <w:rFonts w:ascii="Times New Roman" w:hAnsi="Times New Roman"/>
      </w:rPr>
    </w:pPr>
    <w:r w:rsidRPr="00D46066">
      <w:rPr>
        <w:rFonts w:ascii="Times New Roman" w:hAnsi="Times New Roman"/>
      </w:rPr>
      <w:t>Návrh zákona, ktorým sa mení a dopĺňa zákon č. 355/2007 Z. z. o ochrane, podpore a rozvoji verejného zdravia a o zmene a doplnení niektorých zákonov v znení neskorších predpisov a  ktorým sa menia a dopĺňajú niektoré zákony.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18" w:rsidP="00D00F18">
    <w:pPr>
      <w:pStyle w:val="Header"/>
      <w:jc w:val="right"/>
      <w:rPr>
        <w:sz w:val="24"/>
        <w:szCs w:val="24"/>
      </w:rPr>
    </w:pPr>
    <w:r>
      <w:rPr>
        <w:sz w:val="24"/>
        <w:szCs w:val="24"/>
      </w:rPr>
      <w:t>Príloha č. 2</w:t>
    </w:r>
  </w:p>
  <w:p w:rsidR="00D00F18" w:rsidRPr="00EB59C8" w:rsidP="00D00F18">
    <w:pPr>
      <w:pStyle w:val="Header"/>
      <w:jc w:val="right"/>
      <w:rPr>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18" w:rsidRPr="00007B22" w:rsidP="00D00F18">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18" w:rsidRPr="000A15AE" w:rsidP="00D00F18">
    <w:pPr>
      <w:pStyle w:val="Header"/>
      <w:jc w:val="right"/>
      <w:rPr>
        <w:sz w:val="24"/>
        <w:szCs w:val="24"/>
      </w:rPr>
    </w:pPr>
    <w:r>
      <w:rPr>
        <w:sz w:val="24"/>
        <w:szCs w:val="24"/>
      </w:rPr>
      <w:t>Príloha č. 2</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18" w:rsidRPr="006045CB" w:rsidP="00D00F18">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18" w:rsidRPr="00B30C7E" w:rsidP="00B30C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6A4D2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07DE1AE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04AC9"/>
    <w:multiLevelType w:val="hybridMultilevel"/>
    <w:tmpl w:val="81ECCD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4B7201"/>
    <w:multiLevelType w:val="hybridMultilevel"/>
    <w:tmpl w:val="FC3899FA"/>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251395"/>
    <w:multiLevelType w:val="multilevel"/>
    <w:tmpl w:val="EA82FEA8"/>
    <w:styleLink w:val="Aktulnyzoznam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7239F7"/>
    <w:multiLevelType w:val="hybridMultilevel"/>
    <w:tmpl w:val="F2822772"/>
    <w:lvl w:ilvl="0">
      <w:start w:val="4"/>
      <w:numFmt w:val="bullet"/>
      <w:lvlText w:val="-"/>
      <w:lvlJc w:val="left"/>
      <w:pPr>
        <w:ind w:left="360" w:hanging="360"/>
      </w:pPr>
      <w:rPr>
        <w:rFonts w:ascii="Times New Roman" w:eastAsia="Calibri"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F7708C8"/>
    <w:multiLevelType w:val="multilevel"/>
    <w:tmpl w:val="86A62494"/>
    <w:styleLink w:val="Aktulnyzoznam5"/>
    <w:lvl w:ilvl="0">
      <w:start w:val="1"/>
      <w:numFmt w:val="none"/>
      <w:lvlText w:val="(1)"/>
      <w:lvlJc w:val="left"/>
      <w:pPr>
        <w:ind w:left="0" w:firstLine="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5730C20"/>
    <w:multiLevelType w:val="multilevel"/>
    <w:tmpl w:val="7F0ED734"/>
    <w:styleLink w:val="Aktulnyzoznam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766441"/>
    <w:multiLevelType w:val="hybridMultilevel"/>
    <w:tmpl w:val="D9A88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AF2F1E"/>
    <w:multiLevelType w:val="hybridMultilevel"/>
    <w:tmpl w:val="8BD4AF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532B50"/>
    <w:multiLevelType w:val="multilevel"/>
    <w:tmpl w:val="8E666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AA1C4E"/>
    <w:multiLevelType w:val="hybridMultilevel"/>
    <w:tmpl w:val="397244D6"/>
    <w:lvl w:ilvl="0">
      <w:start w:val="1"/>
      <w:numFmt w:val="bullet"/>
      <w:lvlText w:val=""/>
      <w:lvlJc w:val="left"/>
      <w:pPr>
        <w:ind w:left="1068" w:hanging="360"/>
      </w:pPr>
      <w:rPr>
        <w:rFonts w:ascii="Wingdings" w:hAnsi="Wingdings"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2">
    <w:nsid w:val="2785483D"/>
    <w:multiLevelType w:val="hybridMultilevel"/>
    <w:tmpl w:val="EBC0A338"/>
    <w:lvl w:ilvl="0">
      <w:start w:val="1"/>
      <w:numFmt w:val="lowerLetter"/>
      <w:pStyle w:val="1podsek"/>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3">
    <w:nsid w:val="288D6E3A"/>
    <w:multiLevelType w:val="multilevel"/>
    <w:tmpl w:val="814846A6"/>
    <w:styleLink w:val="Aktulnyzoznam3"/>
    <w:lvl w:ilvl="0">
      <w:start w:val="1"/>
      <w:numFmt w:val="non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F7711FE"/>
    <w:multiLevelType w:val="hybridMultilevel"/>
    <w:tmpl w:val="E684DDDA"/>
    <w:lvl w:ilvl="0">
      <w:start w:val="1"/>
      <w:numFmt w:val="decimal"/>
      <w:lvlText w:val="%1."/>
      <w:lvlJc w:val="left"/>
      <w:pPr>
        <w:ind w:left="720" w:hanging="360"/>
      </w:pPr>
      <w:rPr>
        <w:rFonts w:hint="default"/>
        <w:color w:val="auto"/>
        <w:sz w:val="24"/>
        <w:u w:val="none"/>
      </w:rPr>
    </w:lvl>
    <w:lvl w:ilvl="1">
      <w:start w:val="2"/>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527087"/>
    <w:multiLevelType w:val="hybridMultilevel"/>
    <w:tmpl w:val="343C54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D81432D"/>
    <w:multiLevelType w:val="hybridMultilevel"/>
    <w:tmpl w:val="C3C60A66"/>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7">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F820E61"/>
    <w:multiLevelType w:val="hybridMultilevel"/>
    <w:tmpl w:val="C74A05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E55719"/>
    <w:multiLevelType w:val="hybridMultilevel"/>
    <w:tmpl w:val="32A650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2C842DE"/>
    <w:multiLevelType w:val="hybridMultilevel"/>
    <w:tmpl w:val="6F1AC0CC"/>
    <w:lvl w:ilvl="0">
      <w:start w:val="1"/>
      <w:numFmt w:val="decimal"/>
      <w:lvlText w:val="%1."/>
      <w:lvlJc w:val="left"/>
      <w:pPr>
        <w:ind w:left="720" w:hanging="360"/>
      </w:pPr>
      <w:rPr>
        <w:rFonts w:hint="default"/>
        <w:b w:val="0"/>
        <w:color w:val="auto"/>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39C0D21"/>
    <w:multiLevelType w:val="hybridMultilevel"/>
    <w:tmpl w:val="3DAA2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51F6C06"/>
    <w:multiLevelType w:val="hybridMultilevel"/>
    <w:tmpl w:val="3230AAE6"/>
    <w:lvl w:ilvl="0">
      <w:start w:val="4"/>
      <w:numFmt w:val="bullet"/>
      <w:lvlText w:val="-"/>
      <w:lvlJc w:val="left"/>
      <w:pPr>
        <w:ind w:left="360" w:hanging="360"/>
      </w:pPr>
      <w:rPr>
        <w:rFonts w:ascii="Times New Roman" w:eastAsia="Calibri"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88D18C8"/>
    <w:multiLevelType w:val="hybridMultilevel"/>
    <w:tmpl w:val="1D2A2D6A"/>
    <w:lvl w:ilvl="0">
      <w:start w:val="1"/>
      <w:numFmt w:val="bullet"/>
      <w:pStyle w:val="KONC-TEXT-ODRKY"/>
      <w:lvlText w:val=""/>
      <w:lvlJc w:val="left"/>
      <w:pPr>
        <w:tabs>
          <w:tab w:val="num" w:pos="786"/>
        </w:tabs>
        <w:ind w:left="786" w:hanging="360"/>
      </w:pPr>
      <w:rPr>
        <w:rFonts w:ascii="Symbol" w:hAnsi="Symbol" w:cs="Symbol"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cs="Wingdings"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cs="Wingdings" w:hint="default"/>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cs="Wingdings" w:hint="default"/>
      </w:rPr>
    </w:lvl>
  </w:abstractNum>
  <w:abstractNum w:abstractNumId="24">
    <w:nsid w:val="49EE7732"/>
    <w:multiLevelType w:val="hybridMultilevel"/>
    <w:tmpl w:val="87C65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FC334C4"/>
    <w:multiLevelType w:val="hybridMultilevel"/>
    <w:tmpl w:val="177C2DFE"/>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6">
    <w:nsid w:val="500C2909"/>
    <w:multiLevelType w:val="multilevel"/>
    <w:tmpl w:val="BD5C0EEA"/>
    <w:styleLink w:val="Aktulnyzoznam4"/>
    <w:lvl w:ilvl="0">
      <w:start w:val="1"/>
      <w:numFmt w:val="non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52DA3659"/>
    <w:multiLevelType w:val="hybridMultilevel"/>
    <w:tmpl w:val="65B8C938"/>
    <w:styleLink w:val="Aktulnyzoznam61"/>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4B27379"/>
    <w:multiLevelType w:val="hybridMultilevel"/>
    <w:tmpl w:val="56C65C50"/>
    <w:lvl w:ilvl="0">
      <w:start w:val="1"/>
      <w:numFmt w:val="decimal"/>
      <w:pStyle w:val="Styl2"/>
      <w:lvlText w:val="%1."/>
      <w:lvlJc w:val="left"/>
      <w:pPr>
        <w:tabs>
          <w:tab w:val="num" w:pos="644"/>
        </w:tabs>
        <w:ind w:left="624"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5421E3F"/>
    <w:multiLevelType w:val="multilevel"/>
    <w:tmpl w:val="10B093A4"/>
    <w:styleLink w:val="Aktulnyzoznam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5AC45921"/>
    <w:multiLevelType w:val="hybridMultilevel"/>
    <w:tmpl w:val="15C486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D6235D2"/>
    <w:multiLevelType w:val="hybridMultilevel"/>
    <w:tmpl w:val="D304C4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EA80CB7"/>
    <w:multiLevelType w:val="hybridMultilevel"/>
    <w:tmpl w:val="530EC55E"/>
    <w:lvl w:ilvl="0">
      <w:start w:val="1"/>
      <w:numFmt w:val="upperRoman"/>
      <w:pStyle w:val="Heading1"/>
      <w:lvlText w:val="%1."/>
      <w:lvlJc w:val="right"/>
      <w:pPr>
        <w:ind w:left="720" w:hanging="180"/>
      </w:pPr>
    </w:lvl>
    <w:lvl w:ilvl="1">
      <w:start w:val="0"/>
      <w:numFmt w:val="bullet"/>
      <w:lvlText w:val="-"/>
      <w:lvlJc w:val="left"/>
      <w:pPr>
        <w:ind w:left="1440" w:hanging="360"/>
      </w:pPr>
      <w:rPr>
        <w:rFonts w:ascii="Times New Roman" w:eastAsia="Calibri"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35E5D27"/>
    <w:multiLevelType w:val="hybridMultilevel"/>
    <w:tmpl w:val="A4BEAB9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41B1F98"/>
    <w:multiLevelType w:val="hybridMultilevel"/>
    <w:tmpl w:val="6FE28C7C"/>
    <w:lvl w:ilvl="0">
      <w:start w:val="1"/>
      <w:numFmt w:val="bullet"/>
      <w:pStyle w:val="KONC-OBSAH"/>
      <w:lvlText w:val=""/>
      <w:lvlJc w:val="left"/>
      <w:pPr>
        <w:tabs>
          <w:tab w:val="num" w:pos="540"/>
        </w:tabs>
        <w:ind w:left="540"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6A03488E"/>
    <w:multiLevelType w:val="hybridMultilevel"/>
    <w:tmpl w:val="F7C60EC4"/>
    <w:lvl w:ilvl="0">
      <w:start w:val="1"/>
      <w:numFmt w:val="upperLetter"/>
      <w:pStyle w:val="Heading2"/>
      <w:lvlText w:val="%1."/>
      <w:lvlJc w:val="left"/>
      <w:pPr>
        <w:ind w:left="940" w:hanging="360"/>
      </w:pPr>
      <w:rPr>
        <w:b/>
      </w:rPr>
    </w:lvl>
    <w:lvl w:ilvl="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36">
    <w:nsid w:val="6B4B5D1F"/>
    <w:multiLevelType w:val="hybridMultilevel"/>
    <w:tmpl w:val="E644456E"/>
    <w:styleLink w:val="Aktulnyzoznam51"/>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7">
    <w:nsid w:val="6E30727A"/>
    <w:multiLevelType w:val="hybridMultilevel"/>
    <w:tmpl w:val="22F21C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FDF0B12"/>
    <w:multiLevelType w:val="hybridMultilevel"/>
    <w:tmpl w:val="B45824F4"/>
    <w:lvl w:ilvl="0">
      <w:start w:val="4"/>
      <w:numFmt w:val="bullet"/>
      <w:lvlText w:val="-"/>
      <w:lvlJc w:val="left"/>
      <w:pPr>
        <w:ind w:left="170" w:hanging="170"/>
      </w:pPr>
      <w:rPr>
        <w:rFonts w:ascii="Times New Roman" w:eastAsia="Calibri"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717C6297"/>
    <w:multiLevelType w:val="hybridMultilevel"/>
    <w:tmpl w:val="D564EB3C"/>
    <w:styleLink w:val="Aktulnyzoznam31"/>
    <w:lvl w:ilvl="0">
      <w:start w:val="1"/>
      <w:numFmt w:val="decimal"/>
      <w:lvlText w:val="%1."/>
      <w:lvlJc w:val="left"/>
      <w:pPr>
        <w:ind w:left="0" w:firstLine="0"/>
      </w:pPr>
      <w:rPr>
        <w:rFonts w:hint="default"/>
        <w:b w:val="0"/>
        <w:bCs w:val="0"/>
        <w:strike w:val="0"/>
      </w:rPr>
    </w:lvl>
    <w:lvl w:ilvl="1">
      <w:start w:val="1"/>
      <w:numFmt w:val="lowerLetter"/>
      <w:lvlText w:val="%2)"/>
      <w:lvlJc w:val="left"/>
      <w:pPr>
        <w:ind w:left="1440" w:hanging="360"/>
      </w:pPr>
      <w:rPr>
        <w:rFonts w:ascii="Times New Roman" w:hAnsi="Times New Roman" w:cs="Times New Roman" w:hint="default"/>
        <w:w w:val="100"/>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BDE54EF"/>
    <w:multiLevelType w:val="hybridMultilevel"/>
    <w:tmpl w:val="419C7968"/>
    <w:lvl w:ilvl="0">
      <w:start w:val="1"/>
      <w:numFmt w:val="decimal"/>
      <w:lvlText w:val="%1."/>
      <w:lvlJc w:val="left"/>
      <w:pPr>
        <w:ind w:left="862" w:hanging="360"/>
      </w:pPr>
      <w:rPr>
        <w:rFonts w:cs="Times New Roman"/>
      </w:rPr>
    </w:lvl>
    <w:lvl w:ilvl="1" w:tentative="1">
      <w:start w:val="1"/>
      <w:numFmt w:val="lowerLetter"/>
      <w:lvlText w:val="%2."/>
      <w:lvlJc w:val="left"/>
      <w:pPr>
        <w:ind w:left="1582" w:hanging="360"/>
      </w:pPr>
      <w:rPr>
        <w:rFonts w:cs="Times New Roman"/>
      </w:rPr>
    </w:lvl>
    <w:lvl w:ilvl="2" w:tentative="1">
      <w:start w:val="1"/>
      <w:numFmt w:val="lowerRoman"/>
      <w:lvlText w:val="%3."/>
      <w:lvlJc w:val="right"/>
      <w:pPr>
        <w:ind w:left="2302" w:hanging="180"/>
      </w:pPr>
      <w:rPr>
        <w:rFonts w:cs="Times New Roman"/>
      </w:rPr>
    </w:lvl>
    <w:lvl w:ilvl="3" w:tentative="1">
      <w:start w:val="1"/>
      <w:numFmt w:val="decimal"/>
      <w:lvlText w:val="%4."/>
      <w:lvlJc w:val="left"/>
      <w:pPr>
        <w:ind w:left="3022" w:hanging="360"/>
      </w:pPr>
      <w:rPr>
        <w:rFonts w:cs="Times New Roman"/>
      </w:rPr>
    </w:lvl>
    <w:lvl w:ilvl="4" w:tentative="1">
      <w:start w:val="1"/>
      <w:numFmt w:val="lowerLetter"/>
      <w:lvlText w:val="%5."/>
      <w:lvlJc w:val="left"/>
      <w:pPr>
        <w:ind w:left="3742" w:hanging="360"/>
      </w:pPr>
      <w:rPr>
        <w:rFonts w:cs="Times New Roman"/>
      </w:rPr>
    </w:lvl>
    <w:lvl w:ilvl="5" w:tentative="1">
      <w:start w:val="1"/>
      <w:numFmt w:val="lowerRoman"/>
      <w:lvlText w:val="%6."/>
      <w:lvlJc w:val="right"/>
      <w:pPr>
        <w:ind w:left="4462" w:hanging="180"/>
      </w:pPr>
      <w:rPr>
        <w:rFonts w:cs="Times New Roman"/>
      </w:rPr>
    </w:lvl>
    <w:lvl w:ilvl="6" w:tentative="1">
      <w:start w:val="1"/>
      <w:numFmt w:val="decimal"/>
      <w:lvlText w:val="%7."/>
      <w:lvlJc w:val="left"/>
      <w:pPr>
        <w:ind w:left="5182" w:hanging="360"/>
      </w:pPr>
      <w:rPr>
        <w:rFonts w:cs="Times New Roman"/>
      </w:rPr>
    </w:lvl>
    <w:lvl w:ilvl="7" w:tentative="1">
      <w:start w:val="1"/>
      <w:numFmt w:val="lowerLetter"/>
      <w:lvlText w:val="%8."/>
      <w:lvlJc w:val="left"/>
      <w:pPr>
        <w:ind w:left="5902" w:hanging="360"/>
      </w:pPr>
      <w:rPr>
        <w:rFonts w:cs="Times New Roman"/>
      </w:rPr>
    </w:lvl>
    <w:lvl w:ilvl="8" w:tentative="1">
      <w:start w:val="1"/>
      <w:numFmt w:val="lowerRoman"/>
      <w:lvlText w:val="%9."/>
      <w:lvlJc w:val="right"/>
      <w:pPr>
        <w:ind w:left="6622" w:hanging="180"/>
      </w:pPr>
      <w:rPr>
        <w:rFonts w:cs="Times New Roman"/>
      </w:rPr>
    </w:lvl>
  </w:abstractNum>
  <w:abstractNum w:abstractNumId="41">
    <w:nsid w:val="7F9F4E52"/>
    <w:multiLevelType w:val="hybridMultilevel"/>
    <w:tmpl w:val="AC78F862"/>
    <w:styleLink w:val="Aktulnyzoznam41"/>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35"/>
  </w:num>
  <w:num w:numId="2">
    <w:abstractNumId w:val="32"/>
  </w:num>
  <w:num w:numId="3">
    <w:abstractNumId w:val="1"/>
  </w:num>
  <w:num w:numId="4">
    <w:abstractNumId w:val="0"/>
  </w:num>
  <w:num w:numId="5">
    <w:abstractNumId w:val="34"/>
  </w:num>
  <w:num w:numId="6">
    <w:abstractNumId w:val="23"/>
  </w:num>
  <w:num w:numId="7">
    <w:abstractNumId w:val="28"/>
  </w:num>
  <w:num w:numId="8">
    <w:abstractNumId w:val="17"/>
  </w:num>
  <w:num w:numId="9">
    <w:abstractNumId w:val="12"/>
  </w:num>
  <w:num w:numId="10">
    <w:abstractNumId w:val="4"/>
  </w:num>
  <w:num w:numId="11">
    <w:abstractNumId w:val="7"/>
  </w:num>
  <w:num w:numId="12">
    <w:abstractNumId w:val="39"/>
  </w:num>
  <w:num w:numId="13">
    <w:abstractNumId w:val="41"/>
  </w:num>
  <w:num w:numId="14">
    <w:abstractNumId w:val="36"/>
  </w:num>
  <w:num w:numId="15">
    <w:abstractNumId w:val="27"/>
  </w:num>
  <w:num w:numId="16">
    <w:abstractNumId w:val="13"/>
  </w:num>
  <w:num w:numId="17">
    <w:abstractNumId w:val="26"/>
  </w:num>
  <w:num w:numId="18">
    <w:abstractNumId w:val="6"/>
  </w:num>
  <w:num w:numId="19">
    <w:abstractNumId w:val="29"/>
  </w:num>
  <w:num w:numId="20">
    <w:abstractNumId w:val="40"/>
  </w:num>
  <w:num w:numId="21">
    <w:abstractNumId w:val="3"/>
  </w:num>
  <w:num w:numId="22">
    <w:abstractNumId w:val="38"/>
  </w:num>
  <w:num w:numId="23">
    <w:abstractNumId w:val="22"/>
  </w:num>
  <w:num w:numId="24">
    <w:abstractNumId w:val="5"/>
  </w:num>
  <w:num w:numId="25">
    <w:abstractNumId w:val="19"/>
  </w:num>
  <w:num w:numId="26">
    <w:abstractNumId w:val="8"/>
  </w:num>
  <w:num w:numId="27">
    <w:abstractNumId w:val="24"/>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1"/>
  </w:num>
  <w:num w:numId="31">
    <w:abstractNumId w:val="2"/>
  </w:num>
  <w:num w:numId="32">
    <w:abstractNumId w:val="31"/>
  </w:num>
  <w:num w:numId="33">
    <w:abstractNumId w:val="14"/>
  </w:num>
  <w:num w:numId="34">
    <w:abstractNumId w:val="20"/>
  </w:num>
  <w:num w:numId="35">
    <w:abstractNumId w:val="11"/>
  </w:num>
  <w:num w:numId="36">
    <w:abstractNumId w:val="25"/>
  </w:num>
  <w:num w:numId="37">
    <w:abstractNumId w:val="15"/>
  </w:num>
  <w:num w:numId="38">
    <w:abstractNumId w:val="16"/>
  </w:num>
  <w:num w:numId="39">
    <w:abstractNumId w:val="33"/>
  </w:num>
  <w:num w:numId="40">
    <w:abstractNumId w:val="9"/>
  </w:num>
  <w:num w:numId="41">
    <w:abstractNumId w:val="37"/>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6A47"/>
    <w:rsid w:val="00007B22"/>
    <w:rsid w:val="00015911"/>
    <w:rsid w:val="00032000"/>
    <w:rsid w:val="00045924"/>
    <w:rsid w:val="000519DA"/>
    <w:rsid w:val="00071F8D"/>
    <w:rsid w:val="000866C6"/>
    <w:rsid w:val="00090461"/>
    <w:rsid w:val="000937CC"/>
    <w:rsid w:val="000A15AE"/>
    <w:rsid w:val="000A366F"/>
    <w:rsid w:val="000B5A7F"/>
    <w:rsid w:val="000B6D0B"/>
    <w:rsid w:val="001560A3"/>
    <w:rsid w:val="001824AE"/>
    <w:rsid w:val="00193C7E"/>
    <w:rsid w:val="001B2683"/>
    <w:rsid w:val="001B2D9C"/>
    <w:rsid w:val="001D2DD1"/>
    <w:rsid w:val="001E1646"/>
    <w:rsid w:val="001F249B"/>
    <w:rsid w:val="00217C76"/>
    <w:rsid w:val="00224811"/>
    <w:rsid w:val="00227CF5"/>
    <w:rsid w:val="00242F50"/>
    <w:rsid w:val="00245CF7"/>
    <w:rsid w:val="00246314"/>
    <w:rsid w:val="00253208"/>
    <w:rsid w:val="0025512D"/>
    <w:rsid w:val="00272845"/>
    <w:rsid w:val="00276804"/>
    <w:rsid w:val="002D4D8D"/>
    <w:rsid w:val="00325937"/>
    <w:rsid w:val="00335942"/>
    <w:rsid w:val="00374156"/>
    <w:rsid w:val="003C6E52"/>
    <w:rsid w:val="004162CD"/>
    <w:rsid w:val="004213B8"/>
    <w:rsid w:val="004357AB"/>
    <w:rsid w:val="004425EF"/>
    <w:rsid w:val="00445030"/>
    <w:rsid w:val="00452C42"/>
    <w:rsid w:val="00453C46"/>
    <w:rsid w:val="00490985"/>
    <w:rsid w:val="004913EC"/>
    <w:rsid w:val="004B0FE2"/>
    <w:rsid w:val="004F1462"/>
    <w:rsid w:val="00503B96"/>
    <w:rsid w:val="005273C3"/>
    <w:rsid w:val="00536385"/>
    <w:rsid w:val="00541C12"/>
    <w:rsid w:val="00554398"/>
    <w:rsid w:val="0056194E"/>
    <w:rsid w:val="00572A9A"/>
    <w:rsid w:val="005A0FDB"/>
    <w:rsid w:val="005B1C3F"/>
    <w:rsid w:val="005C41B2"/>
    <w:rsid w:val="005E2B6C"/>
    <w:rsid w:val="006045CB"/>
    <w:rsid w:val="006067B9"/>
    <w:rsid w:val="0064357C"/>
    <w:rsid w:val="00643E7B"/>
    <w:rsid w:val="00650667"/>
    <w:rsid w:val="0066142A"/>
    <w:rsid w:val="00663FDB"/>
    <w:rsid w:val="00680DC7"/>
    <w:rsid w:val="00690935"/>
    <w:rsid w:val="00692599"/>
    <w:rsid w:val="006B6A47"/>
    <w:rsid w:val="006F05CC"/>
    <w:rsid w:val="0074359C"/>
    <w:rsid w:val="007473D6"/>
    <w:rsid w:val="00755D4D"/>
    <w:rsid w:val="00757D6A"/>
    <w:rsid w:val="00767A41"/>
    <w:rsid w:val="00772EDF"/>
    <w:rsid w:val="007C0185"/>
    <w:rsid w:val="007D63E4"/>
    <w:rsid w:val="007E0358"/>
    <w:rsid w:val="007E45BE"/>
    <w:rsid w:val="007F0143"/>
    <w:rsid w:val="007F3E17"/>
    <w:rsid w:val="007F61F3"/>
    <w:rsid w:val="00802D43"/>
    <w:rsid w:val="0082054D"/>
    <w:rsid w:val="008421F9"/>
    <w:rsid w:val="0085254E"/>
    <w:rsid w:val="00863B01"/>
    <w:rsid w:val="008D1406"/>
    <w:rsid w:val="008F5870"/>
    <w:rsid w:val="009079A8"/>
    <w:rsid w:val="009353BB"/>
    <w:rsid w:val="0095624E"/>
    <w:rsid w:val="00982CDF"/>
    <w:rsid w:val="0099755B"/>
    <w:rsid w:val="009F1774"/>
    <w:rsid w:val="00A0136A"/>
    <w:rsid w:val="00A0299A"/>
    <w:rsid w:val="00A20417"/>
    <w:rsid w:val="00A45E3E"/>
    <w:rsid w:val="00AA70CB"/>
    <w:rsid w:val="00AC2F0E"/>
    <w:rsid w:val="00AC3575"/>
    <w:rsid w:val="00AD73C4"/>
    <w:rsid w:val="00AE053E"/>
    <w:rsid w:val="00AE54BB"/>
    <w:rsid w:val="00B05515"/>
    <w:rsid w:val="00B07B86"/>
    <w:rsid w:val="00B30C7E"/>
    <w:rsid w:val="00B40E8B"/>
    <w:rsid w:val="00B549F1"/>
    <w:rsid w:val="00B554E4"/>
    <w:rsid w:val="00B571D1"/>
    <w:rsid w:val="00B90432"/>
    <w:rsid w:val="00B94527"/>
    <w:rsid w:val="00C24EEE"/>
    <w:rsid w:val="00C42A86"/>
    <w:rsid w:val="00C87A3F"/>
    <w:rsid w:val="00D00F18"/>
    <w:rsid w:val="00D07ADB"/>
    <w:rsid w:val="00D17392"/>
    <w:rsid w:val="00D213FB"/>
    <w:rsid w:val="00D46066"/>
    <w:rsid w:val="00D513DA"/>
    <w:rsid w:val="00D55907"/>
    <w:rsid w:val="00DD724D"/>
    <w:rsid w:val="00DE02E6"/>
    <w:rsid w:val="00E12223"/>
    <w:rsid w:val="00E24BA6"/>
    <w:rsid w:val="00E42519"/>
    <w:rsid w:val="00E51ED8"/>
    <w:rsid w:val="00EB51CE"/>
    <w:rsid w:val="00EB59C8"/>
    <w:rsid w:val="00EB671C"/>
    <w:rsid w:val="00EE5565"/>
    <w:rsid w:val="00F3360E"/>
    <w:rsid w:val="00F460F0"/>
    <w:rsid w:val="00F508C7"/>
    <w:rsid w:val="00F6238A"/>
    <w:rsid w:val="00F64E70"/>
    <w:rsid w:val="00F7007B"/>
    <w:rsid w:val="00F948D5"/>
    <w:rsid w:val="00FB241E"/>
    <w:rsid w:val="00FD2DC7"/>
    <w:rsid w:val="00FD4B4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35" w:qFormat="1"/>
    <w:lsdException w:name="footnote reference" w:qFormat="1"/>
    <w:lsdException w:name="annotation reference" w:uiPriority="0" w:qFormat="1"/>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Table Grid" w:semiHidden="0" w:uiPriority="39" w:unhideWhenUsed="0"/>
    <w:lsdException w:name="Placeholder Text" w:uiPriority="0"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D07ADB"/>
    <w:pPr>
      <w:spacing w:after="200" w:line="276" w:lineRule="auto"/>
    </w:pPr>
    <w:rPr>
      <w:sz w:val="22"/>
      <w:szCs w:val="22"/>
      <w:lang w:val="sk-SK" w:eastAsia="en-US" w:bidi="ar-SA"/>
    </w:rPr>
  </w:style>
  <w:style w:type="paragraph" w:styleId="Heading1">
    <w:name w:val="heading 1"/>
    <w:aliases w:val="H1,Heading 11111,Kapitola,Main Section,MainHeader,NADPIS,Nadpis 1T,V_Head1"/>
    <w:basedOn w:val="Normal"/>
    <w:next w:val="Normal"/>
    <w:link w:val="Nadpis1Char"/>
    <w:uiPriority w:val="9"/>
    <w:qFormat/>
    <w:rsid w:val="00E42519"/>
    <w:pPr>
      <w:keepNext/>
      <w:numPr>
        <w:ilvl w:val="0"/>
        <w:numId w:val="2"/>
      </w:numPr>
      <w:spacing w:before="240" w:after="60"/>
      <w:outlineLvl w:val="0"/>
    </w:pPr>
    <w:rPr>
      <w:rFonts w:eastAsia="MS Gothic"/>
      <w:b/>
      <w:bCs/>
      <w:kern w:val="32"/>
      <w:sz w:val="32"/>
      <w:szCs w:val="32"/>
      <w:lang w:val="x-none" w:eastAsia="x-none"/>
    </w:rPr>
  </w:style>
  <w:style w:type="paragraph" w:styleId="Heading2">
    <w:name w:val="heading 2"/>
    <w:aliases w:val="F2,F21,H2,Nadpis 2T,Podkapitola1,Podnadpis,V_Head2,h2,hlavicka"/>
    <w:basedOn w:val="TOC2"/>
    <w:next w:val="Normal"/>
    <w:link w:val="Nadpis2Char"/>
    <w:qFormat/>
    <w:rsid w:val="00E42519"/>
    <w:pPr>
      <w:keepNext/>
      <w:numPr>
        <w:ilvl w:val="0"/>
        <w:numId w:val="1"/>
      </w:numPr>
      <w:spacing w:before="240" w:after="60"/>
      <w:outlineLvl w:val="1"/>
    </w:pPr>
    <w:rPr>
      <w:rFonts w:eastAsia="MS Gothic"/>
      <w:b/>
      <w:bCs/>
      <w:iCs/>
      <w:sz w:val="28"/>
      <w:szCs w:val="28"/>
      <w:lang w:val="x-none" w:eastAsia="x-none"/>
    </w:rPr>
  </w:style>
  <w:style w:type="paragraph" w:styleId="Heading3">
    <w:name w:val="heading 3"/>
    <w:aliases w:val="(Alt+3),2,H3,Heading C,Podkapitola2,Table Attribute Heading,V_Head3,V_Head31,V_Head32,Záhlaví 3,b,h3,h3 sub heading,proj3,proj31,proj310,proj311,proj312,proj32,proj321,proj33,proj331,proj34,proj341,proj35,proj36,proj37,proj38,proj39,sub Italic"/>
    <w:basedOn w:val="Normal"/>
    <w:next w:val="Normal"/>
    <w:link w:val="Nadpis3Char"/>
    <w:qFormat/>
    <w:rsid w:val="00E42519"/>
    <w:pPr>
      <w:keepNext/>
      <w:spacing w:before="240" w:after="60"/>
      <w:outlineLvl w:val="2"/>
    </w:pPr>
    <w:rPr>
      <w:rFonts w:ascii="Arial" w:hAnsi="Arial"/>
      <w:b/>
      <w:bCs/>
      <w:sz w:val="26"/>
      <w:szCs w:val="26"/>
      <w:lang w:val="x-none" w:eastAsia="x-none"/>
    </w:rPr>
  </w:style>
  <w:style w:type="paragraph" w:styleId="Heading4">
    <w:name w:val="heading 4"/>
    <w:aliases w:val="Aufgabe,Podkapitola3"/>
    <w:basedOn w:val="Normal"/>
    <w:next w:val="Normal"/>
    <w:link w:val="Nadpis4Char"/>
    <w:uiPriority w:val="9"/>
    <w:qFormat/>
    <w:rsid w:val="00E42519"/>
    <w:pPr>
      <w:keepNext/>
      <w:spacing w:before="240" w:after="60"/>
      <w:outlineLvl w:val="3"/>
    </w:pPr>
    <w:rPr>
      <w:b/>
      <w:bCs/>
      <w:sz w:val="28"/>
      <w:szCs w:val="28"/>
      <w:lang w:val="x-none" w:eastAsia="x-none"/>
    </w:rPr>
  </w:style>
  <w:style w:type="paragraph" w:styleId="Heading5">
    <w:name w:val="heading 5"/>
    <w:basedOn w:val="Normal"/>
    <w:next w:val="Normal"/>
    <w:link w:val="Nadpis5Char"/>
    <w:qFormat/>
    <w:rsid w:val="00E42519"/>
    <w:pPr>
      <w:keepNext/>
      <w:tabs>
        <w:tab w:val="num" w:pos="1008"/>
      </w:tabs>
      <w:spacing w:after="0" w:line="240" w:lineRule="auto"/>
      <w:ind w:left="1008" w:hanging="1008"/>
      <w:jc w:val="both"/>
      <w:outlineLvl w:val="4"/>
    </w:pPr>
    <w:rPr>
      <w:rFonts w:ascii="Times New Roman" w:eastAsia="Times New Roman" w:hAnsi="Times New Roman"/>
      <w:b/>
      <w:sz w:val="20"/>
      <w:szCs w:val="20"/>
      <w:lang w:val="cs-CZ" w:eastAsia="x-none"/>
    </w:rPr>
  </w:style>
  <w:style w:type="paragraph" w:styleId="Heading6">
    <w:name w:val="heading 6"/>
    <w:basedOn w:val="Normal"/>
    <w:next w:val="Normal"/>
    <w:link w:val="Nadpis6Char"/>
    <w:uiPriority w:val="9"/>
    <w:qFormat/>
    <w:rsid w:val="00E42519"/>
    <w:pPr>
      <w:keepNext/>
      <w:tabs>
        <w:tab w:val="num" w:pos="1152"/>
      </w:tabs>
      <w:spacing w:after="0" w:line="240" w:lineRule="auto"/>
      <w:ind w:left="1152" w:hanging="1152"/>
      <w:jc w:val="both"/>
      <w:outlineLvl w:val="5"/>
    </w:pPr>
    <w:rPr>
      <w:rFonts w:ascii="Times New Roman" w:eastAsia="Times New Roman" w:hAnsi="Times New Roman"/>
      <w:b/>
      <w:sz w:val="24"/>
      <w:szCs w:val="20"/>
      <w:lang w:val="x-none" w:eastAsia="x-none"/>
    </w:rPr>
  </w:style>
  <w:style w:type="paragraph" w:styleId="Heading7">
    <w:name w:val="heading 7"/>
    <w:basedOn w:val="Normal"/>
    <w:next w:val="Normal"/>
    <w:link w:val="Nadpis7Char"/>
    <w:uiPriority w:val="99"/>
    <w:qFormat/>
    <w:rsid w:val="00E42519"/>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b/>
      <w:sz w:val="32"/>
      <w:szCs w:val="20"/>
      <w:lang w:val="x-none" w:eastAsia="x-none"/>
    </w:rPr>
  </w:style>
  <w:style w:type="paragraph" w:styleId="Heading8">
    <w:name w:val="heading 8"/>
    <w:basedOn w:val="Normal"/>
    <w:next w:val="Normal"/>
    <w:link w:val="Nadpis8Char"/>
    <w:uiPriority w:val="9"/>
    <w:qFormat/>
    <w:rsid w:val="00E42519"/>
    <w:pPr>
      <w:keepNext/>
      <w:tabs>
        <w:tab w:val="num" w:pos="1440"/>
      </w:tabs>
      <w:spacing w:after="0" w:line="240" w:lineRule="auto"/>
      <w:ind w:left="1440" w:hanging="1440"/>
      <w:outlineLvl w:val="7"/>
    </w:pPr>
    <w:rPr>
      <w:rFonts w:ascii="Times New Roman" w:eastAsia="Times New Roman" w:hAnsi="Times New Roman"/>
      <w:b/>
      <w:sz w:val="24"/>
      <w:szCs w:val="20"/>
      <w:lang w:val="x-none" w:eastAsia="x-none"/>
    </w:rPr>
  </w:style>
  <w:style w:type="paragraph" w:styleId="Heading9">
    <w:name w:val="heading 9"/>
    <w:basedOn w:val="Normal"/>
    <w:next w:val="Normal"/>
    <w:link w:val="Nadpis9Char"/>
    <w:uiPriority w:val="9"/>
    <w:qFormat/>
    <w:rsid w:val="00E42519"/>
    <w:pPr>
      <w:keepNext/>
      <w:tabs>
        <w:tab w:val="num" w:pos="1584"/>
      </w:tabs>
      <w:spacing w:after="0" w:line="240" w:lineRule="auto"/>
      <w:ind w:left="1584" w:hanging="1584"/>
      <w:outlineLvl w:val="8"/>
    </w:pPr>
    <w:rPr>
      <w:rFonts w:ascii="Times New Roman" w:eastAsia="Times New Roman" w:hAnsi="Times New Roman"/>
      <w:i/>
      <w:sz w:val="24"/>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6D0B"/>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aliases w:val="H1 Char1,Heading 11111 Char1,Kapitola Char1,Main Section Char1,MainHeader Char,NADPIS Char1,Nadpis 1T Char1,V_Head1 Char1"/>
    <w:link w:val="Heading1"/>
    <w:uiPriority w:val="9"/>
    <w:rsid w:val="00E42519"/>
    <w:rPr>
      <w:rFonts w:eastAsia="MS Gothic"/>
      <w:b/>
      <w:bCs/>
      <w:kern w:val="32"/>
      <w:sz w:val="32"/>
      <w:szCs w:val="32"/>
      <w:lang w:val="x-none" w:eastAsia="x-none"/>
    </w:rPr>
  </w:style>
  <w:style w:type="character" w:customStyle="1" w:styleId="Nadpis2Char">
    <w:name w:val="Nadpis 2 Char"/>
    <w:aliases w:val="F2 Char1,F21 Char1,H2 Char1,Nadpis 2T Char1,Podkapitola1 Char1,Podnadpis Char1,V_Head2 Char,h2 Char1,hlavicka Char1"/>
    <w:link w:val="Heading2"/>
    <w:rsid w:val="00E42519"/>
    <w:rPr>
      <w:rFonts w:eastAsia="MS Gothic"/>
      <w:b/>
      <w:bCs/>
      <w:iCs/>
      <w:sz w:val="28"/>
      <w:szCs w:val="28"/>
      <w:lang w:val="x-none" w:eastAsia="x-none"/>
    </w:rPr>
  </w:style>
  <w:style w:type="character" w:customStyle="1" w:styleId="Nadpis3Char">
    <w:name w:val="Nadpis 3 Char"/>
    <w:aliases w:val="(Alt+3) Char,H3 Char,Heading C Char,Podkapitola2 Char,Table Attribute Heading Char,V_Head3 Char,V_Head31 Char,V_Head32 Char,Záhlaví 3 Char,b Char,h3 Char,h3 sub heading Char,proj3 Char,proj31 Char,proj32 Char,proj33 Char,sub Italic Char"/>
    <w:link w:val="Heading3"/>
    <w:rsid w:val="00E42519"/>
    <w:rPr>
      <w:rFonts w:ascii="Arial" w:eastAsia="Calibri" w:hAnsi="Arial" w:cs="Arial"/>
      <w:b/>
      <w:bCs/>
      <w:sz w:val="26"/>
      <w:szCs w:val="26"/>
    </w:rPr>
  </w:style>
  <w:style w:type="character" w:customStyle="1" w:styleId="Nadpis4Char">
    <w:name w:val="Nadpis 4 Char"/>
    <w:aliases w:val="Aufgabe Char,Podkapitola3 Char"/>
    <w:link w:val="Heading4"/>
    <w:uiPriority w:val="9"/>
    <w:rsid w:val="00E42519"/>
    <w:rPr>
      <w:rFonts w:ascii="Calibri" w:eastAsia="Calibri" w:hAnsi="Calibri" w:cs="Times New Roman"/>
      <w:b/>
      <w:bCs/>
      <w:sz w:val="28"/>
      <w:szCs w:val="28"/>
    </w:rPr>
  </w:style>
  <w:style w:type="character" w:customStyle="1" w:styleId="Nadpis5Char">
    <w:name w:val="Nadpis 5 Char"/>
    <w:link w:val="Heading5"/>
    <w:rsid w:val="00E42519"/>
    <w:rPr>
      <w:rFonts w:ascii="Times New Roman" w:eastAsia="Times New Roman" w:hAnsi="Times New Roman" w:cs="Times New Roman"/>
      <w:b/>
      <w:szCs w:val="20"/>
      <w:lang w:val="cs-CZ" w:eastAsia="x-none"/>
    </w:rPr>
  </w:style>
  <w:style w:type="character" w:customStyle="1" w:styleId="Nadpis6Char">
    <w:name w:val="Nadpis 6 Char"/>
    <w:link w:val="Heading6"/>
    <w:uiPriority w:val="9"/>
    <w:rsid w:val="00E42519"/>
    <w:rPr>
      <w:rFonts w:ascii="Times New Roman" w:eastAsia="Times New Roman" w:hAnsi="Times New Roman" w:cs="Times New Roman"/>
      <w:b/>
      <w:sz w:val="24"/>
      <w:szCs w:val="20"/>
      <w:lang w:val="x-none" w:eastAsia="x-none"/>
    </w:rPr>
  </w:style>
  <w:style w:type="character" w:customStyle="1" w:styleId="Nadpis7Char">
    <w:name w:val="Nadpis 7 Char"/>
    <w:link w:val="Heading7"/>
    <w:uiPriority w:val="99"/>
    <w:rsid w:val="00E42519"/>
    <w:rPr>
      <w:rFonts w:ascii="Times New Roman" w:eastAsia="Times New Roman" w:hAnsi="Times New Roman" w:cs="Times New Roman"/>
      <w:b/>
      <w:sz w:val="32"/>
      <w:szCs w:val="20"/>
      <w:shd w:val="clear" w:color="auto" w:fill="008000"/>
      <w:lang w:val="x-none" w:eastAsia="x-none"/>
    </w:rPr>
  </w:style>
  <w:style w:type="character" w:customStyle="1" w:styleId="Nadpis8Char">
    <w:name w:val="Nadpis 8 Char"/>
    <w:link w:val="Heading8"/>
    <w:uiPriority w:val="9"/>
    <w:rsid w:val="00E42519"/>
    <w:rPr>
      <w:rFonts w:ascii="Times New Roman" w:eastAsia="Times New Roman" w:hAnsi="Times New Roman" w:cs="Times New Roman"/>
      <w:b/>
      <w:sz w:val="24"/>
      <w:szCs w:val="20"/>
      <w:lang w:val="x-none" w:eastAsia="x-none"/>
    </w:rPr>
  </w:style>
  <w:style w:type="character" w:customStyle="1" w:styleId="Nadpis9Char">
    <w:name w:val="Nadpis 9 Char"/>
    <w:link w:val="Heading9"/>
    <w:uiPriority w:val="9"/>
    <w:rsid w:val="00E42519"/>
    <w:rPr>
      <w:rFonts w:ascii="Times New Roman" w:eastAsia="Times New Roman" w:hAnsi="Times New Roman" w:cs="Times New Roman"/>
      <w:i/>
      <w:sz w:val="24"/>
      <w:szCs w:val="20"/>
      <w:lang w:val="x-none" w:eastAsia="x-none"/>
    </w:rPr>
  </w:style>
  <w:style w:type="paragraph" w:styleId="TOC2">
    <w:name w:val="toc 2"/>
    <w:basedOn w:val="Normal"/>
    <w:next w:val="Normal"/>
    <w:autoRedefine/>
    <w:uiPriority w:val="39"/>
    <w:unhideWhenUsed/>
    <w:rsid w:val="00E42519"/>
    <w:pPr>
      <w:ind w:left="220"/>
    </w:pPr>
  </w:style>
  <w:style w:type="paragraph" w:customStyle="1" w:styleId="Text2">
    <w:name w:val="Text2"/>
    <w:basedOn w:val="Normal"/>
    <w:rsid w:val="00E42519"/>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paragraph" w:customStyle="1" w:styleId="CharCharCharCharCharCharCharChar">
    <w:name w:val="Char Char Char Char Char Char Char Char"/>
    <w:basedOn w:val="Normal"/>
    <w:next w:val="Normal"/>
    <w:rsid w:val="00E42519"/>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Header">
    <w:name w:val="header"/>
    <w:basedOn w:val="Normal"/>
    <w:link w:val="HlavikaChar"/>
    <w:uiPriority w:val="99"/>
    <w:unhideWhenUsed/>
    <w:rsid w:val="00E42519"/>
    <w:pPr>
      <w:tabs>
        <w:tab w:val="center" w:pos="4536"/>
        <w:tab w:val="right" w:pos="9072"/>
      </w:tabs>
    </w:pPr>
    <w:rPr>
      <w:sz w:val="20"/>
      <w:szCs w:val="20"/>
      <w:lang w:val="x-none" w:eastAsia="x-none"/>
    </w:rPr>
  </w:style>
  <w:style w:type="character" w:customStyle="1" w:styleId="HlavikaChar">
    <w:name w:val="Hlavička Char"/>
    <w:link w:val="Header"/>
    <w:uiPriority w:val="99"/>
    <w:rsid w:val="00E42519"/>
    <w:rPr>
      <w:rFonts w:ascii="Calibri" w:eastAsia="Calibri" w:hAnsi="Calibri" w:cs="Times New Roman"/>
      <w:lang w:val="x-none"/>
    </w:rPr>
  </w:style>
  <w:style w:type="paragraph" w:styleId="Footer">
    <w:name w:val="footer"/>
    <w:basedOn w:val="Normal"/>
    <w:link w:val="PtaChar"/>
    <w:uiPriority w:val="99"/>
    <w:unhideWhenUsed/>
    <w:rsid w:val="00E42519"/>
    <w:pPr>
      <w:tabs>
        <w:tab w:val="center" w:pos="4536"/>
        <w:tab w:val="right" w:pos="9072"/>
      </w:tabs>
    </w:pPr>
    <w:rPr>
      <w:sz w:val="20"/>
      <w:szCs w:val="20"/>
      <w:lang w:val="x-none" w:eastAsia="x-none"/>
    </w:rPr>
  </w:style>
  <w:style w:type="character" w:customStyle="1" w:styleId="PtaChar">
    <w:name w:val="Päta Char"/>
    <w:link w:val="Footer"/>
    <w:uiPriority w:val="99"/>
    <w:rsid w:val="00E42519"/>
    <w:rPr>
      <w:rFonts w:ascii="Calibri" w:eastAsia="Calibri" w:hAnsi="Calibri" w:cs="Times New Roman"/>
      <w:lang w:val="x-none"/>
    </w:rPr>
  </w:style>
  <w:style w:type="paragraph" w:styleId="TOC1">
    <w:name w:val="toc 1"/>
    <w:basedOn w:val="Normal"/>
    <w:next w:val="Normal"/>
    <w:autoRedefine/>
    <w:uiPriority w:val="39"/>
    <w:unhideWhenUsed/>
    <w:rsid w:val="00E42519"/>
    <w:pPr>
      <w:tabs>
        <w:tab w:val="left" w:pos="351"/>
        <w:tab w:val="right" w:leader="dot" w:pos="9062"/>
      </w:tabs>
    </w:pPr>
  </w:style>
  <w:style w:type="paragraph" w:customStyle="1" w:styleId="Normal1">
    <w:name w:val="Normal1"/>
    <w:basedOn w:val="Normal"/>
    <w:autoRedefine/>
    <w:rsid w:val="00E42519"/>
    <w:pPr>
      <w:spacing w:after="0" w:line="240" w:lineRule="auto"/>
      <w:jc w:val="both"/>
    </w:pPr>
    <w:rPr>
      <w:rFonts w:ascii="Arial" w:eastAsia="Times New Roman" w:hAnsi="Arial"/>
      <w:bCs/>
      <w:lang w:eastAsia="cs-CZ"/>
    </w:rPr>
  </w:style>
  <w:style w:type="character" w:customStyle="1" w:styleId="ra">
    <w:name w:val="ra"/>
    <w:basedOn w:val="DefaultParagraphFont"/>
    <w:rsid w:val="00E42519"/>
  </w:style>
  <w:style w:type="paragraph" w:styleId="TOC3">
    <w:name w:val="toc 3"/>
    <w:basedOn w:val="Normal"/>
    <w:next w:val="Normal"/>
    <w:autoRedefine/>
    <w:uiPriority w:val="39"/>
    <w:rsid w:val="00E42519"/>
    <w:pPr>
      <w:ind w:left="440"/>
    </w:pPr>
  </w:style>
  <w:style w:type="paragraph" w:styleId="ListBullet">
    <w:name w:val="List Bullet"/>
    <w:basedOn w:val="Normal"/>
    <w:autoRedefine/>
    <w:semiHidden/>
    <w:rsid w:val="00E42519"/>
    <w:pPr>
      <w:numPr>
        <w:ilvl w:val="0"/>
        <w:numId w:val="3"/>
      </w:numPr>
      <w:spacing w:after="0" w:line="240" w:lineRule="auto"/>
    </w:pPr>
    <w:rPr>
      <w:rFonts w:ascii="Times New Roman" w:eastAsia="Times New Roman" w:hAnsi="Times New Roman"/>
      <w:sz w:val="20"/>
      <w:szCs w:val="20"/>
      <w:lang w:eastAsia="sk-SK"/>
    </w:rPr>
  </w:style>
  <w:style w:type="paragraph" w:styleId="ListBullet2">
    <w:name w:val="List Bullet 2"/>
    <w:basedOn w:val="Normal"/>
    <w:autoRedefine/>
    <w:semiHidden/>
    <w:rsid w:val="00E42519"/>
    <w:pPr>
      <w:numPr>
        <w:ilvl w:val="0"/>
        <w:numId w:val="4"/>
      </w:numPr>
      <w:spacing w:after="0" w:line="240" w:lineRule="auto"/>
    </w:pPr>
    <w:rPr>
      <w:rFonts w:ascii="Times New Roman" w:eastAsia="Times New Roman" w:hAnsi="Times New Roman"/>
      <w:sz w:val="20"/>
      <w:szCs w:val="20"/>
      <w:lang w:eastAsia="sk-SK"/>
    </w:rPr>
  </w:style>
  <w:style w:type="paragraph" w:customStyle="1" w:styleId="KONC-OBSAH">
    <w:name w:val="KONC-OBSAH"/>
    <w:basedOn w:val="KONC-KAPITOLA"/>
    <w:rsid w:val="00E42519"/>
    <w:pPr>
      <w:numPr>
        <w:ilvl w:val="0"/>
        <w:numId w:val="5"/>
      </w:numPr>
      <w:spacing w:before="60" w:after="0"/>
      <w:ind w:left="568" w:hanging="284"/>
      <w:outlineLvl w:val="9"/>
    </w:pPr>
    <w:rPr>
      <w:sz w:val="24"/>
      <w:szCs w:val="24"/>
    </w:rPr>
  </w:style>
  <w:style w:type="paragraph" w:customStyle="1" w:styleId="KONC-KAPITOLA">
    <w:name w:val="KONC-KAPITOLA"/>
    <w:basedOn w:val="Heading1"/>
    <w:rsid w:val="00E42519"/>
    <w:pPr>
      <w:tabs>
        <w:tab w:val="num" w:pos="432"/>
      </w:tabs>
      <w:spacing w:line="240" w:lineRule="auto"/>
      <w:ind w:left="432" w:hanging="432"/>
    </w:pPr>
    <w:rPr>
      <w:rFonts w:ascii="Arial" w:eastAsia="Times New Roman" w:hAnsi="Arial" w:cs="Arial"/>
      <w:b w:val="0"/>
      <w:caps/>
      <w:color w:val="0000FF"/>
      <w:lang w:eastAsia="sk-SK"/>
    </w:rPr>
  </w:style>
  <w:style w:type="paragraph" w:customStyle="1" w:styleId="KONC-TEXT">
    <w:name w:val="KONC-TEXT"/>
    <w:basedOn w:val="KONC-OBSAH"/>
    <w:rsid w:val="00E42519"/>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rsid w:val="00E42519"/>
    <w:pPr>
      <w:keepNext w:val="0"/>
      <w:numPr>
        <w:ilvl w:val="0"/>
        <w:numId w:val="6"/>
      </w:numPr>
    </w:pPr>
  </w:style>
  <w:style w:type="paragraph" w:customStyle="1" w:styleId="Styl2">
    <w:name w:val="Styl2"/>
    <w:basedOn w:val="Heading2"/>
    <w:next w:val="Heading2"/>
    <w:autoRedefine/>
    <w:rsid w:val="00E42519"/>
    <w:pPr>
      <w:numPr>
        <w:ilvl w:val="0"/>
        <w:numId w:val="7"/>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FootnoteText">
    <w:name w:val="footnote text"/>
    <w:aliases w:val="Text poznámky pod čiarou 007"/>
    <w:basedOn w:val="Normal"/>
    <w:link w:val="TextpoznmkypodiarouChar"/>
    <w:uiPriority w:val="99"/>
    <w:qFormat/>
    <w:rsid w:val="00E42519"/>
    <w:pPr>
      <w:spacing w:after="0" w:line="240" w:lineRule="auto"/>
    </w:pPr>
    <w:rPr>
      <w:rFonts w:ascii="Arial Narrow" w:eastAsia="Times New Roman" w:hAnsi="Arial Narrow"/>
      <w:sz w:val="20"/>
      <w:szCs w:val="20"/>
      <w:lang w:val="x-none" w:eastAsia="x-none"/>
    </w:rPr>
  </w:style>
  <w:style w:type="character" w:customStyle="1" w:styleId="TextpoznmkypodiarouChar">
    <w:name w:val="Text poznámky pod čiarou Char"/>
    <w:aliases w:val="Text poznámky pod čiarou 007 Char"/>
    <w:link w:val="FootnoteText"/>
    <w:uiPriority w:val="99"/>
    <w:qFormat/>
    <w:rsid w:val="00E42519"/>
    <w:rPr>
      <w:rFonts w:ascii="Arial Narrow" w:eastAsia="Times New Roman" w:hAnsi="Arial Narrow" w:cs="Times New Roman"/>
      <w:sz w:val="20"/>
      <w:szCs w:val="20"/>
      <w:lang w:val="x-none"/>
    </w:rPr>
  </w:style>
  <w:style w:type="character" w:styleId="Hyperlink">
    <w:name w:val="Hyperlink"/>
    <w:rsid w:val="00E42519"/>
    <w:rPr>
      <w:color w:val="0000FF"/>
      <w:u w:val="single"/>
    </w:rPr>
  </w:style>
  <w:style w:type="paragraph" w:styleId="List">
    <w:name w:val="List"/>
    <w:basedOn w:val="Normal"/>
    <w:rsid w:val="00E42519"/>
    <w:pPr>
      <w:spacing w:after="0" w:line="240" w:lineRule="auto"/>
      <w:ind w:left="283" w:hanging="283"/>
    </w:pPr>
    <w:rPr>
      <w:rFonts w:ascii="Times New Roman" w:eastAsia="Times New Roman" w:hAnsi="Times New Roman"/>
      <w:sz w:val="20"/>
      <w:szCs w:val="20"/>
      <w:lang w:eastAsia="sk-SK"/>
    </w:rPr>
  </w:style>
  <w:style w:type="paragraph" w:styleId="List2">
    <w:name w:val="List 2"/>
    <w:basedOn w:val="Normal"/>
    <w:rsid w:val="00E42519"/>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al"/>
    <w:rsid w:val="00E42519"/>
    <w:pPr>
      <w:spacing w:after="0" w:line="240" w:lineRule="auto"/>
      <w:jc w:val="both"/>
    </w:pPr>
    <w:rPr>
      <w:rFonts w:ascii="Times New Roman" w:eastAsia="Times New Roman" w:hAnsi="Times New Roman"/>
      <w:sz w:val="24"/>
      <w:szCs w:val="20"/>
      <w:lang w:val="cs-CZ" w:eastAsia="cs-CZ"/>
    </w:rPr>
  </w:style>
  <w:style w:type="paragraph" w:customStyle="1" w:styleId="Normlny1">
    <w:name w:val="Normálny1"/>
    <w:basedOn w:val="Normal"/>
    <w:autoRedefine/>
    <w:rsid w:val="00E42519"/>
    <w:pPr>
      <w:numPr>
        <w:ilvl w:val="1"/>
        <w:numId w:val="8"/>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al"/>
    <w:rsid w:val="00E42519"/>
    <w:pPr>
      <w:widowControl w:val="0"/>
      <w:spacing w:after="0" w:line="240" w:lineRule="auto"/>
      <w:jc w:val="both"/>
    </w:pPr>
    <w:rPr>
      <w:rFonts w:ascii="Switzerland" w:eastAsia="Times New Roman" w:hAnsi="Switzerland"/>
      <w:sz w:val="24"/>
      <w:szCs w:val="20"/>
      <w:lang w:val="cs-CZ" w:eastAsia="sk-SK"/>
    </w:rPr>
  </w:style>
  <w:style w:type="paragraph" w:styleId="BalloonText">
    <w:name w:val="Balloon Text"/>
    <w:basedOn w:val="Normal"/>
    <w:link w:val="TextbublinyChar"/>
    <w:uiPriority w:val="99"/>
    <w:semiHidden/>
    <w:rsid w:val="00E42519"/>
    <w:pPr>
      <w:spacing w:after="0" w:line="240" w:lineRule="auto"/>
    </w:pPr>
    <w:rPr>
      <w:rFonts w:ascii="Tahoma" w:eastAsia="Times New Roman" w:hAnsi="Tahoma"/>
      <w:sz w:val="16"/>
      <w:szCs w:val="16"/>
      <w:lang w:val="x-none" w:eastAsia="cs-CZ"/>
    </w:rPr>
  </w:style>
  <w:style w:type="character" w:customStyle="1" w:styleId="TextbublinyChar">
    <w:name w:val="Text bubliny Char"/>
    <w:link w:val="BalloonText"/>
    <w:uiPriority w:val="99"/>
    <w:semiHidden/>
    <w:rsid w:val="00E42519"/>
    <w:rPr>
      <w:rFonts w:ascii="Tahoma" w:eastAsia="Times New Roman" w:hAnsi="Tahoma" w:cs="Times New Roman"/>
      <w:sz w:val="16"/>
      <w:szCs w:val="16"/>
      <w:lang w:val="x-none" w:eastAsia="cs-CZ"/>
    </w:rPr>
  </w:style>
  <w:style w:type="paragraph" w:customStyle="1" w:styleId="tl1">
    <w:name w:val="Štýl1"/>
    <w:basedOn w:val="normln12"/>
    <w:rsid w:val="00E42519"/>
    <w:rPr>
      <w:rFonts w:ascii="Arial" w:hAnsi="Arial"/>
      <w:sz w:val="20"/>
    </w:rPr>
  </w:style>
  <w:style w:type="paragraph" w:customStyle="1" w:styleId="tl2">
    <w:name w:val="Štýl2"/>
    <w:basedOn w:val="normln12"/>
    <w:autoRedefine/>
    <w:rsid w:val="00E42519"/>
    <w:rPr>
      <w:rFonts w:ascii="Arial" w:hAnsi="Arial"/>
      <w:sz w:val="20"/>
    </w:rPr>
  </w:style>
  <w:style w:type="paragraph" w:customStyle="1" w:styleId="tl3">
    <w:name w:val="Štýl3"/>
    <w:basedOn w:val="Normlny1"/>
    <w:rsid w:val="00E42519"/>
    <w:rPr>
      <w:sz w:val="20"/>
    </w:rPr>
  </w:style>
  <w:style w:type="paragraph" w:styleId="ListParagraph">
    <w:name w:val="List Paragraph"/>
    <w:basedOn w:val="Normal"/>
    <w:link w:val="OdsekzoznamuChar"/>
    <w:uiPriority w:val="34"/>
    <w:qFormat/>
    <w:rsid w:val="00E42519"/>
    <w:pPr>
      <w:spacing w:after="0" w:line="240" w:lineRule="auto"/>
      <w:ind w:left="708"/>
    </w:pPr>
    <w:rPr>
      <w:rFonts w:ascii="Times New Roman" w:eastAsia="Times New Roman" w:hAnsi="Times New Roman"/>
      <w:sz w:val="24"/>
      <w:szCs w:val="24"/>
      <w:lang w:eastAsia="cs-CZ"/>
    </w:rPr>
  </w:style>
  <w:style w:type="character" w:customStyle="1" w:styleId="Nadpis2TChar">
    <w:name w:val="Nadpis 2T Char"/>
    <w:aliases w:val="F2 Char,F21 Char,H2 Char,Podkapitola1 Char,Podnadpis Char,V_Head2 Char Char,h2 Char,hlavicka Char"/>
    <w:rsid w:val="00E42519"/>
    <w:rPr>
      <w:rFonts w:ascii="Arial" w:hAnsi="Arial"/>
      <w:b/>
      <w:sz w:val="24"/>
      <w:lang w:val="sk-SK" w:eastAsia="sk-SK" w:bidi="ar-SA"/>
    </w:rPr>
  </w:style>
  <w:style w:type="character" w:customStyle="1" w:styleId="Nadpis1TChar">
    <w:name w:val="Nadpis 1T Char"/>
    <w:aliases w:val="H1 Char,Heading 11111 Char,Kapitola Char,Main Section Char,MainHeader Char Char,NADPIS Char,V_Head1 Char"/>
    <w:rsid w:val="00E42519"/>
    <w:rPr>
      <w:rFonts w:ascii="Arial" w:hAnsi="Arial"/>
      <w:b/>
      <w:caps/>
      <w:sz w:val="28"/>
      <w:lang w:val="sk-SK" w:eastAsia="sk-SK" w:bidi="ar-SA"/>
    </w:rPr>
  </w:style>
  <w:style w:type="paragraph" w:styleId="BodyText">
    <w:name w:val="Body Text"/>
    <w:basedOn w:val="Normal"/>
    <w:link w:val="ZkladntextChar"/>
    <w:uiPriority w:val="99"/>
    <w:rsid w:val="00E42519"/>
    <w:pPr>
      <w:spacing w:after="0" w:line="240" w:lineRule="auto"/>
    </w:pPr>
    <w:rPr>
      <w:rFonts w:ascii="Times New Roman" w:eastAsia="Times New Roman" w:hAnsi="Times New Roman"/>
      <w:b/>
      <w:sz w:val="24"/>
      <w:szCs w:val="20"/>
      <w:lang w:val="x-none" w:eastAsia="x-none"/>
    </w:rPr>
  </w:style>
  <w:style w:type="character" w:customStyle="1" w:styleId="ZkladntextChar">
    <w:name w:val="Základný text Char"/>
    <w:link w:val="BodyText"/>
    <w:uiPriority w:val="99"/>
    <w:rsid w:val="00E42519"/>
    <w:rPr>
      <w:rFonts w:ascii="Times New Roman" w:eastAsia="Times New Roman" w:hAnsi="Times New Roman" w:cs="Times New Roman"/>
      <w:b/>
      <w:sz w:val="24"/>
      <w:szCs w:val="20"/>
      <w:lang w:val="x-none" w:eastAsia="x-none"/>
    </w:rPr>
  </w:style>
  <w:style w:type="paragraph" w:styleId="BodyText3">
    <w:name w:val="Body Text 3"/>
    <w:basedOn w:val="Normal"/>
    <w:link w:val="Zkladntext3Char"/>
    <w:uiPriority w:val="99"/>
    <w:rsid w:val="00E42519"/>
    <w:pPr>
      <w:spacing w:after="0" w:line="240" w:lineRule="auto"/>
    </w:pPr>
    <w:rPr>
      <w:rFonts w:ascii="Times New Roman" w:eastAsia="Times New Roman" w:hAnsi="Times New Roman"/>
      <w:sz w:val="24"/>
      <w:szCs w:val="20"/>
      <w:lang w:val="x-none" w:eastAsia="x-none"/>
    </w:rPr>
  </w:style>
  <w:style w:type="character" w:customStyle="1" w:styleId="Zkladntext3Char">
    <w:name w:val="Základný text 3 Char"/>
    <w:link w:val="BodyText3"/>
    <w:uiPriority w:val="99"/>
    <w:rsid w:val="00E42519"/>
    <w:rPr>
      <w:rFonts w:ascii="Times New Roman" w:eastAsia="Times New Roman" w:hAnsi="Times New Roman" w:cs="Times New Roman"/>
      <w:sz w:val="24"/>
      <w:szCs w:val="20"/>
      <w:lang w:val="x-none" w:eastAsia="x-none"/>
    </w:rPr>
  </w:style>
  <w:style w:type="paragraph" w:styleId="DocumentMap">
    <w:name w:val="Document Map"/>
    <w:basedOn w:val="Normal"/>
    <w:link w:val="truktradokumentuChar"/>
    <w:rsid w:val="00E42519"/>
    <w:pPr>
      <w:shd w:val="clear" w:color="auto" w:fill="000080"/>
      <w:spacing w:after="0" w:line="240" w:lineRule="auto"/>
    </w:pPr>
    <w:rPr>
      <w:rFonts w:ascii="Tahoma" w:eastAsia="Times New Roman" w:hAnsi="Tahoma"/>
      <w:sz w:val="20"/>
      <w:szCs w:val="20"/>
      <w:lang w:val="x-none" w:eastAsia="cs-CZ"/>
    </w:rPr>
  </w:style>
  <w:style w:type="character" w:customStyle="1" w:styleId="truktradokumentuChar">
    <w:name w:val="Štruktúra dokumentu Char"/>
    <w:link w:val="DocumentMap"/>
    <w:rsid w:val="00E42519"/>
    <w:rPr>
      <w:rFonts w:ascii="Tahoma" w:eastAsia="Times New Roman" w:hAnsi="Tahoma" w:cs="Times New Roman"/>
      <w:sz w:val="20"/>
      <w:szCs w:val="20"/>
      <w:shd w:val="clear" w:color="auto" w:fill="000080"/>
      <w:lang w:val="x-none" w:eastAsia="cs-CZ"/>
    </w:rPr>
  </w:style>
  <w:style w:type="character" w:styleId="FollowedHyperlink">
    <w:name w:val="FollowedHyperlink"/>
    <w:rsid w:val="00E42519"/>
    <w:rPr>
      <w:color w:val="800080"/>
      <w:u w:val="single"/>
    </w:rPr>
  </w:style>
  <w:style w:type="character" w:styleId="CommentReference">
    <w:name w:val="annotation reference"/>
    <w:qFormat/>
    <w:rsid w:val="00E42519"/>
    <w:rPr>
      <w:sz w:val="16"/>
      <w:szCs w:val="16"/>
    </w:rPr>
  </w:style>
  <w:style w:type="paragraph" w:styleId="CommentText">
    <w:name w:val="annotation text"/>
    <w:basedOn w:val="Normal"/>
    <w:link w:val="TextkomentraChar"/>
    <w:uiPriority w:val="99"/>
    <w:rsid w:val="00E42519"/>
    <w:rPr>
      <w:sz w:val="20"/>
      <w:szCs w:val="20"/>
      <w:lang w:val="x-none" w:eastAsia="x-none"/>
    </w:rPr>
  </w:style>
  <w:style w:type="character" w:customStyle="1" w:styleId="TextkomentraChar">
    <w:name w:val="Text komentára Char"/>
    <w:link w:val="CommentText"/>
    <w:uiPriority w:val="99"/>
    <w:rsid w:val="00E42519"/>
    <w:rPr>
      <w:rFonts w:ascii="Calibri" w:eastAsia="Calibri" w:hAnsi="Calibri" w:cs="Times New Roman"/>
      <w:sz w:val="20"/>
      <w:szCs w:val="20"/>
      <w:lang w:val="x-none"/>
    </w:rPr>
  </w:style>
  <w:style w:type="paragraph" w:styleId="CommentSubject">
    <w:name w:val="annotation subject"/>
    <w:basedOn w:val="CommentText"/>
    <w:next w:val="CommentText"/>
    <w:link w:val="PredmetkomentraChar"/>
    <w:uiPriority w:val="99"/>
    <w:rsid w:val="00E42519"/>
    <w:rPr>
      <w:b/>
      <w:bCs/>
      <w:lang w:eastAsia="x-none"/>
    </w:rPr>
  </w:style>
  <w:style w:type="character" w:customStyle="1" w:styleId="PredmetkomentraChar">
    <w:name w:val="Predmet komentára Char"/>
    <w:link w:val="CommentSubject"/>
    <w:uiPriority w:val="99"/>
    <w:rsid w:val="00E42519"/>
    <w:rPr>
      <w:rFonts w:ascii="Calibri" w:eastAsia="Calibri" w:hAnsi="Calibri" w:cs="Times New Roman"/>
      <w:b/>
      <w:bCs/>
      <w:sz w:val="20"/>
      <w:szCs w:val="20"/>
      <w:lang w:val="x-none"/>
    </w:rPr>
  </w:style>
  <w:style w:type="paragraph" w:styleId="Title">
    <w:name w:val="Title"/>
    <w:basedOn w:val="Normal"/>
    <w:link w:val="NzovChar"/>
    <w:uiPriority w:val="10"/>
    <w:qFormat/>
    <w:rsid w:val="00E42519"/>
    <w:pPr>
      <w:spacing w:after="0" w:line="240" w:lineRule="auto"/>
      <w:jc w:val="center"/>
    </w:pPr>
    <w:rPr>
      <w:rFonts w:ascii="Times New Roman" w:eastAsia="Times New Roman" w:hAnsi="Times New Roman"/>
      <w:b/>
      <w:bCs/>
      <w:sz w:val="28"/>
      <w:szCs w:val="20"/>
      <w:lang w:val="x-none" w:eastAsia="x-none"/>
    </w:rPr>
  </w:style>
  <w:style w:type="character" w:customStyle="1" w:styleId="NzovChar">
    <w:name w:val="Názov Char"/>
    <w:link w:val="Title"/>
    <w:uiPriority w:val="10"/>
    <w:rsid w:val="00E42519"/>
    <w:rPr>
      <w:rFonts w:ascii="Times New Roman" w:eastAsia="Times New Roman" w:hAnsi="Times New Roman" w:cs="Times New Roman"/>
      <w:b/>
      <w:bCs/>
      <w:sz w:val="28"/>
      <w:szCs w:val="20"/>
      <w:lang w:val="x-none" w:eastAsia="x-none"/>
    </w:rPr>
  </w:style>
  <w:style w:type="paragraph" w:customStyle="1" w:styleId="msolistparagraph">
    <w:name w:val="msolistparagraph"/>
    <w:basedOn w:val="Normal"/>
    <w:rsid w:val="00E42519"/>
    <w:pPr>
      <w:spacing w:after="0" w:line="240" w:lineRule="auto"/>
      <w:ind w:left="720"/>
    </w:pPr>
    <w:rPr>
      <w:rFonts w:eastAsia="Times New Roman"/>
      <w:lang w:eastAsia="sk-SK"/>
    </w:rPr>
  </w:style>
  <w:style w:type="paragraph" w:styleId="NoSpacing">
    <w:name w:val="No Spacing"/>
    <w:uiPriority w:val="1"/>
    <w:qFormat/>
    <w:rsid w:val="00E42519"/>
    <w:pPr>
      <w:jc w:val="both"/>
    </w:pPr>
    <w:rPr>
      <w:rFonts w:eastAsia="Times New Roman"/>
      <w:sz w:val="22"/>
      <w:szCs w:val="22"/>
      <w:lang w:val="sk-SK" w:eastAsia="en-US" w:bidi="ar-SA"/>
    </w:rPr>
  </w:style>
  <w:style w:type="paragraph" w:customStyle="1" w:styleId="1podsek">
    <w:name w:val="1podsek"/>
    <w:basedOn w:val="ListParagraph"/>
    <w:qFormat/>
    <w:rsid w:val="00E42519"/>
    <w:pPr>
      <w:numPr>
        <w:ilvl w:val="0"/>
        <w:numId w:val="9"/>
      </w:numPr>
      <w:autoSpaceDE w:val="0"/>
      <w:autoSpaceDN w:val="0"/>
      <w:adjustRightInd w:val="0"/>
      <w:contextualSpacing/>
      <w:jc w:val="both"/>
    </w:pPr>
    <w:rPr>
      <w:lang w:eastAsia="sk-SK"/>
    </w:rPr>
  </w:style>
  <w:style w:type="table" w:styleId="TableGrid">
    <w:name w:val="Table Grid"/>
    <w:basedOn w:val="TableNormal"/>
    <w:uiPriority w:val="39"/>
    <w:rsid w:val="00E4251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
    <w:name w:val="Norm‡lny"/>
    <w:basedOn w:val="Normal"/>
    <w:rsid w:val="00E42519"/>
    <w:pPr>
      <w:widowControl w:val="0"/>
      <w:spacing w:after="0" w:line="240" w:lineRule="auto"/>
    </w:pPr>
    <w:rPr>
      <w:rFonts w:ascii="Times New Roman" w:eastAsia="Times New Roman" w:hAnsi="Times New Roman"/>
      <w:color w:val="000000"/>
      <w:sz w:val="20"/>
      <w:szCs w:val="20"/>
      <w:lang w:eastAsia="sk-SK"/>
    </w:rPr>
  </w:style>
  <w:style w:type="character" w:styleId="PlaceholderText">
    <w:name w:val="Placeholder Text"/>
    <w:aliases w:val="Text zástupného symbolu"/>
    <w:semiHidden/>
    <w:rsid w:val="00E42519"/>
    <w:rPr>
      <w:rFonts w:ascii="Times New Roman" w:hAnsi="Times New Roman" w:cs="Times New Roman"/>
      <w:color w:val="808080"/>
    </w:rPr>
  </w:style>
  <w:style w:type="paragraph" w:styleId="BodyTextIndent2">
    <w:name w:val="Body Text Indent 2"/>
    <w:basedOn w:val="Normal"/>
    <w:link w:val="Zarkazkladnhotextu2Char"/>
    <w:uiPriority w:val="99"/>
    <w:rsid w:val="00E42519"/>
    <w:pPr>
      <w:spacing w:after="120" w:line="480" w:lineRule="auto"/>
      <w:ind w:left="283"/>
    </w:pPr>
    <w:rPr>
      <w:sz w:val="20"/>
      <w:szCs w:val="20"/>
      <w:lang w:val="x-none" w:eastAsia="x-none"/>
    </w:rPr>
  </w:style>
  <w:style w:type="character" w:customStyle="1" w:styleId="Zarkazkladnhotextu2Char">
    <w:name w:val="Zarážka základného textu 2 Char"/>
    <w:link w:val="BodyTextIndent2"/>
    <w:uiPriority w:val="99"/>
    <w:rsid w:val="00E42519"/>
    <w:rPr>
      <w:rFonts w:ascii="Calibri" w:eastAsia="Calibri" w:hAnsi="Calibri" w:cs="Times New Roman"/>
      <w:lang w:val="x-none"/>
    </w:rPr>
  </w:style>
  <w:style w:type="paragraph" w:styleId="Subtitle">
    <w:name w:val="Subtitle"/>
    <w:basedOn w:val="Normal"/>
    <w:link w:val="PodtitulChar"/>
    <w:uiPriority w:val="11"/>
    <w:qFormat/>
    <w:rsid w:val="00E42519"/>
    <w:pPr>
      <w:spacing w:after="0" w:line="240" w:lineRule="auto"/>
      <w:jc w:val="both"/>
    </w:pPr>
    <w:rPr>
      <w:rFonts w:ascii="Times New Roman" w:eastAsia="Times New Roman" w:hAnsi="Times New Roman"/>
      <w:b/>
      <w:bCs/>
      <w:sz w:val="24"/>
      <w:szCs w:val="24"/>
      <w:lang w:val="x-none" w:eastAsia="cs-CZ"/>
    </w:rPr>
  </w:style>
  <w:style w:type="character" w:customStyle="1" w:styleId="PodtitulChar">
    <w:name w:val="Podtitul Char"/>
    <w:link w:val="Subtitle"/>
    <w:uiPriority w:val="11"/>
    <w:rsid w:val="00E42519"/>
    <w:rPr>
      <w:rFonts w:ascii="Times New Roman" w:eastAsia="Times New Roman" w:hAnsi="Times New Roman" w:cs="Times New Roman"/>
      <w:b/>
      <w:bCs/>
      <w:sz w:val="24"/>
      <w:szCs w:val="24"/>
      <w:lang w:val="x-none" w:eastAsia="cs-CZ"/>
    </w:rPr>
  </w:style>
  <w:style w:type="paragraph" w:styleId="TOC6">
    <w:name w:val="toc 6"/>
    <w:basedOn w:val="Normal"/>
    <w:next w:val="Normal"/>
    <w:autoRedefine/>
    <w:uiPriority w:val="39"/>
    <w:rsid w:val="00E42519"/>
    <w:pPr>
      <w:ind w:left="1100"/>
    </w:pPr>
  </w:style>
  <w:style w:type="paragraph" w:styleId="EndnoteText">
    <w:name w:val="endnote text"/>
    <w:basedOn w:val="Normal"/>
    <w:link w:val="TextvysvetlivkyChar2"/>
    <w:uiPriority w:val="99"/>
    <w:semiHidden/>
    <w:unhideWhenUsed/>
    <w:rsid w:val="00E42519"/>
    <w:pPr>
      <w:spacing w:after="0" w:line="240" w:lineRule="auto"/>
    </w:pPr>
    <w:rPr>
      <w:sz w:val="20"/>
      <w:szCs w:val="20"/>
      <w:lang w:val="x-none" w:eastAsia="x-none"/>
    </w:rPr>
  </w:style>
  <w:style w:type="numbering" w:customStyle="1" w:styleId="Bezzoznamu1">
    <w:name w:val="Bez zoznamu1"/>
    <w:next w:val="NoList"/>
    <w:uiPriority w:val="99"/>
    <w:semiHidden/>
    <w:unhideWhenUsed/>
    <w:rsid w:val="00E42519"/>
  </w:style>
  <w:style w:type="character" w:styleId="FootnoteReference">
    <w:name w:val="footnote reference"/>
    <w:aliases w:val="Footnote reference number,Footnote symbol"/>
    <w:uiPriority w:val="99"/>
    <w:qFormat/>
    <w:rsid w:val="00E42519"/>
    <w:rPr>
      <w:rFonts w:cs="Times New Roman"/>
      <w:vertAlign w:val="superscript"/>
    </w:rPr>
  </w:style>
  <w:style w:type="paragraph" w:customStyle="1" w:styleId="WW-Prosttext">
    <w:name w:val="WW-Prostý text"/>
    <w:basedOn w:val="Normal"/>
    <w:uiPriority w:val="99"/>
    <w:rsid w:val="00E42519"/>
    <w:pPr>
      <w:suppressAutoHyphens/>
      <w:autoSpaceDE w:val="0"/>
      <w:autoSpaceDN w:val="0"/>
      <w:spacing w:after="0" w:line="240" w:lineRule="auto"/>
      <w:jc w:val="both"/>
    </w:pPr>
    <w:rPr>
      <w:rFonts w:ascii="Courier New" w:eastAsia="Times New Roman" w:hAnsi="Courier New" w:cs="Courier New"/>
      <w:noProof/>
      <w:sz w:val="20"/>
      <w:szCs w:val="20"/>
      <w:lang w:val="en-US" w:eastAsia="sk-SK"/>
    </w:rPr>
  </w:style>
  <w:style w:type="paragraph" w:styleId="BodyText2">
    <w:name w:val="Body Text 2"/>
    <w:basedOn w:val="Normal"/>
    <w:link w:val="Zkladntext2Char"/>
    <w:uiPriority w:val="99"/>
    <w:rsid w:val="00E42519"/>
    <w:pPr>
      <w:autoSpaceDE w:val="0"/>
      <w:autoSpaceDN w:val="0"/>
      <w:spacing w:after="0" w:line="240" w:lineRule="auto"/>
      <w:jc w:val="both"/>
    </w:pPr>
    <w:rPr>
      <w:rFonts w:ascii="Times New Roman" w:eastAsia="Times New Roman" w:hAnsi="Times New Roman"/>
      <w:sz w:val="24"/>
      <w:szCs w:val="24"/>
      <w:lang w:val="x-none" w:eastAsia="x-none"/>
    </w:rPr>
  </w:style>
  <w:style w:type="character" w:customStyle="1" w:styleId="Zkladntext2Char">
    <w:name w:val="Základný text 2 Char"/>
    <w:link w:val="BodyText2"/>
    <w:uiPriority w:val="99"/>
    <w:rsid w:val="00E42519"/>
    <w:rPr>
      <w:rFonts w:ascii="Times New Roman" w:eastAsia="Times New Roman" w:hAnsi="Times New Roman" w:cs="Times New Roman"/>
      <w:sz w:val="24"/>
      <w:szCs w:val="24"/>
      <w:lang w:val="x-none" w:eastAsia="x-none"/>
    </w:rPr>
  </w:style>
  <w:style w:type="character" w:customStyle="1" w:styleId="TextvysvetlivkyChar">
    <w:name w:val="Text vysvetlivky Char"/>
    <w:uiPriority w:val="99"/>
    <w:rsid w:val="00E42519"/>
    <w:rPr>
      <w:rFonts w:ascii="Times New Roman" w:eastAsia="Times New Roman" w:hAnsi="Times New Roman"/>
    </w:rPr>
  </w:style>
  <w:style w:type="character" w:styleId="PageNumber">
    <w:name w:val="page number"/>
    <w:uiPriority w:val="99"/>
    <w:rsid w:val="00E42519"/>
    <w:rPr>
      <w:rFonts w:cs="Times New Roman"/>
    </w:rPr>
  </w:style>
  <w:style w:type="paragraph" w:customStyle="1" w:styleId="Paragraf">
    <w:name w:val="Paragraf"/>
    <w:basedOn w:val="ListNumber"/>
    <w:next w:val="ListNumber"/>
    <w:uiPriority w:val="99"/>
    <w:rsid w:val="00E42519"/>
    <w:pPr>
      <w:tabs>
        <w:tab w:val="num" w:pos="720"/>
      </w:tabs>
      <w:spacing w:before="360" w:after="360"/>
      <w:ind w:left="720" w:hanging="180"/>
      <w:jc w:val="center"/>
    </w:pPr>
    <w:rPr>
      <w:b/>
      <w:bCs/>
    </w:rPr>
  </w:style>
  <w:style w:type="paragraph" w:styleId="ListNumber">
    <w:name w:val="List Number"/>
    <w:basedOn w:val="Normal"/>
    <w:uiPriority w:val="99"/>
    <w:rsid w:val="00E42519"/>
    <w:pPr>
      <w:autoSpaceDE w:val="0"/>
      <w:autoSpaceDN w:val="0"/>
      <w:spacing w:before="120" w:after="120" w:line="240" w:lineRule="auto"/>
      <w:jc w:val="both"/>
    </w:pPr>
    <w:rPr>
      <w:rFonts w:ascii="Times New Roman" w:eastAsia="Times New Roman" w:hAnsi="Times New Roman"/>
      <w:sz w:val="24"/>
      <w:szCs w:val="24"/>
      <w:lang w:eastAsia="sk-SK"/>
    </w:rPr>
  </w:style>
  <w:style w:type="paragraph" w:styleId="EnvelopeReturn">
    <w:name w:val="envelope return"/>
    <w:basedOn w:val="Normal"/>
    <w:uiPriority w:val="99"/>
    <w:rsid w:val="00E42519"/>
    <w:pPr>
      <w:suppressAutoHyphens/>
      <w:autoSpaceDE w:val="0"/>
      <w:autoSpaceDN w:val="0"/>
      <w:spacing w:before="120" w:after="120" w:line="240" w:lineRule="auto"/>
      <w:jc w:val="both"/>
    </w:pPr>
    <w:rPr>
      <w:rFonts w:ascii="Times New Roman" w:eastAsia="Times New Roman" w:hAnsi="Times New Roman"/>
      <w:sz w:val="24"/>
      <w:szCs w:val="24"/>
      <w:lang w:eastAsia="sk-SK"/>
    </w:rPr>
  </w:style>
  <w:style w:type="table" w:customStyle="1" w:styleId="Mriekatabuky1">
    <w:name w:val="Mriežka tabuľky1"/>
    <w:basedOn w:val="TableNormal"/>
    <w:next w:val="TableGrid"/>
    <w:uiPriority w:val="59"/>
    <w:locked/>
    <w:rsid w:val="00E42519"/>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TableNormal"/>
    <w:next w:val="TableGrid"/>
    <w:uiPriority w:val="59"/>
    <w:rsid w:val="00E4251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TableNormal"/>
    <w:next w:val="TableGrid"/>
    <w:uiPriority w:val="59"/>
    <w:rsid w:val="00E4251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TableNormal"/>
    <w:next w:val="TableGrid"/>
    <w:uiPriority w:val="99"/>
    <w:unhideWhenUsed/>
    <w:rsid w:val="00E42519"/>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NoList"/>
    <w:uiPriority w:val="99"/>
    <w:semiHidden/>
    <w:unhideWhenUsed/>
    <w:rsid w:val="00E42519"/>
  </w:style>
  <w:style w:type="table" w:customStyle="1" w:styleId="Mriekatabuky5">
    <w:name w:val="Mriežka tabuľky5"/>
    <w:basedOn w:val="TableNormal"/>
    <w:next w:val="TableGrid"/>
    <w:uiPriority w:val="59"/>
    <w:rsid w:val="00E4251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42519"/>
    <w:rPr>
      <w:rFonts w:cs="Times New Roman"/>
      <w:i/>
      <w:iCs/>
    </w:rPr>
  </w:style>
  <w:style w:type="character" w:customStyle="1" w:styleId="notranslate">
    <w:name w:val="notranslate"/>
    <w:rsid w:val="00E42519"/>
    <w:rPr>
      <w:rFonts w:cs="Times New Roman"/>
    </w:rPr>
  </w:style>
  <w:style w:type="character" w:customStyle="1" w:styleId="google-src-text1">
    <w:name w:val="google-src-text1"/>
    <w:rsid w:val="00E42519"/>
    <w:rPr>
      <w:rFonts w:cs="Times New Roman"/>
      <w:vanish/>
    </w:rPr>
  </w:style>
  <w:style w:type="character" w:customStyle="1" w:styleId="absatznummer5">
    <w:name w:val="absatznummer5"/>
    <w:rsid w:val="00E42519"/>
    <w:rPr>
      <w:rFonts w:cs="Times New Roman"/>
      <w:b/>
      <w:bCs/>
    </w:rPr>
  </w:style>
  <w:style w:type="character" w:customStyle="1" w:styleId="zwititel">
    <w:name w:val="zwititel"/>
    <w:rsid w:val="00E42519"/>
    <w:rPr>
      <w:rFonts w:cs="Times New Roman"/>
    </w:rPr>
  </w:style>
  <w:style w:type="character" w:customStyle="1" w:styleId="lauftext">
    <w:name w:val="lauftext"/>
    <w:rsid w:val="00E42519"/>
    <w:rPr>
      <w:rFonts w:cs="Times New Roman"/>
    </w:rPr>
  </w:style>
  <w:style w:type="paragraph" w:customStyle="1" w:styleId="Default">
    <w:name w:val="Default"/>
    <w:rsid w:val="00E42519"/>
    <w:pPr>
      <w:autoSpaceDE w:val="0"/>
      <w:autoSpaceDN w:val="0"/>
      <w:adjustRightInd w:val="0"/>
    </w:pPr>
    <w:rPr>
      <w:rFonts w:ascii="Times New Roman" w:eastAsia="Times New Roman" w:hAnsi="Times New Roman"/>
      <w:color w:val="000000"/>
      <w:sz w:val="24"/>
      <w:szCs w:val="24"/>
      <w:lang w:val="sk-SK" w:eastAsia="en-US" w:bidi="ar-SA"/>
    </w:rPr>
  </w:style>
  <w:style w:type="numbering" w:customStyle="1" w:styleId="Bezzoznamu3">
    <w:name w:val="Bez zoznamu3"/>
    <w:next w:val="NoList"/>
    <w:uiPriority w:val="99"/>
    <w:semiHidden/>
    <w:unhideWhenUsed/>
    <w:rsid w:val="00E42519"/>
  </w:style>
  <w:style w:type="table" w:customStyle="1" w:styleId="Mriekatabuky6">
    <w:name w:val="Mriežka tabuľky6"/>
    <w:basedOn w:val="TableNormal"/>
    <w:next w:val="TableGrid"/>
    <w:uiPriority w:val="59"/>
    <w:rsid w:val="00E4251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ncovejpoznmkyChar">
    <w:name w:val="Text koncovej poznámky Char"/>
    <w:uiPriority w:val="99"/>
    <w:locked/>
    <w:rsid w:val="00E42519"/>
    <w:rPr>
      <w:rFonts w:cs="Times New Roman"/>
      <w:sz w:val="20"/>
      <w:szCs w:val="20"/>
    </w:rPr>
  </w:style>
  <w:style w:type="character" w:customStyle="1" w:styleId="WW-Predvolenpsmoodseku">
    <w:name w:val="WW-Predvolené písmo odseku"/>
    <w:uiPriority w:val="99"/>
    <w:rsid w:val="00E42519"/>
  </w:style>
  <w:style w:type="character" w:customStyle="1" w:styleId="Znakyprepoznmkupodiarou">
    <w:name w:val="Znaky pre poznámku pod čiarou"/>
    <w:uiPriority w:val="99"/>
    <w:rsid w:val="00E42519"/>
    <w:rPr>
      <w:vertAlign w:val="superscript"/>
    </w:rPr>
  </w:style>
  <w:style w:type="character" w:customStyle="1" w:styleId="WW-Znakapoznmky">
    <w:name w:val="WW-Značka poznámky"/>
    <w:rsid w:val="00E42519"/>
    <w:rPr>
      <w:sz w:val="16"/>
      <w:szCs w:val="16"/>
    </w:rPr>
  </w:style>
  <w:style w:type="character" w:customStyle="1" w:styleId="WW8Num3z0">
    <w:name w:val="WW8Num3z0"/>
    <w:uiPriority w:val="99"/>
    <w:rsid w:val="00E42519"/>
  </w:style>
  <w:style w:type="character" w:customStyle="1" w:styleId="WW8Num3z1">
    <w:name w:val="WW8Num3z1"/>
    <w:uiPriority w:val="99"/>
    <w:rsid w:val="00E42519"/>
    <w:rPr>
      <w:rFonts w:ascii="Courier New" w:hAnsi="Courier New" w:cs="Courier New"/>
    </w:rPr>
  </w:style>
  <w:style w:type="character" w:customStyle="1" w:styleId="WW8Num3z2">
    <w:name w:val="WW8Num3z2"/>
    <w:uiPriority w:val="99"/>
    <w:rsid w:val="00E42519"/>
    <w:rPr>
      <w:rFonts w:ascii="Wingdings" w:hAnsi="Wingdings" w:cs="Wingdings"/>
    </w:rPr>
  </w:style>
  <w:style w:type="character" w:customStyle="1" w:styleId="WW8Num3z3">
    <w:name w:val="WW8Num3z3"/>
    <w:uiPriority w:val="99"/>
    <w:rsid w:val="00E42519"/>
    <w:rPr>
      <w:rFonts w:ascii="Symbol" w:hAnsi="Symbol" w:cs="Symbol"/>
    </w:rPr>
  </w:style>
  <w:style w:type="character" w:customStyle="1" w:styleId="WW8Num5z0">
    <w:name w:val="WW8Num5z0"/>
    <w:uiPriority w:val="99"/>
    <w:rsid w:val="00E42519"/>
    <w:rPr>
      <w:rFonts w:ascii="Symbol" w:hAnsi="Symbol" w:cs="Symbol"/>
    </w:rPr>
  </w:style>
  <w:style w:type="character" w:customStyle="1" w:styleId="WW8Num5z1">
    <w:name w:val="WW8Num5z1"/>
    <w:uiPriority w:val="99"/>
    <w:rsid w:val="00E42519"/>
    <w:rPr>
      <w:rFonts w:ascii="Courier New" w:hAnsi="Courier New" w:cs="Courier New"/>
    </w:rPr>
  </w:style>
  <w:style w:type="character" w:customStyle="1" w:styleId="WW8Num5z2">
    <w:name w:val="WW8Num5z2"/>
    <w:uiPriority w:val="99"/>
    <w:rsid w:val="00E42519"/>
    <w:rPr>
      <w:rFonts w:ascii="Wingdings" w:hAnsi="Wingdings" w:cs="Wingdings"/>
    </w:rPr>
  </w:style>
  <w:style w:type="character" w:customStyle="1" w:styleId="WW8Num10z1">
    <w:name w:val="WW8Num10z1"/>
    <w:uiPriority w:val="99"/>
    <w:rsid w:val="00E42519"/>
    <w:rPr>
      <w:rFonts w:ascii="Symbol" w:hAnsi="Symbol" w:cs="Symbol"/>
    </w:rPr>
  </w:style>
  <w:style w:type="character" w:customStyle="1" w:styleId="WW8Num14z0">
    <w:name w:val="WW8Num14z0"/>
    <w:uiPriority w:val="99"/>
    <w:rsid w:val="00E42519"/>
    <w:rPr>
      <w:rFonts w:ascii="Symbol" w:hAnsi="Symbol" w:cs="Symbol"/>
    </w:rPr>
  </w:style>
  <w:style w:type="character" w:customStyle="1" w:styleId="WW8Num14z1">
    <w:name w:val="WW8Num14z1"/>
    <w:uiPriority w:val="99"/>
    <w:rsid w:val="00E42519"/>
    <w:rPr>
      <w:rFonts w:ascii="Courier New" w:hAnsi="Courier New" w:cs="Courier New"/>
    </w:rPr>
  </w:style>
  <w:style w:type="character" w:customStyle="1" w:styleId="WW8Num14z2">
    <w:name w:val="WW8Num14z2"/>
    <w:uiPriority w:val="99"/>
    <w:rsid w:val="00E42519"/>
    <w:rPr>
      <w:rFonts w:ascii="Wingdings" w:hAnsi="Wingdings" w:cs="Wingdings"/>
    </w:rPr>
  </w:style>
  <w:style w:type="character" w:customStyle="1" w:styleId="WW8Num16z0">
    <w:name w:val="WW8Num16z0"/>
    <w:uiPriority w:val="99"/>
    <w:rsid w:val="00E42519"/>
    <w:rPr>
      <w:b/>
      <w:bCs/>
    </w:rPr>
  </w:style>
  <w:style w:type="character" w:customStyle="1" w:styleId="WW8Num21z2">
    <w:name w:val="WW8Num21z2"/>
    <w:uiPriority w:val="99"/>
    <w:rsid w:val="00E42519"/>
  </w:style>
  <w:style w:type="character" w:customStyle="1" w:styleId="WW8Num25z2">
    <w:name w:val="WW8Num25z2"/>
    <w:uiPriority w:val="99"/>
    <w:rsid w:val="00E42519"/>
    <w:rPr>
      <w:rFonts w:ascii="Wingdings" w:hAnsi="Wingdings" w:cs="Wingdings"/>
    </w:rPr>
  </w:style>
  <w:style w:type="character" w:customStyle="1" w:styleId="WW8Num25z3">
    <w:name w:val="WW8Num25z3"/>
    <w:uiPriority w:val="99"/>
    <w:rsid w:val="00E42519"/>
    <w:rPr>
      <w:rFonts w:ascii="Symbol" w:hAnsi="Symbol" w:cs="Symbol"/>
    </w:rPr>
  </w:style>
  <w:style w:type="character" w:customStyle="1" w:styleId="WW8Num25z4">
    <w:name w:val="WW8Num25z4"/>
    <w:uiPriority w:val="99"/>
    <w:rsid w:val="00E42519"/>
    <w:rPr>
      <w:rFonts w:ascii="Courier New" w:hAnsi="Courier New" w:cs="Courier New"/>
    </w:rPr>
  </w:style>
  <w:style w:type="character" w:customStyle="1" w:styleId="WW8Num26z1">
    <w:name w:val="WW8Num26z1"/>
    <w:uiPriority w:val="99"/>
    <w:rsid w:val="00E42519"/>
    <w:rPr>
      <w:rFonts w:ascii="Symbol" w:hAnsi="Symbol" w:cs="Symbol"/>
    </w:rPr>
  </w:style>
  <w:style w:type="character" w:customStyle="1" w:styleId="WW8Num30z3">
    <w:name w:val="WW8Num30z3"/>
    <w:uiPriority w:val="99"/>
    <w:rsid w:val="00E42519"/>
    <w:rPr>
      <w:rFonts w:ascii="Symbol" w:hAnsi="Symbol" w:cs="Symbol"/>
    </w:rPr>
  </w:style>
  <w:style w:type="character" w:customStyle="1" w:styleId="WW8Num30z4">
    <w:name w:val="WW8Num30z4"/>
    <w:uiPriority w:val="99"/>
    <w:rsid w:val="00E42519"/>
    <w:rPr>
      <w:rFonts w:ascii="Courier New" w:hAnsi="Courier New" w:cs="Courier New"/>
    </w:rPr>
  </w:style>
  <w:style w:type="character" w:customStyle="1" w:styleId="WW8Num30z5">
    <w:name w:val="WW8Num30z5"/>
    <w:uiPriority w:val="99"/>
    <w:rsid w:val="00E42519"/>
    <w:rPr>
      <w:rFonts w:ascii="Wingdings" w:hAnsi="Wingdings" w:cs="Wingdings"/>
    </w:rPr>
  </w:style>
  <w:style w:type="character" w:customStyle="1" w:styleId="WW8Num40z1">
    <w:name w:val="WW8Num40z1"/>
    <w:uiPriority w:val="99"/>
    <w:rsid w:val="00E42519"/>
    <w:rPr>
      <w:rFonts w:ascii="Courier New" w:hAnsi="Courier New" w:cs="Courier New"/>
    </w:rPr>
  </w:style>
  <w:style w:type="character" w:customStyle="1" w:styleId="WW8Num40z2">
    <w:name w:val="WW8Num40z2"/>
    <w:uiPriority w:val="99"/>
    <w:rsid w:val="00E42519"/>
    <w:rPr>
      <w:rFonts w:ascii="Wingdings" w:hAnsi="Wingdings" w:cs="Wingdings"/>
    </w:rPr>
  </w:style>
  <w:style w:type="character" w:customStyle="1" w:styleId="WW8Num40z3">
    <w:name w:val="WW8Num40z3"/>
    <w:uiPriority w:val="99"/>
    <w:rsid w:val="00E42519"/>
    <w:rPr>
      <w:rFonts w:ascii="Symbol" w:hAnsi="Symbol" w:cs="Symbol"/>
    </w:rPr>
  </w:style>
  <w:style w:type="character" w:customStyle="1" w:styleId="Znakyprevysvetlivky">
    <w:name w:val="Znaky pre vysvetlivky"/>
    <w:uiPriority w:val="99"/>
    <w:rsid w:val="00E42519"/>
  </w:style>
  <w:style w:type="paragraph" w:customStyle="1" w:styleId="Nadpis0">
    <w:name w:val="Nadpis"/>
    <w:basedOn w:val="Normal"/>
    <w:next w:val="BodyText"/>
    <w:uiPriority w:val="99"/>
    <w:rsid w:val="00E42519"/>
    <w:pPr>
      <w:keepNext/>
      <w:suppressAutoHyphens/>
      <w:autoSpaceDE w:val="0"/>
      <w:autoSpaceDN w:val="0"/>
      <w:spacing w:before="240" w:after="120" w:line="240" w:lineRule="auto"/>
    </w:pPr>
    <w:rPr>
      <w:rFonts w:ascii="Albany" w:eastAsia="Times New Roman" w:hAnsi="Albany" w:cs="Albany"/>
      <w:sz w:val="28"/>
      <w:szCs w:val="28"/>
      <w:lang w:eastAsia="sk-SK"/>
    </w:rPr>
  </w:style>
  <w:style w:type="paragraph" w:customStyle="1" w:styleId="WW-Zkladntext2">
    <w:name w:val="WW-Základný text 2"/>
    <w:basedOn w:val="Normal"/>
    <w:uiPriority w:val="99"/>
    <w:rsid w:val="00E42519"/>
    <w:pPr>
      <w:suppressAutoHyphens/>
      <w:autoSpaceDE w:val="0"/>
      <w:autoSpaceDN w:val="0"/>
      <w:spacing w:after="120" w:line="480" w:lineRule="auto"/>
    </w:pPr>
    <w:rPr>
      <w:rFonts w:ascii="Times New Roman" w:eastAsia="Times New Roman" w:hAnsi="Times New Roman"/>
      <w:sz w:val="24"/>
      <w:szCs w:val="24"/>
      <w:lang w:eastAsia="sk-SK"/>
    </w:rPr>
  </w:style>
  <w:style w:type="paragraph" w:customStyle="1" w:styleId="WW-Obyajntext">
    <w:name w:val="WW-Obyčajný text"/>
    <w:basedOn w:val="Normal"/>
    <w:uiPriority w:val="99"/>
    <w:rsid w:val="00E42519"/>
    <w:pPr>
      <w:suppressAutoHyphens/>
      <w:autoSpaceDE w:val="0"/>
      <w:autoSpaceDN w:val="0"/>
      <w:spacing w:after="0" w:line="240" w:lineRule="auto"/>
      <w:jc w:val="both"/>
    </w:pPr>
    <w:rPr>
      <w:rFonts w:ascii="Courier New" w:eastAsia="Times New Roman" w:hAnsi="Courier New" w:cs="Courier New"/>
      <w:sz w:val="20"/>
      <w:szCs w:val="20"/>
      <w:lang w:eastAsia="sk-SK"/>
    </w:rPr>
  </w:style>
  <w:style w:type="paragraph" w:customStyle="1" w:styleId="Heding2Nadpistun">
    <w:name w:val="Heding2.Nadpis tučný"/>
    <w:basedOn w:val="Normal"/>
    <w:uiPriority w:val="99"/>
    <w:rsid w:val="00E42519"/>
    <w:pPr>
      <w:suppressAutoHyphens/>
      <w:autoSpaceDE w:val="0"/>
      <w:autoSpaceDN w:val="0"/>
      <w:spacing w:after="0" w:line="240" w:lineRule="auto"/>
      <w:jc w:val="center"/>
    </w:pPr>
    <w:rPr>
      <w:rFonts w:ascii="Times New Roman" w:eastAsia="Times New Roman" w:hAnsi="Times New Roman"/>
      <w:b/>
      <w:bCs/>
      <w:sz w:val="24"/>
      <w:szCs w:val="24"/>
      <w:lang w:eastAsia="sk-SK"/>
    </w:rPr>
  </w:style>
  <w:style w:type="paragraph" w:customStyle="1" w:styleId="Style1">
    <w:name w:val="Style1"/>
    <w:basedOn w:val="Normal"/>
    <w:uiPriority w:val="99"/>
    <w:rsid w:val="00E42519"/>
    <w:pPr>
      <w:suppressAutoHyphens/>
      <w:autoSpaceDE w:val="0"/>
      <w:autoSpaceDN w:val="0"/>
      <w:spacing w:after="0" w:line="240" w:lineRule="auto"/>
      <w:jc w:val="center"/>
    </w:pPr>
    <w:rPr>
      <w:rFonts w:ascii="Times New Roman" w:eastAsia="Times New Roman" w:hAnsi="Times New Roman"/>
      <w:sz w:val="24"/>
      <w:szCs w:val="24"/>
      <w:lang w:eastAsia="sk-SK"/>
    </w:rPr>
  </w:style>
  <w:style w:type="paragraph" w:styleId="BodyTextIndent3">
    <w:name w:val="Body Text Indent 3"/>
    <w:basedOn w:val="Normal"/>
    <w:link w:val="Zarkazkladnhotextu3Char"/>
    <w:uiPriority w:val="99"/>
    <w:rsid w:val="00E42519"/>
    <w:pPr>
      <w:suppressAutoHyphens/>
      <w:autoSpaceDE w:val="0"/>
      <w:autoSpaceDN w:val="0"/>
      <w:spacing w:after="0" w:line="240" w:lineRule="auto"/>
      <w:ind w:left="426"/>
      <w:jc w:val="both"/>
    </w:pPr>
    <w:rPr>
      <w:rFonts w:ascii="Times New Roman" w:eastAsia="Times New Roman" w:hAnsi="Times New Roman"/>
      <w:sz w:val="16"/>
      <w:szCs w:val="16"/>
      <w:lang w:val="x-none" w:eastAsia="x-none"/>
    </w:rPr>
  </w:style>
  <w:style w:type="character" w:customStyle="1" w:styleId="Zarkazkladnhotextu3Char">
    <w:name w:val="Zarážka základného textu 3 Char"/>
    <w:link w:val="BodyTextIndent3"/>
    <w:uiPriority w:val="99"/>
    <w:rsid w:val="00E42519"/>
    <w:rPr>
      <w:rFonts w:ascii="Times New Roman" w:eastAsia="Times New Roman" w:hAnsi="Times New Roman" w:cs="Times New Roman"/>
      <w:sz w:val="16"/>
      <w:szCs w:val="16"/>
      <w:lang w:val="x-none" w:eastAsia="x-none"/>
    </w:rPr>
  </w:style>
  <w:style w:type="paragraph" w:styleId="List3">
    <w:name w:val="List 3"/>
    <w:basedOn w:val="Normal"/>
    <w:rsid w:val="00E42519"/>
    <w:pPr>
      <w:suppressAutoHyphens/>
      <w:autoSpaceDE w:val="0"/>
      <w:autoSpaceDN w:val="0"/>
      <w:spacing w:after="0" w:line="240" w:lineRule="auto"/>
      <w:ind w:left="849" w:hanging="283"/>
    </w:pPr>
    <w:rPr>
      <w:rFonts w:ascii="Times New Roman" w:eastAsia="Times New Roman" w:hAnsi="Times New Roman"/>
      <w:sz w:val="24"/>
      <w:szCs w:val="24"/>
      <w:lang w:eastAsia="sk-SK"/>
    </w:rPr>
  </w:style>
  <w:style w:type="paragraph" w:styleId="NormalIndent">
    <w:name w:val="Normal Indent"/>
    <w:basedOn w:val="Normal"/>
    <w:rsid w:val="00E42519"/>
    <w:pPr>
      <w:suppressAutoHyphens/>
      <w:autoSpaceDE w:val="0"/>
      <w:autoSpaceDN w:val="0"/>
      <w:spacing w:after="0" w:line="240" w:lineRule="auto"/>
      <w:ind w:left="708"/>
    </w:pPr>
    <w:rPr>
      <w:rFonts w:ascii="Times New Roman" w:eastAsia="Times New Roman" w:hAnsi="Times New Roman"/>
      <w:sz w:val="24"/>
      <w:szCs w:val="24"/>
      <w:lang w:eastAsia="sk-SK"/>
    </w:rPr>
  </w:style>
  <w:style w:type="paragraph" w:styleId="BodyTextFirstIndent">
    <w:name w:val="Body Text First Indent"/>
    <w:basedOn w:val="BodyText"/>
    <w:link w:val="PrvzarkazkladnhotextuChar"/>
    <w:rsid w:val="00E42519"/>
    <w:pPr>
      <w:suppressAutoHyphens/>
      <w:autoSpaceDE w:val="0"/>
      <w:autoSpaceDN w:val="0"/>
      <w:spacing w:after="120"/>
      <w:ind w:firstLine="210"/>
    </w:pPr>
    <w:rPr>
      <w:szCs w:val="24"/>
    </w:rPr>
  </w:style>
  <w:style w:type="character" w:customStyle="1" w:styleId="PrvzarkazkladnhotextuChar">
    <w:name w:val="Prvá zarážka základného textu Char"/>
    <w:link w:val="BodyTextFirstIndent"/>
    <w:rsid w:val="00E42519"/>
    <w:rPr>
      <w:rFonts w:ascii="Times New Roman" w:eastAsia="Times New Roman" w:hAnsi="Times New Roman" w:cs="Times New Roman"/>
      <w:b/>
      <w:sz w:val="24"/>
      <w:szCs w:val="24"/>
      <w:lang w:val="x-none" w:eastAsia="x-none"/>
    </w:rPr>
  </w:style>
  <w:style w:type="paragraph" w:styleId="BodyTextIndent">
    <w:name w:val="Body Text Indent"/>
    <w:basedOn w:val="Normal"/>
    <w:link w:val="ZarkazkladnhotextuChar"/>
    <w:rsid w:val="00E42519"/>
    <w:pPr>
      <w:suppressAutoHyphens/>
      <w:autoSpaceDE w:val="0"/>
      <w:autoSpaceDN w:val="0"/>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link w:val="BodyTextIndent"/>
    <w:rsid w:val="00E42519"/>
    <w:rPr>
      <w:rFonts w:ascii="Times New Roman" w:eastAsia="Times New Roman" w:hAnsi="Times New Roman" w:cs="Times New Roman"/>
      <w:sz w:val="24"/>
      <w:szCs w:val="24"/>
      <w:lang w:val="x-none" w:eastAsia="x-none"/>
    </w:rPr>
  </w:style>
  <w:style w:type="paragraph" w:styleId="BodyTextFirstIndent2">
    <w:name w:val="Body Text First Indent 2"/>
    <w:basedOn w:val="BodyTextIndent"/>
    <w:link w:val="Prvzarkazkladnhotextu2Char"/>
    <w:rsid w:val="00E42519"/>
    <w:pPr>
      <w:ind w:firstLine="210"/>
    </w:pPr>
  </w:style>
  <w:style w:type="character" w:customStyle="1" w:styleId="Prvzarkazkladnhotextu2Char">
    <w:name w:val="Prvá zarážka základného textu 2 Char"/>
    <w:link w:val="BodyTextFirstIndent2"/>
    <w:rsid w:val="00E42519"/>
    <w:rPr>
      <w:rFonts w:ascii="Times New Roman" w:eastAsia="Times New Roman" w:hAnsi="Times New Roman" w:cs="Times New Roman"/>
      <w:sz w:val="24"/>
      <w:szCs w:val="24"/>
      <w:lang w:val="x-none" w:eastAsia="x-none"/>
    </w:rPr>
  </w:style>
  <w:style w:type="paragraph" w:customStyle="1" w:styleId="CM4">
    <w:name w:val="CM4"/>
    <w:basedOn w:val="Normal"/>
    <w:next w:val="Normal"/>
    <w:rsid w:val="00E42519"/>
    <w:pPr>
      <w:autoSpaceDE w:val="0"/>
      <w:autoSpaceDN w:val="0"/>
      <w:adjustRightInd w:val="0"/>
      <w:spacing w:after="0" w:line="240" w:lineRule="auto"/>
    </w:pPr>
    <w:rPr>
      <w:rFonts w:ascii="EUAlbertina" w:eastAsia="Times New Roman" w:hAnsi="EUAlbertina"/>
      <w:sz w:val="24"/>
      <w:szCs w:val="24"/>
      <w:lang w:val="en-US"/>
    </w:rPr>
  </w:style>
  <w:style w:type="paragraph" w:customStyle="1" w:styleId="titulok">
    <w:name w:val="titulok"/>
    <w:basedOn w:val="Normal"/>
    <w:rsid w:val="00E42519"/>
    <w:pPr>
      <w:spacing w:before="100" w:beforeAutospacing="1" w:after="100" w:afterAutospacing="1" w:line="240" w:lineRule="auto"/>
      <w:jc w:val="center"/>
    </w:pPr>
    <w:rPr>
      <w:rFonts w:ascii="Arial" w:eastAsia="Times New Roman" w:hAnsi="Arial" w:cs="Arial"/>
      <w:b/>
      <w:bCs/>
      <w:color w:val="007060"/>
      <w:sz w:val="24"/>
      <w:szCs w:val="24"/>
      <w:lang w:eastAsia="sk-SK"/>
    </w:rPr>
  </w:style>
  <w:style w:type="paragraph" w:customStyle="1" w:styleId="poznamka">
    <w:name w:val="poznamka"/>
    <w:basedOn w:val="Normal"/>
    <w:rsid w:val="00E42519"/>
    <w:pPr>
      <w:spacing w:before="100" w:beforeAutospacing="1" w:after="100" w:afterAutospacing="1" w:line="240" w:lineRule="auto"/>
    </w:pPr>
    <w:rPr>
      <w:rFonts w:ascii="Tahoma" w:eastAsia="Times New Roman" w:hAnsi="Tahoma" w:cs="Tahoma"/>
      <w:color w:val="000060"/>
      <w:sz w:val="20"/>
      <w:szCs w:val="20"/>
      <w:lang w:eastAsia="sk-SK"/>
    </w:rPr>
  </w:style>
  <w:style w:type="paragraph" w:customStyle="1" w:styleId="Normlny0">
    <w:name w:val="_Normálny"/>
    <w:basedOn w:val="Normal"/>
    <w:uiPriority w:val="99"/>
    <w:rsid w:val="00E42519"/>
    <w:pPr>
      <w:autoSpaceDE w:val="0"/>
      <w:autoSpaceDN w:val="0"/>
      <w:spacing w:after="0" w:line="240" w:lineRule="auto"/>
    </w:pPr>
    <w:rPr>
      <w:rFonts w:ascii="Times New Roman" w:eastAsia="Times New Roman" w:hAnsi="Times New Roman"/>
      <w:sz w:val="20"/>
      <w:szCs w:val="20"/>
      <w:lang w:eastAsia="sk-SK"/>
    </w:rPr>
  </w:style>
  <w:style w:type="paragraph" w:customStyle="1" w:styleId="PARA">
    <w:name w:val="PARA"/>
    <w:basedOn w:val="Normal"/>
    <w:next w:val="Normal"/>
    <w:uiPriority w:val="99"/>
    <w:rsid w:val="00E42519"/>
    <w:pPr>
      <w:keepNext/>
      <w:keepLines/>
      <w:tabs>
        <w:tab w:val="left" w:pos="680"/>
      </w:tabs>
      <w:autoSpaceDE w:val="0"/>
      <w:autoSpaceDN w:val="0"/>
      <w:spacing w:before="240" w:after="120" w:line="240" w:lineRule="auto"/>
      <w:jc w:val="center"/>
    </w:pPr>
    <w:rPr>
      <w:rFonts w:ascii="Times New Roman" w:eastAsia="Times New Roman" w:hAnsi="Times New Roman"/>
      <w:sz w:val="24"/>
      <w:szCs w:val="24"/>
      <w:lang w:val="en-US" w:eastAsia="sk-SK"/>
    </w:rPr>
  </w:style>
  <w:style w:type="paragraph" w:customStyle="1" w:styleId="abc">
    <w:name w:val="abc"/>
    <w:basedOn w:val="Normal"/>
    <w:uiPriority w:val="99"/>
    <w:rsid w:val="00E42519"/>
    <w:pPr>
      <w:widowControl w:val="0"/>
      <w:tabs>
        <w:tab w:val="left" w:pos="360"/>
        <w:tab w:val="left" w:pos="680"/>
      </w:tabs>
      <w:autoSpaceDE w:val="0"/>
      <w:autoSpaceDN w:val="0"/>
      <w:spacing w:after="0" w:line="240" w:lineRule="auto"/>
      <w:jc w:val="both"/>
    </w:pPr>
    <w:rPr>
      <w:rFonts w:ascii="Times New Roman" w:eastAsia="Times New Roman" w:hAnsi="Times New Roman"/>
      <w:sz w:val="20"/>
      <w:szCs w:val="20"/>
      <w:lang w:eastAsia="sk-SK"/>
    </w:rPr>
  </w:style>
  <w:style w:type="character" w:customStyle="1" w:styleId="WW-Znakyprepoznmkupodiarou">
    <w:name w:val="WW-Znaky pre poznámku pod čiarou"/>
    <w:uiPriority w:val="99"/>
    <w:rsid w:val="00E42519"/>
    <w:rPr>
      <w:vertAlign w:val="superscript"/>
    </w:rPr>
  </w:style>
  <w:style w:type="character" w:customStyle="1" w:styleId="WW8Num7z0">
    <w:name w:val="WW8Num7z0"/>
    <w:uiPriority w:val="99"/>
    <w:rsid w:val="00E42519"/>
    <w:rPr>
      <w:rFonts w:ascii="Symbol" w:hAnsi="Symbol"/>
    </w:rPr>
  </w:style>
  <w:style w:type="character" w:customStyle="1" w:styleId="WW-Standardnpsmoodstavce">
    <w:name w:val="WW-Standardní písmo odstavce"/>
    <w:uiPriority w:val="99"/>
    <w:rsid w:val="00E42519"/>
  </w:style>
  <w:style w:type="paragraph" w:customStyle="1" w:styleId="WW-Zkladntext3">
    <w:name w:val="WW-Základný text 3"/>
    <w:basedOn w:val="Normal"/>
    <w:uiPriority w:val="99"/>
    <w:rsid w:val="00E42519"/>
    <w:pPr>
      <w:suppressAutoHyphens/>
      <w:autoSpaceDE w:val="0"/>
      <w:autoSpaceDN w:val="0"/>
      <w:spacing w:after="0" w:line="240" w:lineRule="auto"/>
      <w:jc w:val="both"/>
    </w:pPr>
    <w:rPr>
      <w:rFonts w:ascii="Times New Roman" w:eastAsia="Times New Roman" w:hAnsi="Times New Roman"/>
      <w:sz w:val="24"/>
      <w:szCs w:val="24"/>
      <w:lang w:eastAsia="sk-SK"/>
    </w:rPr>
  </w:style>
  <w:style w:type="character" w:customStyle="1" w:styleId="WW8Num25z0">
    <w:name w:val="WW8Num25z0"/>
    <w:uiPriority w:val="99"/>
    <w:rsid w:val="00E42519"/>
  </w:style>
  <w:style w:type="character" w:customStyle="1" w:styleId="WW8Num27z0">
    <w:name w:val="WW8Num27z0"/>
    <w:uiPriority w:val="99"/>
    <w:rsid w:val="00E42519"/>
    <w:rPr>
      <w:rFonts w:ascii="Symbol" w:hAnsi="Symbol"/>
    </w:rPr>
  </w:style>
  <w:style w:type="character" w:customStyle="1" w:styleId="WW8Num29z0">
    <w:name w:val="WW8Num29z0"/>
    <w:uiPriority w:val="99"/>
    <w:rsid w:val="00E42519"/>
    <w:rPr>
      <w:rFonts w:ascii="Symbol" w:hAnsi="Symbol"/>
    </w:rPr>
  </w:style>
  <w:style w:type="character" w:customStyle="1" w:styleId="WW8Num35z0">
    <w:name w:val="WW8Num35z0"/>
    <w:uiPriority w:val="99"/>
    <w:rsid w:val="00E42519"/>
    <w:rPr>
      <w:rFonts w:ascii="Symbol" w:hAnsi="Symbol"/>
    </w:rPr>
  </w:style>
  <w:style w:type="paragraph" w:styleId="PlainText">
    <w:name w:val="Plain Text"/>
    <w:basedOn w:val="Normal"/>
    <w:link w:val="ObyajntextChar"/>
    <w:uiPriority w:val="99"/>
    <w:rsid w:val="00E42519"/>
    <w:pPr>
      <w:autoSpaceDE w:val="0"/>
      <w:autoSpaceDN w:val="0"/>
      <w:spacing w:after="0" w:line="240" w:lineRule="auto"/>
      <w:jc w:val="both"/>
    </w:pPr>
    <w:rPr>
      <w:rFonts w:ascii="Courier New" w:eastAsia="Times New Roman" w:hAnsi="Courier New"/>
      <w:sz w:val="20"/>
      <w:szCs w:val="20"/>
      <w:lang w:val="x-none" w:eastAsia="x-none"/>
    </w:rPr>
  </w:style>
  <w:style w:type="character" w:customStyle="1" w:styleId="ObyajntextChar">
    <w:name w:val="Obyčajný text Char"/>
    <w:link w:val="PlainText"/>
    <w:uiPriority w:val="99"/>
    <w:rsid w:val="00E42519"/>
    <w:rPr>
      <w:rFonts w:ascii="Courier New" w:eastAsia="Times New Roman" w:hAnsi="Courier New" w:cs="Times New Roman"/>
      <w:sz w:val="20"/>
      <w:szCs w:val="20"/>
      <w:lang w:val="x-none" w:eastAsia="x-none"/>
    </w:rPr>
  </w:style>
  <w:style w:type="paragraph" w:customStyle="1" w:styleId="FR1">
    <w:name w:val="FR1"/>
    <w:uiPriority w:val="99"/>
    <w:rsid w:val="00E42519"/>
    <w:pPr>
      <w:widowControl w:val="0"/>
      <w:autoSpaceDE w:val="0"/>
      <w:autoSpaceDN w:val="0"/>
      <w:spacing w:before="60"/>
    </w:pPr>
    <w:rPr>
      <w:rFonts w:ascii="Arial" w:eastAsia="Times New Roman" w:hAnsi="Arial" w:cs="Arial"/>
      <w:i/>
      <w:iCs/>
      <w:sz w:val="16"/>
      <w:szCs w:val="16"/>
      <w:lang w:val="sk-SK" w:eastAsia="sk-SK" w:bidi="ar-SA"/>
    </w:rPr>
  </w:style>
  <w:style w:type="paragraph" w:styleId="BlockText">
    <w:name w:val="Block Text"/>
    <w:basedOn w:val="Normal"/>
    <w:rsid w:val="00E42519"/>
    <w:pPr>
      <w:autoSpaceDE w:val="0"/>
      <w:autoSpaceDN w:val="0"/>
      <w:spacing w:after="0" w:line="240" w:lineRule="auto"/>
      <w:ind w:left="113" w:right="113"/>
      <w:jc w:val="center"/>
    </w:pPr>
    <w:rPr>
      <w:rFonts w:ascii="Times New Roman" w:eastAsia="Times New Roman" w:hAnsi="Times New Roman"/>
      <w:b/>
      <w:bCs/>
      <w:sz w:val="20"/>
      <w:szCs w:val="20"/>
      <w:lang w:eastAsia="sk-SK"/>
    </w:rPr>
  </w:style>
  <w:style w:type="character" w:customStyle="1" w:styleId="super">
    <w:name w:val="super"/>
    <w:rsid w:val="00E42519"/>
    <w:rPr>
      <w:rFonts w:ascii="inherit" w:hAnsi="inherit"/>
      <w:sz w:val="17"/>
      <w:vertAlign w:val="superscript"/>
    </w:rPr>
  </w:style>
  <w:style w:type="paragraph" w:customStyle="1" w:styleId="tbl-hdr">
    <w:name w:val="tbl-hdr"/>
    <w:basedOn w:val="Normal"/>
    <w:rsid w:val="00E42519"/>
    <w:pPr>
      <w:spacing w:before="60" w:after="60" w:line="240" w:lineRule="auto"/>
      <w:ind w:right="195"/>
      <w:jc w:val="center"/>
    </w:pPr>
    <w:rPr>
      <w:rFonts w:ascii="inherit" w:eastAsia="Times New Roman" w:hAnsi="inherit"/>
      <w:b/>
      <w:bCs/>
      <w:lang w:eastAsia="sk-SK"/>
    </w:rPr>
  </w:style>
  <w:style w:type="paragraph" w:customStyle="1" w:styleId="tbl-txt">
    <w:name w:val="tbl-txt"/>
    <w:basedOn w:val="Normal"/>
    <w:rsid w:val="00E42519"/>
    <w:pPr>
      <w:spacing w:before="60" w:after="60" w:line="240" w:lineRule="auto"/>
    </w:pPr>
    <w:rPr>
      <w:rFonts w:ascii="inherit" w:eastAsia="Times New Roman" w:hAnsi="inherit"/>
      <w:lang w:eastAsia="sk-SK"/>
    </w:rPr>
  </w:style>
  <w:style w:type="paragraph" w:customStyle="1" w:styleId="ti-tbl">
    <w:name w:val="ti-tbl"/>
    <w:basedOn w:val="Normal"/>
    <w:rsid w:val="00E42519"/>
    <w:pPr>
      <w:spacing w:before="120" w:after="120" w:line="240" w:lineRule="auto"/>
      <w:jc w:val="center"/>
    </w:pPr>
    <w:rPr>
      <w:rFonts w:ascii="inherit" w:eastAsia="Times New Roman" w:hAnsi="inherit"/>
      <w:sz w:val="24"/>
      <w:szCs w:val="24"/>
      <w:lang w:eastAsia="sk-SK"/>
    </w:rPr>
  </w:style>
  <w:style w:type="character" w:customStyle="1" w:styleId="bold">
    <w:name w:val="bold"/>
    <w:rsid w:val="00E42519"/>
    <w:rPr>
      <w:rFonts w:ascii="inherit" w:hAnsi="inherit"/>
      <w:b/>
    </w:rPr>
  </w:style>
  <w:style w:type="character" w:customStyle="1" w:styleId="italic">
    <w:name w:val="italic"/>
    <w:rsid w:val="00E42519"/>
    <w:rPr>
      <w:rFonts w:ascii="inherit" w:hAnsi="inherit"/>
      <w:i/>
    </w:rPr>
  </w:style>
  <w:style w:type="paragraph" w:customStyle="1" w:styleId="tbl-num">
    <w:name w:val="tbl-num"/>
    <w:basedOn w:val="Normal"/>
    <w:rsid w:val="00E42519"/>
    <w:pPr>
      <w:spacing w:before="60" w:after="60" w:line="240" w:lineRule="auto"/>
      <w:ind w:right="195"/>
      <w:jc w:val="right"/>
    </w:pPr>
    <w:rPr>
      <w:rFonts w:ascii="inherit" w:eastAsia="Times New Roman" w:hAnsi="inherit"/>
      <w:lang w:eastAsia="sk-SK"/>
    </w:rPr>
  </w:style>
  <w:style w:type="character" w:customStyle="1" w:styleId="sub">
    <w:name w:val="sub"/>
    <w:rsid w:val="00E42519"/>
    <w:rPr>
      <w:rFonts w:ascii="inherit" w:hAnsi="inherit"/>
      <w:sz w:val="17"/>
      <w:vertAlign w:val="subscript"/>
    </w:rPr>
  </w:style>
  <w:style w:type="paragraph" w:styleId="TOC4">
    <w:name w:val="toc 4"/>
    <w:basedOn w:val="Normal"/>
    <w:next w:val="Normal"/>
    <w:autoRedefine/>
    <w:uiPriority w:val="39"/>
    <w:rsid w:val="00E42519"/>
    <w:pPr>
      <w:ind w:left="660"/>
    </w:pPr>
  </w:style>
  <w:style w:type="character" w:customStyle="1" w:styleId="h1a2">
    <w:name w:val="h1a2"/>
    <w:rsid w:val="00E42519"/>
    <w:rPr>
      <w:sz w:val="24"/>
    </w:rPr>
  </w:style>
  <w:style w:type="table" w:customStyle="1" w:styleId="Mriekatabuky11">
    <w:name w:val="Mriežka tabuľky11"/>
    <w:basedOn w:val="TableNormal"/>
    <w:next w:val="TableGrid"/>
    <w:uiPriority w:val="59"/>
    <w:rsid w:val="00E425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kladntext30">
    <w:name w:val="WW-Základní text 3"/>
    <w:basedOn w:val="Normal"/>
    <w:rsid w:val="00E42519"/>
    <w:pPr>
      <w:suppressAutoHyphens/>
      <w:autoSpaceDE w:val="0"/>
      <w:autoSpaceDN w:val="0"/>
      <w:spacing w:after="0" w:line="240" w:lineRule="auto"/>
      <w:jc w:val="both"/>
    </w:pPr>
    <w:rPr>
      <w:rFonts w:ascii="Times New Roman" w:eastAsia="Times New Roman" w:hAnsi="Times New Roman"/>
      <w:sz w:val="20"/>
      <w:szCs w:val="20"/>
      <w:lang w:val="hu-HU" w:eastAsia="sk-SK"/>
    </w:rPr>
  </w:style>
  <w:style w:type="paragraph" w:customStyle="1" w:styleId="Nadpis2Nadpis-tun">
    <w:name w:val="Nadpis 2.Nadpis-tučný"/>
    <w:basedOn w:val="Normal"/>
    <w:next w:val="Nadpis0"/>
    <w:uiPriority w:val="99"/>
    <w:rsid w:val="00E42519"/>
    <w:pPr>
      <w:keepNext/>
      <w:autoSpaceDE w:val="0"/>
      <w:autoSpaceDN w:val="0"/>
      <w:spacing w:before="240" w:after="240" w:line="240" w:lineRule="auto"/>
      <w:jc w:val="center"/>
      <w:outlineLvl w:val="1"/>
    </w:pPr>
    <w:rPr>
      <w:rFonts w:ascii="Times New Roman" w:eastAsia="Times New Roman" w:hAnsi="Times New Roman"/>
      <w:b/>
      <w:bCs/>
      <w:sz w:val="24"/>
      <w:szCs w:val="24"/>
      <w:lang w:eastAsia="sk-SK"/>
    </w:rPr>
  </w:style>
  <w:style w:type="paragraph" w:customStyle="1" w:styleId="Normlny10">
    <w:name w:val="Normálny1_0"/>
    <w:basedOn w:val="Normal"/>
    <w:rsid w:val="00E42519"/>
    <w:pPr>
      <w:spacing w:before="120" w:after="0" w:line="240" w:lineRule="auto"/>
      <w:jc w:val="both"/>
    </w:pPr>
    <w:rPr>
      <w:rFonts w:ascii="Times New Roman" w:eastAsia="Times New Roman" w:hAnsi="Times New Roman"/>
      <w:sz w:val="24"/>
      <w:szCs w:val="24"/>
      <w:lang w:eastAsia="sk-SK"/>
    </w:rPr>
  </w:style>
  <w:style w:type="paragraph" w:customStyle="1" w:styleId="Abecednzoznam">
    <w:name w:val="Abecedný zoznam"/>
    <w:basedOn w:val="Normal"/>
    <w:uiPriority w:val="99"/>
    <w:rsid w:val="00E42519"/>
    <w:pPr>
      <w:tabs>
        <w:tab w:val="left" w:pos="1134"/>
      </w:tabs>
      <w:spacing w:before="120" w:after="120" w:line="240" w:lineRule="auto"/>
      <w:ind w:left="-62"/>
      <w:jc w:val="both"/>
    </w:pPr>
    <w:rPr>
      <w:rFonts w:ascii="Times New Roman" w:eastAsia="Times New Roman" w:hAnsi="Times New Roman"/>
      <w:sz w:val="24"/>
      <w:szCs w:val="20"/>
      <w:lang w:eastAsia="sk-SK"/>
    </w:rPr>
  </w:style>
  <w:style w:type="character" w:customStyle="1" w:styleId="h1a">
    <w:name w:val="h1a"/>
    <w:basedOn w:val="DefaultParagraphFont"/>
    <w:rsid w:val="00E42519"/>
  </w:style>
  <w:style w:type="paragraph" w:customStyle="1" w:styleId="ppc1">
    <w:name w:val="ppc1"/>
    <w:basedOn w:val="Normal"/>
    <w:rsid w:val="00E42519"/>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Odsekzoznamu1">
    <w:name w:val="Odsek zoznamu1"/>
    <w:basedOn w:val="Normal"/>
    <w:rsid w:val="00E42519"/>
    <w:pPr>
      <w:spacing w:after="0" w:line="240" w:lineRule="auto"/>
      <w:ind w:left="720"/>
    </w:pPr>
    <w:rPr>
      <w:rFonts w:eastAsia="Times New Roman"/>
    </w:rPr>
  </w:style>
  <w:style w:type="paragraph" w:customStyle="1" w:styleId="Odsekzoznamu2">
    <w:name w:val="Odsek zoznamu2"/>
    <w:basedOn w:val="Normal"/>
    <w:rsid w:val="00E42519"/>
    <w:pPr>
      <w:spacing w:after="0" w:line="240" w:lineRule="auto"/>
      <w:ind w:left="720"/>
    </w:pPr>
    <w:rPr>
      <w:rFonts w:eastAsia="Times New Roman"/>
    </w:rPr>
  </w:style>
  <w:style w:type="paragraph" w:customStyle="1" w:styleId="Odsekzoznamu3">
    <w:name w:val="Odsek zoznamu3"/>
    <w:basedOn w:val="Normal"/>
    <w:rsid w:val="00E42519"/>
    <w:pPr>
      <w:spacing w:after="0" w:line="240" w:lineRule="auto"/>
      <w:ind w:left="720"/>
    </w:pPr>
    <w:rPr>
      <w:rFonts w:eastAsia="Times New Roman"/>
    </w:rPr>
  </w:style>
  <w:style w:type="character" w:customStyle="1" w:styleId="HeaderChar">
    <w:name w:val="Header Char"/>
    <w:rsid w:val="00E42519"/>
    <w:rPr>
      <w:rFonts w:ascii="Times New Roman" w:hAnsi="Times New Roman" w:cs="Times New Roman"/>
    </w:rPr>
  </w:style>
  <w:style w:type="character" w:customStyle="1" w:styleId="FooterChar">
    <w:name w:val="Footer Char"/>
    <w:rsid w:val="00E42519"/>
    <w:rPr>
      <w:rFonts w:ascii="Times New Roman" w:hAnsi="Times New Roman" w:cs="Times New Roman"/>
    </w:rPr>
  </w:style>
  <w:style w:type="paragraph" w:customStyle="1" w:styleId="Odsekzoznamu4">
    <w:name w:val="Odsek zoznamu4"/>
    <w:basedOn w:val="Normal"/>
    <w:rsid w:val="00E42519"/>
    <w:pPr>
      <w:spacing w:after="0" w:line="240" w:lineRule="auto"/>
      <w:ind w:left="720"/>
    </w:pPr>
    <w:rPr>
      <w:rFonts w:eastAsia="Times New Roman"/>
    </w:rPr>
  </w:style>
  <w:style w:type="character" w:customStyle="1" w:styleId="CommentTextChar">
    <w:name w:val="Comment Text Char"/>
    <w:rsid w:val="00E42519"/>
    <w:rPr>
      <w:rFonts w:ascii="Times New Roman" w:hAnsi="Times New Roman" w:cs="Times New Roman"/>
      <w:sz w:val="20"/>
      <w:szCs w:val="20"/>
    </w:rPr>
  </w:style>
  <w:style w:type="paragraph" w:customStyle="1" w:styleId="Predmetkomentra1">
    <w:name w:val="Predmet komentára1"/>
    <w:basedOn w:val="CommentText"/>
    <w:next w:val="CommentText"/>
    <w:rsid w:val="00E42519"/>
    <w:pPr>
      <w:spacing w:after="0" w:line="240" w:lineRule="auto"/>
    </w:pPr>
    <w:rPr>
      <w:rFonts w:eastAsia="Times New Roman"/>
      <w:b/>
      <w:bCs/>
      <w:lang w:val="sk-SK"/>
    </w:rPr>
  </w:style>
  <w:style w:type="character" w:customStyle="1" w:styleId="CommentSubjectChar">
    <w:name w:val="Comment Subject Char"/>
    <w:rsid w:val="00E42519"/>
    <w:rPr>
      <w:rFonts w:ascii="Times New Roman" w:hAnsi="Times New Roman" w:cs="Times New Roman"/>
      <w:b/>
      <w:bCs/>
      <w:sz w:val="20"/>
      <w:szCs w:val="20"/>
    </w:rPr>
  </w:style>
  <w:style w:type="paragraph" w:customStyle="1" w:styleId="Textbubliny1">
    <w:name w:val="Text bubliny1"/>
    <w:basedOn w:val="Normal"/>
    <w:rsid w:val="00E42519"/>
    <w:pPr>
      <w:spacing w:after="0" w:line="240" w:lineRule="auto"/>
    </w:pPr>
    <w:rPr>
      <w:rFonts w:ascii="Tahoma" w:eastAsia="Times New Roman" w:hAnsi="Tahoma" w:cs="Tahoma"/>
      <w:sz w:val="16"/>
      <w:szCs w:val="16"/>
    </w:rPr>
  </w:style>
  <w:style w:type="character" w:customStyle="1" w:styleId="BalloonTextChar">
    <w:name w:val="Balloon Text Char"/>
    <w:rsid w:val="00E42519"/>
    <w:rPr>
      <w:rFonts w:ascii="Tahoma" w:hAnsi="Tahoma" w:cs="Tahoma"/>
      <w:sz w:val="16"/>
      <w:szCs w:val="16"/>
    </w:rPr>
  </w:style>
  <w:style w:type="character" w:customStyle="1" w:styleId="Heading1Char">
    <w:name w:val="Heading 1 Char"/>
    <w:rsid w:val="00E42519"/>
    <w:rPr>
      <w:rFonts w:ascii="Times New Roman" w:hAnsi="Times New Roman" w:cs="Times New Roman"/>
      <w:b/>
      <w:bCs/>
      <w:kern w:val="36"/>
      <w:sz w:val="48"/>
      <w:szCs w:val="48"/>
      <w:lang w:val="sk-SK" w:eastAsia="sk-SK"/>
    </w:rPr>
  </w:style>
  <w:style w:type="character" w:customStyle="1" w:styleId="FootnoteTextChar">
    <w:name w:val="Footnote Text Char"/>
    <w:rsid w:val="00E42519"/>
    <w:rPr>
      <w:rFonts w:ascii="Times New Roman" w:hAnsi="Times New Roman" w:cs="Times New Roman"/>
      <w:sz w:val="20"/>
      <w:szCs w:val="20"/>
    </w:rPr>
  </w:style>
  <w:style w:type="character" w:styleId="HTMLVariable">
    <w:name w:val="HTML Variable"/>
    <w:rsid w:val="00E42519"/>
    <w:rPr>
      <w:rFonts w:ascii="Times New Roman" w:hAnsi="Times New Roman" w:cs="Times New Roman"/>
      <w:i/>
      <w:iCs/>
    </w:rPr>
  </w:style>
  <w:style w:type="character" w:customStyle="1" w:styleId="awspan">
    <w:name w:val="awspan"/>
    <w:rsid w:val="00E42519"/>
  </w:style>
  <w:style w:type="character" w:customStyle="1" w:styleId="markedcontent">
    <w:name w:val="markedcontent"/>
    <w:basedOn w:val="DefaultParagraphFont"/>
    <w:rsid w:val="00E42519"/>
  </w:style>
  <w:style w:type="character" w:customStyle="1" w:styleId="awspanawtext3">
    <w:name w:val="awspan awtext3"/>
    <w:basedOn w:val="DefaultParagraphFont"/>
    <w:rsid w:val="00E42519"/>
  </w:style>
  <w:style w:type="character" w:customStyle="1" w:styleId="Nevyrieenzmienka">
    <w:name w:val="Nevyriešená zmienka"/>
    <w:uiPriority w:val="99"/>
    <w:semiHidden/>
    <w:unhideWhenUsed/>
    <w:rsid w:val="00E42519"/>
    <w:rPr>
      <w:color w:val="605E5C"/>
      <w:shd w:val="clear" w:color="auto" w:fill="E1DFDD"/>
    </w:rPr>
  </w:style>
  <w:style w:type="paragraph" w:styleId="Revision">
    <w:name w:val="Revision"/>
    <w:hidden/>
    <w:uiPriority w:val="99"/>
    <w:semiHidden/>
    <w:rsid w:val="00E42519"/>
    <w:rPr>
      <w:sz w:val="22"/>
      <w:szCs w:val="22"/>
      <w:lang w:val="sk-SK" w:eastAsia="en-US" w:bidi="ar-SA"/>
    </w:rPr>
  </w:style>
  <w:style w:type="numbering" w:customStyle="1" w:styleId="Aktulnyzoznam1">
    <w:name w:val="Aktuálny zoznam1"/>
    <w:uiPriority w:val="99"/>
    <w:rsid w:val="00E42519"/>
    <w:pPr>
      <w:numPr>
        <w:numId w:val="10"/>
      </w:numPr>
    </w:pPr>
  </w:style>
  <w:style w:type="numbering" w:customStyle="1" w:styleId="Aktulnyzoznam2">
    <w:name w:val="Aktuálny zoznam2"/>
    <w:uiPriority w:val="99"/>
    <w:rsid w:val="00E42519"/>
    <w:pPr>
      <w:numPr>
        <w:numId w:val="11"/>
      </w:numPr>
    </w:pPr>
  </w:style>
  <w:style w:type="numbering" w:customStyle="1" w:styleId="Aktulnyzoznam3">
    <w:name w:val="Aktuálny zoznam3"/>
    <w:uiPriority w:val="99"/>
    <w:rsid w:val="00E42519"/>
    <w:pPr>
      <w:numPr>
        <w:numId w:val="16"/>
      </w:numPr>
    </w:pPr>
  </w:style>
  <w:style w:type="numbering" w:customStyle="1" w:styleId="Aktulnyzoznam4">
    <w:name w:val="Aktuálny zoznam4"/>
    <w:uiPriority w:val="99"/>
    <w:rsid w:val="00E42519"/>
    <w:pPr>
      <w:numPr>
        <w:numId w:val="17"/>
      </w:numPr>
    </w:pPr>
  </w:style>
  <w:style w:type="numbering" w:customStyle="1" w:styleId="Aktulnyzoznam5">
    <w:name w:val="Aktuálny zoznam5"/>
    <w:uiPriority w:val="99"/>
    <w:rsid w:val="00E42519"/>
    <w:pPr>
      <w:numPr>
        <w:numId w:val="18"/>
      </w:numPr>
    </w:pPr>
  </w:style>
  <w:style w:type="numbering" w:customStyle="1" w:styleId="Aktulnyzoznam6">
    <w:name w:val="Aktuálny zoznam6"/>
    <w:uiPriority w:val="99"/>
    <w:rsid w:val="00E42519"/>
    <w:pPr>
      <w:numPr>
        <w:numId w:val="19"/>
      </w:numPr>
    </w:pPr>
  </w:style>
  <w:style w:type="paragraph" w:customStyle="1" w:styleId="CharCharCharCharCharCharCharChar0">
    <w:name w:val="Char Char Char Char Char Char Char Char_0"/>
    <w:basedOn w:val="Normal"/>
    <w:next w:val="Normal"/>
    <w:rsid w:val="00E42519"/>
    <w:pPr>
      <w:tabs>
        <w:tab w:val="num" w:pos="1440"/>
      </w:tabs>
      <w:spacing w:after="0" w:line="240" w:lineRule="auto"/>
      <w:ind w:left="1440" w:hanging="360"/>
    </w:pPr>
    <w:rPr>
      <w:rFonts w:ascii="Times New Roman" w:eastAsia="MS Mincho" w:hAnsi="Times New Roman"/>
      <w:sz w:val="24"/>
      <w:szCs w:val="24"/>
      <w:lang w:val="en-US" w:eastAsia="ja-JP"/>
    </w:rPr>
  </w:style>
  <w:style w:type="paragraph" w:customStyle="1" w:styleId="Odsekzoznamu40">
    <w:name w:val="Odsek zoznamu4_0"/>
    <w:basedOn w:val="Normal"/>
    <w:rsid w:val="00E42519"/>
    <w:pPr>
      <w:spacing w:after="0" w:line="240" w:lineRule="auto"/>
      <w:ind w:left="720"/>
    </w:pPr>
    <w:rPr>
      <w:rFonts w:eastAsia="Times New Roman"/>
    </w:rPr>
  </w:style>
  <w:style w:type="paragraph" w:customStyle="1" w:styleId="Predmetkomentra10">
    <w:name w:val="Predmet komentára1_0"/>
    <w:basedOn w:val="CommentText"/>
    <w:next w:val="CommentText"/>
    <w:rsid w:val="00E42519"/>
    <w:pPr>
      <w:spacing w:after="0" w:line="240" w:lineRule="auto"/>
    </w:pPr>
    <w:rPr>
      <w:rFonts w:eastAsia="Times New Roman"/>
      <w:b/>
      <w:bCs/>
      <w:lang w:val="sk-SK"/>
    </w:rPr>
  </w:style>
  <w:style w:type="paragraph" w:customStyle="1" w:styleId="Textbubliny10">
    <w:name w:val="Text bubliny1_0"/>
    <w:basedOn w:val="Normal"/>
    <w:rsid w:val="00E42519"/>
    <w:pPr>
      <w:spacing w:after="0" w:line="240" w:lineRule="auto"/>
    </w:pPr>
    <w:rPr>
      <w:rFonts w:ascii="Tahoma" w:eastAsia="Times New Roman" w:hAnsi="Tahoma" w:cs="Tahoma"/>
      <w:sz w:val="16"/>
      <w:szCs w:val="16"/>
    </w:rPr>
  </w:style>
  <w:style w:type="character" w:customStyle="1" w:styleId="Nevyrieenzmienka1">
    <w:name w:val="Nevyriešená zmienka1"/>
    <w:uiPriority w:val="99"/>
    <w:semiHidden/>
    <w:unhideWhenUsed/>
    <w:rsid w:val="00E42519"/>
    <w:rPr>
      <w:color w:val="605E5C"/>
      <w:shd w:val="clear" w:color="auto" w:fill="E1DFDD"/>
    </w:rPr>
  </w:style>
  <w:style w:type="character" w:customStyle="1" w:styleId="TextvysvetlivkyChar1">
    <w:name w:val="Text vysvetlivky Char1"/>
    <w:uiPriority w:val="99"/>
    <w:semiHidden/>
    <w:rsid w:val="00E42519"/>
    <w:rPr>
      <w:rFonts w:ascii="Calibri" w:eastAsia="Calibri" w:hAnsi="Calibri" w:cs="Times New Roman"/>
      <w:sz w:val="20"/>
      <w:szCs w:val="20"/>
    </w:rPr>
  </w:style>
  <w:style w:type="character" w:customStyle="1" w:styleId="norm00e1lnychar1">
    <w:name w:val="norm_00e1lny__char1"/>
    <w:rsid w:val="00E42519"/>
    <w:rPr>
      <w:rFonts w:ascii="Times New Roman" w:hAnsi="Times New Roman" w:cs="Times New Roman"/>
      <w:dstrike w:val="0"/>
      <w:sz w:val="20"/>
      <w:szCs w:val="20"/>
      <w:u w:val="none"/>
      <w:effect w:val="none"/>
    </w:rPr>
  </w:style>
  <w:style w:type="paragraph" w:customStyle="1" w:styleId="norm00e1lny">
    <w:name w:val="norm_00e1lny"/>
    <w:basedOn w:val="Normal"/>
    <w:rsid w:val="00E42519"/>
    <w:pPr>
      <w:spacing w:after="0" w:line="200" w:lineRule="atLeast"/>
    </w:pPr>
    <w:rPr>
      <w:rFonts w:ascii="Times New Roman" w:eastAsia="Times New Roman" w:hAnsi="Times New Roman"/>
      <w:sz w:val="20"/>
      <w:szCs w:val="20"/>
      <w:lang w:eastAsia="sk-SK"/>
    </w:rPr>
  </w:style>
  <w:style w:type="character" w:styleId="Strong">
    <w:name w:val="Strong"/>
    <w:uiPriority w:val="22"/>
    <w:qFormat/>
    <w:rsid w:val="00E42519"/>
    <w:rPr>
      <w:b/>
      <w:bCs/>
    </w:rPr>
  </w:style>
  <w:style w:type="character" w:customStyle="1" w:styleId="TextvysvetlivkyChar2">
    <w:name w:val="Text vysvetlivky Char2"/>
    <w:link w:val="EndnoteText"/>
    <w:uiPriority w:val="99"/>
    <w:semiHidden/>
    <w:rsid w:val="00E42519"/>
    <w:rPr>
      <w:rFonts w:ascii="Calibri" w:eastAsia="Calibri" w:hAnsi="Calibri" w:cs="Times New Roman"/>
      <w:sz w:val="20"/>
      <w:szCs w:val="20"/>
    </w:rPr>
  </w:style>
  <w:style w:type="character" w:styleId="EndnoteReference">
    <w:name w:val="endnote reference"/>
    <w:uiPriority w:val="99"/>
    <w:semiHidden/>
    <w:unhideWhenUsed/>
    <w:rsid w:val="00E42519"/>
    <w:rPr>
      <w:vertAlign w:val="superscript"/>
    </w:rPr>
  </w:style>
  <w:style w:type="paragraph" w:customStyle="1" w:styleId="ListParagraph1">
    <w:name w:val="List Paragraph1"/>
    <w:basedOn w:val="Normal"/>
    <w:rsid w:val="00FD4B45"/>
    <w:pPr>
      <w:spacing w:after="0" w:line="240" w:lineRule="auto"/>
      <w:ind w:left="708"/>
    </w:pPr>
    <w:rPr>
      <w:rFonts w:ascii="Times New Roman" w:eastAsia="Times New Roman" w:hAnsi="Times New Roman"/>
      <w:sz w:val="24"/>
      <w:szCs w:val="24"/>
      <w:lang w:eastAsia="cs-CZ"/>
    </w:rPr>
  </w:style>
  <w:style w:type="numbering" w:customStyle="1" w:styleId="Bezzoznamu4">
    <w:name w:val="Bez zoznamu4"/>
    <w:next w:val="NoList"/>
    <w:uiPriority w:val="99"/>
    <w:semiHidden/>
    <w:unhideWhenUsed/>
    <w:rsid w:val="00D00F18"/>
  </w:style>
  <w:style w:type="table" w:customStyle="1" w:styleId="Mriekatabuky7">
    <w:name w:val="Mriežka tabuľky7"/>
    <w:basedOn w:val="TableNormal"/>
    <w:next w:val="TableGrid"/>
    <w:uiPriority w:val="39"/>
    <w:rsid w:val="00D00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NoList"/>
    <w:uiPriority w:val="99"/>
    <w:semiHidden/>
    <w:unhideWhenUsed/>
    <w:rsid w:val="00D00F18"/>
  </w:style>
  <w:style w:type="table" w:customStyle="1" w:styleId="Mriekatabuky12">
    <w:name w:val="Mriežka tabuľky12"/>
    <w:basedOn w:val="TableNormal"/>
    <w:next w:val="TableGrid"/>
    <w:uiPriority w:val="59"/>
    <w:locked/>
    <w:rsid w:val="00D00F18"/>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TableNormal"/>
    <w:next w:val="TableGrid"/>
    <w:uiPriority w:val="59"/>
    <w:rsid w:val="00D00F1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TableNormal"/>
    <w:next w:val="TableGrid"/>
    <w:uiPriority w:val="59"/>
    <w:rsid w:val="00D00F1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TableNormal"/>
    <w:next w:val="TableGrid"/>
    <w:uiPriority w:val="99"/>
    <w:unhideWhenUsed/>
    <w:rsid w:val="00D00F18"/>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NoList"/>
    <w:uiPriority w:val="99"/>
    <w:semiHidden/>
    <w:unhideWhenUsed/>
    <w:rsid w:val="00D00F18"/>
  </w:style>
  <w:style w:type="table" w:customStyle="1" w:styleId="Mriekatabuky51">
    <w:name w:val="Mriežka tabuľky51"/>
    <w:basedOn w:val="TableNormal"/>
    <w:next w:val="TableGrid"/>
    <w:uiPriority w:val="59"/>
    <w:rsid w:val="00D00F1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
    <w:name w:val="Bez zoznamu31"/>
    <w:next w:val="NoList"/>
    <w:uiPriority w:val="99"/>
    <w:semiHidden/>
    <w:unhideWhenUsed/>
    <w:rsid w:val="00D00F18"/>
  </w:style>
  <w:style w:type="table" w:customStyle="1" w:styleId="Mriekatabuky61">
    <w:name w:val="Mriežka tabuľky61"/>
    <w:basedOn w:val="TableNormal"/>
    <w:next w:val="TableGrid"/>
    <w:uiPriority w:val="59"/>
    <w:rsid w:val="00D00F1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TableNormal"/>
    <w:next w:val="TableGrid"/>
    <w:uiPriority w:val="59"/>
    <w:rsid w:val="00D00F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lnyzoznam11">
    <w:name w:val="Aktuálny zoznam11"/>
    <w:uiPriority w:val="99"/>
    <w:rsid w:val="00D00F18"/>
    <w:pPr>
      <w:numPr>
        <w:numId w:val="10"/>
      </w:numPr>
    </w:pPr>
  </w:style>
  <w:style w:type="numbering" w:customStyle="1" w:styleId="Aktulnyzoznam21">
    <w:name w:val="Aktuálny zoznam21"/>
    <w:uiPriority w:val="99"/>
    <w:rsid w:val="00D00F18"/>
    <w:pPr>
      <w:numPr>
        <w:numId w:val="11"/>
      </w:numPr>
    </w:pPr>
  </w:style>
  <w:style w:type="numbering" w:customStyle="1" w:styleId="Aktulnyzoznam31">
    <w:name w:val="Aktuálny zoznam31"/>
    <w:uiPriority w:val="99"/>
    <w:rsid w:val="00D00F18"/>
    <w:pPr>
      <w:numPr>
        <w:numId w:val="12"/>
      </w:numPr>
    </w:pPr>
  </w:style>
  <w:style w:type="numbering" w:customStyle="1" w:styleId="Aktulnyzoznam41">
    <w:name w:val="Aktuálny zoznam41"/>
    <w:uiPriority w:val="99"/>
    <w:rsid w:val="00D00F18"/>
    <w:pPr>
      <w:numPr>
        <w:numId w:val="13"/>
      </w:numPr>
    </w:pPr>
  </w:style>
  <w:style w:type="numbering" w:customStyle="1" w:styleId="Aktulnyzoznam51">
    <w:name w:val="Aktuálny zoznam51"/>
    <w:uiPriority w:val="99"/>
    <w:rsid w:val="00D00F18"/>
    <w:pPr>
      <w:numPr>
        <w:numId w:val="14"/>
      </w:numPr>
    </w:pPr>
  </w:style>
  <w:style w:type="numbering" w:customStyle="1" w:styleId="Aktulnyzoznam61">
    <w:name w:val="Aktuálny zoznam61"/>
    <w:uiPriority w:val="99"/>
    <w:rsid w:val="00D00F18"/>
    <w:pPr>
      <w:numPr>
        <w:numId w:val="15"/>
      </w:numPr>
    </w:pPr>
  </w:style>
  <w:style w:type="character" w:customStyle="1" w:styleId="OdsekzoznamuChar">
    <w:name w:val="Odsek zoznamu Char"/>
    <w:link w:val="ListParagraph"/>
    <w:uiPriority w:val="34"/>
    <w:locked/>
    <w:rsid w:val="00D00F18"/>
    <w:rPr>
      <w:rFonts w:ascii="Times New Roman" w:eastAsia="Times New Roman" w:hAnsi="Times New Roman"/>
      <w:sz w:val="24"/>
      <w:szCs w:val="24"/>
      <w:lang w:eastAsia="cs-CZ"/>
    </w:rPr>
  </w:style>
  <w:style w:type="paragraph" w:customStyle="1" w:styleId="Popis1">
    <w:name w:val="Popis1"/>
    <w:basedOn w:val="Normal"/>
    <w:next w:val="Normal"/>
    <w:uiPriority w:val="35"/>
    <w:unhideWhenUsed/>
    <w:qFormat/>
    <w:rsid w:val="00D00F18"/>
    <w:pPr>
      <w:spacing w:line="240" w:lineRule="auto"/>
    </w:pPr>
    <w:rPr>
      <w:i/>
      <w:iCs/>
      <w:color w:val="44546A"/>
      <w:sz w:val="18"/>
      <w:szCs w:val="18"/>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footer" Target="footer4.xml" /><Relationship Id="rId16" Type="http://schemas.openxmlformats.org/officeDocument/2006/relationships/header" Target="header4.xml" /><Relationship Id="rId17" Type="http://schemas.openxmlformats.org/officeDocument/2006/relationships/footer" Target="footer5.xml" /><Relationship Id="rId18" Type="http://schemas.openxmlformats.org/officeDocument/2006/relationships/header" Target="header5.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header" Target="header7.xml" /><Relationship Id="rId22" Type="http://schemas.openxmlformats.org/officeDocument/2006/relationships/footer" Target="footer7.xml" /><Relationship Id="rId23" Type="http://schemas.openxmlformats.org/officeDocument/2006/relationships/header" Target="header8.xml" /><Relationship Id="rId24" Type="http://schemas.openxmlformats.org/officeDocument/2006/relationships/hyperlink" Target="https://www.mhsr.sk/podnikatelske-prostredie/lepsia-regulacia/regulacne-zatazenie/kalkulacka-nakladov-regulacie" TargetMode="External" /><Relationship Id="rId25" Type="http://schemas.openxmlformats.org/officeDocument/2006/relationships/header" Target="header9.xml" /><Relationship Id="rId26" Type="http://schemas.openxmlformats.org/officeDocument/2006/relationships/hyperlink" Target="https://eur-lex.europa.eu/legal-content/EN/TXT/?uri=NIM:30033" TargetMode="External" /><Relationship Id="rId27" Type="http://schemas.openxmlformats.org/officeDocument/2006/relationships/hyperlink" Target="https://eur-lex.europa.eu/legal-content/EN/TXT/?uri=NIM:166155" TargetMode="External" /><Relationship Id="rId28" Type="http://schemas.openxmlformats.org/officeDocument/2006/relationships/hyperlink" Target="https://eur-lex.europa.eu/legal-content/EN/TXT/?uri=NIM:170067" TargetMode="External" /><Relationship Id="rId29" Type="http://schemas.openxmlformats.org/officeDocument/2006/relationships/hyperlink" Target="https://eur-lex.europa.eu/legal-content/EN/TXT/?uri=NIM:173482" TargetMode="External" /><Relationship Id="rId3" Type="http://schemas.openxmlformats.org/officeDocument/2006/relationships/fontTable" Target="fontTable.xml" /><Relationship Id="rId30" Type="http://schemas.openxmlformats.org/officeDocument/2006/relationships/hyperlink" Target="https://eur-lex.europa.eu/legal-content/EN/TXT/?uri=NIM:240567" TargetMode="External" /><Relationship Id="rId31" Type="http://schemas.openxmlformats.org/officeDocument/2006/relationships/hyperlink" Target="https://eur-lex.europa.eu/legal-content/EN/TXT/?uri=NIM:266496" TargetMode="Externa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mailto:milada.estokova@uvzsr.sk" TargetMode="External" /><Relationship Id="rId6" Type="http://schemas.openxmlformats.org/officeDocument/2006/relationships/hyperlink" Target="mailto:zuzana.valovicova@uvzsr.sk" TargetMode="External" /><Relationship Id="rId7" Type="http://schemas.openxmlformats.org/officeDocument/2006/relationships/hyperlink" Target="https://youtu.be/ZIfy1ggv4l4" TargetMode="External" /><Relationship Id="rId8" Type="http://schemas.openxmlformats.org/officeDocument/2006/relationships/hyperlink" Target="mailto:1in2out@mhsr.sk" TargetMode="External" /><Relationship Id="rId9" Type="http://schemas.openxmlformats.org/officeDocument/2006/relationships/header" Target="header1.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7_dôvodová-správa_osob_355"/>
    <f:field ref="objsubject" par="" edit="true" text=""/>
    <f:field ref="objcreatedby" par="" text="Vincová, Veronika, Mgr."/>
    <f:field ref="objcreatedat" par="" text="21.6.2022 17:45:35"/>
    <f:field ref="objchangedby" par="" text="Administrator, System"/>
    <f:field ref="objmodifiedat" par="" text="21.6.2022 17:45:3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73</Pages>
  <Words>24546</Words>
  <Characters>139914</Characters>
  <Application>Microsoft Office Word</Application>
  <DocSecurity>0</DocSecurity>
  <Lines>1165</Lines>
  <Paragraphs>328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Paganová</dc:creator>
  <cp:lastModifiedBy>Petra Krajčíriková</cp:lastModifiedBy>
  <cp:revision>3</cp:revision>
  <dcterms:created xsi:type="dcterms:W3CDTF">2022-09-29T09:00:00Z</dcterms:created>
  <dcterms:modified xsi:type="dcterms:W3CDTF">2022-09-29T09:37:00Z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COO.2145.1000.3.5027051</vt:lpwstr>
  </property>
  <property fmtid="{D5CDD505-2E9C-101B-9397-08002B2CF9AE}" pid="3" name="FSC#FSCFOLIO@1.1001:docpropproject">
    <vt:lpwstr/>
  </property>
  <property fmtid="{D5CDD505-2E9C-101B-9397-08002B2CF9AE}" pid="4" name="FSC#SKEDITIONSLOVLEX@103.510:aktualnyrok">
    <vt:lpwstr>2022</vt:lpwstr>
  </property>
  <property fmtid="{D5CDD505-2E9C-101B-9397-08002B2CF9AE}" pid="5" name="FSC#SKEDITIONSLOVLEX@103.510:AttrDateDocPropUkonceniePKK">
    <vt:lpwstr>1. 4. 2022</vt:lpwstr>
  </property>
  <property fmtid="{D5CDD505-2E9C-101B-9397-08002B2CF9AE}" pid="6" name="FSC#SKEDITIONSLOVLEX@103.510:AttrDateDocPropZaciatokPKK">
    <vt:lpwstr/>
  </property>
  <property fmtid="{D5CDD505-2E9C-101B-9397-08002B2CF9AE}" pid="7" name="FSC#SKEDITIONSLOVLEX@103.510:AttrStrDocPropVplyvNaInformatizaciu">
    <vt:lpwstr>Negatívne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
Negatívne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Pozitívne
Negatívne</vt:lpwstr>
  </property>
  <property fmtid="{D5CDD505-2E9C-101B-9397-08002B2CF9AE}" pid="12" name="FSC#SKEDITIONSLOVLEX@103.510:AttrStrListDocPropAltRiesenia">
    <vt:lpwstr>V prípade neprijatia návrhu zákona- nebude zabezpečená transpozícia smernica Európskeho parlamentu a Rady (EÚ) 2020/2184 zo 16. decembra 2020 o kvalite vody určenej na ľudskú spotrebu (prepracované znenie), - Slovensko ako členský štát Európskej únie neza</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 nie je</vt:lpwstr>
  </property>
  <property fmtid="{D5CDD505-2E9C-101B-9397-08002B2CF9AE}" pid="16" name="FSC#SKEDITIONSLOVLEX@103.510:AttrStrListDocPropInfoZaciatokKonania">
    <vt:lpwstr>- nie je</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termín transpozície Smernice je 12. január 2023</vt:lpwstr>
  </property>
  <property fmtid="{D5CDD505-2E9C-101B-9397-08002B2CF9AE}" pid="21" name="FSC#SKEDITIONSLOVLEX@103.510:AttrStrListDocPropNazovPredpisuEU">
    <vt:lpwstr/>
  </property>
  <property fmtid="{D5CDD505-2E9C-101B-9397-08002B2CF9AE}" pid="22" name="FSC#SKEDITIONSLOVLEX@103.510:AttrStrListDocPropPoznamkaVplyv">
    <vt:lpwstr>&lt;p&gt;Jednotlivé vplyvy sú podrobnejšie vyhodnotené a&amp;nbsp;popísané v&amp;nbsp;ďalších častiach tejto správy.&lt;/p&gt;&lt;p&gt;&lt;u&gt;Vplyvy na rozpočet verejnej správy&lt;/u&gt; –predpokladá sa negatívny vplyv na rozpočet verejnej správy z&amp;nbsp;dôvodu implementácie smernice. Pre vy</vt:lpwstr>
  </property>
  <property fmtid="{D5CDD505-2E9C-101B-9397-08002B2CF9AE}" pid="23" name="FSC#SKEDITIONSLOVLEX@103.510:AttrStrListDocPropPrimarnePravoEU">
    <vt:lpwstr>v  Zmluve o fungovaní Európskej únie  - Hlava XIV – Verejné zdravie (čl. 168),</vt:lpwstr>
  </property>
  <property fmtid="{D5CDD505-2E9C-101B-9397-08002B2CF9AE}" pid="24" name="FSC#SKEDITIONSLOVLEX@103.510:AttrStrListDocPropProblematikaPPa">
    <vt:lpwstr>je upravený v práve Európskej únie</vt:lpwstr>
  </property>
  <property fmtid="{D5CDD505-2E9C-101B-9397-08002B2CF9AE}" pid="25" name="FSC#SKEDITIONSLOVLEX@103.510:AttrStrListDocPropProblematikaPPb">
    <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v Smernici Európskeho parlamentu a Rady (EÚ) 2020/2184 zo 16. decembra 2020 o kvalite vody určenej na ľudskú spotrebu (Ú. v. EÚ L 435, 23.12.2020), ďalej „Smernica“,</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Nesúhlasné</vt:lpwstr>
  </property>
  <property fmtid="{D5CDD505-2E9C-101B-9397-08002B2CF9AE}" pid="30" name="FSC#SKEDITIONSLOVLEX@103.510:AttrStrListDocPropStupenZlucitelnostiPP">
    <vt:lpwstr>úplne</vt:lpwstr>
  </property>
  <property fmtid="{D5CDD505-2E9C-101B-9397-08002B2CF9AE}" pid="31" name="FSC#SKEDITIONSLOVLEX@103.510:AttrStrListDocPropTextKomunike">
    <vt:lpwstr/>
  </property>
  <property fmtid="{D5CDD505-2E9C-101B-9397-08002B2CF9AE}" pid="32" name="FSC#SKEDITIONSLOVLEX@103.510:AttrStrListDocPropTextPredklSpravy">
    <vt:lpwstr>&lt;p style="text-align: justify;"&gt;Ministerstvo zdravotníctva Slovenskej republiky predkladá návrh zákona, ktorým sa mení a dopĺňa zákon č. 355/2007 Z. z. o ochrane, podpore a rozvoji verejného zdravia a o zmene a doplnení niektorých zákonov v znení neskorší</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zdravotníctva</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LP/2022/357</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vt:lpwstr>
  </property>
  <property fmtid="{D5CDD505-2E9C-101B-9397-08002B2CF9AE}" pid="122" name="FSC#SKEDITIONSLOVLEX@103.510:funkciaZodpPredAkuzativ">
    <vt:lpwstr>ministra</vt:lpwstr>
  </property>
  <property fmtid="{D5CDD505-2E9C-101B-9397-08002B2CF9AE}" pid="123" name="FSC#SKEDITIONSLOVLEX@103.510:funkciaZodpPredDativ">
    <vt:lpwstr>ministrovi</vt:lpwstr>
  </property>
  <property fmtid="{D5CDD505-2E9C-101B-9397-08002B2CF9AE}" pid="124" name="FSC#SKEDITIONSLOVLEX@103.510:legoblast">
    <vt:lpwstr>Správne právo</vt:lpwstr>
  </property>
  <property fmtid="{D5CDD505-2E9C-101B-9397-08002B2CF9AE}" pid="125" name="FSC#SKEDITIONSLOVLEX@103.510:nazovpredpis">
    <vt:lpwstr>, ktorým sa mení a dopĺňa zákon č. 355/2007 Z. z. o ochrane, podpore a rozvoji verejného zdravia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355/2007 Z. z. o ochrane, podpore a rozvoji verejného zdravia a o zmene a doplnení niektorých zákonov v znení neskorších predpisov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Bod B.9 uznesenia vlády SR č. 177 z 7. apríla 2021 a úlohy č. 13 v mesiaci jún Plánu legislatívnych úloh vlády SR na rok 2022</vt:lpwstr>
  </property>
  <property fmtid="{D5CDD505-2E9C-101B-9397-08002B2CF9AE}" pid="136" name="FSC#SKEDITIONSLOVLEX@103.510:povodpredpis">
    <vt:lpwstr>Slovlex (eLeg)</vt:lpwstr>
  </property>
  <property fmtid="{D5CDD505-2E9C-101B-9397-08002B2CF9AE}" pid="137" name="FSC#SKEDITIONSLOVLEX@103.510:predkladatel">
    <vt:lpwstr>Mgr. Veronika Vincová</vt:lpwstr>
  </property>
  <property fmtid="{D5CDD505-2E9C-101B-9397-08002B2CF9AE}" pid="138" name="FSC#SKEDITIONSLOVLEX@103.510:predkladateliaObalSD">
    <vt:lpwstr>Vladimír Lengvarský
minister</vt:lpwstr>
  </property>
  <property fmtid="{D5CDD505-2E9C-101B-9397-08002B2CF9AE}" pid="139" name="FSC#SKEDITIONSLOVLEX@103.510:pripomienkovatelia">
    <vt:lpwstr/>
  </property>
  <property fmtid="{D5CDD505-2E9C-101B-9397-08002B2CF9AE}" pid="140" name="FSC#SKEDITIONSLOVLEX@103.510:rezortcislopredpis">
    <vt:lpwstr>S16548-2022-OL</vt:lpwstr>
  </property>
  <property fmtid="{D5CDD505-2E9C-101B-9397-08002B2CF9AE}" pid="141" name="FSC#SKEDITIONSLOVLEX@103.510:spiscislouv">
    <vt:lpwstr/>
  </property>
  <property fmtid="{D5CDD505-2E9C-101B-9397-08002B2CF9AE}" pid="142" name="FSC#SKEDITIONSLOVLEX@103.510:spravaucastverej">
    <vt:lpwstr>&lt;p&gt;&amp;nbsp;&lt;/p&gt;&lt;p&gt;Verejnosť bola o príprave novely predpisov v súvislosti s novou Smernicou Európskeho parlamentu a Rady (EÚ) 2020/2184 zo 16. decembra 2020 o kvalite vody určenej na ľudskú spotrebu (Ú. v. EÚ L 435, 23.12.2020) priebežne informovaná už v pr</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Dôvodová správa</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21. 6. 2022</vt:lpwstr>
  </property>
  <property fmtid="{D5CDD505-2E9C-101B-9397-08002B2CF9AE}" pid="150" name="FSC#SKEDITIONSLOVLEX@103.510:vztahypredpis">
    <vt:lpwstr/>
  </property>
  <property fmtid="{D5CDD505-2E9C-101B-9397-08002B2CF9AE}" pid="151" name="FSC#SKEDITIONSLOVLEX@103.510:zodpinstitucia">
    <vt:lpwstr>Ministerstvo zdravotníctva Slovenskej republiky</vt:lpwstr>
  </property>
  <property fmtid="{D5CDD505-2E9C-101B-9397-08002B2CF9AE}" pid="152" name="FSC#SKEDITIONSLOVLEX@103.510:zodppredkladatel">
    <vt:lpwstr>Vladimír Lengvarský</vt:lpwstr>
  </property>
</Properties>
</file>