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64ECB" w14:textId="77777777" w:rsidR="00735561" w:rsidRPr="006045CB" w:rsidRDefault="00735561" w:rsidP="00735561">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Pr="006045CB">
        <w:rPr>
          <w:rFonts w:ascii="Times New Roman" w:eastAsia="Times New Roman" w:hAnsi="Times New Roman" w:cs="Times New Roman"/>
          <w:b/>
          <w:sz w:val="28"/>
          <w:szCs w:val="28"/>
          <w:lang w:eastAsia="sk-SK"/>
        </w:rPr>
        <w:t>oložka vybraných vplyvov</w:t>
      </w:r>
    </w:p>
    <w:p w14:paraId="438996F1" w14:textId="77777777" w:rsidR="00735561" w:rsidRPr="00B043B4" w:rsidRDefault="00735561" w:rsidP="00735561">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35561" w:rsidRPr="00B043B4" w14:paraId="4299CE6D" w14:textId="77777777" w:rsidTr="002703BE">
        <w:tc>
          <w:tcPr>
            <w:tcW w:w="9180" w:type="dxa"/>
            <w:gridSpan w:val="11"/>
            <w:tcBorders>
              <w:bottom w:val="single" w:sz="4" w:space="0" w:color="FFFFFF"/>
            </w:tcBorders>
            <w:shd w:val="clear" w:color="auto" w:fill="E2E2E2"/>
          </w:tcPr>
          <w:p w14:paraId="1070632F"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735561" w:rsidRPr="00B043B4" w14:paraId="54118548" w14:textId="77777777" w:rsidTr="002703BE">
        <w:tc>
          <w:tcPr>
            <w:tcW w:w="9180" w:type="dxa"/>
            <w:gridSpan w:val="11"/>
            <w:tcBorders>
              <w:bottom w:val="single" w:sz="4" w:space="0" w:color="FFFFFF"/>
            </w:tcBorders>
            <w:shd w:val="clear" w:color="auto" w:fill="E2E2E2"/>
          </w:tcPr>
          <w:p w14:paraId="219108F6" w14:textId="77777777" w:rsidR="00735561" w:rsidRPr="00B043B4" w:rsidRDefault="00735561" w:rsidP="002703B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735561" w:rsidRPr="00B043B4" w14:paraId="7E71597A" w14:textId="77777777" w:rsidTr="002703BE">
        <w:tc>
          <w:tcPr>
            <w:tcW w:w="9180" w:type="dxa"/>
            <w:gridSpan w:val="11"/>
            <w:tcBorders>
              <w:top w:val="single" w:sz="4" w:space="0" w:color="FFFFFF"/>
              <w:bottom w:val="single" w:sz="4" w:space="0" w:color="auto"/>
            </w:tcBorders>
          </w:tcPr>
          <w:p w14:paraId="3F32F2AC" w14:textId="77777777" w:rsidR="00735561" w:rsidRPr="00B043B4" w:rsidRDefault="00735561" w:rsidP="002703BE">
            <w:pPr>
              <w:jc w:val="both"/>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Návrh zákona, ktorým sa mení a dopĺňa zákon č. 414/2012 Z. z. o ob</w:t>
            </w:r>
            <w:r w:rsidR="002703BE">
              <w:rPr>
                <w:rFonts w:ascii="Times New Roman" w:eastAsia="Times New Roman" w:hAnsi="Times New Roman" w:cs="Times New Roman"/>
                <w:sz w:val="20"/>
                <w:szCs w:val="20"/>
                <w:lang w:eastAsia="sk-SK"/>
              </w:rPr>
              <w:t xml:space="preserve">chodovaní s emisnými kvótami a o </w:t>
            </w:r>
            <w:r w:rsidRPr="007418E7">
              <w:rPr>
                <w:rFonts w:ascii="Times New Roman" w:eastAsia="Times New Roman" w:hAnsi="Times New Roman" w:cs="Times New Roman"/>
                <w:sz w:val="20"/>
                <w:szCs w:val="20"/>
                <w:lang w:eastAsia="sk-SK"/>
              </w:rPr>
              <w:t>zmene a doplnení niektorých zákonov v znení neskorších predpisov (ďalej len „návrh zákona“).</w:t>
            </w:r>
          </w:p>
          <w:p w14:paraId="20949052" w14:textId="77777777" w:rsidR="00735561" w:rsidRPr="00B043B4" w:rsidRDefault="00735561" w:rsidP="002703BE">
            <w:pPr>
              <w:rPr>
                <w:rFonts w:ascii="Times New Roman" w:eastAsia="Times New Roman" w:hAnsi="Times New Roman" w:cs="Times New Roman"/>
                <w:sz w:val="20"/>
                <w:szCs w:val="20"/>
                <w:lang w:eastAsia="sk-SK"/>
              </w:rPr>
            </w:pPr>
          </w:p>
        </w:tc>
      </w:tr>
      <w:tr w:rsidR="00735561" w:rsidRPr="00B043B4" w14:paraId="7366D784" w14:textId="77777777" w:rsidTr="002703BE">
        <w:tc>
          <w:tcPr>
            <w:tcW w:w="9180" w:type="dxa"/>
            <w:gridSpan w:val="11"/>
            <w:tcBorders>
              <w:top w:val="single" w:sz="4" w:space="0" w:color="auto"/>
              <w:left w:val="single" w:sz="4" w:space="0" w:color="auto"/>
              <w:bottom w:val="single" w:sz="4" w:space="0" w:color="FFFFFF"/>
            </w:tcBorders>
            <w:shd w:val="clear" w:color="auto" w:fill="E2E2E2"/>
          </w:tcPr>
          <w:p w14:paraId="5D82864B" w14:textId="77777777" w:rsidR="00735561" w:rsidRPr="00B043B4" w:rsidRDefault="00735561" w:rsidP="002703B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735561" w:rsidRPr="00B043B4" w14:paraId="4974DD5B" w14:textId="77777777" w:rsidTr="002703BE">
        <w:tc>
          <w:tcPr>
            <w:tcW w:w="9180" w:type="dxa"/>
            <w:gridSpan w:val="11"/>
            <w:tcBorders>
              <w:top w:val="single" w:sz="4" w:space="0" w:color="FFFFFF"/>
              <w:left w:val="single" w:sz="4" w:space="0" w:color="auto"/>
              <w:bottom w:val="single" w:sz="4" w:space="0" w:color="auto"/>
            </w:tcBorders>
            <w:shd w:val="clear" w:color="auto" w:fill="FFFFFF"/>
          </w:tcPr>
          <w:p w14:paraId="4B66CED9" w14:textId="77777777" w:rsidR="00735561"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Ministerstvo životného prostredia Slovenskej republiky</w:t>
            </w:r>
          </w:p>
          <w:p w14:paraId="421A4A40"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Sekcia zmeny klímy a ochrany ovzdušia</w:t>
            </w:r>
          </w:p>
          <w:p w14:paraId="059F56EA" w14:textId="77777777" w:rsidR="00735561" w:rsidRPr="00B043B4"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 xml:space="preserve">Odbor </w:t>
            </w:r>
            <w:r w:rsidR="00F47CFF">
              <w:rPr>
                <w:rFonts w:ascii="Times New Roman" w:eastAsia="Times New Roman" w:hAnsi="Times New Roman" w:cs="Times New Roman"/>
                <w:sz w:val="20"/>
                <w:szCs w:val="20"/>
                <w:lang w:eastAsia="sk-SK"/>
              </w:rPr>
              <w:t>politiky znižovania emisií skleníkových plynov</w:t>
            </w:r>
          </w:p>
          <w:p w14:paraId="4CD6046E" w14:textId="77777777" w:rsidR="00735561" w:rsidRPr="00B043B4" w:rsidRDefault="00735561" w:rsidP="002703BE">
            <w:pPr>
              <w:rPr>
                <w:rFonts w:ascii="Times New Roman" w:eastAsia="Times New Roman" w:hAnsi="Times New Roman" w:cs="Times New Roman"/>
                <w:sz w:val="20"/>
                <w:szCs w:val="20"/>
                <w:lang w:eastAsia="sk-SK"/>
              </w:rPr>
            </w:pPr>
          </w:p>
        </w:tc>
      </w:tr>
      <w:tr w:rsidR="00735561" w:rsidRPr="00B043B4" w14:paraId="2FFA1D5F" w14:textId="77777777" w:rsidTr="002703B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35CCD64" w14:textId="77777777" w:rsidR="00735561" w:rsidRPr="00B043B4" w:rsidRDefault="00735561" w:rsidP="002703B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404D4B" w14:textId="77777777" w:rsidR="00735561" w:rsidRPr="00B043B4" w:rsidRDefault="00735561"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FE21987"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735561" w:rsidRPr="00B043B4" w14:paraId="7CBDEFA8" w14:textId="77777777" w:rsidTr="002703BE">
        <w:tc>
          <w:tcPr>
            <w:tcW w:w="4212" w:type="dxa"/>
            <w:gridSpan w:val="2"/>
            <w:vMerge/>
            <w:tcBorders>
              <w:top w:val="nil"/>
              <w:left w:val="single" w:sz="4" w:space="0" w:color="auto"/>
              <w:bottom w:val="single" w:sz="4" w:space="0" w:color="FFFFFF"/>
            </w:tcBorders>
            <w:shd w:val="clear" w:color="auto" w:fill="E2E2E2"/>
          </w:tcPr>
          <w:p w14:paraId="29458A5F" w14:textId="77777777" w:rsidR="00735561" w:rsidRPr="00B043B4" w:rsidRDefault="00735561" w:rsidP="002703B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BDA3593" w14:textId="77777777" w:rsidR="00735561" w:rsidRPr="00B043B4" w:rsidRDefault="00735561"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D464B27" w14:textId="77777777" w:rsidR="00735561" w:rsidRPr="00B043B4" w:rsidRDefault="00735561" w:rsidP="002703BE">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735561" w:rsidRPr="00B043B4" w14:paraId="3D4EBAB0" w14:textId="77777777" w:rsidTr="002703BE">
        <w:tc>
          <w:tcPr>
            <w:tcW w:w="4212" w:type="dxa"/>
            <w:gridSpan w:val="2"/>
            <w:vMerge/>
            <w:tcBorders>
              <w:top w:val="nil"/>
              <w:left w:val="single" w:sz="4" w:space="0" w:color="auto"/>
              <w:bottom w:val="single" w:sz="4" w:space="0" w:color="auto"/>
            </w:tcBorders>
            <w:shd w:val="clear" w:color="auto" w:fill="E2E2E2"/>
          </w:tcPr>
          <w:p w14:paraId="1D9FEDBB" w14:textId="77777777" w:rsidR="00735561" w:rsidRPr="00B043B4" w:rsidRDefault="00735561" w:rsidP="002703B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B6FCF6A" w14:textId="7BEB4979" w:rsidR="00735561" w:rsidRPr="00B043B4" w:rsidRDefault="00BF4AE6" w:rsidP="002703BE">
                <w:pPr>
                  <w:jc w:val="center"/>
                  <w:rPr>
                    <w:rFonts w:ascii="Times New Roman" w:eastAsia="Times New Roman" w:hAnsi="Times New Roman" w:cs="Times New Roman"/>
                    <w:sz w:val="20"/>
                    <w:szCs w:val="20"/>
                    <w:lang w:eastAsia="sk-SK"/>
                  </w:rPr>
                </w:pPr>
                <w:r w:rsidRPr="00BF4AE6">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B74DCFE"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735561" w:rsidRPr="00B043B4" w14:paraId="3ECA67F4" w14:textId="77777777" w:rsidTr="002703BE">
        <w:tc>
          <w:tcPr>
            <w:tcW w:w="9180" w:type="dxa"/>
            <w:gridSpan w:val="11"/>
            <w:tcBorders>
              <w:top w:val="single" w:sz="4" w:space="0" w:color="auto"/>
              <w:left w:val="single" w:sz="4" w:space="0" w:color="auto"/>
              <w:bottom w:val="single" w:sz="4" w:space="0" w:color="FFFFFF"/>
            </w:tcBorders>
            <w:shd w:val="clear" w:color="auto" w:fill="FFFFFF"/>
          </w:tcPr>
          <w:p w14:paraId="105CD78B" w14:textId="5BDBE088" w:rsidR="00735561" w:rsidRDefault="00BF4AE6" w:rsidP="002703B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Z</w:t>
            </w:r>
            <w:r w:rsidR="00735561" w:rsidRPr="00B043B4">
              <w:rPr>
                <w:rFonts w:ascii="Times New Roman" w:eastAsia="Times New Roman" w:hAnsi="Times New Roman" w:cs="Times New Roman"/>
                <w:i/>
                <w:sz w:val="20"/>
                <w:szCs w:val="20"/>
                <w:lang w:eastAsia="sk-SK"/>
              </w:rPr>
              <w:t>oznam transponovaných predpisov:</w:t>
            </w:r>
          </w:p>
          <w:p w14:paraId="1476C828" w14:textId="77777777" w:rsidR="00BF4AE6" w:rsidRPr="00BF4AE6" w:rsidRDefault="00BF4AE6" w:rsidP="00BF4AE6">
            <w:pPr>
              <w:rPr>
                <w:rFonts w:ascii="Times New Roman" w:eastAsia="Times New Roman" w:hAnsi="Times New Roman" w:cs="Times New Roman"/>
                <w:i/>
                <w:sz w:val="20"/>
                <w:szCs w:val="20"/>
                <w:lang w:eastAsia="sk-SK"/>
              </w:rPr>
            </w:pPr>
            <w:r w:rsidRPr="00BF4AE6">
              <w:rPr>
                <w:rFonts w:ascii="Times New Roman" w:eastAsia="Times New Roman" w:hAnsi="Times New Roman" w:cs="Times New Roman"/>
                <w:i/>
                <w:sz w:val="20"/>
                <w:szCs w:val="20"/>
                <w:lang w:eastAsia="sk-SK"/>
              </w:rPr>
              <w:t>Smernica 2003/87/ES Európskeho parlamentu a Rady z 13. októbra 2003, o vytvorení systému obchodovania s emisnými kvótami skleníkových plynov v Únii, a ktorou sa mení a dopĺňa smernica Rady 96/61/ES (Ú. v. EÚ L 275, 25.10.2003; Mimoriadne vydanie Ú. v. EÚ, kap. 15/zv. 7) v platnom znení</w:t>
            </w:r>
          </w:p>
          <w:p w14:paraId="11ABD1D7" w14:textId="46F6BCDA" w:rsidR="00BF4AE6" w:rsidRPr="00BF4AE6" w:rsidRDefault="00BF4AE6" w:rsidP="00BF4AE6">
            <w:pPr>
              <w:rPr>
                <w:rFonts w:ascii="Times New Roman" w:eastAsia="Times New Roman" w:hAnsi="Times New Roman" w:cs="Times New Roman"/>
                <w:i/>
                <w:sz w:val="20"/>
                <w:szCs w:val="20"/>
                <w:lang w:eastAsia="sk-SK"/>
              </w:rPr>
            </w:pPr>
          </w:p>
          <w:p w14:paraId="177D4F3F" w14:textId="079DF150" w:rsidR="00BF4AE6" w:rsidRDefault="00BF4AE6" w:rsidP="00BF4AE6">
            <w:pPr>
              <w:rPr>
                <w:rFonts w:ascii="Times New Roman" w:eastAsia="Times New Roman" w:hAnsi="Times New Roman" w:cs="Times New Roman"/>
                <w:i/>
                <w:sz w:val="20"/>
                <w:szCs w:val="20"/>
                <w:lang w:eastAsia="sk-SK"/>
              </w:rPr>
            </w:pPr>
            <w:r w:rsidRPr="00BF4AE6">
              <w:rPr>
                <w:rFonts w:ascii="Times New Roman" w:eastAsia="Times New Roman" w:hAnsi="Times New Roman" w:cs="Times New Roman"/>
                <w:i/>
                <w:sz w:val="20"/>
                <w:szCs w:val="20"/>
                <w:lang w:eastAsia="sk-SK"/>
              </w:rPr>
              <w:t xml:space="preserve">Smernica Európskeho parlamentu a Rady (EÚ) 2018/410 zo 14. marca 2018, ktorou sa mení smernica 2003/87/ES s cieľom zlepšiť nákladovo efektívne znižovanie emisií a investície do </w:t>
            </w:r>
            <w:proofErr w:type="spellStart"/>
            <w:r w:rsidRPr="00BF4AE6">
              <w:rPr>
                <w:rFonts w:ascii="Times New Roman" w:eastAsia="Times New Roman" w:hAnsi="Times New Roman" w:cs="Times New Roman"/>
                <w:i/>
                <w:sz w:val="20"/>
                <w:szCs w:val="20"/>
                <w:lang w:eastAsia="sk-SK"/>
              </w:rPr>
              <w:t>nízkouhlíkových</w:t>
            </w:r>
            <w:proofErr w:type="spellEnd"/>
            <w:r w:rsidRPr="00BF4AE6">
              <w:rPr>
                <w:rFonts w:ascii="Times New Roman" w:eastAsia="Times New Roman" w:hAnsi="Times New Roman" w:cs="Times New Roman"/>
                <w:i/>
                <w:sz w:val="20"/>
                <w:szCs w:val="20"/>
                <w:lang w:eastAsia="sk-SK"/>
              </w:rPr>
              <w:t xml:space="preserve"> technológií a rozhodnutie (EÚ) 2015/1814 (Ú. v. EÚ L 76, 19.3.2018)</w:t>
            </w:r>
          </w:p>
          <w:p w14:paraId="54C5AEA9" w14:textId="7188A612" w:rsidR="00BF4AE6" w:rsidRPr="00B043B4" w:rsidRDefault="00BF4AE6" w:rsidP="00BF4AE6">
            <w:pPr>
              <w:rPr>
                <w:rFonts w:ascii="Times New Roman" w:eastAsia="Times New Roman" w:hAnsi="Times New Roman" w:cs="Times New Roman"/>
                <w:sz w:val="20"/>
                <w:szCs w:val="20"/>
                <w:lang w:eastAsia="sk-SK"/>
              </w:rPr>
            </w:pPr>
          </w:p>
        </w:tc>
      </w:tr>
      <w:tr w:rsidR="00735561" w:rsidRPr="00B043B4" w14:paraId="17E3C88D" w14:textId="77777777" w:rsidTr="002703B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602DE51" w14:textId="77777777" w:rsidR="00735561" w:rsidRPr="00B043B4" w:rsidRDefault="00735561" w:rsidP="002703B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717D218" w14:textId="77777777" w:rsidR="00735561" w:rsidRPr="00FB56C1" w:rsidRDefault="00FB56C1" w:rsidP="002703BE">
            <w:pPr>
              <w:rPr>
                <w:rFonts w:ascii="Times New Roman" w:eastAsia="Times New Roman" w:hAnsi="Times New Roman" w:cs="Times New Roman"/>
                <w:sz w:val="20"/>
                <w:szCs w:val="20"/>
                <w:lang w:eastAsia="sk-SK"/>
              </w:rPr>
            </w:pPr>
            <w:r w:rsidRPr="00FB56C1">
              <w:rPr>
                <w:rFonts w:ascii="Times New Roman" w:eastAsia="Times New Roman" w:hAnsi="Times New Roman" w:cs="Times New Roman"/>
                <w:sz w:val="20"/>
                <w:szCs w:val="20"/>
                <w:lang w:eastAsia="sk-SK"/>
              </w:rPr>
              <w:t>Január 2022</w:t>
            </w:r>
          </w:p>
        </w:tc>
      </w:tr>
      <w:tr w:rsidR="00735561" w:rsidRPr="00B043B4" w14:paraId="667EC2D5" w14:textId="77777777" w:rsidTr="002703B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89176EF" w14:textId="77777777" w:rsidR="00735561" w:rsidRPr="00B043B4" w:rsidRDefault="00735561" w:rsidP="002703B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F8C5AA9" w14:textId="77777777" w:rsidR="00735561" w:rsidRPr="00FB56C1" w:rsidRDefault="00FB56C1" w:rsidP="002703BE">
            <w:pPr>
              <w:rPr>
                <w:rFonts w:ascii="Times New Roman" w:eastAsia="Times New Roman" w:hAnsi="Times New Roman" w:cs="Times New Roman"/>
                <w:sz w:val="20"/>
                <w:szCs w:val="20"/>
                <w:lang w:eastAsia="sk-SK"/>
              </w:rPr>
            </w:pPr>
            <w:r w:rsidRPr="00FB56C1">
              <w:rPr>
                <w:rFonts w:ascii="Times New Roman" w:eastAsia="Times New Roman" w:hAnsi="Times New Roman" w:cs="Times New Roman"/>
                <w:sz w:val="20"/>
                <w:szCs w:val="20"/>
                <w:lang w:eastAsia="sk-SK"/>
              </w:rPr>
              <w:t>Február 2022</w:t>
            </w:r>
          </w:p>
        </w:tc>
      </w:tr>
      <w:tr w:rsidR="00735561" w:rsidRPr="00B043B4" w14:paraId="6187BAEC" w14:textId="77777777" w:rsidTr="002703B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805637C" w14:textId="77777777" w:rsidR="00735561" w:rsidRPr="00B043B4" w:rsidRDefault="00735561" w:rsidP="002703BE">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p>
        </w:tc>
        <w:tc>
          <w:tcPr>
            <w:tcW w:w="3231" w:type="dxa"/>
            <w:gridSpan w:val="5"/>
            <w:tcBorders>
              <w:top w:val="single" w:sz="4" w:space="0" w:color="auto"/>
              <w:left w:val="single" w:sz="4" w:space="0" w:color="auto"/>
              <w:bottom w:val="single" w:sz="4" w:space="0" w:color="auto"/>
              <w:right w:val="single" w:sz="4" w:space="0" w:color="auto"/>
            </w:tcBorders>
          </w:tcPr>
          <w:p w14:paraId="71C65A6B" w14:textId="77777777" w:rsidR="00735561" w:rsidRPr="00B043B4" w:rsidRDefault="00735561" w:rsidP="002703BE">
            <w:pPr>
              <w:rPr>
                <w:rFonts w:ascii="Times New Roman" w:eastAsia="Times New Roman" w:hAnsi="Times New Roman" w:cs="Times New Roman"/>
                <w:i/>
                <w:sz w:val="20"/>
                <w:szCs w:val="20"/>
                <w:lang w:eastAsia="sk-SK"/>
              </w:rPr>
            </w:pPr>
          </w:p>
        </w:tc>
      </w:tr>
      <w:tr w:rsidR="00735561" w:rsidRPr="00B043B4" w14:paraId="44518475" w14:textId="77777777" w:rsidTr="002703B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F1AD9E9" w14:textId="77777777" w:rsidR="00735561" w:rsidRPr="00B043B4" w:rsidRDefault="00735561" w:rsidP="002703BE">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42681E2" w14:textId="77777777" w:rsidR="00735561" w:rsidRPr="00B043B4" w:rsidRDefault="00735561" w:rsidP="002703BE">
            <w:pPr>
              <w:rPr>
                <w:rFonts w:ascii="Times New Roman" w:eastAsia="Times New Roman" w:hAnsi="Times New Roman" w:cs="Times New Roman"/>
                <w:i/>
                <w:sz w:val="20"/>
                <w:szCs w:val="20"/>
                <w:lang w:eastAsia="sk-SK"/>
              </w:rPr>
            </w:pPr>
          </w:p>
        </w:tc>
      </w:tr>
      <w:tr w:rsidR="00735561" w:rsidRPr="00B043B4" w14:paraId="45246B27" w14:textId="77777777" w:rsidTr="002703BE">
        <w:tc>
          <w:tcPr>
            <w:tcW w:w="9180" w:type="dxa"/>
            <w:gridSpan w:val="11"/>
            <w:tcBorders>
              <w:top w:val="single" w:sz="4" w:space="0" w:color="auto"/>
              <w:left w:val="nil"/>
              <w:bottom w:val="single" w:sz="4" w:space="0" w:color="auto"/>
              <w:right w:val="nil"/>
            </w:tcBorders>
            <w:shd w:val="clear" w:color="auto" w:fill="FFFFFF"/>
          </w:tcPr>
          <w:p w14:paraId="06534FAE" w14:textId="77777777" w:rsidR="00735561" w:rsidRPr="00B043B4" w:rsidRDefault="00735561" w:rsidP="002703BE">
            <w:pPr>
              <w:rPr>
                <w:rFonts w:ascii="Times New Roman" w:eastAsia="Times New Roman" w:hAnsi="Times New Roman" w:cs="Times New Roman"/>
                <w:sz w:val="20"/>
                <w:szCs w:val="20"/>
                <w:lang w:eastAsia="sk-SK"/>
              </w:rPr>
            </w:pPr>
          </w:p>
        </w:tc>
      </w:tr>
      <w:tr w:rsidR="00735561" w:rsidRPr="00B043B4" w14:paraId="3642C946" w14:textId="77777777" w:rsidTr="002703B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12F7FB3"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735561" w:rsidRPr="00B043B4" w14:paraId="6D9A6DC2" w14:textId="77777777" w:rsidTr="002703B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B3054B4" w14:textId="77777777" w:rsidR="00735561"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82E41CD" w14:textId="77777777" w:rsidR="00735561" w:rsidRDefault="00735561" w:rsidP="002703BE">
            <w:pPr>
              <w:jc w:val="both"/>
              <w:rPr>
                <w:rFonts w:ascii="Times New Roman" w:eastAsia="Times New Roman" w:hAnsi="Times New Roman" w:cs="Times New Roman"/>
                <w:sz w:val="20"/>
                <w:szCs w:val="20"/>
                <w:lang w:eastAsia="sk-SK"/>
              </w:rPr>
            </w:pPr>
          </w:p>
          <w:p w14:paraId="319F2918" w14:textId="2094F07D" w:rsidR="00807675" w:rsidRPr="007418E7" w:rsidRDefault="00807675" w:rsidP="002703B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sa pripravuje z dôvodu potreby </w:t>
            </w:r>
            <w:r w:rsidRPr="007418E7">
              <w:rPr>
                <w:rFonts w:ascii="Times New Roman" w:eastAsia="Times New Roman" w:hAnsi="Times New Roman" w:cs="Times New Roman"/>
                <w:sz w:val="20"/>
                <w:szCs w:val="20"/>
                <w:lang w:eastAsia="sk-SK"/>
              </w:rPr>
              <w:t>prispôsobiť doterajšie na</w:t>
            </w:r>
            <w:r w:rsidR="004072D3">
              <w:rPr>
                <w:rFonts w:ascii="Times New Roman" w:eastAsia="Times New Roman" w:hAnsi="Times New Roman" w:cs="Times New Roman"/>
                <w:sz w:val="20"/>
                <w:szCs w:val="20"/>
                <w:lang w:eastAsia="sk-SK"/>
              </w:rPr>
              <w:t>stavenie systému obchodovania s </w:t>
            </w:r>
            <w:r w:rsidRPr="007418E7">
              <w:rPr>
                <w:rFonts w:ascii="Times New Roman" w:eastAsia="Times New Roman" w:hAnsi="Times New Roman" w:cs="Times New Roman"/>
                <w:sz w:val="20"/>
                <w:szCs w:val="20"/>
                <w:lang w:eastAsia="sk-SK"/>
              </w:rPr>
              <w:t xml:space="preserve">emisnými kvótami skleníkových plynov v Únii pre štvrté obchodovateľné obdobie (2021 - 2030). Po prijatí smernice Európskeho parlamentu a Rady (EÚ) 2018/410 zo 14. marca 2018, ktorou sa mení smernica 2003/87/ES s cieľom zlepšiť nákladovo efektívne znižovanie emisií a investície do </w:t>
            </w:r>
            <w:proofErr w:type="spellStart"/>
            <w:r w:rsidRPr="007418E7">
              <w:rPr>
                <w:rFonts w:ascii="Times New Roman" w:eastAsia="Times New Roman" w:hAnsi="Times New Roman" w:cs="Times New Roman"/>
                <w:sz w:val="20"/>
                <w:szCs w:val="20"/>
                <w:lang w:eastAsia="sk-SK"/>
              </w:rPr>
              <w:t>nízkouhlíkových</w:t>
            </w:r>
            <w:proofErr w:type="spellEnd"/>
            <w:r w:rsidRPr="007418E7">
              <w:rPr>
                <w:rFonts w:ascii="Times New Roman" w:eastAsia="Times New Roman" w:hAnsi="Times New Roman" w:cs="Times New Roman"/>
                <w:sz w:val="20"/>
                <w:szCs w:val="20"/>
                <w:lang w:eastAsia="sk-SK"/>
              </w:rPr>
              <w:t xml:space="preserve"> technológií a ro</w:t>
            </w:r>
            <w:r w:rsidR="004072D3">
              <w:rPr>
                <w:rFonts w:ascii="Times New Roman" w:eastAsia="Times New Roman" w:hAnsi="Times New Roman" w:cs="Times New Roman"/>
                <w:sz w:val="20"/>
                <w:szCs w:val="20"/>
                <w:lang w:eastAsia="sk-SK"/>
              </w:rPr>
              <w:t xml:space="preserve">zhodnutie (EÚ) 2015/1814 (ďalej len </w:t>
            </w:r>
            <w:r w:rsidRPr="007418E7">
              <w:rPr>
                <w:rFonts w:ascii="Times New Roman" w:eastAsia="Times New Roman" w:hAnsi="Times New Roman" w:cs="Times New Roman"/>
                <w:sz w:val="20"/>
                <w:szCs w:val="20"/>
                <w:lang w:eastAsia="sk-SK"/>
              </w:rPr>
              <w:t>„smernica“), pokračovala v rokoch 2019 a 2020 príprava vykonávacích</w:t>
            </w:r>
            <w:r w:rsidR="004072D3">
              <w:rPr>
                <w:rFonts w:ascii="Times New Roman" w:eastAsia="Times New Roman" w:hAnsi="Times New Roman" w:cs="Times New Roman"/>
                <w:sz w:val="20"/>
                <w:szCs w:val="20"/>
                <w:lang w:eastAsia="sk-SK"/>
              </w:rPr>
              <w:t xml:space="preserve"> a delegovaných právnych aktov. </w:t>
            </w:r>
            <w:r>
              <w:rPr>
                <w:rFonts w:ascii="Times New Roman" w:eastAsia="Times New Roman" w:hAnsi="Times New Roman" w:cs="Times New Roman"/>
                <w:sz w:val="20"/>
                <w:szCs w:val="20"/>
                <w:lang w:eastAsia="sk-SK"/>
              </w:rPr>
              <w:t xml:space="preserve">Viaceré ustanovenia týchto právnych aktov, ktoré zahŕňajú </w:t>
            </w:r>
            <w:r w:rsidRPr="007418E7">
              <w:rPr>
                <w:rFonts w:ascii="Times New Roman" w:eastAsia="Times New Roman" w:hAnsi="Times New Roman" w:cs="Times New Roman"/>
                <w:sz w:val="20"/>
                <w:szCs w:val="20"/>
                <w:lang w:eastAsia="sk-SK"/>
              </w:rPr>
              <w:t>technicko-administratívne zmeny</w:t>
            </w:r>
            <w:r w:rsidR="00886895">
              <w:rPr>
                <w:rFonts w:ascii="Times New Roman" w:eastAsia="Times New Roman" w:hAnsi="Times New Roman" w:cs="Times New Roman"/>
                <w:sz w:val="20"/>
                <w:szCs w:val="20"/>
                <w:lang w:eastAsia="sk-SK"/>
              </w:rPr>
              <w:t xml:space="preserve"> </w:t>
            </w:r>
            <w:r w:rsidRPr="007418E7">
              <w:rPr>
                <w:rFonts w:ascii="Times New Roman" w:eastAsia="Times New Roman" w:hAnsi="Times New Roman" w:cs="Times New Roman"/>
                <w:sz w:val="20"/>
                <w:szCs w:val="20"/>
                <w:lang w:eastAsia="sk-SK"/>
              </w:rPr>
              <w:t xml:space="preserve">(napr. povinnosti prevádzkovateľov a prevádzkovateľov lietadiel alebo vykonávanie virtuálnych návštev na mieste) je potrebné </w:t>
            </w:r>
            <w:r w:rsidR="00775DEE">
              <w:rPr>
                <w:rFonts w:ascii="Times New Roman" w:eastAsia="Times New Roman" w:hAnsi="Times New Roman" w:cs="Times New Roman"/>
                <w:sz w:val="20"/>
                <w:szCs w:val="20"/>
                <w:lang w:eastAsia="sk-SK"/>
              </w:rPr>
              <w:t>implementovať do návrhu zákona.</w:t>
            </w:r>
          </w:p>
          <w:p w14:paraId="41F84C78" w14:textId="77777777" w:rsidR="00735561" w:rsidRPr="00B043B4" w:rsidRDefault="00735561" w:rsidP="002703BE">
            <w:pPr>
              <w:rPr>
                <w:rFonts w:ascii="Times New Roman" w:eastAsia="Times New Roman" w:hAnsi="Times New Roman" w:cs="Times New Roman"/>
                <w:b/>
                <w:sz w:val="20"/>
                <w:szCs w:val="20"/>
                <w:lang w:eastAsia="sk-SK"/>
              </w:rPr>
            </w:pPr>
          </w:p>
        </w:tc>
      </w:tr>
      <w:tr w:rsidR="00735561" w:rsidRPr="00B043B4" w14:paraId="1B2D4B76" w14:textId="77777777" w:rsidTr="002703BE">
        <w:tc>
          <w:tcPr>
            <w:tcW w:w="9180" w:type="dxa"/>
            <w:gridSpan w:val="11"/>
            <w:tcBorders>
              <w:top w:val="single" w:sz="4" w:space="0" w:color="auto"/>
              <w:left w:val="single" w:sz="4" w:space="0" w:color="auto"/>
              <w:bottom w:val="nil"/>
              <w:right w:val="single" w:sz="4" w:space="0" w:color="auto"/>
            </w:tcBorders>
            <w:shd w:val="clear" w:color="auto" w:fill="E2E2E2"/>
          </w:tcPr>
          <w:p w14:paraId="5871A755"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735561" w:rsidRPr="00B043B4" w14:paraId="6982E62F" w14:textId="77777777" w:rsidTr="002703B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3B4B0B4" w14:textId="77777777" w:rsidR="00735561" w:rsidRDefault="00735561" w:rsidP="002703B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14:paraId="35EBC421" w14:textId="77777777" w:rsidR="004072D3" w:rsidRPr="00B043B4" w:rsidRDefault="004072D3" w:rsidP="002703BE">
            <w:pPr>
              <w:rPr>
                <w:rFonts w:ascii="Times New Roman" w:eastAsia="Times New Roman" w:hAnsi="Times New Roman" w:cs="Times New Roman"/>
                <w:i/>
                <w:sz w:val="20"/>
                <w:szCs w:val="20"/>
                <w:lang w:eastAsia="sk-SK"/>
              </w:rPr>
            </w:pPr>
          </w:p>
          <w:p w14:paraId="30CFFE8E" w14:textId="5C72259E" w:rsidR="004072D3" w:rsidRDefault="00735561" w:rsidP="002703BE">
            <w:pPr>
              <w:jc w:val="both"/>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Cieľom návrhu z</w:t>
            </w:r>
            <w:r w:rsidR="004072D3">
              <w:rPr>
                <w:rFonts w:ascii="Times New Roman" w:eastAsia="Times New Roman" w:hAnsi="Times New Roman" w:cs="Times New Roman"/>
                <w:sz w:val="20"/>
                <w:szCs w:val="20"/>
                <w:lang w:eastAsia="sk-SK"/>
              </w:rPr>
              <w:t xml:space="preserve">ákona je </w:t>
            </w:r>
            <w:r w:rsidRPr="007418E7">
              <w:rPr>
                <w:rFonts w:ascii="Times New Roman" w:eastAsia="Times New Roman" w:hAnsi="Times New Roman" w:cs="Times New Roman"/>
                <w:sz w:val="20"/>
                <w:szCs w:val="20"/>
                <w:lang w:eastAsia="sk-SK"/>
              </w:rPr>
              <w:t>nastavenie systému obchodovania s emisnými kvótami skleníkových plynov v Únii pre štvrté obcho</w:t>
            </w:r>
            <w:r w:rsidR="004072D3">
              <w:rPr>
                <w:rFonts w:ascii="Times New Roman" w:eastAsia="Times New Roman" w:hAnsi="Times New Roman" w:cs="Times New Roman"/>
                <w:sz w:val="20"/>
                <w:szCs w:val="20"/>
                <w:lang w:eastAsia="sk-SK"/>
              </w:rPr>
              <w:t>dovateľné obdobie (2021 - 2030)</w:t>
            </w:r>
            <w:r w:rsidR="0071713C" w:rsidRPr="0071713C">
              <w:rPr>
                <w:rFonts w:ascii="Times New Roman" w:eastAsia="Times New Roman" w:hAnsi="Times New Roman" w:cs="Times New Roman"/>
                <w:sz w:val="20"/>
                <w:szCs w:val="20"/>
                <w:lang w:eastAsia="sk-SK"/>
              </w:rPr>
              <w:t>.</w:t>
            </w:r>
          </w:p>
          <w:p w14:paraId="36655BE3" w14:textId="77777777" w:rsidR="00735561" w:rsidRPr="00B043B4" w:rsidRDefault="00735561" w:rsidP="00DA0502">
            <w:pPr>
              <w:jc w:val="both"/>
              <w:rPr>
                <w:rFonts w:ascii="Times New Roman" w:eastAsia="Times New Roman" w:hAnsi="Times New Roman" w:cs="Times New Roman"/>
                <w:sz w:val="20"/>
                <w:szCs w:val="20"/>
                <w:lang w:eastAsia="sk-SK"/>
              </w:rPr>
            </w:pPr>
          </w:p>
        </w:tc>
      </w:tr>
      <w:tr w:rsidR="00735561" w:rsidRPr="00B043B4" w14:paraId="7DE42980" w14:textId="77777777" w:rsidTr="002703BE">
        <w:tc>
          <w:tcPr>
            <w:tcW w:w="9180" w:type="dxa"/>
            <w:gridSpan w:val="11"/>
            <w:tcBorders>
              <w:top w:val="single" w:sz="4" w:space="0" w:color="auto"/>
              <w:left w:val="single" w:sz="4" w:space="0" w:color="auto"/>
              <w:bottom w:val="nil"/>
              <w:right w:val="single" w:sz="4" w:space="0" w:color="auto"/>
            </w:tcBorders>
            <w:shd w:val="clear" w:color="auto" w:fill="E2E2E2"/>
          </w:tcPr>
          <w:p w14:paraId="5DC5874B"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735561" w:rsidRPr="00B043B4" w14:paraId="0C3EBC2D" w14:textId="77777777" w:rsidTr="002703BE">
        <w:tc>
          <w:tcPr>
            <w:tcW w:w="9180" w:type="dxa"/>
            <w:gridSpan w:val="11"/>
            <w:tcBorders>
              <w:top w:val="nil"/>
              <w:left w:val="single" w:sz="4" w:space="0" w:color="auto"/>
              <w:bottom w:val="single" w:sz="4" w:space="0" w:color="auto"/>
              <w:right w:val="single" w:sz="4" w:space="0" w:color="auto"/>
            </w:tcBorders>
            <w:shd w:val="clear" w:color="auto" w:fill="FFFFFF"/>
          </w:tcPr>
          <w:p w14:paraId="35190ADD"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1CC28166" w14:textId="77777777" w:rsidR="00735561" w:rsidRPr="0053099B" w:rsidRDefault="00735561" w:rsidP="002703BE">
            <w:pPr>
              <w:pStyle w:val="Odsekzoznamu"/>
              <w:numPr>
                <w:ilvl w:val="0"/>
                <w:numId w:val="2"/>
              </w:numPr>
              <w:spacing w:after="0" w:line="240" w:lineRule="auto"/>
              <w:ind w:left="714" w:hanging="357"/>
              <w:rPr>
                <w:rFonts w:ascii="Times New Roman" w:hAnsi="Times New Roman" w:cs="Times New Roman"/>
                <w:i/>
                <w:sz w:val="20"/>
                <w:szCs w:val="20"/>
              </w:rPr>
            </w:pPr>
            <w:r w:rsidRPr="009B4CB1">
              <w:rPr>
                <w:rFonts w:ascii="Times New Roman" w:hAnsi="Times New Roman" w:cs="Times New Roman"/>
                <w:sz w:val="20"/>
                <w:szCs w:val="20"/>
              </w:rPr>
              <w:t>Ministerstvo životného prostredia Slovenskej republiky</w:t>
            </w:r>
          </w:p>
          <w:p w14:paraId="6CEAF9F9" w14:textId="77777777" w:rsidR="00735561" w:rsidRPr="0053099B" w:rsidRDefault="00735561" w:rsidP="002703BE">
            <w:pPr>
              <w:pStyle w:val="Odsekzoznamu"/>
              <w:numPr>
                <w:ilvl w:val="0"/>
                <w:numId w:val="2"/>
              </w:numPr>
              <w:spacing w:after="0" w:line="240" w:lineRule="auto"/>
              <w:ind w:left="714" w:hanging="357"/>
              <w:rPr>
                <w:rFonts w:ascii="Times New Roman" w:hAnsi="Times New Roman" w:cs="Times New Roman"/>
                <w:i/>
                <w:sz w:val="20"/>
                <w:szCs w:val="20"/>
              </w:rPr>
            </w:pPr>
            <w:r>
              <w:rPr>
                <w:rFonts w:ascii="Times New Roman" w:hAnsi="Times New Roman" w:cs="Times New Roman"/>
                <w:sz w:val="20"/>
                <w:szCs w:val="20"/>
              </w:rPr>
              <w:t>Environmentálny fond</w:t>
            </w:r>
          </w:p>
          <w:p w14:paraId="3663DB63" w14:textId="77777777" w:rsidR="00735561" w:rsidRPr="00581B7C" w:rsidRDefault="00735561" w:rsidP="002703BE">
            <w:pPr>
              <w:pStyle w:val="Odsekzoznamu"/>
              <w:numPr>
                <w:ilvl w:val="0"/>
                <w:numId w:val="2"/>
              </w:numPr>
              <w:spacing w:after="0" w:line="240" w:lineRule="auto"/>
              <w:ind w:left="714" w:hanging="357"/>
              <w:rPr>
                <w:i/>
              </w:rPr>
            </w:pPr>
            <w:r w:rsidRPr="00581B7C">
              <w:rPr>
                <w:rFonts w:ascii="Times New Roman" w:hAnsi="Times New Roman" w:cs="Times New Roman"/>
                <w:sz w:val="20"/>
                <w:szCs w:val="20"/>
              </w:rPr>
              <w:t>Ministerstvo hospodárstva Slovenskej republiky</w:t>
            </w:r>
          </w:p>
          <w:p w14:paraId="2FE442ED" w14:textId="77777777" w:rsidR="00735561" w:rsidRPr="00581B7C" w:rsidRDefault="00735561" w:rsidP="002703BE">
            <w:pPr>
              <w:pStyle w:val="Odsekzoznamu"/>
              <w:numPr>
                <w:ilvl w:val="0"/>
                <w:numId w:val="2"/>
              </w:numPr>
              <w:spacing w:after="0" w:line="240" w:lineRule="auto"/>
              <w:ind w:left="714" w:hanging="357"/>
              <w:rPr>
                <w:i/>
              </w:rPr>
            </w:pPr>
            <w:r>
              <w:rPr>
                <w:rFonts w:ascii="Times New Roman" w:hAnsi="Times New Roman" w:cs="Times New Roman"/>
                <w:sz w:val="20"/>
                <w:szCs w:val="20"/>
              </w:rPr>
              <w:t>Slovenská inšpekcia životného prostredia</w:t>
            </w:r>
          </w:p>
          <w:p w14:paraId="62E84F65" w14:textId="77777777" w:rsidR="00735561" w:rsidRPr="00581B7C" w:rsidRDefault="00735561" w:rsidP="002703BE">
            <w:pPr>
              <w:pStyle w:val="Odsekzoznamu"/>
              <w:numPr>
                <w:ilvl w:val="0"/>
                <w:numId w:val="2"/>
              </w:numPr>
              <w:spacing w:after="0" w:line="240" w:lineRule="auto"/>
              <w:ind w:left="714" w:hanging="357"/>
              <w:rPr>
                <w:i/>
              </w:rPr>
            </w:pPr>
            <w:r>
              <w:rPr>
                <w:rFonts w:ascii="Times New Roman" w:hAnsi="Times New Roman" w:cs="Times New Roman"/>
                <w:sz w:val="20"/>
                <w:szCs w:val="20"/>
              </w:rPr>
              <w:lastRenderedPageBreak/>
              <w:t>Okresné úrady, odbory starostlivosti o životné prostredie</w:t>
            </w:r>
          </w:p>
          <w:p w14:paraId="053AB29B" w14:textId="77777777" w:rsidR="00735561" w:rsidRPr="00581B7C" w:rsidRDefault="00735561" w:rsidP="002703BE">
            <w:pPr>
              <w:pStyle w:val="Odsekzoznamu"/>
              <w:numPr>
                <w:ilvl w:val="0"/>
                <w:numId w:val="2"/>
              </w:numPr>
              <w:spacing w:after="0" w:line="240" w:lineRule="auto"/>
              <w:ind w:left="714" w:hanging="357"/>
              <w:rPr>
                <w:i/>
              </w:rPr>
            </w:pPr>
            <w:r>
              <w:rPr>
                <w:rFonts w:ascii="Times New Roman" w:hAnsi="Times New Roman" w:cs="Times New Roman"/>
                <w:sz w:val="20"/>
                <w:szCs w:val="20"/>
              </w:rPr>
              <w:t>Účastníci systému obchodovania s emisnými kvótami</w:t>
            </w:r>
          </w:p>
          <w:p w14:paraId="37E2A0C7" w14:textId="77777777" w:rsidR="00735561" w:rsidRPr="00B043B4" w:rsidRDefault="00735561" w:rsidP="002703BE">
            <w:pPr>
              <w:rPr>
                <w:rFonts w:ascii="Times New Roman" w:eastAsia="Times New Roman" w:hAnsi="Times New Roman" w:cs="Times New Roman"/>
                <w:i/>
                <w:sz w:val="20"/>
                <w:szCs w:val="20"/>
                <w:lang w:eastAsia="sk-SK"/>
              </w:rPr>
            </w:pPr>
          </w:p>
        </w:tc>
      </w:tr>
      <w:tr w:rsidR="00735561" w:rsidRPr="00B043B4" w14:paraId="069FD2DD" w14:textId="77777777" w:rsidTr="002703BE">
        <w:tc>
          <w:tcPr>
            <w:tcW w:w="9180" w:type="dxa"/>
            <w:gridSpan w:val="11"/>
            <w:tcBorders>
              <w:top w:val="single" w:sz="4" w:space="0" w:color="auto"/>
              <w:left w:val="single" w:sz="4" w:space="0" w:color="auto"/>
              <w:bottom w:val="nil"/>
              <w:right w:val="single" w:sz="4" w:space="0" w:color="auto"/>
            </w:tcBorders>
            <w:shd w:val="clear" w:color="auto" w:fill="E2E2E2"/>
          </w:tcPr>
          <w:p w14:paraId="5DC5C191"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Alternatívne riešenia</w:t>
            </w:r>
          </w:p>
        </w:tc>
      </w:tr>
      <w:tr w:rsidR="00735561" w:rsidRPr="00B043B4" w14:paraId="0D111005" w14:textId="77777777" w:rsidTr="002703B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C690D13" w14:textId="77777777" w:rsidR="00735561" w:rsidRPr="00B043B4"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252772DD" w14:textId="77777777" w:rsidR="00735561" w:rsidRPr="00B043B4" w:rsidRDefault="00735561" w:rsidP="002703BE">
            <w:pPr>
              <w:rPr>
                <w:rFonts w:ascii="Times New Roman" w:eastAsia="Times New Roman" w:hAnsi="Times New Roman" w:cs="Times New Roman"/>
                <w:i/>
                <w:sz w:val="20"/>
                <w:szCs w:val="20"/>
                <w:lang w:eastAsia="sk-SK"/>
              </w:rPr>
            </w:pPr>
          </w:p>
          <w:p w14:paraId="756E3D68" w14:textId="77777777" w:rsidR="00735561"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2136B6AB" w14:textId="77777777" w:rsidR="00DA0502" w:rsidRDefault="00DA0502" w:rsidP="002703BE">
            <w:pPr>
              <w:jc w:val="both"/>
              <w:rPr>
                <w:rFonts w:ascii="Times New Roman" w:eastAsia="Times New Roman" w:hAnsi="Times New Roman" w:cs="Times New Roman"/>
                <w:sz w:val="20"/>
                <w:szCs w:val="20"/>
                <w:lang w:eastAsia="sk-SK"/>
              </w:rPr>
            </w:pPr>
          </w:p>
          <w:p w14:paraId="4B0A8993" w14:textId="77777777" w:rsidR="00735561" w:rsidRDefault="00735561" w:rsidP="002703BE">
            <w:pPr>
              <w:jc w:val="both"/>
              <w:rPr>
                <w:rFonts w:ascii="Times New Roman" w:eastAsia="Times New Roman" w:hAnsi="Times New Roman" w:cs="Times New Roman"/>
                <w:sz w:val="20"/>
                <w:szCs w:val="20"/>
                <w:lang w:eastAsia="sk-SK"/>
              </w:rPr>
            </w:pPr>
            <w:r w:rsidRPr="00581B7C">
              <w:rPr>
                <w:rFonts w:ascii="Times New Roman" w:eastAsia="Times New Roman" w:hAnsi="Times New Roman" w:cs="Times New Roman"/>
                <w:sz w:val="20"/>
                <w:szCs w:val="20"/>
                <w:lang w:eastAsia="sk-SK"/>
              </w:rPr>
              <w:t>Neboli posudzované alternatívne riešenia.</w:t>
            </w:r>
          </w:p>
          <w:p w14:paraId="6E4CA2DE" w14:textId="77777777" w:rsidR="00DA0502" w:rsidRPr="00581B7C" w:rsidRDefault="00DA0502" w:rsidP="002703B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nevykonania navrhovaných úprav nebude slovenská legislatíva v súlade s európskou.</w:t>
            </w:r>
          </w:p>
        </w:tc>
      </w:tr>
      <w:tr w:rsidR="00735561" w:rsidRPr="00B043B4" w14:paraId="383FB18F" w14:textId="77777777" w:rsidTr="002703B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2A03C8C"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735561" w:rsidRPr="00B043B4" w14:paraId="31318F9A" w14:textId="77777777" w:rsidTr="002703BE">
        <w:tc>
          <w:tcPr>
            <w:tcW w:w="6203" w:type="dxa"/>
            <w:gridSpan w:val="7"/>
            <w:tcBorders>
              <w:top w:val="single" w:sz="4" w:space="0" w:color="FFFFFF"/>
              <w:left w:val="single" w:sz="4" w:space="0" w:color="auto"/>
              <w:bottom w:val="nil"/>
              <w:right w:val="nil"/>
            </w:tcBorders>
            <w:shd w:val="clear" w:color="auto" w:fill="FFFFFF"/>
          </w:tcPr>
          <w:p w14:paraId="7E8B8799" w14:textId="77777777" w:rsidR="00735561" w:rsidRPr="00B043B4" w:rsidRDefault="00735561" w:rsidP="002703B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9DDF1D1" w14:textId="77777777" w:rsidR="00735561" w:rsidRPr="00B043B4" w:rsidRDefault="00840481" w:rsidP="002703B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292B4DE" w14:textId="77777777" w:rsidR="00735561" w:rsidRPr="00B043B4" w:rsidRDefault="00840481" w:rsidP="002703B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 xml:space="preserve">  Nie</w:t>
            </w:r>
          </w:p>
        </w:tc>
      </w:tr>
      <w:tr w:rsidR="00735561" w:rsidRPr="00B043B4" w14:paraId="24484387" w14:textId="77777777" w:rsidTr="002703BE">
        <w:tc>
          <w:tcPr>
            <w:tcW w:w="9180" w:type="dxa"/>
            <w:gridSpan w:val="11"/>
            <w:tcBorders>
              <w:top w:val="nil"/>
              <w:left w:val="single" w:sz="4" w:space="0" w:color="auto"/>
              <w:bottom w:val="single" w:sz="4" w:space="0" w:color="auto"/>
              <w:right w:val="single" w:sz="4" w:space="0" w:color="auto"/>
            </w:tcBorders>
            <w:shd w:val="clear" w:color="auto" w:fill="FFFFFF"/>
          </w:tcPr>
          <w:p w14:paraId="555ED073" w14:textId="77777777" w:rsidR="00735561" w:rsidRPr="00B043B4" w:rsidRDefault="00735561" w:rsidP="002703B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316FACE3" w14:textId="77777777" w:rsidR="00735561" w:rsidRPr="00B043B4" w:rsidRDefault="00735561" w:rsidP="002703BE">
            <w:pPr>
              <w:rPr>
                <w:rFonts w:ascii="Times New Roman" w:eastAsia="Times New Roman" w:hAnsi="Times New Roman" w:cs="Times New Roman"/>
                <w:sz w:val="20"/>
                <w:szCs w:val="20"/>
                <w:lang w:eastAsia="sk-SK"/>
              </w:rPr>
            </w:pPr>
          </w:p>
        </w:tc>
      </w:tr>
      <w:tr w:rsidR="00735561" w:rsidRPr="00B043B4" w14:paraId="2FE34B5B" w14:textId="77777777" w:rsidTr="002703B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3535B54"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735561" w:rsidRPr="00B043B4" w14:paraId="3D7BC135" w14:textId="77777777" w:rsidTr="002703BE">
        <w:trPr>
          <w:trHeight w:val="157"/>
        </w:trPr>
        <w:tc>
          <w:tcPr>
            <w:tcW w:w="9180" w:type="dxa"/>
            <w:gridSpan w:val="11"/>
            <w:tcBorders>
              <w:top w:val="nil"/>
              <w:left w:val="single" w:sz="4" w:space="0" w:color="000000"/>
              <w:bottom w:val="nil"/>
              <w:right w:val="single" w:sz="4" w:space="0" w:color="auto"/>
            </w:tcBorders>
            <w:shd w:val="clear" w:color="auto" w:fill="FFFFFF"/>
          </w:tcPr>
          <w:p w14:paraId="3DCEB17C" w14:textId="77777777" w:rsidR="00735561" w:rsidRPr="00B043B4"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735561" w:rsidRPr="00B043B4" w14:paraId="28960758" w14:textId="77777777" w:rsidTr="002703B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FAFDBF4" w14:textId="77777777" w:rsidR="00735561" w:rsidRPr="00B043B4" w:rsidRDefault="00735561" w:rsidP="002703BE">
            <w:pPr>
              <w:jc w:val="center"/>
              <w:rPr>
                <w:rFonts w:ascii="Times New Roman" w:eastAsia="Times New Roman" w:hAnsi="Times New Roman" w:cs="Times New Roman"/>
                <w:sz w:val="20"/>
                <w:szCs w:val="20"/>
                <w:lang w:eastAsia="sk-SK"/>
              </w:rPr>
            </w:pPr>
          </w:p>
        </w:tc>
      </w:tr>
      <w:tr w:rsidR="00735561" w:rsidRPr="00B043B4" w14:paraId="276CC339" w14:textId="77777777" w:rsidTr="002703B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EA47D6F"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735561" w:rsidRPr="00B043B4" w14:paraId="101231D6" w14:textId="77777777" w:rsidTr="002703B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28A2884" w14:textId="77777777" w:rsidR="00735561" w:rsidRPr="00B043B4" w:rsidRDefault="00735561" w:rsidP="002703B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59411C61" w14:textId="77777777" w:rsidR="00735561" w:rsidRPr="00B043B4" w:rsidRDefault="00735561" w:rsidP="002703B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14:paraId="31EA9992" w14:textId="77777777" w:rsidR="00735561" w:rsidRPr="00DA0502" w:rsidRDefault="00DA0502" w:rsidP="00DA050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 preskúmaniu účelnosti dôjde pri r</w:t>
            </w:r>
            <w:r w:rsidRPr="00DA0502">
              <w:rPr>
                <w:rFonts w:ascii="Times New Roman" w:eastAsia="Times New Roman" w:hAnsi="Times New Roman" w:cs="Times New Roman"/>
                <w:sz w:val="20"/>
                <w:szCs w:val="20"/>
                <w:lang w:eastAsia="sk-SK"/>
              </w:rPr>
              <w:t>ev</w:t>
            </w:r>
            <w:r>
              <w:rPr>
                <w:rFonts w:ascii="Times New Roman" w:eastAsia="Times New Roman" w:hAnsi="Times New Roman" w:cs="Times New Roman"/>
                <w:sz w:val="20"/>
                <w:szCs w:val="20"/>
                <w:lang w:eastAsia="sk-SK"/>
              </w:rPr>
              <w:t>ízii</w:t>
            </w:r>
            <w:r w:rsidRPr="00DA0502">
              <w:rPr>
                <w:rFonts w:ascii="Times New Roman" w:eastAsia="Times New Roman" w:hAnsi="Times New Roman" w:cs="Times New Roman"/>
                <w:sz w:val="20"/>
                <w:szCs w:val="20"/>
                <w:lang w:eastAsia="sk-SK"/>
              </w:rPr>
              <w:t xml:space="preserve"> smernice</w:t>
            </w:r>
            <w:r>
              <w:rPr>
                <w:rFonts w:ascii="Times New Roman" w:eastAsia="Times New Roman" w:hAnsi="Times New Roman" w:cs="Times New Roman"/>
                <w:sz w:val="20"/>
                <w:szCs w:val="20"/>
                <w:lang w:eastAsia="sk-SK"/>
              </w:rPr>
              <w:t xml:space="preserve">2003/87/ES Európskeho parlamentu a Rady z 13. októbra 2003, </w:t>
            </w:r>
            <w:r w:rsidRPr="00DA0502">
              <w:rPr>
                <w:rFonts w:ascii="Times New Roman" w:eastAsia="Times New Roman" w:hAnsi="Times New Roman" w:cs="Times New Roman"/>
                <w:sz w:val="20"/>
                <w:szCs w:val="20"/>
                <w:lang w:eastAsia="sk-SK"/>
              </w:rPr>
              <w:t>o vytvorení systému obchodovania s emisnými kvó</w:t>
            </w:r>
            <w:r>
              <w:rPr>
                <w:rFonts w:ascii="Times New Roman" w:eastAsia="Times New Roman" w:hAnsi="Times New Roman" w:cs="Times New Roman"/>
                <w:sz w:val="20"/>
                <w:szCs w:val="20"/>
                <w:lang w:eastAsia="sk-SK"/>
              </w:rPr>
              <w:t>tami skleníkových plynov v Únii</w:t>
            </w:r>
            <w:r w:rsidRPr="00DA0502">
              <w:rPr>
                <w:rFonts w:ascii="Times New Roman" w:eastAsia="Times New Roman" w:hAnsi="Times New Roman" w:cs="Times New Roman"/>
                <w:sz w:val="20"/>
                <w:szCs w:val="20"/>
                <w:lang w:eastAsia="sk-SK"/>
              </w:rPr>
              <w:t>, a ktorou sa mení a dopĺňa smernica Rady 96/61/ES</w:t>
            </w:r>
            <w:r w:rsidR="002207E4">
              <w:rPr>
                <w:rFonts w:ascii="Times New Roman" w:eastAsia="Times New Roman" w:hAnsi="Times New Roman" w:cs="Times New Roman"/>
                <w:sz w:val="20"/>
                <w:szCs w:val="20"/>
                <w:lang w:eastAsia="sk-SK"/>
              </w:rPr>
              <w:t>, ktorá bude prebiehať v rokoch 2021 a 2022. Hlavným kritérium bude posúdenie, či je systém obchodovania s emisnými kvótami dostatočný na dosiahnutie zvýšených redukčných cieľov EÚ do roku 2030 (zníženie emisií skleníkových plynov o minimálne 55 % oproti roku 1990).</w:t>
            </w:r>
          </w:p>
        </w:tc>
      </w:tr>
      <w:tr w:rsidR="00735561" w:rsidRPr="00B043B4" w14:paraId="34B856D3" w14:textId="77777777" w:rsidTr="002703BE">
        <w:tc>
          <w:tcPr>
            <w:tcW w:w="9180" w:type="dxa"/>
            <w:gridSpan w:val="11"/>
            <w:tcBorders>
              <w:top w:val="nil"/>
              <w:left w:val="nil"/>
              <w:bottom w:val="single" w:sz="4" w:space="0" w:color="auto"/>
              <w:right w:val="nil"/>
            </w:tcBorders>
            <w:shd w:val="clear" w:color="auto" w:fill="FFFFFF"/>
          </w:tcPr>
          <w:p w14:paraId="250E9046" w14:textId="77777777" w:rsidR="00735561" w:rsidRPr="00B043B4" w:rsidRDefault="00735561" w:rsidP="002703BE">
            <w:pPr>
              <w:rPr>
                <w:rFonts w:ascii="Times New Roman" w:eastAsia="Times New Roman" w:hAnsi="Times New Roman" w:cs="Times New Roman"/>
                <w:b/>
                <w:sz w:val="20"/>
                <w:szCs w:val="20"/>
                <w:lang w:eastAsia="sk-SK"/>
              </w:rPr>
            </w:pPr>
          </w:p>
          <w:p w14:paraId="3AC18361" w14:textId="77777777" w:rsidR="00735561" w:rsidRPr="00B043B4" w:rsidRDefault="00735561" w:rsidP="002703BE">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2CD9F1B0" w14:textId="77777777" w:rsidR="00735561"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4019B16C" w14:textId="77777777" w:rsidR="00735561" w:rsidRPr="00B043B4" w:rsidRDefault="00735561" w:rsidP="002703BE">
            <w:pPr>
              <w:rPr>
                <w:rFonts w:ascii="Times New Roman" w:eastAsia="Times New Roman" w:hAnsi="Times New Roman" w:cs="Times New Roman"/>
                <w:b/>
                <w:sz w:val="20"/>
                <w:szCs w:val="20"/>
                <w:lang w:eastAsia="sk-SK"/>
              </w:rPr>
            </w:pPr>
          </w:p>
        </w:tc>
      </w:tr>
      <w:tr w:rsidR="00735561" w:rsidRPr="00B043B4" w14:paraId="38094BB3" w14:textId="77777777" w:rsidTr="002703B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EE7A749"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735561" w:rsidRPr="00B043B4" w14:paraId="2E3C1BB1" w14:textId="77777777" w:rsidTr="002703BE">
        <w:tc>
          <w:tcPr>
            <w:tcW w:w="3812" w:type="dxa"/>
            <w:tcBorders>
              <w:top w:val="single" w:sz="4" w:space="0" w:color="auto"/>
              <w:left w:val="single" w:sz="4" w:space="0" w:color="auto"/>
              <w:bottom w:val="nil"/>
              <w:right w:val="single" w:sz="4" w:space="0" w:color="auto"/>
            </w:tcBorders>
            <w:shd w:val="clear" w:color="auto" w:fill="E2E2E2"/>
          </w:tcPr>
          <w:p w14:paraId="57A9E3FF"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sdtPr>
          <w:sdtEndPr/>
          <w:sdtContent>
            <w:tc>
              <w:tcPr>
                <w:tcW w:w="541" w:type="dxa"/>
                <w:gridSpan w:val="2"/>
                <w:tcBorders>
                  <w:top w:val="single" w:sz="4" w:space="0" w:color="auto"/>
                  <w:left w:val="single" w:sz="4" w:space="0" w:color="auto"/>
                  <w:bottom w:val="dotted" w:sz="4" w:space="0" w:color="auto"/>
                  <w:right w:val="nil"/>
                </w:tcBorders>
              </w:tcPr>
              <w:p w14:paraId="2B9CA2E7"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32235A9"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sdtPr>
          <w:sdtEndPr/>
          <w:sdtContent>
            <w:sdt>
              <w:sdtPr>
                <w:rPr>
                  <w:rFonts w:ascii="Times New Roman" w:eastAsia="Times New Roman" w:hAnsi="Times New Roman" w:cs="Times New Roman"/>
                  <w:b/>
                  <w:sz w:val="20"/>
                  <w:szCs w:val="20"/>
                  <w:lang w:eastAsia="sk-SK"/>
                </w:rPr>
                <w:id w:val="917826957"/>
              </w:sdtPr>
              <w:sdtEndPr/>
              <w:sdtContent>
                <w:tc>
                  <w:tcPr>
                    <w:tcW w:w="538" w:type="dxa"/>
                    <w:gridSpan w:val="2"/>
                    <w:tcBorders>
                      <w:top w:val="single" w:sz="4" w:space="0" w:color="auto"/>
                      <w:left w:val="nil"/>
                      <w:bottom w:val="dotted" w:sz="4" w:space="0" w:color="auto"/>
                      <w:right w:val="nil"/>
                    </w:tcBorders>
                  </w:tcPr>
                  <w:p w14:paraId="427161A5" w14:textId="51BDF71C" w:rsidR="00735561" w:rsidRPr="00B043B4" w:rsidRDefault="002A0622"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sdtContent>
        </w:sdt>
        <w:tc>
          <w:tcPr>
            <w:tcW w:w="1133" w:type="dxa"/>
            <w:tcBorders>
              <w:top w:val="single" w:sz="4" w:space="0" w:color="auto"/>
              <w:left w:val="nil"/>
              <w:bottom w:val="dotted" w:sz="4" w:space="0" w:color="auto"/>
              <w:right w:val="nil"/>
            </w:tcBorders>
          </w:tcPr>
          <w:p w14:paraId="12BBDB33"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sdtPr>
          <w:sdtEndPr/>
          <w:sdtContent>
            <w:sdt>
              <w:sdtPr>
                <w:rPr>
                  <w:rFonts w:ascii="Times New Roman" w:eastAsia="Times New Roman" w:hAnsi="Times New Roman" w:cs="Times New Roman"/>
                  <w:b/>
                  <w:sz w:val="20"/>
                  <w:szCs w:val="20"/>
                  <w:lang w:eastAsia="sk-SK"/>
                </w:rPr>
                <w:id w:val="-836611220"/>
              </w:sdtPr>
              <w:sdtEndPr/>
              <w:sdtContent>
                <w:tc>
                  <w:tcPr>
                    <w:tcW w:w="547" w:type="dxa"/>
                    <w:gridSpan w:val="2"/>
                    <w:tcBorders>
                      <w:top w:val="single" w:sz="4" w:space="0" w:color="auto"/>
                      <w:left w:val="nil"/>
                      <w:bottom w:val="dotted" w:sz="4" w:space="0" w:color="auto"/>
                      <w:right w:val="nil"/>
                    </w:tcBorders>
                  </w:tcPr>
                  <w:p w14:paraId="4BD4E85A" w14:textId="53A85279" w:rsidR="00735561" w:rsidRPr="00B043B4" w:rsidRDefault="002A0622" w:rsidP="002703B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sdtContent>
        </w:sdt>
        <w:tc>
          <w:tcPr>
            <w:tcW w:w="1297" w:type="dxa"/>
            <w:tcBorders>
              <w:top w:val="single" w:sz="4" w:space="0" w:color="auto"/>
              <w:left w:val="nil"/>
              <w:bottom w:val="dotted" w:sz="4" w:space="0" w:color="auto"/>
              <w:right w:val="single" w:sz="4" w:space="0" w:color="auto"/>
            </w:tcBorders>
          </w:tcPr>
          <w:p w14:paraId="41E2A0B5" w14:textId="77777777" w:rsidR="00735561" w:rsidRPr="00B043B4" w:rsidRDefault="00735561" w:rsidP="002703B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35561" w:rsidRPr="00B043B4" w14:paraId="0372CE5B" w14:textId="77777777" w:rsidTr="002703BE">
        <w:tc>
          <w:tcPr>
            <w:tcW w:w="3812" w:type="dxa"/>
            <w:tcBorders>
              <w:top w:val="nil"/>
              <w:left w:val="single" w:sz="4" w:space="0" w:color="auto"/>
              <w:bottom w:val="single" w:sz="4" w:space="0" w:color="000000"/>
              <w:right w:val="single" w:sz="4" w:space="0" w:color="auto"/>
            </w:tcBorders>
            <w:shd w:val="clear" w:color="auto" w:fill="E2E2E2"/>
          </w:tcPr>
          <w:p w14:paraId="52FF2A45" w14:textId="77777777" w:rsidR="00735561" w:rsidRDefault="00735561" w:rsidP="002703BE">
            <w:pPr>
              <w:rPr>
                <w:rFonts w:ascii="Times New Roman" w:eastAsia="Times New Roman" w:hAnsi="Times New Roman" w:cs="Times New Roman"/>
                <w:sz w:val="20"/>
                <w:szCs w:val="20"/>
                <w:lang w:eastAsia="sk-SK"/>
              </w:rPr>
            </w:pPr>
            <w:r w:rsidRPr="00A340BB">
              <w:rPr>
                <w:rFonts w:ascii="Times New Roman" w:eastAsia="Times New Roman" w:hAnsi="Times New Roman" w:cs="Times New Roman"/>
                <w:sz w:val="20"/>
                <w:szCs w:val="20"/>
                <w:lang w:eastAsia="sk-SK"/>
              </w:rPr>
              <w:t xml:space="preserve">z toho rozpočtovo zabezpečené vplyvy,     </w:t>
            </w:r>
          </w:p>
          <w:p w14:paraId="22057229" w14:textId="77777777" w:rsidR="00735561" w:rsidRDefault="00735561" w:rsidP="002703BE">
            <w:pPr>
              <w:rPr>
                <w:rFonts w:ascii="Times New Roman" w:eastAsia="Times New Roman" w:hAnsi="Times New Roman" w:cs="Times New Roman"/>
                <w:sz w:val="20"/>
                <w:szCs w:val="20"/>
                <w:lang w:eastAsia="sk-SK"/>
              </w:rPr>
            </w:pPr>
            <w:r w:rsidRPr="00A340BB">
              <w:rPr>
                <w:rFonts w:ascii="Times New Roman" w:eastAsia="Times New Roman" w:hAnsi="Times New Roman" w:cs="Times New Roman"/>
                <w:sz w:val="20"/>
                <w:szCs w:val="20"/>
                <w:lang w:eastAsia="sk-SK"/>
              </w:rPr>
              <w:t xml:space="preserve">v prípade identifikovaného negatívneho </w:t>
            </w:r>
          </w:p>
          <w:p w14:paraId="45F9413F" w14:textId="77777777" w:rsidR="00735561" w:rsidRPr="00A340BB" w:rsidRDefault="00735561" w:rsidP="002703BE">
            <w:pPr>
              <w:rPr>
                <w:rFonts w:ascii="Times New Roman" w:eastAsia="Times New Roman" w:hAnsi="Times New Roman" w:cs="Times New Roman"/>
                <w:sz w:val="20"/>
                <w:szCs w:val="20"/>
                <w:lang w:eastAsia="sk-SK"/>
              </w:rPr>
            </w:pP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sdtPr>
          <w:sdtEndPr/>
          <w:sdtContent>
            <w:sdt>
              <w:sdtPr>
                <w:rPr>
                  <w:rFonts w:ascii="Times New Roman" w:eastAsia="Times New Roman" w:hAnsi="Times New Roman" w:cs="Times New Roman"/>
                  <w:sz w:val="20"/>
                  <w:szCs w:val="20"/>
                  <w:lang w:eastAsia="sk-SK"/>
                </w:rPr>
                <w:id w:val="-1310387546"/>
              </w:sdtPr>
              <w:sdtEndPr/>
              <w:sdtContent>
                <w:tc>
                  <w:tcPr>
                    <w:tcW w:w="541" w:type="dxa"/>
                    <w:gridSpan w:val="2"/>
                    <w:tcBorders>
                      <w:top w:val="dotted" w:sz="4" w:space="0" w:color="auto"/>
                      <w:left w:val="single" w:sz="4" w:space="0" w:color="auto"/>
                      <w:bottom w:val="single" w:sz="4" w:space="0" w:color="auto"/>
                      <w:right w:val="nil"/>
                    </w:tcBorders>
                    <w:vAlign w:val="center"/>
                  </w:tcPr>
                  <w:p w14:paraId="0648EA21" w14:textId="77777777" w:rsidR="00735561" w:rsidRPr="00B043B4" w:rsidRDefault="00801B54"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sdtContent>
        </w:sdt>
        <w:tc>
          <w:tcPr>
            <w:tcW w:w="1312" w:type="dxa"/>
            <w:gridSpan w:val="2"/>
            <w:tcBorders>
              <w:top w:val="dotted" w:sz="4" w:space="0" w:color="auto"/>
              <w:left w:val="nil"/>
              <w:bottom w:val="single" w:sz="4" w:space="0" w:color="auto"/>
              <w:right w:val="nil"/>
            </w:tcBorders>
            <w:vAlign w:val="center"/>
          </w:tcPr>
          <w:p w14:paraId="364A981B"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sdtPr>
          <w:sdtEndPr/>
          <w:sdtContent>
            <w:sdt>
              <w:sdtPr>
                <w:rPr>
                  <w:rFonts w:ascii="Times New Roman" w:eastAsia="Times New Roman" w:hAnsi="Times New Roman" w:cs="Times New Roman"/>
                  <w:sz w:val="20"/>
                  <w:szCs w:val="20"/>
                  <w:lang w:eastAsia="sk-SK"/>
                </w:rPr>
                <w:id w:val="-1271625962"/>
              </w:sdtPr>
              <w:sdtEndPr/>
              <w:sdtContent>
                <w:sdt>
                  <w:sdtPr>
                    <w:rPr>
                      <w:rFonts w:ascii="Times New Roman" w:eastAsia="Times New Roman" w:hAnsi="Times New Roman" w:cs="Times New Roman"/>
                      <w:sz w:val="20"/>
                      <w:szCs w:val="20"/>
                      <w:lang w:eastAsia="sk-SK"/>
                    </w:rPr>
                    <w:id w:val="1610315546"/>
                  </w:sdtPr>
                  <w:sdtEndPr/>
                  <w:sdtContent>
                    <w:tc>
                      <w:tcPr>
                        <w:tcW w:w="538" w:type="dxa"/>
                        <w:gridSpan w:val="2"/>
                        <w:tcBorders>
                          <w:top w:val="dotted" w:sz="4" w:space="0" w:color="auto"/>
                          <w:left w:val="nil"/>
                          <w:bottom w:val="single" w:sz="4" w:space="0" w:color="auto"/>
                          <w:right w:val="nil"/>
                        </w:tcBorders>
                        <w:vAlign w:val="center"/>
                      </w:tcPr>
                      <w:p w14:paraId="66BA0C69" w14:textId="3549BE78" w:rsidR="00735561" w:rsidRPr="00B043B4" w:rsidRDefault="002A0622"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sdtContent>
            </w:sdt>
          </w:sdtContent>
        </w:sdt>
        <w:tc>
          <w:tcPr>
            <w:tcW w:w="1133" w:type="dxa"/>
            <w:tcBorders>
              <w:top w:val="dotted" w:sz="4" w:space="0" w:color="auto"/>
              <w:left w:val="nil"/>
              <w:bottom w:val="single" w:sz="4" w:space="0" w:color="auto"/>
              <w:right w:val="nil"/>
            </w:tcBorders>
            <w:vAlign w:val="center"/>
          </w:tcPr>
          <w:p w14:paraId="0A7B18BA"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sdtPr>
          <w:sdtEndPr/>
          <w:sdtContent>
            <w:tc>
              <w:tcPr>
                <w:tcW w:w="547" w:type="dxa"/>
                <w:gridSpan w:val="2"/>
                <w:tcBorders>
                  <w:top w:val="dotted" w:sz="4" w:space="0" w:color="auto"/>
                  <w:left w:val="nil"/>
                  <w:bottom w:val="single" w:sz="4" w:space="0" w:color="auto"/>
                  <w:right w:val="nil"/>
                </w:tcBorders>
                <w:vAlign w:val="center"/>
              </w:tcPr>
              <w:p w14:paraId="2F703F5C" w14:textId="77777777" w:rsidR="00735561" w:rsidRPr="00B043B4" w:rsidRDefault="00735561" w:rsidP="002703B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03B7136" w14:textId="77777777" w:rsidR="00735561" w:rsidRPr="00B043B4" w:rsidRDefault="00735561" w:rsidP="002703B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735561" w:rsidRPr="00B043B4" w14:paraId="50ED30C6" w14:textId="77777777" w:rsidTr="002703BE">
        <w:tc>
          <w:tcPr>
            <w:tcW w:w="3812" w:type="dxa"/>
            <w:tcBorders>
              <w:top w:val="single" w:sz="4" w:space="0" w:color="000000"/>
              <w:left w:val="single" w:sz="4" w:space="0" w:color="auto"/>
              <w:bottom w:val="nil"/>
              <w:right w:val="single" w:sz="4" w:space="0" w:color="auto"/>
            </w:tcBorders>
            <w:shd w:val="clear" w:color="auto" w:fill="E2E2E2"/>
          </w:tcPr>
          <w:p w14:paraId="66633334"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sdtPr>
          <w:sdtEndPr/>
          <w:sdtContent>
            <w:tc>
              <w:tcPr>
                <w:tcW w:w="541" w:type="dxa"/>
                <w:gridSpan w:val="2"/>
                <w:tcBorders>
                  <w:top w:val="single" w:sz="4" w:space="0" w:color="auto"/>
                  <w:left w:val="single" w:sz="4" w:space="0" w:color="auto"/>
                  <w:bottom w:val="dotted" w:sz="4" w:space="0" w:color="auto"/>
                  <w:right w:val="nil"/>
                </w:tcBorders>
                <w:vAlign w:val="center"/>
              </w:tcPr>
              <w:p w14:paraId="06B0384F" w14:textId="77777777" w:rsidR="00735561" w:rsidRPr="00B043B4" w:rsidRDefault="00CE3955"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316CD6F0"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14:paraId="377E7D6B"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A9E4F9C"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14:paraId="7660D010" w14:textId="77777777" w:rsidR="00735561" w:rsidRPr="00B043B4" w:rsidRDefault="00CE3955"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B1ADF15"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35561" w:rsidRPr="00B043B4" w14:paraId="41732CBE" w14:textId="77777777" w:rsidTr="002703BE">
        <w:tc>
          <w:tcPr>
            <w:tcW w:w="3812" w:type="dxa"/>
            <w:tcBorders>
              <w:top w:val="nil"/>
              <w:left w:val="single" w:sz="4" w:space="0" w:color="000000"/>
              <w:bottom w:val="nil"/>
              <w:right w:val="single" w:sz="4" w:space="0" w:color="000000"/>
            </w:tcBorders>
            <w:shd w:val="clear" w:color="auto" w:fill="E2E2E2"/>
          </w:tcPr>
          <w:p w14:paraId="3674F76B"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z toho vplyvy na MSP</w:t>
            </w:r>
          </w:p>
          <w:p w14:paraId="40449565" w14:textId="77777777" w:rsidR="00735561" w:rsidRPr="00B043B4" w:rsidRDefault="00735561" w:rsidP="002703B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sdtPr>
          <w:sdtEndPr/>
          <w:sdtContent>
            <w:tc>
              <w:tcPr>
                <w:tcW w:w="541" w:type="dxa"/>
                <w:gridSpan w:val="2"/>
                <w:tcBorders>
                  <w:top w:val="dotted" w:sz="4" w:space="0" w:color="auto"/>
                  <w:left w:val="single" w:sz="4" w:space="0" w:color="000000"/>
                  <w:bottom w:val="dotted" w:sz="4" w:space="0" w:color="auto"/>
                  <w:right w:val="nil"/>
                </w:tcBorders>
                <w:vAlign w:val="center"/>
              </w:tcPr>
              <w:p w14:paraId="22240F25" w14:textId="77777777" w:rsidR="00735561" w:rsidRPr="00B043B4" w:rsidRDefault="00735561"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C65D4E8" w14:textId="77777777" w:rsidR="00735561" w:rsidRPr="00B043B4" w:rsidRDefault="00735561" w:rsidP="002703B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14:paraId="49A5B9A6" w14:textId="77777777" w:rsidR="00735561" w:rsidRPr="00B043B4" w:rsidRDefault="00735561"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5CFE853" w14:textId="77777777" w:rsidR="00735561" w:rsidRPr="00B043B4"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14:paraId="44109BE2" w14:textId="77777777" w:rsidR="00735561" w:rsidRPr="00B043B4" w:rsidRDefault="00735561" w:rsidP="002703B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C38FDF3" w14:textId="77777777" w:rsidR="00735561" w:rsidRPr="00B043B4" w:rsidRDefault="00735561" w:rsidP="002703B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735561" w:rsidRPr="00B043B4" w14:paraId="47A42DF2" w14:textId="77777777" w:rsidTr="002703BE">
        <w:tc>
          <w:tcPr>
            <w:tcW w:w="3812" w:type="dxa"/>
            <w:tcBorders>
              <w:top w:val="nil"/>
              <w:left w:val="single" w:sz="4" w:space="0" w:color="auto"/>
              <w:bottom w:val="single" w:sz="4" w:space="0" w:color="auto"/>
              <w:right w:val="single" w:sz="4" w:space="0" w:color="auto"/>
            </w:tcBorders>
            <w:shd w:val="clear" w:color="auto" w:fill="E2E2E2"/>
          </w:tcPr>
          <w:p w14:paraId="7A884A37" w14:textId="77777777" w:rsidR="00735561" w:rsidRDefault="00735561" w:rsidP="002703B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Mechanizmus znižovania byrokracie </w:t>
            </w:r>
          </w:p>
          <w:p w14:paraId="59940DF9"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sdtPr>
          <w:sdtEndPr/>
          <w:sdtContent>
            <w:tc>
              <w:tcPr>
                <w:tcW w:w="541" w:type="dxa"/>
                <w:gridSpan w:val="2"/>
                <w:tcBorders>
                  <w:top w:val="dotted" w:sz="4" w:space="0" w:color="auto"/>
                  <w:left w:val="single" w:sz="4" w:space="0" w:color="auto"/>
                  <w:bottom w:val="single" w:sz="4" w:space="0" w:color="auto"/>
                  <w:right w:val="nil"/>
                </w:tcBorders>
                <w:vAlign w:val="center"/>
              </w:tcPr>
              <w:p w14:paraId="1FE8FC2D" w14:textId="77777777" w:rsidR="00735561" w:rsidRPr="00B043B4" w:rsidRDefault="00CE3955"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81F0158"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883733E" w14:textId="77777777" w:rsidR="00735561" w:rsidRPr="00B043B4" w:rsidRDefault="00735561" w:rsidP="002703B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5E90F68" w14:textId="77777777" w:rsidR="00735561" w:rsidRPr="00B043B4" w:rsidRDefault="00735561" w:rsidP="002703B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14:paraId="2900C241" w14:textId="77777777" w:rsidR="00735561" w:rsidRPr="00B043B4" w:rsidRDefault="00CE3955"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D28F74E"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735561" w:rsidRPr="00B043B4" w14:paraId="0BFFAFDC" w14:textId="77777777" w:rsidTr="002703BE">
        <w:tc>
          <w:tcPr>
            <w:tcW w:w="3812" w:type="dxa"/>
            <w:tcBorders>
              <w:top w:val="single" w:sz="4" w:space="0" w:color="000000"/>
              <w:left w:val="single" w:sz="4" w:space="0" w:color="auto"/>
              <w:bottom w:val="single" w:sz="4" w:space="0" w:color="auto"/>
              <w:right w:val="single" w:sz="4" w:space="0" w:color="auto"/>
            </w:tcBorders>
            <w:shd w:val="clear" w:color="auto" w:fill="E2E2E2"/>
          </w:tcPr>
          <w:p w14:paraId="0083891D"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sdtPr>
          <w:sdtEndPr/>
          <w:sdtContent>
            <w:tc>
              <w:tcPr>
                <w:tcW w:w="541" w:type="dxa"/>
                <w:gridSpan w:val="2"/>
                <w:tcBorders>
                  <w:top w:val="single" w:sz="4" w:space="0" w:color="auto"/>
                  <w:left w:val="single" w:sz="4" w:space="0" w:color="auto"/>
                  <w:bottom w:val="single" w:sz="4" w:space="0" w:color="auto"/>
                  <w:right w:val="nil"/>
                </w:tcBorders>
              </w:tcPr>
              <w:p w14:paraId="512FDC19"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41B9EA0"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sdtPr>
          <w:sdtEndPr/>
          <w:sdtContent>
            <w:tc>
              <w:tcPr>
                <w:tcW w:w="538" w:type="dxa"/>
                <w:gridSpan w:val="2"/>
                <w:tcBorders>
                  <w:top w:val="single" w:sz="4" w:space="0" w:color="auto"/>
                  <w:left w:val="nil"/>
                  <w:bottom w:val="single" w:sz="4" w:space="0" w:color="auto"/>
                  <w:right w:val="nil"/>
                </w:tcBorders>
              </w:tcPr>
              <w:p w14:paraId="22A12283"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AB5D2E2"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sdtPr>
          <w:sdtEndPr/>
          <w:sdtContent>
            <w:tc>
              <w:tcPr>
                <w:tcW w:w="547" w:type="dxa"/>
                <w:gridSpan w:val="2"/>
                <w:tcBorders>
                  <w:top w:val="single" w:sz="4" w:space="0" w:color="auto"/>
                  <w:left w:val="nil"/>
                  <w:bottom w:val="single" w:sz="4" w:space="0" w:color="auto"/>
                  <w:right w:val="nil"/>
                </w:tcBorders>
              </w:tcPr>
              <w:p w14:paraId="4C67F308"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AE345F5"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35561" w:rsidRPr="00B043B4" w14:paraId="5AF0785B" w14:textId="77777777" w:rsidTr="002703BE">
        <w:tc>
          <w:tcPr>
            <w:tcW w:w="3812" w:type="dxa"/>
            <w:tcBorders>
              <w:top w:val="single" w:sz="4" w:space="0" w:color="auto"/>
              <w:left w:val="single" w:sz="4" w:space="0" w:color="auto"/>
              <w:bottom w:val="single" w:sz="4" w:space="0" w:color="auto"/>
              <w:right w:val="single" w:sz="4" w:space="0" w:color="auto"/>
            </w:tcBorders>
            <w:shd w:val="clear" w:color="auto" w:fill="E2E2E2"/>
          </w:tcPr>
          <w:p w14:paraId="6B0A34F4"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sdtPr>
          <w:sdtEndPr/>
          <w:sdtContent>
            <w:tc>
              <w:tcPr>
                <w:tcW w:w="541" w:type="dxa"/>
                <w:gridSpan w:val="2"/>
                <w:tcBorders>
                  <w:top w:val="single" w:sz="4" w:space="0" w:color="auto"/>
                  <w:left w:val="single" w:sz="4" w:space="0" w:color="auto"/>
                  <w:bottom w:val="single" w:sz="4" w:space="0" w:color="auto"/>
                  <w:right w:val="nil"/>
                </w:tcBorders>
              </w:tcPr>
              <w:p w14:paraId="019E7107"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662BABD"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sdtPr>
          <w:sdtEndPr/>
          <w:sdtContent>
            <w:tc>
              <w:tcPr>
                <w:tcW w:w="538" w:type="dxa"/>
                <w:gridSpan w:val="2"/>
                <w:tcBorders>
                  <w:top w:val="single" w:sz="4" w:space="0" w:color="auto"/>
                  <w:left w:val="nil"/>
                  <w:bottom w:val="single" w:sz="4" w:space="0" w:color="auto"/>
                  <w:right w:val="nil"/>
                </w:tcBorders>
              </w:tcPr>
              <w:p w14:paraId="04A2AA0D"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F6254F0"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sdtPr>
          <w:sdtEndPr/>
          <w:sdtContent>
            <w:tc>
              <w:tcPr>
                <w:tcW w:w="547" w:type="dxa"/>
                <w:gridSpan w:val="2"/>
                <w:tcBorders>
                  <w:top w:val="single" w:sz="4" w:space="0" w:color="auto"/>
                  <w:left w:val="nil"/>
                  <w:bottom w:val="single" w:sz="4" w:space="0" w:color="auto"/>
                  <w:right w:val="nil"/>
                </w:tcBorders>
              </w:tcPr>
              <w:p w14:paraId="2A617F70"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962B617"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35561" w:rsidRPr="00B043B4" w14:paraId="6ED52566" w14:textId="77777777" w:rsidTr="002703BE">
        <w:tc>
          <w:tcPr>
            <w:tcW w:w="3812" w:type="dxa"/>
            <w:tcBorders>
              <w:top w:val="single" w:sz="4" w:space="0" w:color="auto"/>
              <w:left w:val="single" w:sz="4" w:space="0" w:color="auto"/>
              <w:bottom w:val="single" w:sz="4" w:space="0" w:color="auto"/>
              <w:right w:val="single" w:sz="4" w:space="0" w:color="auto"/>
            </w:tcBorders>
            <w:shd w:val="clear" w:color="auto" w:fill="E2E2E2"/>
          </w:tcPr>
          <w:p w14:paraId="56461964"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sdtPr>
          <w:sdtEndPr/>
          <w:sdtContent>
            <w:tc>
              <w:tcPr>
                <w:tcW w:w="541" w:type="dxa"/>
                <w:gridSpan w:val="2"/>
                <w:tcBorders>
                  <w:top w:val="single" w:sz="4" w:space="0" w:color="auto"/>
                  <w:left w:val="single" w:sz="4" w:space="0" w:color="auto"/>
                  <w:bottom w:val="single" w:sz="4" w:space="0" w:color="auto"/>
                  <w:right w:val="nil"/>
                </w:tcBorders>
              </w:tcPr>
              <w:p w14:paraId="5A490577"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E6394E6"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sdtPr>
          <w:sdtEndPr/>
          <w:sdtContent>
            <w:tc>
              <w:tcPr>
                <w:tcW w:w="538" w:type="dxa"/>
                <w:gridSpan w:val="2"/>
                <w:tcBorders>
                  <w:top w:val="single" w:sz="4" w:space="0" w:color="auto"/>
                  <w:left w:val="nil"/>
                  <w:bottom w:val="single" w:sz="4" w:space="0" w:color="auto"/>
                  <w:right w:val="nil"/>
                </w:tcBorders>
              </w:tcPr>
              <w:p w14:paraId="0D542043"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F66629C"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sdtPr>
          <w:sdtEndPr/>
          <w:sdtContent>
            <w:tc>
              <w:tcPr>
                <w:tcW w:w="547" w:type="dxa"/>
                <w:gridSpan w:val="2"/>
                <w:tcBorders>
                  <w:top w:val="single" w:sz="4" w:space="0" w:color="auto"/>
                  <w:left w:val="nil"/>
                  <w:bottom w:val="single" w:sz="4" w:space="0" w:color="auto"/>
                  <w:right w:val="nil"/>
                </w:tcBorders>
              </w:tcPr>
              <w:p w14:paraId="45E1E452"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600FC21"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35561" w:rsidRPr="00B043B4" w14:paraId="3AC4C940" w14:textId="77777777" w:rsidTr="002703BE">
        <w:tc>
          <w:tcPr>
            <w:tcW w:w="3812" w:type="dxa"/>
            <w:tcBorders>
              <w:top w:val="single" w:sz="4" w:space="0" w:color="auto"/>
              <w:left w:val="single" w:sz="4" w:space="0" w:color="auto"/>
              <w:bottom w:val="nil"/>
              <w:right w:val="single" w:sz="4" w:space="0" w:color="auto"/>
            </w:tcBorders>
            <w:shd w:val="clear" w:color="auto" w:fill="E2E2E2"/>
          </w:tcPr>
          <w:p w14:paraId="0208A8BA" w14:textId="77777777" w:rsidR="00735561" w:rsidRPr="00B043B4" w:rsidRDefault="00735561" w:rsidP="002703BE">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213DA5FD" w14:textId="77777777" w:rsidR="00735561" w:rsidRPr="00B043B4" w:rsidRDefault="00735561" w:rsidP="002703B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55159A27" w14:textId="77777777" w:rsidR="00735561" w:rsidRPr="00B043B4" w:rsidRDefault="00735561" w:rsidP="002703BE">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8C7A056" w14:textId="77777777" w:rsidR="00735561" w:rsidRPr="00B043B4" w:rsidRDefault="00735561" w:rsidP="002703B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5D5ED8BC" w14:textId="77777777" w:rsidR="00735561" w:rsidRPr="00B043B4" w:rsidRDefault="00735561" w:rsidP="002703B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AAD87CE" w14:textId="77777777" w:rsidR="00735561" w:rsidRPr="00B043B4" w:rsidRDefault="00735561" w:rsidP="002703B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E3FA5B5" w14:textId="77777777" w:rsidR="00735561" w:rsidRPr="00B043B4" w:rsidRDefault="00735561" w:rsidP="002703BE">
            <w:pPr>
              <w:spacing w:after="0" w:line="240" w:lineRule="auto"/>
              <w:ind w:left="54"/>
              <w:rPr>
                <w:rFonts w:ascii="Times New Roman" w:eastAsia="Times New Roman" w:hAnsi="Times New Roman" w:cs="Times New Roman"/>
                <w:b/>
                <w:sz w:val="20"/>
                <w:szCs w:val="20"/>
                <w:lang w:eastAsia="sk-SK"/>
              </w:rPr>
            </w:pPr>
          </w:p>
        </w:tc>
      </w:tr>
      <w:tr w:rsidR="00735561" w:rsidRPr="00B043B4" w14:paraId="272F1A10" w14:textId="77777777" w:rsidTr="002703BE">
        <w:tc>
          <w:tcPr>
            <w:tcW w:w="3812" w:type="dxa"/>
            <w:tcBorders>
              <w:top w:val="nil"/>
              <w:left w:val="single" w:sz="4" w:space="0" w:color="auto"/>
              <w:bottom w:val="nil"/>
              <w:right w:val="single" w:sz="4" w:space="0" w:color="auto"/>
            </w:tcBorders>
            <w:shd w:val="clear" w:color="auto" w:fill="E2E2E2"/>
          </w:tcPr>
          <w:p w14:paraId="2A697471" w14:textId="77777777" w:rsidR="00735561" w:rsidRPr="00B043B4" w:rsidRDefault="00735561" w:rsidP="002703BE">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sdtPr>
          <w:sdtEndPr/>
          <w:sdtContent>
            <w:tc>
              <w:tcPr>
                <w:tcW w:w="541" w:type="dxa"/>
                <w:tcBorders>
                  <w:top w:val="nil"/>
                  <w:left w:val="single" w:sz="4" w:space="0" w:color="auto"/>
                  <w:bottom w:val="dotted" w:sz="4" w:space="0" w:color="auto"/>
                  <w:right w:val="nil"/>
                </w:tcBorders>
                <w:shd w:val="clear" w:color="auto" w:fill="auto"/>
              </w:tcPr>
              <w:p w14:paraId="2AA4E4E0"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2ED2657" w14:textId="77777777" w:rsidR="00735561" w:rsidRPr="00B043B4" w:rsidRDefault="00735561" w:rsidP="002703BE">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sdtPr>
          <w:sdtEndPr/>
          <w:sdtContent>
            <w:tc>
              <w:tcPr>
                <w:tcW w:w="538" w:type="dxa"/>
                <w:tcBorders>
                  <w:top w:val="nil"/>
                  <w:left w:val="nil"/>
                  <w:bottom w:val="dotted" w:sz="4" w:space="0" w:color="auto"/>
                  <w:right w:val="nil"/>
                </w:tcBorders>
                <w:shd w:val="clear" w:color="auto" w:fill="auto"/>
              </w:tcPr>
              <w:p w14:paraId="2EE49D97"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37E765C" w14:textId="77777777" w:rsidR="00735561" w:rsidRPr="00B043B4" w:rsidRDefault="00735561" w:rsidP="002703BE">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sdtPr>
          <w:sdtEndPr/>
          <w:sdtContent>
            <w:tc>
              <w:tcPr>
                <w:tcW w:w="547" w:type="dxa"/>
                <w:tcBorders>
                  <w:top w:val="nil"/>
                  <w:left w:val="nil"/>
                  <w:bottom w:val="dotted" w:sz="4" w:space="0" w:color="auto"/>
                  <w:right w:val="nil"/>
                </w:tcBorders>
                <w:shd w:val="clear" w:color="auto" w:fill="auto"/>
              </w:tcPr>
              <w:p w14:paraId="758F6C5A"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A3CBD19" w14:textId="77777777" w:rsidR="00735561" w:rsidRPr="00B043B4" w:rsidRDefault="00735561" w:rsidP="002703BE">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35561" w:rsidRPr="00B043B4" w14:paraId="5060CD67" w14:textId="77777777" w:rsidTr="002703BE">
        <w:tc>
          <w:tcPr>
            <w:tcW w:w="3812" w:type="dxa"/>
            <w:tcBorders>
              <w:top w:val="nil"/>
              <w:left w:val="single" w:sz="4" w:space="0" w:color="auto"/>
              <w:bottom w:val="nil"/>
              <w:right w:val="single" w:sz="4" w:space="0" w:color="auto"/>
            </w:tcBorders>
            <w:shd w:val="clear" w:color="auto" w:fill="E2E2E2"/>
          </w:tcPr>
          <w:p w14:paraId="55079135" w14:textId="77777777" w:rsidR="00735561" w:rsidRPr="00B043B4" w:rsidRDefault="00735561" w:rsidP="002703BE">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E5A7D57"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0873957" w14:textId="77777777" w:rsidR="00735561" w:rsidRPr="00B043B4" w:rsidRDefault="00735561" w:rsidP="002703BE">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14:paraId="2EAF8411"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E6A4244" w14:textId="77777777" w:rsidR="00735561" w:rsidRPr="00B043B4" w:rsidRDefault="00735561" w:rsidP="002703BE">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14:paraId="6D7CE61E" w14:textId="77777777" w:rsidR="00735561" w:rsidRPr="00B043B4" w:rsidRDefault="00735561" w:rsidP="002703B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B950EAC" w14:textId="77777777" w:rsidR="00735561" w:rsidRPr="00B043B4" w:rsidRDefault="00735561" w:rsidP="002703BE">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35561" w:rsidRPr="00B043B4" w14:paraId="1F685D06" w14:textId="77777777" w:rsidTr="002703BE">
        <w:tc>
          <w:tcPr>
            <w:tcW w:w="3812" w:type="dxa"/>
            <w:tcBorders>
              <w:top w:val="single" w:sz="4" w:space="0" w:color="000000"/>
              <w:left w:val="single" w:sz="4" w:space="0" w:color="auto"/>
              <w:bottom w:val="single" w:sz="4" w:space="0" w:color="auto"/>
              <w:right w:val="single" w:sz="4" w:space="0" w:color="auto"/>
            </w:tcBorders>
            <w:shd w:val="clear" w:color="auto" w:fill="E2E2E2"/>
          </w:tcPr>
          <w:p w14:paraId="2CB4B811" w14:textId="77777777" w:rsidR="00735561" w:rsidRPr="00B043B4" w:rsidRDefault="00735561" w:rsidP="002703BE">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14:paraId="2C06413D"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7018B91" w14:textId="77777777" w:rsidR="00735561" w:rsidRPr="00B043B4" w:rsidRDefault="00735561" w:rsidP="002703B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sdtPr>
          <w:sdtEndPr/>
          <w:sdtContent>
            <w:tc>
              <w:tcPr>
                <w:tcW w:w="538" w:type="dxa"/>
                <w:tcBorders>
                  <w:top w:val="single" w:sz="4" w:space="0" w:color="auto"/>
                  <w:left w:val="nil"/>
                  <w:bottom w:val="single" w:sz="4" w:space="0" w:color="auto"/>
                  <w:right w:val="nil"/>
                </w:tcBorders>
                <w:vAlign w:val="center"/>
              </w:tcPr>
              <w:p w14:paraId="6153FB50"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DDD0A65" w14:textId="77777777" w:rsidR="00735561" w:rsidRPr="00B043B4" w:rsidRDefault="00735561" w:rsidP="002703B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sdtPr>
          <w:sdtEndPr/>
          <w:sdtContent>
            <w:tc>
              <w:tcPr>
                <w:tcW w:w="547" w:type="dxa"/>
                <w:tcBorders>
                  <w:top w:val="single" w:sz="4" w:space="0" w:color="auto"/>
                  <w:left w:val="nil"/>
                  <w:bottom w:val="single" w:sz="4" w:space="0" w:color="auto"/>
                  <w:right w:val="nil"/>
                </w:tcBorders>
                <w:vAlign w:val="center"/>
              </w:tcPr>
              <w:p w14:paraId="53E4B8D4" w14:textId="77777777" w:rsidR="00735561" w:rsidRPr="00B043B4" w:rsidRDefault="00735561" w:rsidP="002703B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8938BD7" w14:textId="77777777" w:rsidR="00735561" w:rsidRPr="00B043B4" w:rsidRDefault="00735561" w:rsidP="002703B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01C55F36" w14:textId="77777777" w:rsidR="00735561" w:rsidRPr="00B043B4" w:rsidRDefault="00735561" w:rsidP="00735561">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35561" w:rsidRPr="00B043B4" w14:paraId="065603D1" w14:textId="77777777" w:rsidTr="002703BE">
        <w:tc>
          <w:tcPr>
            <w:tcW w:w="9176" w:type="dxa"/>
            <w:tcBorders>
              <w:top w:val="single" w:sz="4" w:space="0" w:color="auto"/>
              <w:left w:val="single" w:sz="4" w:space="0" w:color="auto"/>
              <w:bottom w:val="nil"/>
              <w:right w:val="single" w:sz="4" w:space="0" w:color="auto"/>
            </w:tcBorders>
            <w:shd w:val="clear" w:color="auto" w:fill="E2E2E2"/>
          </w:tcPr>
          <w:p w14:paraId="0BE25EA8"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735561" w:rsidRPr="00B043B4" w14:paraId="5A03D40C" w14:textId="77777777" w:rsidTr="002703BE">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CDD168D" w14:textId="77777777" w:rsidR="00735561" w:rsidRPr="00B043B4"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V prípade potreby uveďte doplňujúce informácie k identifikovaným vplyvom a ich analýzam. Informácie v tejto časti slúžia na zhrnutie vplyvov a nie ako náhrada za vypracovanie príslušných analýz vybraných vplyvov.</w:t>
            </w:r>
          </w:p>
          <w:p w14:paraId="38B6DB32" w14:textId="77777777" w:rsidR="00735561" w:rsidRPr="00B043B4" w:rsidRDefault="00735561" w:rsidP="002703BE">
            <w:pPr>
              <w:ind w:left="426"/>
              <w:contextualSpacing/>
              <w:rPr>
                <w:rFonts w:ascii="Times New Roman" w:eastAsia="Calibri" w:hAnsi="Times New Roman" w:cs="Times New Roman"/>
                <w:b/>
              </w:rPr>
            </w:pPr>
          </w:p>
        </w:tc>
      </w:tr>
      <w:tr w:rsidR="00735561" w:rsidRPr="00B043B4" w14:paraId="47990352" w14:textId="77777777" w:rsidTr="002703BE">
        <w:tc>
          <w:tcPr>
            <w:tcW w:w="9176" w:type="dxa"/>
            <w:tcBorders>
              <w:top w:val="single" w:sz="4" w:space="0" w:color="auto"/>
              <w:left w:val="single" w:sz="4" w:space="0" w:color="auto"/>
              <w:bottom w:val="single" w:sz="4" w:space="0" w:color="FFFFFF"/>
              <w:right w:val="single" w:sz="4" w:space="0" w:color="auto"/>
            </w:tcBorders>
            <w:shd w:val="clear" w:color="auto" w:fill="E2E2E2"/>
          </w:tcPr>
          <w:p w14:paraId="5FEAA3C1"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735561" w:rsidRPr="00B043B4" w14:paraId="28067002" w14:textId="77777777" w:rsidTr="002703B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4214352"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Ministerstvo životného prostredia Slovenskej republiky</w:t>
            </w:r>
          </w:p>
          <w:p w14:paraId="1B207529"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Sekcia zmeny klímy a ochrany ovzdušia</w:t>
            </w:r>
          </w:p>
          <w:p w14:paraId="473B6D9A"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Odbor</w:t>
            </w:r>
            <w:r w:rsidR="00330FC0">
              <w:rPr>
                <w:rFonts w:ascii="Times New Roman" w:eastAsia="Times New Roman" w:hAnsi="Times New Roman" w:cs="Times New Roman"/>
                <w:sz w:val="20"/>
                <w:szCs w:val="20"/>
                <w:lang w:eastAsia="sk-SK"/>
              </w:rPr>
              <w:t xml:space="preserve"> politiky znižovania emisií skleníkových plynov</w:t>
            </w:r>
          </w:p>
          <w:p w14:paraId="4DE88044"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Námestie Ľudovíta Štúra 1</w:t>
            </w:r>
          </w:p>
          <w:p w14:paraId="6B8D89F1" w14:textId="77777777" w:rsidR="00735561" w:rsidRPr="007418E7" w:rsidRDefault="00735561" w:rsidP="002703BE">
            <w:pPr>
              <w:rPr>
                <w:rFonts w:ascii="Times New Roman" w:eastAsia="Times New Roman" w:hAnsi="Times New Roman" w:cs="Times New Roman"/>
                <w:sz w:val="20"/>
                <w:szCs w:val="20"/>
                <w:lang w:eastAsia="sk-SK"/>
              </w:rPr>
            </w:pPr>
            <w:r w:rsidRPr="007418E7">
              <w:rPr>
                <w:rFonts w:ascii="Times New Roman" w:eastAsia="Times New Roman" w:hAnsi="Times New Roman" w:cs="Times New Roman"/>
                <w:sz w:val="20"/>
                <w:szCs w:val="20"/>
                <w:lang w:eastAsia="sk-SK"/>
              </w:rPr>
              <w:t>812 35 Bratislava</w:t>
            </w:r>
          </w:p>
          <w:p w14:paraId="2FF1C934" w14:textId="77777777" w:rsidR="00735561" w:rsidRPr="007418E7" w:rsidRDefault="00735561" w:rsidP="002703BE">
            <w:pPr>
              <w:rPr>
                <w:rFonts w:ascii="Times New Roman" w:eastAsia="Times New Roman" w:hAnsi="Times New Roman" w:cs="Times New Roman"/>
                <w:sz w:val="20"/>
                <w:szCs w:val="20"/>
                <w:lang w:eastAsia="sk-SK"/>
              </w:rPr>
            </w:pPr>
          </w:p>
          <w:p w14:paraId="69C0A408" w14:textId="77777777" w:rsidR="00735561" w:rsidRPr="00581B7C" w:rsidRDefault="00735561" w:rsidP="002703BE">
            <w:pPr>
              <w:rPr>
                <w:rFonts w:ascii="Times New Roman" w:eastAsia="Times New Roman" w:hAnsi="Times New Roman" w:cs="Times New Roman"/>
                <w:sz w:val="20"/>
                <w:szCs w:val="20"/>
                <w:lang w:eastAsia="sk-SK"/>
              </w:rPr>
            </w:pPr>
            <w:r w:rsidRPr="00581B7C">
              <w:rPr>
                <w:rFonts w:ascii="Times New Roman" w:eastAsia="Times New Roman" w:hAnsi="Times New Roman" w:cs="Times New Roman"/>
                <w:sz w:val="20"/>
                <w:szCs w:val="20"/>
                <w:lang w:eastAsia="sk-SK"/>
              </w:rPr>
              <w:t xml:space="preserve">Ing. Natália Broošová , e-mail: </w:t>
            </w:r>
            <w:hyperlink r:id="rId7" w:history="1">
              <w:r w:rsidRPr="00D7510E">
                <w:rPr>
                  <w:rStyle w:val="Hypertextovprepojenie"/>
                  <w:rFonts w:ascii="Times New Roman" w:eastAsia="Times New Roman" w:hAnsi="Times New Roman"/>
                  <w:sz w:val="20"/>
                  <w:szCs w:val="20"/>
                  <w:lang w:eastAsia="sk-SK"/>
                </w:rPr>
                <w:t>natalia.broosova@enviro.gov.sk</w:t>
              </w:r>
            </w:hyperlink>
            <w:r w:rsidRPr="00581B7C">
              <w:rPr>
                <w:rFonts w:ascii="Times New Roman" w:eastAsia="Times New Roman" w:hAnsi="Times New Roman" w:cs="Times New Roman"/>
                <w:sz w:val="20"/>
                <w:szCs w:val="20"/>
                <w:lang w:eastAsia="sk-SK"/>
              </w:rPr>
              <w:t xml:space="preserve">, </w:t>
            </w:r>
            <w:proofErr w:type="spellStart"/>
            <w:r w:rsidRPr="00581B7C">
              <w:rPr>
                <w:rFonts w:ascii="Times New Roman" w:eastAsia="Times New Roman" w:hAnsi="Times New Roman" w:cs="Times New Roman"/>
                <w:sz w:val="20"/>
                <w:szCs w:val="20"/>
                <w:lang w:eastAsia="sk-SK"/>
              </w:rPr>
              <w:t>tel.č</w:t>
            </w:r>
            <w:proofErr w:type="spellEnd"/>
            <w:r w:rsidRPr="00581B7C">
              <w:rPr>
                <w:rFonts w:ascii="Times New Roman" w:eastAsia="Times New Roman" w:hAnsi="Times New Roman" w:cs="Times New Roman"/>
                <w:sz w:val="20"/>
                <w:szCs w:val="20"/>
                <w:lang w:eastAsia="sk-SK"/>
              </w:rPr>
              <w:t>.: 02/59562651</w:t>
            </w:r>
          </w:p>
          <w:p w14:paraId="1E61C670" w14:textId="77777777" w:rsidR="00735561" w:rsidRPr="00B043B4" w:rsidRDefault="00735561" w:rsidP="002703BE">
            <w:pPr>
              <w:rPr>
                <w:rFonts w:ascii="Times New Roman" w:eastAsia="Times New Roman" w:hAnsi="Times New Roman" w:cs="Times New Roman"/>
                <w:i/>
                <w:sz w:val="20"/>
                <w:szCs w:val="20"/>
                <w:lang w:eastAsia="sk-SK"/>
              </w:rPr>
            </w:pPr>
            <w:r w:rsidRPr="00581B7C">
              <w:rPr>
                <w:rFonts w:ascii="Times New Roman" w:eastAsia="Times New Roman" w:hAnsi="Times New Roman" w:cs="Times New Roman"/>
                <w:sz w:val="20"/>
                <w:szCs w:val="20"/>
                <w:lang w:eastAsia="sk-SK"/>
              </w:rPr>
              <w:t xml:space="preserve">Ing. Zuzana Šturdíková, e-mail: </w:t>
            </w:r>
            <w:hyperlink r:id="rId8" w:history="1">
              <w:r w:rsidRPr="00D7510E">
                <w:rPr>
                  <w:rStyle w:val="Hypertextovprepojenie"/>
                  <w:rFonts w:ascii="Times New Roman" w:eastAsia="Times New Roman" w:hAnsi="Times New Roman"/>
                  <w:sz w:val="20"/>
                  <w:szCs w:val="20"/>
                  <w:lang w:eastAsia="sk-SK"/>
                </w:rPr>
                <w:t>zuzana.sturdikova@enviro.gov.sk</w:t>
              </w:r>
            </w:hyperlink>
            <w:r w:rsidRPr="00581B7C">
              <w:rPr>
                <w:rFonts w:ascii="Times New Roman" w:eastAsia="Times New Roman" w:hAnsi="Times New Roman" w:cs="Times New Roman"/>
                <w:sz w:val="20"/>
                <w:szCs w:val="20"/>
                <w:lang w:eastAsia="sk-SK"/>
              </w:rPr>
              <w:t xml:space="preserve">, </w:t>
            </w:r>
            <w:proofErr w:type="spellStart"/>
            <w:r w:rsidRPr="00581B7C">
              <w:rPr>
                <w:rFonts w:ascii="Times New Roman" w:eastAsia="Times New Roman" w:hAnsi="Times New Roman" w:cs="Times New Roman"/>
                <w:sz w:val="20"/>
                <w:szCs w:val="20"/>
                <w:lang w:eastAsia="sk-SK"/>
              </w:rPr>
              <w:t>tel.č</w:t>
            </w:r>
            <w:proofErr w:type="spellEnd"/>
            <w:r w:rsidRPr="00581B7C">
              <w:rPr>
                <w:rFonts w:ascii="Times New Roman" w:eastAsia="Times New Roman" w:hAnsi="Times New Roman" w:cs="Times New Roman"/>
                <w:sz w:val="20"/>
                <w:szCs w:val="20"/>
                <w:lang w:eastAsia="sk-SK"/>
              </w:rPr>
              <w:t>.: 02/59562582</w:t>
            </w:r>
          </w:p>
        </w:tc>
      </w:tr>
      <w:tr w:rsidR="00735561" w:rsidRPr="00B043B4" w14:paraId="20092D53" w14:textId="77777777" w:rsidTr="002703BE">
        <w:tc>
          <w:tcPr>
            <w:tcW w:w="9176" w:type="dxa"/>
            <w:tcBorders>
              <w:top w:val="single" w:sz="4" w:space="0" w:color="auto"/>
              <w:left w:val="single" w:sz="4" w:space="0" w:color="auto"/>
              <w:bottom w:val="single" w:sz="4" w:space="0" w:color="FFFFFF"/>
              <w:right w:val="single" w:sz="4" w:space="0" w:color="auto"/>
            </w:tcBorders>
            <w:shd w:val="clear" w:color="auto" w:fill="E2E2E2"/>
          </w:tcPr>
          <w:p w14:paraId="1A03D4D8" w14:textId="77777777" w:rsidR="00735561" w:rsidRPr="00B043B4" w:rsidRDefault="00735561" w:rsidP="002703BE">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735561" w:rsidRPr="00B043B4" w14:paraId="6ADA1264" w14:textId="77777777" w:rsidTr="002703B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B1C8E3D" w14:textId="77777777" w:rsidR="00735561" w:rsidRDefault="00735561" w:rsidP="002703BE">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49FBEEDB" w14:textId="77777777" w:rsidR="00886895" w:rsidRDefault="00886895" w:rsidP="005A151D">
            <w:pPr>
              <w:jc w:val="both"/>
              <w:rPr>
                <w:rFonts w:ascii="Times New Roman" w:eastAsia="Times New Roman" w:hAnsi="Times New Roman" w:cs="Times New Roman"/>
                <w:sz w:val="20"/>
                <w:szCs w:val="20"/>
                <w:lang w:eastAsia="sk-SK"/>
              </w:rPr>
            </w:pPr>
          </w:p>
          <w:p w14:paraId="31897FC5" w14:textId="42EE45E3" w:rsidR="00735561" w:rsidRPr="00330FC0" w:rsidRDefault="005A151D" w:rsidP="005A151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Využité boli údaje predkladané</w:t>
            </w:r>
            <w:r w:rsidR="00330FC0">
              <w:rPr>
                <w:rFonts w:ascii="Times New Roman" w:eastAsia="Times New Roman" w:hAnsi="Times New Roman" w:cs="Times New Roman"/>
                <w:sz w:val="20"/>
                <w:szCs w:val="20"/>
                <w:lang w:eastAsia="sk-SK"/>
              </w:rPr>
              <w:t xml:space="preserve"> účastníkmi </w:t>
            </w:r>
            <w:r w:rsidR="00330FC0">
              <w:rPr>
                <w:rFonts w:ascii="Times New Roman" w:hAnsi="Times New Roman" w:cs="Times New Roman"/>
                <w:sz w:val="20"/>
                <w:szCs w:val="20"/>
              </w:rPr>
              <w:t>systému obchodovania s emisnými kvótami.</w:t>
            </w:r>
          </w:p>
          <w:p w14:paraId="02F77898" w14:textId="77777777" w:rsidR="00735561" w:rsidRPr="00B043B4" w:rsidRDefault="00735561" w:rsidP="002703BE">
            <w:pPr>
              <w:rPr>
                <w:rFonts w:ascii="Times New Roman" w:eastAsia="Times New Roman" w:hAnsi="Times New Roman" w:cs="Times New Roman"/>
                <w:b/>
                <w:sz w:val="20"/>
                <w:szCs w:val="20"/>
                <w:lang w:eastAsia="sk-SK"/>
              </w:rPr>
            </w:pPr>
          </w:p>
        </w:tc>
      </w:tr>
      <w:tr w:rsidR="00735561" w:rsidRPr="00B043B4" w14:paraId="0204C070" w14:textId="77777777" w:rsidTr="002703BE">
        <w:tc>
          <w:tcPr>
            <w:tcW w:w="9176" w:type="dxa"/>
            <w:tcBorders>
              <w:top w:val="single" w:sz="4" w:space="0" w:color="auto"/>
              <w:left w:val="single" w:sz="4" w:space="0" w:color="auto"/>
              <w:bottom w:val="single" w:sz="4" w:space="0" w:color="FFFFFF"/>
              <w:right w:val="single" w:sz="4" w:space="0" w:color="auto"/>
            </w:tcBorders>
            <w:shd w:val="clear" w:color="auto" w:fill="E2E2E2"/>
          </w:tcPr>
          <w:p w14:paraId="4B0088DB" w14:textId="3B20FEAD" w:rsidR="00735561" w:rsidRPr="00B043B4" w:rsidRDefault="00735561" w:rsidP="00A24E1F">
            <w:pPr>
              <w:numPr>
                <w:ilvl w:val="0"/>
                <w:numId w:val="1"/>
              </w:numPr>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A24E1F" w:rsidRPr="00A24E1F">
              <w:rPr>
                <w:rFonts w:ascii="Times New Roman" w:eastAsia="Calibri" w:hAnsi="Times New Roman" w:cs="Times New Roman"/>
                <w:b/>
              </w:rPr>
              <w:t>004/2022</w:t>
            </w:r>
          </w:p>
          <w:p w14:paraId="6E8F1425" w14:textId="77777777" w:rsidR="00735561" w:rsidRPr="00B043B4" w:rsidRDefault="00735561" w:rsidP="002703BE">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735561" w:rsidRPr="00B043B4" w14:paraId="28E9EF3F" w14:textId="77777777" w:rsidTr="002703BE">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B5738DF" w14:textId="77777777" w:rsidR="00735561" w:rsidRPr="00B043B4" w:rsidRDefault="00735561" w:rsidP="002703B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35561" w:rsidRPr="00B043B4" w14:paraId="1304D9E6" w14:textId="77777777" w:rsidTr="002703BE">
              <w:trPr>
                <w:trHeight w:val="396"/>
              </w:trPr>
              <w:tc>
                <w:tcPr>
                  <w:tcW w:w="2552" w:type="dxa"/>
                </w:tcPr>
                <w:p w14:paraId="2C2D6EA0" w14:textId="77777777" w:rsidR="00735561" w:rsidRPr="00B043B4" w:rsidRDefault="00840481" w:rsidP="002703B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 xml:space="preserve">Súhlasné </w:t>
                  </w:r>
                </w:p>
              </w:tc>
              <w:tc>
                <w:tcPr>
                  <w:tcW w:w="3827" w:type="dxa"/>
                </w:tcPr>
                <w:p w14:paraId="65F9AFA7" w14:textId="77777777" w:rsidR="00735561" w:rsidRPr="00B043B4" w:rsidRDefault="00840481" w:rsidP="002703B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Súhlasné s návrhom na dopracovanie</w:t>
                  </w:r>
                </w:p>
              </w:tc>
              <w:tc>
                <w:tcPr>
                  <w:tcW w:w="2534" w:type="dxa"/>
                </w:tcPr>
                <w:p w14:paraId="36D48BD2" w14:textId="77777777" w:rsidR="00735561" w:rsidRPr="00B043B4" w:rsidRDefault="00840481" w:rsidP="002703B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sdtPr>
                    <w:sdtEndPr/>
                    <w:sdtContent>
                      <w:r w:rsidR="0076489B">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Nesúhlasné</w:t>
                  </w:r>
                </w:p>
              </w:tc>
            </w:tr>
          </w:tbl>
          <w:p w14:paraId="3C280188" w14:textId="77777777" w:rsidR="00735561" w:rsidRPr="00B043B4" w:rsidRDefault="00735561" w:rsidP="002703BE">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65CF81FD" w14:textId="77777777" w:rsidR="0076489B" w:rsidRPr="005A151D" w:rsidRDefault="0076489B" w:rsidP="0076489B">
            <w:pPr>
              <w:tabs>
                <w:tab w:val="center" w:pos="6379"/>
              </w:tabs>
              <w:ind w:right="-2"/>
              <w:jc w:val="both"/>
              <w:rPr>
                <w:rFonts w:ascii="Times New Roman" w:hAnsi="Times New Roman" w:cs="Times New Roman"/>
                <w:b/>
                <w:bCs/>
              </w:rPr>
            </w:pPr>
            <w:r w:rsidRPr="005A151D">
              <w:rPr>
                <w:rFonts w:ascii="Times New Roman" w:hAnsi="Times New Roman" w:cs="Times New Roman"/>
                <w:b/>
                <w:bCs/>
              </w:rPr>
              <w:t>K doložke vybraných vplyvov</w:t>
            </w:r>
          </w:p>
          <w:p w14:paraId="64BAC0F7"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rPr>
              <w:t>Komisia odporúča predkladateľovi, aby v bode 12. uviedol zdroje, z ktorých pri príprave materiálu vychádzal.</w:t>
            </w:r>
          </w:p>
          <w:p w14:paraId="6B89BFCF" w14:textId="77777777" w:rsidR="00D816E4" w:rsidRPr="005A151D" w:rsidRDefault="00D816E4" w:rsidP="00D816E4">
            <w:pPr>
              <w:jc w:val="both"/>
              <w:rPr>
                <w:rFonts w:ascii="Times New Roman" w:hAnsi="Times New Roman" w:cs="Times New Roman"/>
                <w:b/>
              </w:rPr>
            </w:pPr>
            <w:r w:rsidRPr="005A151D">
              <w:rPr>
                <w:rFonts w:ascii="Times New Roman" w:hAnsi="Times New Roman" w:cs="Times New Roman"/>
                <w:b/>
              </w:rPr>
              <w:t>Vyhodnotenie:</w:t>
            </w:r>
          </w:p>
          <w:p w14:paraId="1E90609D" w14:textId="77777777" w:rsidR="00D816E4" w:rsidRPr="005A151D" w:rsidRDefault="00D816E4" w:rsidP="00D816E4">
            <w:pPr>
              <w:jc w:val="both"/>
              <w:rPr>
                <w:rFonts w:ascii="Times New Roman" w:hAnsi="Times New Roman" w:cs="Times New Roman"/>
              </w:rPr>
            </w:pPr>
            <w:r w:rsidRPr="005A151D">
              <w:rPr>
                <w:rFonts w:ascii="Times New Roman" w:hAnsi="Times New Roman" w:cs="Times New Roman"/>
              </w:rPr>
              <w:t>Pripomienka bola akceptovaná.</w:t>
            </w:r>
          </w:p>
          <w:p w14:paraId="23D7169E" w14:textId="77777777" w:rsidR="0076489B" w:rsidRPr="005A151D" w:rsidRDefault="0076489B" w:rsidP="0076489B">
            <w:pPr>
              <w:ind w:left="720"/>
              <w:rPr>
                <w:rFonts w:ascii="Times New Roman" w:hAnsi="Times New Roman" w:cs="Times New Roman"/>
                <w:color w:val="1F497D"/>
              </w:rPr>
            </w:pPr>
          </w:p>
          <w:p w14:paraId="0D8B6BFD" w14:textId="77777777" w:rsidR="0076489B" w:rsidRPr="005A151D" w:rsidRDefault="0076489B" w:rsidP="0076489B">
            <w:pPr>
              <w:tabs>
                <w:tab w:val="center" w:pos="6379"/>
              </w:tabs>
              <w:ind w:right="-2"/>
              <w:jc w:val="both"/>
              <w:rPr>
                <w:rFonts w:ascii="Times New Roman" w:hAnsi="Times New Roman" w:cs="Times New Roman"/>
                <w:b/>
                <w:bCs/>
              </w:rPr>
            </w:pPr>
            <w:r w:rsidRPr="005A151D">
              <w:rPr>
                <w:rFonts w:ascii="Times New Roman" w:hAnsi="Times New Roman" w:cs="Times New Roman"/>
                <w:b/>
                <w:bCs/>
              </w:rPr>
              <w:t>K vplyvom na podnikateľské prostredie</w:t>
            </w:r>
          </w:p>
          <w:p w14:paraId="38BA926A"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rPr>
              <w:t xml:space="preserve">Komisia žiada predkladateľa v Doložke vybraných vplyvov v časti 9. o vyznačenie pozitívneho a negatívneho vplyvu na podnikateľské prostredie, ako aj zaznačenie uplatňovania mechanizmu znižovania nákladov a byrokracie. </w:t>
            </w:r>
          </w:p>
          <w:p w14:paraId="688FCD9D"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u w:val="single"/>
              </w:rPr>
              <w:t>Odôvodnenie</w:t>
            </w:r>
            <w:r w:rsidRPr="005A151D">
              <w:rPr>
                <w:rFonts w:ascii="Times New Roman" w:hAnsi="Times New Roman" w:cs="Times New Roman"/>
              </w:rPr>
              <w:t xml:space="preserve">: Materiál zakladá vplyvy na podnikateľské prostredie, pričom túto skutočnosť predkladateľ v Doložke vybraných vplyvov nezaznačil. </w:t>
            </w:r>
          </w:p>
          <w:p w14:paraId="6FCFE975"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rPr>
              <w:t>Komisia žiada predkladateľa o vypracovanie a priloženie Kalkulačky nákladov a Analýzu vplyvov na podnikateľské prostredie.</w:t>
            </w:r>
          </w:p>
          <w:p w14:paraId="163C1D26"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u w:val="single"/>
              </w:rPr>
              <w:t>Odôvodnenie</w:t>
            </w:r>
            <w:r w:rsidRPr="005A151D">
              <w:rPr>
                <w:rFonts w:ascii="Times New Roman" w:hAnsi="Times New Roman" w:cs="Times New Roman"/>
              </w:rPr>
              <w:t>: V materiáli boli identifikované nasledovné vplyvy na podnikateľské prostredie, ktoré je nutné uviesť a kvantifikovať:</w:t>
            </w:r>
          </w:p>
          <w:p w14:paraId="1B370729"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i/>
                <w:iCs/>
              </w:rPr>
              <w:t>Pozitívne</w:t>
            </w:r>
            <w:r w:rsidR="002C6FC9">
              <w:rPr>
                <w:rFonts w:ascii="Times New Roman" w:hAnsi="Times New Roman" w:cs="Times New Roman"/>
                <w:i/>
                <w:iCs/>
              </w:rPr>
              <w:t xml:space="preserve"> </w:t>
            </w:r>
            <w:r w:rsidRPr="005A151D">
              <w:rPr>
                <w:rFonts w:ascii="Times New Roman" w:hAnsi="Times New Roman" w:cs="Times New Roman"/>
                <w:i/>
                <w:iCs/>
              </w:rPr>
              <w:t>vplyvy</w:t>
            </w:r>
            <w:r w:rsidRPr="005A151D">
              <w:rPr>
                <w:rFonts w:ascii="Times New Roman" w:hAnsi="Times New Roman" w:cs="Times New Roman"/>
              </w:rPr>
              <w:t>: Vypustenie administratívnych povinností v bodoch 5 a 6, tiež vypustenie povinnosti okresného úradu uložiť prevádzkovateľovi pokutu v prípade nesplnenia povinností v § 21 odsek 4 (bod 49).</w:t>
            </w:r>
          </w:p>
          <w:p w14:paraId="291A66E5"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i/>
                <w:iCs/>
              </w:rPr>
              <w:t xml:space="preserve">Negatívne vplyvy: </w:t>
            </w:r>
            <w:r w:rsidRPr="005A151D">
              <w:rPr>
                <w:rFonts w:ascii="Times New Roman" w:hAnsi="Times New Roman" w:cs="Times New Roman"/>
              </w:rPr>
              <w:t>Všetci prevádzkovatelia majú povinnosť oznámiť okresnému úradu každú významnú zmenu monitorovacieho plánu do 30 dní od tejto zmeny (bod 32). Povinnosť predložiť ministerstvu správu o úrovni činnosti časti prevádzky (bod 33).</w:t>
            </w:r>
          </w:p>
          <w:p w14:paraId="74EA1F1A"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rPr>
              <w:t>V prípade potreby môže predkladateľ využiť možnosť konzultácie vyplnenia Analýzy vplyvov na podnikateľské prostredie a Kalkulačky nákladov s analytickým tímom prostredníctvom mailu</w:t>
            </w:r>
            <w:hyperlink r:id="rId9" w:history="1">
              <w:r w:rsidRPr="005A151D">
                <w:rPr>
                  <w:rStyle w:val="Hypertextovprepojenie"/>
                  <w:rFonts w:ascii="Times New Roman" w:hAnsi="Times New Roman" w:cs="Times New Roman"/>
                </w:rPr>
                <w:t>1in2out@mhsr.sk</w:t>
              </w:r>
            </w:hyperlink>
            <w:r w:rsidRPr="005A151D">
              <w:rPr>
                <w:rFonts w:ascii="Times New Roman" w:hAnsi="Times New Roman" w:cs="Times New Roman"/>
              </w:rPr>
              <w:t xml:space="preserve">. </w:t>
            </w:r>
          </w:p>
          <w:p w14:paraId="54B82653" w14:textId="77777777" w:rsidR="00CE3955" w:rsidRPr="005A151D" w:rsidRDefault="00CE3955" w:rsidP="0076489B">
            <w:pPr>
              <w:jc w:val="both"/>
              <w:rPr>
                <w:rFonts w:ascii="Times New Roman" w:hAnsi="Times New Roman" w:cs="Times New Roman"/>
                <w:b/>
              </w:rPr>
            </w:pPr>
            <w:r w:rsidRPr="005A151D">
              <w:rPr>
                <w:rFonts w:ascii="Times New Roman" w:hAnsi="Times New Roman" w:cs="Times New Roman"/>
                <w:b/>
              </w:rPr>
              <w:t>Vyhodnotenie:</w:t>
            </w:r>
          </w:p>
          <w:p w14:paraId="37A31DFD" w14:textId="77777777" w:rsidR="00CE3955" w:rsidRPr="005A151D" w:rsidRDefault="00CE3955" w:rsidP="0076489B">
            <w:pPr>
              <w:jc w:val="both"/>
              <w:rPr>
                <w:rFonts w:ascii="Times New Roman" w:hAnsi="Times New Roman" w:cs="Times New Roman"/>
              </w:rPr>
            </w:pPr>
            <w:r w:rsidRPr="005A151D">
              <w:rPr>
                <w:rFonts w:ascii="Times New Roman" w:hAnsi="Times New Roman" w:cs="Times New Roman"/>
              </w:rPr>
              <w:t xml:space="preserve">Pripomienka nebola akceptovaná. </w:t>
            </w:r>
            <w:r w:rsidR="00466F51" w:rsidRPr="005A151D">
              <w:rPr>
                <w:rFonts w:ascii="Times New Roman" w:hAnsi="Times New Roman" w:cs="Times New Roman"/>
              </w:rPr>
              <w:t>Vypustenie definície dobrovoľného účastníka systému obchodovania nemá na po</w:t>
            </w:r>
            <w:r w:rsidR="00D816E4" w:rsidRPr="005A151D">
              <w:rPr>
                <w:rFonts w:ascii="Times New Roman" w:hAnsi="Times New Roman" w:cs="Times New Roman"/>
              </w:rPr>
              <w:t>dnikateľské prostredie žiadny</w:t>
            </w:r>
            <w:r w:rsidR="00466F51" w:rsidRPr="005A151D">
              <w:rPr>
                <w:rFonts w:ascii="Times New Roman" w:hAnsi="Times New Roman" w:cs="Times New Roman"/>
              </w:rPr>
              <w:t xml:space="preserve"> vpl</w:t>
            </w:r>
            <w:r w:rsidR="00D816E4" w:rsidRPr="005A151D">
              <w:rPr>
                <w:rFonts w:ascii="Times New Roman" w:hAnsi="Times New Roman" w:cs="Times New Roman"/>
              </w:rPr>
              <w:t xml:space="preserve">yv nakoľko bola táto možnosť </w:t>
            </w:r>
            <w:r w:rsidR="00466F51" w:rsidRPr="005A151D">
              <w:rPr>
                <w:rFonts w:ascii="Times New Roman" w:hAnsi="Times New Roman" w:cs="Times New Roman"/>
              </w:rPr>
              <w:t>dobrovoľná</w:t>
            </w:r>
            <w:r w:rsidR="00D816E4" w:rsidRPr="005A151D">
              <w:rPr>
                <w:rFonts w:ascii="Times New Roman" w:hAnsi="Times New Roman" w:cs="Times New Roman"/>
              </w:rPr>
              <w:t>, netýka sa povinných účastníkov systému obchodovania</w:t>
            </w:r>
            <w:r w:rsidR="00466F51" w:rsidRPr="005A151D">
              <w:rPr>
                <w:rFonts w:ascii="Times New Roman" w:hAnsi="Times New Roman" w:cs="Times New Roman"/>
              </w:rPr>
              <w:t xml:space="preserve"> </w:t>
            </w:r>
            <w:r w:rsidR="009C7598" w:rsidRPr="005A151D">
              <w:rPr>
                <w:rFonts w:ascii="Times New Roman" w:hAnsi="Times New Roman" w:cs="Times New Roman"/>
              </w:rPr>
              <w:t xml:space="preserve">a </w:t>
            </w:r>
            <w:r w:rsidR="00466F51" w:rsidRPr="005A151D">
              <w:rPr>
                <w:rFonts w:ascii="Times New Roman" w:hAnsi="Times New Roman" w:cs="Times New Roman"/>
              </w:rPr>
              <w:t xml:space="preserve">v praxi nebola využívaná a preto nie je potrebná. </w:t>
            </w:r>
            <w:r w:rsidRPr="005A151D">
              <w:rPr>
                <w:rFonts w:ascii="Times New Roman" w:hAnsi="Times New Roman" w:cs="Times New Roman"/>
              </w:rPr>
              <w:t xml:space="preserve"> Povinnosť oznámiť okresnému úradu každú významnú zmenu monitorovacieho plánu do 30 dní od tejto zmeny ako aj povinnosť predložiť ministerstvu správu o úrovni činnosti časti prevádzky nie sú nové povinnosti. V aktuálne účinnom znení zákona č. 414/2012 Z. z. sú tieto povinnosti ustanovené v § 21 ods. 4 písm. d) a e).</w:t>
            </w:r>
            <w:r w:rsidR="00D816E4" w:rsidRPr="005A151D">
              <w:rPr>
                <w:rFonts w:ascii="Times New Roman" w:hAnsi="Times New Roman" w:cs="Times New Roman"/>
              </w:rPr>
              <w:t xml:space="preserve"> Návrh novely zákona č. 414/2012 Z. z. tieto povinnosti len presúva v rámci § 21.</w:t>
            </w:r>
          </w:p>
          <w:p w14:paraId="07C2329A" w14:textId="77777777" w:rsidR="0043713E" w:rsidRPr="005A151D" w:rsidRDefault="0043713E" w:rsidP="0076489B">
            <w:pPr>
              <w:jc w:val="both"/>
              <w:rPr>
                <w:rFonts w:ascii="Times New Roman" w:hAnsi="Times New Roman" w:cs="Times New Roman"/>
              </w:rPr>
            </w:pPr>
          </w:p>
          <w:p w14:paraId="401C008F" w14:textId="77777777" w:rsidR="0076489B" w:rsidRPr="005A151D" w:rsidRDefault="0076489B" w:rsidP="0076489B">
            <w:pPr>
              <w:pStyle w:val="norm00e1lny"/>
              <w:spacing w:line="240" w:lineRule="atLeast"/>
              <w:jc w:val="both"/>
              <w:rPr>
                <w:b/>
                <w:bCs/>
                <w:sz w:val="22"/>
                <w:szCs w:val="22"/>
                <w:lang w:eastAsia="ar-SA"/>
              </w:rPr>
            </w:pPr>
            <w:r w:rsidRPr="005A151D">
              <w:rPr>
                <w:b/>
                <w:bCs/>
                <w:sz w:val="22"/>
                <w:szCs w:val="22"/>
                <w:lang w:eastAsia="ar-SA"/>
              </w:rPr>
              <w:t>K vplyvom na rozpočet verejnej správy</w:t>
            </w:r>
          </w:p>
          <w:p w14:paraId="0D4E33C9" w14:textId="77777777" w:rsidR="0076489B" w:rsidRPr="005A151D" w:rsidRDefault="0076489B" w:rsidP="0076489B">
            <w:pPr>
              <w:jc w:val="both"/>
              <w:rPr>
                <w:rFonts w:ascii="Times New Roman" w:hAnsi="Times New Roman" w:cs="Times New Roman"/>
              </w:rPr>
            </w:pPr>
            <w:r w:rsidRPr="005A151D">
              <w:rPr>
                <w:rFonts w:ascii="Times New Roman" w:hAnsi="Times New Roman" w:cs="Times New Roman"/>
              </w:rPr>
              <w:t>V doložke vybraných vplyvov predkladateľ konštatuje negatívne, rozpočtovo zabezpečené vplyvy návrhu zákona na rozpočet verejnej správy, pričom výdavky Environmentálneho fondu v súvislosti s navrhovanou výškou použiteľného výnosu z dražieb emisných kvót (50 % z ročného výnosu z dražieb kvót) majú byť finančne zabezpečené v rozpočte Environmentálneho fondu. Komisia upozorňuje, že uvedené konštatovanie je v rozpore so schváleným rozpočtom Environmentálneho fondu na roky 2022 až 2024, keďže v tomto rozpočte je zapracovaný použiteľný výnos z dražieb emisných kvót na úrovni 30 %. Prijatie predloženej novely zákona č. 414/2012 Z. z. teda zakladá negatívne, rozpočtovo nekryté vplyvy na rozpočet verejnej správy na úrovni cca 42,5 až 46,4 mil. eur v rokoch 2022 až 2024, s čím zásadne nie je možné súhlasiť.</w:t>
            </w:r>
          </w:p>
          <w:p w14:paraId="0C256497" w14:textId="77777777" w:rsidR="00913855" w:rsidRPr="005A151D" w:rsidRDefault="0076489B" w:rsidP="0076489B">
            <w:pPr>
              <w:jc w:val="both"/>
              <w:rPr>
                <w:rFonts w:ascii="Times New Roman" w:hAnsi="Times New Roman" w:cs="Times New Roman"/>
              </w:rPr>
            </w:pPr>
            <w:r w:rsidRPr="005A151D">
              <w:rPr>
                <w:rFonts w:ascii="Times New Roman" w:hAnsi="Times New Roman" w:cs="Times New Roman"/>
              </w:rPr>
              <w:t>Navyše sa návrhom zákona upravujú niektoré kompetencie MŽP SR a okresných úradov (napr. čl. I novelizačné body 9, 38, 42, 43, 45, 47) a tiež sa upravujú ustanovenia o ukladaní pokút (čl. I novelizačné body 48 a 49), čo môže mať vplyv na rozpočet verejnej správy. Tieto možné vplyvy na rozpočet verejnej správy žiada Komisia kvantifikovať v analýze vplyvov na rozpočet verejnej správy. Pokiaľ takáto kvantifikácia nie je možná, Komisia žiada v časti 10. Poznámky doložky vybraných vplyvov uviesť zdôvodnenie.</w:t>
            </w:r>
          </w:p>
          <w:p w14:paraId="11909BAC" w14:textId="77777777" w:rsidR="00CC036B" w:rsidRPr="005A151D" w:rsidRDefault="0076489B" w:rsidP="0076489B">
            <w:pPr>
              <w:jc w:val="both"/>
              <w:rPr>
                <w:rFonts w:ascii="Times New Roman" w:hAnsi="Times New Roman" w:cs="Times New Roman"/>
              </w:rPr>
            </w:pPr>
            <w:r w:rsidRPr="005A151D">
              <w:rPr>
                <w:rFonts w:ascii="Times New Roman" w:hAnsi="Times New Roman" w:cs="Times New Roman"/>
              </w:rPr>
              <w:t>V nadväznosti na uvedené Komisia zásadne žiada materiál prepracovať takým spôsobom, aby všetky vplyvy z neho vyplývajúce boli rozpočtovo zabezpečené v rámci schválených limitov Environmentálneho fondu, ako aj kapitol MŽP SR a MV SR bez zvýšených vplyvov na rozpočet verejnej správy. Tieto vplyvy žiada Komisia kvantifikovať v analýze vplyvov na rozpočet verejnej správy podľa § 33 ods. 1 zákona č. 523/2004 Z. z. o rozpočtových pravidlách verejnej správy a o zmene a doplnení niektorých zákonov v znení neskorších predpisov, ako aj podľa platnej Jednotnej metodiky na posudzovanie vybraných vplyvov.</w:t>
            </w:r>
          </w:p>
          <w:p w14:paraId="73B0CC67" w14:textId="2FEFE1EB" w:rsidR="0076489B" w:rsidRDefault="0076489B" w:rsidP="0076489B">
            <w:pPr>
              <w:jc w:val="both"/>
              <w:rPr>
                <w:rFonts w:ascii="Times New Roman" w:hAnsi="Times New Roman" w:cs="Times New Roman"/>
              </w:rPr>
            </w:pPr>
            <w:r w:rsidRPr="005A151D">
              <w:rPr>
                <w:rFonts w:ascii="Times New Roman" w:hAnsi="Times New Roman" w:cs="Times New Roman"/>
              </w:rPr>
              <w:t>Tabuľku č. 4 analýzy vplyvov na rozpočet verejnej správy týkajúcu sa vplyvov na výdavky Environmentálneho fondu v súvislosti so zvýšením použiteľnej časti ročného výnosu z dražieb kvót z 30 % na 50 % je potrebné zmeniť tak, aby uvádzala zmenu v porovnaní s NPC scenárom a podľa metodiky ESA 2010. Súčasná verzia tabuľky č. 4 uvádza celých 50 % z ročného výnosu, čo je aj uvedené v poznámke pod tabuľkou. Keďže má ísť o vyčíslenie vplyvu legislatívnej zmeny, tabuľka by mala obsahovať kalkuláciu len 20 % z ročného výnosu z dražieb kvót (50 % - 30 %). Súčasne Komisia odporúča špecifikovať zdroj odhadu ceny emisných povoleniek v sume 61,50 eur/tCO2, ktorá je uvedená v poznámke pod tabuľkou č. 4, prípadne zvážiť iný prístup (variabilná cena za jednotlivé roky na základe cien futúr povoleniek). Navyše analýza vplyvov na rozpočet verejnej správy má obsahovať kvantifikáciu vplyvov na rozpočet verejnej správy na roky 2022 až 2025 a tabuľka č. 1 má byť súhrnom údajov z tabuliek č. 3 až 5.</w:t>
            </w:r>
          </w:p>
          <w:p w14:paraId="20BAC140" w14:textId="3A7DA036" w:rsidR="000D6C15" w:rsidRDefault="000D6C15" w:rsidP="0076489B">
            <w:pPr>
              <w:jc w:val="both"/>
              <w:rPr>
                <w:rFonts w:ascii="Times New Roman" w:hAnsi="Times New Roman" w:cs="Times New Roman"/>
              </w:rPr>
            </w:pPr>
          </w:p>
          <w:p w14:paraId="349EC8C0" w14:textId="77777777" w:rsidR="000D6C15" w:rsidRPr="00C562C1" w:rsidRDefault="000D6C15" w:rsidP="000D6C15">
            <w:pPr>
              <w:rPr>
                <w:rFonts w:ascii="Times New Roman" w:hAnsi="Times New Roman" w:cs="Times New Roman"/>
                <w:u w:val="single"/>
              </w:rPr>
            </w:pPr>
            <w:r w:rsidRPr="00C562C1">
              <w:rPr>
                <w:rFonts w:ascii="Times New Roman" w:hAnsi="Times New Roman" w:cs="Times New Roman"/>
                <w:u w:val="single"/>
              </w:rPr>
              <w:t>Poznámka zo strany MŽP SR:</w:t>
            </w:r>
          </w:p>
          <w:p w14:paraId="4A8848DD" w14:textId="77777777" w:rsidR="000D6C15" w:rsidRPr="00C562C1" w:rsidRDefault="000D6C15" w:rsidP="000D6C15">
            <w:pPr>
              <w:rPr>
                <w:rFonts w:ascii="Times New Roman" w:hAnsi="Times New Roman" w:cs="Times New Roman"/>
              </w:rPr>
            </w:pPr>
            <w:r w:rsidRPr="00C562C1">
              <w:rPr>
                <w:rFonts w:ascii="Times New Roman" w:hAnsi="Times New Roman" w:cs="Times New Roman"/>
                <w:b/>
              </w:rPr>
              <w:t>V nadväznosti na závery rokovania na úrovni predsedu vlády SR (29.9.2022) boli z novely zákona vypustené úpravy ustanovení v § 18 týkajúce využitia výnosov získaných z dražieb emisných kvót</w:t>
            </w:r>
            <w:r>
              <w:rPr>
                <w:rFonts w:ascii="Times New Roman" w:hAnsi="Times New Roman" w:cs="Times New Roman"/>
                <w:b/>
              </w:rPr>
              <w:t>.</w:t>
            </w:r>
          </w:p>
          <w:p w14:paraId="609E9117" w14:textId="77777777" w:rsidR="005A151D" w:rsidRPr="005A151D" w:rsidRDefault="005A151D" w:rsidP="0076489B">
            <w:pPr>
              <w:jc w:val="both"/>
              <w:rPr>
                <w:rFonts w:ascii="Times New Roman" w:hAnsi="Times New Roman" w:cs="Times New Roman"/>
              </w:rPr>
            </w:pPr>
          </w:p>
          <w:p w14:paraId="3E30FAFE" w14:textId="77777777" w:rsidR="0043713E" w:rsidRPr="005A151D" w:rsidRDefault="00C121D5" w:rsidP="0076489B">
            <w:pPr>
              <w:jc w:val="both"/>
              <w:rPr>
                <w:rFonts w:ascii="Times New Roman" w:hAnsi="Times New Roman" w:cs="Times New Roman"/>
                <w:b/>
              </w:rPr>
            </w:pPr>
            <w:r w:rsidRPr="005A151D">
              <w:rPr>
                <w:rFonts w:ascii="Times New Roman" w:hAnsi="Times New Roman" w:cs="Times New Roman"/>
                <w:b/>
              </w:rPr>
              <w:t>Vyhodnotenie:</w:t>
            </w:r>
            <w:r w:rsidR="0043713E" w:rsidRPr="005A151D">
              <w:rPr>
                <w:rFonts w:ascii="Times New Roman" w:hAnsi="Times New Roman" w:cs="Times New Roman"/>
                <w:b/>
              </w:rPr>
              <w:t xml:space="preserve"> </w:t>
            </w:r>
            <w:r w:rsidR="0043713E" w:rsidRPr="005A151D">
              <w:rPr>
                <w:rFonts w:ascii="Times New Roman" w:hAnsi="Times New Roman" w:cs="Times New Roman"/>
              </w:rPr>
              <w:t>Pripomienky boli čiastočne akceptované.</w:t>
            </w:r>
          </w:p>
          <w:p w14:paraId="7819C1BB" w14:textId="77777777" w:rsidR="005A151D" w:rsidRPr="005A151D" w:rsidRDefault="005A151D" w:rsidP="0076489B">
            <w:pPr>
              <w:jc w:val="both"/>
              <w:rPr>
                <w:rFonts w:ascii="Times New Roman" w:hAnsi="Times New Roman" w:cs="Times New Roman"/>
              </w:rPr>
            </w:pPr>
            <w:r w:rsidRPr="005A151D">
              <w:rPr>
                <w:rFonts w:ascii="Times New Roman" w:hAnsi="Times New Roman" w:cs="Times New Roman"/>
              </w:rPr>
              <w:t>Kompetencia okresných úradov oznamovať vydanie povolení na vypúšťanie emisií skleníkových plynov, ich zmenu alebo vyradenie prevádzky zo systému obchodovania ministerstvu aj vnútroštátnemu správcovi nie je nová povinnosť. V praxi sú tieto rozhodnutia zasielané na vedomie ministerstvu aj vnútroštátnemu správcovi, návrhom novely zákona č. 414/2012 Z. z. dostala zaužívaná prax aj právnu úpravu. Vypustenie povinnosti okresného úradu uložiť prevádzkovateľovi pokutu v prípade nesplnenia povinností v § 21 odsek 4 nemá vplyv na rozpočet verejnej správy. Predloženie overenej správy o úrovni činnosti je v záujme každého prevádzkovateľa, pretože rozhoduje o výške bezodplatnej alokácie emisných kvót. Z tohto dôvodu pokuty ani neboli udeľované.</w:t>
            </w:r>
          </w:p>
          <w:p w14:paraId="0F2A0C83" w14:textId="77777777" w:rsidR="00C121D5" w:rsidRPr="0043713E" w:rsidRDefault="0043713E" w:rsidP="0076489B">
            <w:pPr>
              <w:jc w:val="both"/>
              <w:rPr>
                <w:rFonts w:ascii="Times New Roman" w:hAnsi="Times New Roman" w:cs="Times New Roman"/>
                <w:b/>
              </w:rPr>
            </w:pPr>
            <w:r w:rsidRPr="005A151D">
              <w:rPr>
                <w:rFonts w:ascii="Times New Roman" w:hAnsi="Times New Roman" w:cs="Times New Roman"/>
              </w:rPr>
              <w:t>T</w:t>
            </w:r>
            <w:r w:rsidR="00C121D5" w:rsidRPr="005A151D">
              <w:rPr>
                <w:rFonts w:ascii="Times New Roman" w:hAnsi="Times New Roman" w:cs="Times New Roman"/>
              </w:rPr>
              <w:t xml:space="preserve">abuľka č. 4 bola upravená v zmysle, že bolo zohľadnené len vyčíslenie vplyvu legislatívnej zmeny, teda 20 % z ročného výnosu z dražieb kvót (50 % - 30 %). Zároveň boli pre výpočet vplyvu uplatnené prognózy aukčných podielov Slovenskej republiky a variabilné ceny pre jednotlivé roky (vychádzajúce z aktuálnych </w:t>
            </w:r>
            <w:proofErr w:type="spellStart"/>
            <w:r w:rsidR="00C121D5" w:rsidRPr="005A151D">
              <w:rPr>
                <w:rFonts w:ascii="Times New Roman" w:hAnsi="Times New Roman" w:cs="Times New Roman"/>
              </w:rPr>
              <w:t>futures</w:t>
            </w:r>
            <w:proofErr w:type="spellEnd"/>
            <w:r w:rsidR="00C121D5" w:rsidRPr="005A151D">
              <w:rPr>
                <w:rFonts w:ascii="Times New Roman" w:hAnsi="Times New Roman" w:cs="Times New Roman"/>
              </w:rPr>
              <w:t xml:space="preserve"> kontaktov emisných kvót), vzájomne odsúhlasené medzi MŽP SR a IFP, ktoré sú použité v </w:t>
            </w:r>
            <w:proofErr w:type="spellStart"/>
            <w:r w:rsidR="00C121D5" w:rsidRPr="005A151D">
              <w:rPr>
                <w:rFonts w:ascii="Times New Roman" w:hAnsi="Times New Roman" w:cs="Times New Roman"/>
              </w:rPr>
              <w:t>makroprognóze</w:t>
            </w:r>
            <w:proofErr w:type="spellEnd"/>
            <w:r w:rsidR="00C121D5" w:rsidRPr="005A151D">
              <w:rPr>
                <w:rFonts w:ascii="Times New Roman" w:hAnsi="Times New Roman" w:cs="Times New Roman"/>
              </w:rPr>
              <w:t xml:space="preserve"> IFP. Analýza vplyvov na rozpočet verejnej správy je vyčíslená pre roky 2022 – 2025 a upravená je aj súhrnná tabuľka č. 1.</w:t>
            </w:r>
            <w:r w:rsidR="00C121D5" w:rsidRPr="00C121D5">
              <w:rPr>
                <w:rFonts w:ascii="Times New Roman" w:hAnsi="Times New Roman" w:cs="Times New Roman"/>
              </w:rPr>
              <w:t xml:space="preserve"> </w:t>
            </w:r>
          </w:p>
          <w:p w14:paraId="35EA637C" w14:textId="77777777" w:rsidR="00735561" w:rsidRDefault="00735561" w:rsidP="002703BE">
            <w:pPr>
              <w:rPr>
                <w:rFonts w:ascii="Times New Roman" w:eastAsia="Times New Roman" w:hAnsi="Times New Roman" w:cs="Times New Roman"/>
                <w:b/>
                <w:sz w:val="20"/>
                <w:szCs w:val="20"/>
                <w:lang w:eastAsia="sk-SK"/>
              </w:rPr>
            </w:pPr>
          </w:p>
          <w:p w14:paraId="3CFB3E9F" w14:textId="15EB3DA4" w:rsidR="000B1911" w:rsidRPr="00C562C1" w:rsidRDefault="000B1911" w:rsidP="002703BE">
            <w:pPr>
              <w:rPr>
                <w:rFonts w:ascii="Times New Roman" w:hAnsi="Times New Roman" w:cs="Times New Roman"/>
                <w:u w:val="single"/>
              </w:rPr>
            </w:pPr>
            <w:r w:rsidRPr="00C562C1">
              <w:rPr>
                <w:rFonts w:ascii="Times New Roman" w:hAnsi="Times New Roman" w:cs="Times New Roman"/>
                <w:u w:val="single"/>
              </w:rPr>
              <w:t>Poznámka zo strany MŽP SR:</w:t>
            </w:r>
          </w:p>
          <w:p w14:paraId="63248C9F" w14:textId="2AEF494C" w:rsidR="000B1911" w:rsidRPr="00C562C1" w:rsidRDefault="000B1911" w:rsidP="002703BE">
            <w:pPr>
              <w:rPr>
                <w:rFonts w:ascii="Times New Roman" w:hAnsi="Times New Roman" w:cs="Times New Roman"/>
              </w:rPr>
            </w:pPr>
            <w:r w:rsidRPr="00C562C1">
              <w:rPr>
                <w:rFonts w:ascii="Times New Roman" w:hAnsi="Times New Roman" w:cs="Times New Roman"/>
                <w:b/>
              </w:rPr>
              <w:t xml:space="preserve">V nadväznosti na závery rokovania na úrovni predsedu vlády SR (29.9.2022) boli z novely zákona vypustené </w:t>
            </w:r>
            <w:r w:rsidR="009D7685" w:rsidRPr="00C562C1">
              <w:rPr>
                <w:rFonts w:ascii="Times New Roman" w:hAnsi="Times New Roman" w:cs="Times New Roman"/>
                <w:b/>
              </w:rPr>
              <w:t>úpravy</w:t>
            </w:r>
            <w:r w:rsidRPr="00C562C1">
              <w:rPr>
                <w:rFonts w:ascii="Times New Roman" w:hAnsi="Times New Roman" w:cs="Times New Roman"/>
                <w:b/>
              </w:rPr>
              <w:t xml:space="preserve"> ustanovení v § 18 týkajúce využiti</w:t>
            </w:r>
            <w:r w:rsidR="009D7685" w:rsidRPr="00C562C1">
              <w:rPr>
                <w:rFonts w:ascii="Times New Roman" w:hAnsi="Times New Roman" w:cs="Times New Roman"/>
                <w:b/>
              </w:rPr>
              <w:t>a</w:t>
            </w:r>
            <w:r w:rsidRPr="00C562C1">
              <w:rPr>
                <w:rFonts w:ascii="Times New Roman" w:hAnsi="Times New Roman" w:cs="Times New Roman"/>
                <w:b/>
              </w:rPr>
              <w:t xml:space="preserve"> výnosov získaných z dražieb </w:t>
            </w:r>
            <w:r w:rsidR="009D7685" w:rsidRPr="00C562C1">
              <w:rPr>
                <w:rFonts w:ascii="Times New Roman" w:hAnsi="Times New Roman" w:cs="Times New Roman"/>
                <w:b/>
              </w:rPr>
              <w:t xml:space="preserve">emisných </w:t>
            </w:r>
            <w:r w:rsidRPr="00C562C1">
              <w:rPr>
                <w:rFonts w:ascii="Times New Roman" w:hAnsi="Times New Roman" w:cs="Times New Roman"/>
                <w:b/>
              </w:rPr>
              <w:t>kvót</w:t>
            </w:r>
            <w:r w:rsidR="00C562C1">
              <w:rPr>
                <w:rFonts w:ascii="Times New Roman" w:hAnsi="Times New Roman" w:cs="Times New Roman"/>
                <w:b/>
              </w:rPr>
              <w:t>.</w:t>
            </w:r>
          </w:p>
          <w:p w14:paraId="381441D4" w14:textId="77777777" w:rsidR="000B1911" w:rsidRDefault="000B1911" w:rsidP="002703BE">
            <w:pPr>
              <w:rPr>
                <w:rFonts w:ascii="Times New Roman" w:eastAsia="Times New Roman" w:hAnsi="Times New Roman" w:cs="Times New Roman"/>
                <w:b/>
                <w:sz w:val="20"/>
                <w:szCs w:val="20"/>
                <w:lang w:eastAsia="sk-SK"/>
              </w:rPr>
            </w:pPr>
          </w:p>
          <w:p w14:paraId="7DAC62F5" w14:textId="77777777" w:rsidR="000B1911" w:rsidRDefault="000B1911" w:rsidP="002703BE">
            <w:pPr>
              <w:rPr>
                <w:rFonts w:ascii="Times New Roman" w:eastAsia="Times New Roman" w:hAnsi="Times New Roman" w:cs="Times New Roman"/>
                <w:b/>
                <w:sz w:val="20"/>
                <w:szCs w:val="20"/>
                <w:lang w:eastAsia="sk-SK"/>
              </w:rPr>
            </w:pPr>
          </w:p>
          <w:p w14:paraId="5B2EAE84" w14:textId="31A40DA6" w:rsidR="000B1911" w:rsidRPr="00B043B4" w:rsidRDefault="000B1911" w:rsidP="002703BE">
            <w:pPr>
              <w:rPr>
                <w:rFonts w:ascii="Times New Roman" w:eastAsia="Times New Roman" w:hAnsi="Times New Roman" w:cs="Times New Roman"/>
                <w:b/>
                <w:sz w:val="20"/>
                <w:szCs w:val="20"/>
                <w:lang w:eastAsia="sk-SK"/>
              </w:rPr>
            </w:pPr>
          </w:p>
        </w:tc>
      </w:tr>
      <w:tr w:rsidR="00735561" w:rsidRPr="00B043B4" w14:paraId="654C5209" w14:textId="77777777" w:rsidTr="002703BE">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18C0FF1" w14:textId="77777777" w:rsidR="00735561" w:rsidRPr="00B043B4" w:rsidRDefault="00735561" w:rsidP="002703BE">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735561" w:rsidRPr="00B043B4" w14:paraId="1EDB10FF" w14:textId="77777777" w:rsidTr="002703BE">
        <w:tblPrEx>
          <w:tblBorders>
            <w:insideH w:val="single" w:sz="4" w:space="0" w:color="FFFFFF"/>
            <w:insideV w:val="single" w:sz="4" w:space="0" w:color="FFFFFF"/>
          </w:tblBorders>
        </w:tblPrEx>
        <w:tc>
          <w:tcPr>
            <w:tcW w:w="9176" w:type="dxa"/>
            <w:shd w:val="clear" w:color="auto" w:fill="FFFFFF"/>
          </w:tcPr>
          <w:p w14:paraId="3BF41A08" w14:textId="77777777" w:rsidR="00735561" w:rsidRPr="00B043B4" w:rsidRDefault="00735561" w:rsidP="002703B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35561" w:rsidRPr="00B043B4" w14:paraId="0D60F2FE" w14:textId="77777777" w:rsidTr="002703BE">
              <w:trPr>
                <w:trHeight w:val="396"/>
              </w:trPr>
              <w:tc>
                <w:tcPr>
                  <w:tcW w:w="2552" w:type="dxa"/>
                </w:tcPr>
                <w:p w14:paraId="1E977AED" w14:textId="77777777" w:rsidR="00735561" w:rsidRPr="00B043B4" w:rsidRDefault="00840481" w:rsidP="002703B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 xml:space="preserve">Súhlasné </w:t>
                  </w:r>
                </w:p>
              </w:tc>
              <w:tc>
                <w:tcPr>
                  <w:tcW w:w="3827" w:type="dxa"/>
                </w:tcPr>
                <w:p w14:paraId="34539DA8" w14:textId="77777777" w:rsidR="00735561" w:rsidRPr="00B043B4" w:rsidRDefault="00840481" w:rsidP="002703B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Súhlasné s  návrhom na dopracovanie</w:t>
                  </w:r>
                </w:p>
              </w:tc>
              <w:tc>
                <w:tcPr>
                  <w:tcW w:w="2534" w:type="dxa"/>
                </w:tcPr>
                <w:p w14:paraId="06D3FB6B" w14:textId="77777777" w:rsidR="00735561" w:rsidRPr="00B043B4" w:rsidRDefault="00840481" w:rsidP="002703B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sdtPr>
                    <w:sdtEndPr/>
                    <w:sdtContent>
                      <w:r w:rsidR="00735561">
                        <w:rPr>
                          <w:rFonts w:ascii="MS Gothic" w:eastAsia="MS Gothic" w:hAnsi="MS Gothic" w:cs="Times New Roman" w:hint="eastAsia"/>
                          <w:b/>
                          <w:sz w:val="20"/>
                          <w:szCs w:val="20"/>
                          <w:lang w:eastAsia="sk-SK"/>
                        </w:rPr>
                        <w:t>☐</w:t>
                      </w:r>
                    </w:sdtContent>
                  </w:sdt>
                  <w:r w:rsidR="00735561" w:rsidRPr="00B043B4">
                    <w:rPr>
                      <w:rFonts w:ascii="Times New Roman" w:eastAsia="Times New Roman" w:hAnsi="Times New Roman" w:cs="Times New Roman"/>
                      <w:b/>
                      <w:sz w:val="20"/>
                      <w:szCs w:val="20"/>
                      <w:lang w:eastAsia="sk-SK"/>
                    </w:rPr>
                    <w:t>Nesúhlasné</w:t>
                  </w:r>
                </w:p>
              </w:tc>
            </w:tr>
          </w:tbl>
          <w:p w14:paraId="5B56B9D0" w14:textId="77777777" w:rsidR="00735561" w:rsidRPr="00B043B4" w:rsidRDefault="00735561" w:rsidP="002703BE">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29233B9A" w14:textId="77777777" w:rsidR="00735561" w:rsidRPr="00B043B4" w:rsidRDefault="00735561" w:rsidP="002703BE">
            <w:pPr>
              <w:rPr>
                <w:rFonts w:ascii="Times New Roman" w:eastAsia="Times New Roman" w:hAnsi="Times New Roman" w:cs="Times New Roman"/>
                <w:b/>
                <w:sz w:val="20"/>
                <w:szCs w:val="20"/>
                <w:lang w:eastAsia="sk-SK"/>
              </w:rPr>
            </w:pPr>
          </w:p>
          <w:p w14:paraId="47B25105" w14:textId="77777777" w:rsidR="00735561" w:rsidRPr="00B043B4" w:rsidRDefault="00735561" w:rsidP="002703BE">
            <w:pPr>
              <w:rPr>
                <w:rFonts w:ascii="Times New Roman" w:eastAsia="Times New Roman" w:hAnsi="Times New Roman" w:cs="Times New Roman"/>
                <w:b/>
                <w:sz w:val="20"/>
                <w:szCs w:val="20"/>
                <w:lang w:eastAsia="sk-SK"/>
              </w:rPr>
            </w:pPr>
          </w:p>
        </w:tc>
      </w:tr>
    </w:tbl>
    <w:p w14:paraId="5527DADB" w14:textId="77777777" w:rsidR="00735561" w:rsidRDefault="00735561" w:rsidP="00735561"/>
    <w:p w14:paraId="7503E3B0" w14:textId="77777777" w:rsidR="00735561" w:rsidRDefault="00735561">
      <w:r>
        <w:br w:type="page"/>
      </w:r>
    </w:p>
    <w:p w14:paraId="3142D8DD" w14:textId="77777777" w:rsidR="00735561" w:rsidRPr="00735561" w:rsidRDefault="00735561" w:rsidP="00735561">
      <w:pPr>
        <w:spacing w:after="0" w:line="240" w:lineRule="auto"/>
        <w:jc w:val="center"/>
        <w:rPr>
          <w:rFonts w:ascii="Times New Roman" w:eastAsia="Times New Roman" w:hAnsi="Times New Roman" w:cs="Times New Roman"/>
          <w:b/>
          <w:bCs/>
          <w:sz w:val="28"/>
          <w:szCs w:val="28"/>
          <w:lang w:eastAsia="sk-SK"/>
        </w:rPr>
      </w:pPr>
      <w:r w:rsidRPr="00735561">
        <w:rPr>
          <w:rFonts w:ascii="Times New Roman" w:eastAsia="Times New Roman" w:hAnsi="Times New Roman" w:cs="Times New Roman"/>
          <w:b/>
          <w:bCs/>
          <w:sz w:val="28"/>
          <w:szCs w:val="28"/>
          <w:lang w:eastAsia="sk-SK"/>
        </w:rPr>
        <w:t>Analýza vplyvov na rozpočet verejnej správy,</w:t>
      </w:r>
    </w:p>
    <w:p w14:paraId="6C866EEC" w14:textId="77777777" w:rsidR="00735561" w:rsidRPr="00735561" w:rsidRDefault="00735561" w:rsidP="00735561">
      <w:pPr>
        <w:spacing w:after="0" w:line="240" w:lineRule="auto"/>
        <w:jc w:val="center"/>
        <w:rPr>
          <w:rFonts w:ascii="Times New Roman" w:eastAsia="Times New Roman" w:hAnsi="Times New Roman" w:cs="Times New Roman"/>
          <w:b/>
          <w:bCs/>
          <w:sz w:val="28"/>
          <w:szCs w:val="28"/>
          <w:lang w:eastAsia="sk-SK"/>
        </w:rPr>
      </w:pPr>
      <w:r w:rsidRPr="00735561">
        <w:rPr>
          <w:rFonts w:ascii="Times New Roman" w:eastAsia="Times New Roman" w:hAnsi="Times New Roman" w:cs="Times New Roman"/>
          <w:b/>
          <w:bCs/>
          <w:sz w:val="28"/>
          <w:szCs w:val="28"/>
          <w:lang w:eastAsia="sk-SK"/>
        </w:rPr>
        <w:t>na zamestnanosť vo verejnej správe a financovanie návrhu</w:t>
      </w:r>
    </w:p>
    <w:p w14:paraId="7C5A4F5D" w14:textId="77777777" w:rsidR="00735561" w:rsidRPr="00735561" w:rsidRDefault="00735561" w:rsidP="00735561">
      <w:pPr>
        <w:spacing w:after="0" w:line="240" w:lineRule="auto"/>
        <w:jc w:val="right"/>
        <w:rPr>
          <w:rFonts w:ascii="Times New Roman" w:eastAsia="Times New Roman" w:hAnsi="Times New Roman" w:cs="Times New Roman"/>
          <w:b/>
          <w:bCs/>
          <w:sz w:val="24"/>
          <w:szCs w:val="24"/>
          <w:lang w:eastAsia="sk-SK"/>
        </w:rPr>
      </w:pPr>
    </w:p>
    <w:p w14:paraId="2FA397E6"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p>
    <w:p w14:paraId="320728CC"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2.1 Zhrnutie vplyvov na rozpočet verejnej správy v návrhu</w:t>
      </w:r>
    </w:p>
    <w:p w14:paraId="57B4F692" w14:textId="77777777" w:rsidR="00735561" w:rsidRPr="00735561" w:rsidRDefault="00735561" w:rsidP="00735561">
      <w:pPr>
        <w:spacing w:after="0" w:line="240" w:lineRule="auto"/>
        <w:jc w:val="right"/>
        <w:rPr>
          <w:rFonts w:ascii="Times New Roman" w:eastAsia="Times New Roman" w:hAnsi="Times New Roman" w:cs="Times New Roman"/>
          <w:sz w:val="20"/>
          <w:szCs w:val="20"/>
          <w:lang w:eastAsia="sk-SK"/>
        </w:rPr>
      </w:pPr>
    </w:p>
    <w:p w14:paraId="54641E6C" w14:textId="352569C0" w:rsidR="00735561" w:rsidRDefault="00735561" w:rsidP="00735561">
      <w:pPr>
        <w:spacing w:after="0" w:line="240" w:lineRule="auto"/>
        <w:jc w:val="right"/>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Tabuľka č. 1 </w:t>
      </w:r>
    </w:p>
    <w:p w14:paraId="7756C569" w14:textId="77777777" w:rsidR="009D7685" w:rsidRPr="00735561" w:rsidRDefault="009D7685" w:rsidP="00735561">
      <w:pPr>
        <w:spacing w:after="0" w:line="240" w:lineRule="auto"/>
        <w:jc w:val="right"/>
        <w:rPr>
          <w:rFonts w:ascii="Times New Roman" w:eastAsia="Times New Roman" w:hAnsi="Times New Roman" w:cs="Times New Roman"/>
          <w:sz w:val="20"/>
          <w:szCs w:val="20"/>
          <w:lang w:eastAsia="sk-SK"/>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35561" w:rsidRPr="00735561" w14:paraId="3113AF00" w14:textId="77777777" w:rsidTr="00735561">
        <w:trPr>
          <w:cantSplit/>
          <w:trHeight w:val="194"/>
          <w:jc w:val="center"/>
        </w:trPr>
        <w:tc>
          <w:tcPr>
            <w:tcW w:w="4661" w:type="dxa"/>
            <w:vMerge w:val="restart"/>
            <w:shd w:val="clear" w:color="auto" w:fill="BFBFBF"/>
            <w:vAlign w:val="center"/>
          </w:tcPr>
          <w:p w14:paraId="1FEFF7D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bookmarkStart w:id="0" w:name="OLE_LINK1"/>
            <w:r w:rsidRPr="00735561">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vAlign w:val="center"/>
          </w:tcPr>
          <w:p w14:paraId="5403CE71"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Vplyv na rozpočet verejnej správy (v eurách)</w:t>
            </w:r>
          </w:p>
        </w:tc>
      </w:tr>
      <w:tr w:rsidR="005438A3" w:rsidRPr="00735561" w14:paraId="70FE979C" w14:textId="77777777" w:rsidTr="00735561">
        <w:trPr>
          <w:cantSplit/>
          <w:trHeight w:val="70"/>
          <w:jc w:val="center"/>
        </w:trPr>
        <w:tc>
          <w:tcPr>
            <w:tcW w:w="4661" w:type="dxa"/>
            <w:vMerge/>
            <w:shd w:val="clear" w:color="auto" w:fill="BFBFBF"/>
            <w:vAlign w:val="center"/>
          </w:tcPr>
          <w:p w14:paraId="5B2D66B2"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vAlign w:val="center"/>
          </w:tcPr>
          <w:p w14:paraId="77C99061"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2022</w:t>
            </w:r>
          </w:p>
        </w:tc>
        <w:tc>
          <w:tcPr>
            <w:tcW w:w="1267" w:type="dxa"/>
            <w:shd w:val="clear" w:color="auto" w:fill="BFBFBF"/>
            <w:vAlign w:val="center"/>
          </w:tcPr>
          <w:p w14:paraId="0AB4D1A7"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2023</w:t>
            </w:r>
          </w:p>
        </w:tc>
        <w:tc>
          <w:tcPr>
            <w:tcW w:w="1267" w:type="dxa"/>
            <w:shd w:val="clear" w:color="auto" w:fill="BFBFBF"/>
            <w:vAlign w:val="center"/>
          </w:tcPr>
          <w:p w14:paraId="55DBA33F"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2024</w:t>
            </w:r>
          </w:p>
        </w:tc>
        <w:tc>
          <w:tcPr>
            <w:tcW w:w="1267" w:type="dxa"/>
            <w:shd w:val="clear" w:color="auto" w:fill="BFBFBF"/>
            <w:vAlign w:val="center"/>
          </w:tcPr>
          <w:p w14:paraId="66128ED6"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5438A3" w:rsidRPr="00735561" w14:paraId="69867D26" w14:textId="77777777" w:rsidTr="002703BE">
        <w:trPr>
          <w:trHeight w:val="70"/>
          <w:jc w:val="center"/>
        </w:trPr>
        <w:tc>
          <w:tcPr>
            <w:tcW w:w="4661" w:type="dxa"/>
            <w:shd w:val="clear" w:color="auto" w:fill="C0C0C0"/>
            <w:noWrap/>
            <w:vAlign w:val="center"/>
          </w:tcPr>
          <w:p w14:paraId="720B1CC7" w14:textId="77777777" w:rsidR="005438A3" w:rsidRPr="00735561" w:rsidRDefault="005438A3" w:rsidP="005438A3">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2F5BE7B8"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73D54732"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581942B2"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5C20987B"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r>
      <w:tr w:rsidR="005438A3" w:rsidRPr="00735561" w14:paraId="2D5AAE62" w14:textId="77777777" w:rsidTr="002703BE">
        <w:trPr>
          <w:trHeight w:val="132"/>
          <w:jc w:val="center"/>
        </w:trPr>
        <w:tc>
          <w:tcPr>
            <w:tcW w:w="4661" w:type="dxa"/>
            <w:noWrap/>
            <w:vAlign w:val="center"/>
          </w:tcPr>
          <w:p w14:paraId="677C0C2B" w14:textId="77777777" w:rsidR="005438A3" w:rsidRPr="00735561" w:rsidRDefault="005438A3" w:rsidP="005438A3">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1CEBC702"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C3E5518"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E534A7E"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7C5D9644"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r>
      <w:tr w:rsidR="005438A3" w:rsidRPr="00735561" w14:paraId="28C15BD3" w14:textId="77777777" w:rsidTr="002703BE">
        <w:trPr>
          <w:trHeight w:val="70"/>
          <w:jc w:val="center"/>
        </w:trPr>
        <w:tc>
          <w:tcPr>
            <w:tcW w:w="4661" w:type="dxa"/>
            <w:noWrap/>
            <w:vAlign w:val="center"/>
          </w:tcPr>
          <w:p w14:paraId="0AE0ACDD"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685443C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3B9B4B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6568E86"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1A66D71"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r>
      <w:tr w:rsidR="005438A3" w:rsidRPr="00735561" w14:paraId="60220B00" w14:textId="77777777" w:rsidTr="002703BE">
        <w:trPr>
          <w:trHeight w:val="125"/>
          <w:jc w:val="center"/>
        </w:trPr>
        <w:tc>
          <w:tcPr>
            <w:tcW w:w="4661" w:type="dxa"/>
            <w:noWrap/>
            <w:vAlign w:val="center"/>
          </w:tcPr>
          <w:p w14:paraId="1CEC63FA"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ŠR</w:t>
            </w:r>
          </w:p>
        </w:tc>
        <w:tc>
          <w:tcPr>
            <w:tcW w:w="1267" w:type="dxa"/>
            <w:noWrap/>
            <w:vAlign w:val="center"/>
          </w:tcPr>
          <w:p w14:paraId="33C43BB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A34E4A2"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A33D0F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0E3D9AA"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6A9DD22D" w14:textId="77777777" w:rsidTr="002703BE">
        <w:trPr>
          <w:trHeight w:val="125"/>
          <w:jc w:val="center"/>
        </w:trPr>
        <w:tc>
          <w:tcPr>
            <w:tcW w:w="4661" w:type="dxa"/>
            <w:noWrap/>
            <w:vAlign w:val="center"/>
          </w:tcPr>
          <w:p w14:paraId="150CDA57" w14:textId="77777777" w:rsidR="005438A3" w:rsidRPr="00735561" w:rsidRDefault="005438A3" w:rsidP="005438A3">
            <w:pPr>
              <w:spacing w:after="0" w:line="240" w:lineRule="auto"/>
              <w:ind w:left="259"/>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Cs/>
                <w:i/>
                <w:iCs/>
                <w:sz w:val="24"/>
                <w:szCs w:val="24"/>
                <w:lang w:eastAsia="sk-SK"/>
              </w:rPr>
              <w:t xml:space="preserve">Rozpočtové prostriedky </w:t>
            </w:r>
          </w:p>
        </w:tc>
        <w:tc>
          <w:tcPr>
            <w:tcW w:w="1267" w:type="dxa"/>
            <w:noWrap/>
            <w:vAlign w:val="center"/>
          </w:tcPr>
          <w:p w14:paraId="2920FF31"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71EACE7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800B3D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E00AA9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61AE09C5" w14:textId="77777777" w:rsidTr="002703BE">
        <w:trPr>
          <w:trHeight w:val="125"/>
          <w:jc w:val="center"/>
        </w:trPr>
        <w:tc>
          <w:tcPr>
            <w:tcW w:w="4661" w:type="dxa"/>
            <w:noWrap/>
            <w:vAlign w:val="center"/>
          </w:tcPr>
          <w:p w14:paraId="4394E855" w14:textId="77777777" w:rsidR="005438A3" w:rsidRPr="00735561" w:rsidRDefault="005438A3" w:rsidP="005438A3">
            <w:pPr>
              <w:spacing w:after="0" w:line="240" w:lineRule="auto"/>
              <w:ind w:left="259"/>
              <w:rPr>
                <w:rFonts w:ascii="Times New Roman" w:eastAsia="Times New Roman" w:hAnsi="Times New Roman" w:cs="Times New Roman"/>
                <w:bCs/>
                <w:i/>
                <w:iCs/>
                <w:sz w:val="24"/>
                <w:szCs w:val="24"/>
                <w:lang w:eastAsia="sk-SK"/>
              </w:rPr>
            </w:pPr>
            <w:r w:rsidRPr="00735561">
              <w:rPr>
                <w:rFonts w:ascii="Times New Roman" w:eastAsia="Times New Roman" w:hAnsi="Times New Roman" w:cs="Times New Roman"/>
                <w:bCs/>
                <w:i/>
                <w:iCs/>
                <w:sz w:val="24"/>
                <w:szCs w:val="24"/>
                <w:lang w:eastAsia="sk-SK"/>
              </w:rPr>
              <w:t>EÚ zdroje</w:t>
            </w:r>
          </w:p>
        </w:tc>
        <w:tc>
          <w:tcPr>
            <w:tcW w:w="1267" w:type="dxa"/>
            <w:noWrap/>
            <w:vAlign w:val="center"/>
          </w:tcPr>
          <w:p w14:paraId="42A1D281"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55157F98"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34CCD72A"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31674425"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r>
      <w:tr w:rsidR="005438A3" w:rsidRPr="00735561" w14:paraId="2D9740B6" w14:textId="77777777" w:rsidTr="002703BE">
        <w:trPr>
          <w:trHeight w:val="125"/>
          <w:jc w:val="center"/>
        </w:trPr>
        <w:tc>
          <w:tcPr>
            <w:tcW w:w="4661" w:type="dxa"/>
            <w:noWrap/>
            <w:vAlign w:val="center"/>
          </w:tcPr>
          <w:p w14:paraId="6CB9AB99"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obce</w:t>
            </w:r>
          </w:p>
        </w:tc>
        <w:tc>
          <w:tcPr>
            <w:tcW w:w="1267" w:type="dxa"/>
            <w:noWrap/>
            <w:vAlign w:val="center"/>
          </w:tcPr>
          <w:p w14:paraId="29F8EF0A"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DF7202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1C9A84D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6EE6F6C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E5AE5CA" w14:textId="77777777" w:rsidTr="002703BE">
        <w:trPr>
          <w:trHeight w:val="125"/>
          <w:jc w:val="center"/>
        </w:trPr>
        <w:tc>
          <w:tcPr>
            <w:tcW w:w="4661" w:type="dxa"/>
            <w:noWrap/>
            <w:vAlign w:val="center"/>
          </w:tcPr>
          <w:p w14:paraId="1E9A53F8"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194205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AAA96B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D6562F2"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5919DA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06C9BE00" w14:textId="77777777" w:rsidTr="002703BE">
        <w:trPr>
          <w:trHeight w:val="125"/>
          <w:jc w:val="center"/>
        </w:trPr>
        <w:tc>
          <w:tcPr>
            <w:tcW w:w="4661" w:type="dxa"/>
            <w:noWrap/>
            <w:vAlign w:val="center"/>
          </w:tcPr>
          <w:p w14:paraId="402E5E75"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DEA93C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B3535D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35FDB3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F6A9458"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702420" w:rsidRPr="00735561" w14:paraId="3B30F0F2" w14:textId="77777777" w:rsidTr="0076489B">
        <w:trPr>
          <w:trHeight w:val="125"/>
          <w:jc w:val="center"/>
        </w:trPr>
        <w:tc>
          <w:tcPr>
            <w:tcW w:w="4661" w:type="dxa"/>
            <w:shd w:val="clear" w:color="auto" w:fill="C0C0C0"/>
            <w:noWrap/>
            <w:vAlign w:val="center"/>
          </w:tcPr>
          <w:p w14:paraId="048ACB2A" w14:textId="77777777" w:rsidR="00702420" w:rsidRPr="00735561" w:rsidRDefault="00702420" w:rsidP="00702420">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tcPr>
          <w:p w14:paraId="5BA0B078" w14:textId="3216CD61" w:rsidR="00702420" w:rsidRPr="00735561" w:rsidRDefault="00775DEE" w:rsidP="00711DAD">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267" w:type="dxa"/>
            <w:shd w:val="clear" w:color="auto" w:fill="C0C0C0"/>
            <w:noWrap/>
          </w:tcPr>
          <w:p w14:paraId="3E9EDDDC" w14:textId="667B4F7F" w:rsidR="00702420" w:rsidRPr="0061270F" w:rsidRDefault="00775DEE" w:rsidP="00702420">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C0C0C0"/>
            <w:noWrap/>
          </w:tcPr>
          <w:p w14:paraId="6FB21AD5" w14:textId="1D999564" w:rsidR="00702420" w:rsidRPr="0061270F" w:rsidRDefault="00775DEE" w:rsidP="00702420">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C0C0C0"/>
            <w:noWrap/>
          </w:tcPr>
          <w:p w14:paraId="1EBC5C62" w14:textId="68BD7D83" w:rsidR="00702420" w:rsidRPr="0061270F" w:rsidRDefault="00775DEE" w:rsidP="0061270F">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r>
      <w:tr w:rsidR="005438A3" w:rsidRPr="00735561" w14:paraId="71DEC703" w14:textId="77777777" w:rsidTr="002703BE">
        <w:trPr>
          <w:trHeight w:val="70"/>
          <w:jc w:val="center"/>
        </w:trPr>
        <w:tc>
          <w:tcPr>
            <w:tcW w:w="4661" w:type="dxa"/>
            <w:noWrap/>
            <w:vAlign w:val="center"/>
          </w:tcPr>
          <w:p w14:paraId="5F98497B" w14:textId="77777777" w:rsidR="005438A3" w:rsidRPr="00735561" w:rsidRDefault="005438A3" w:rsidP="005438A3">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7047DE27"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02282A5"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6FAACD1"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29C47C3C"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r>
      <w:tr w:rsidR="005438A3" w:rsidRPr="00735561" w14:paraId="6243F829" w14:textId="77777777" w:rsidTr="002703BE">
        <w:trPr>
          <w:trHeight w:val="70"/>
          <w:jc w:val="center"/>
        </w:trPr>
        <w:tc>
          <w:tcPr>
            <w:tcW w:w="4661" w:type="dxa"/>
            <w:noWrap/>
            <w:vAlign w:val="center"/>
          </w:tcPr>
          <w:p w14:paraId="0A85A74B"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446F9C9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8D85855"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EC15CD0"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B1290A6"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p>
        </w:tc>
      </w:tr>
      <w:tr w:rsidR="005438A3" w:rsidRPr="00735561" w14:paraId="6A7AF0C9" w14:textId="77777777" w:rsidTr="002703BE">
        <w:trPr>
          <w:trHeight w:val="70"/>
          <w:jc w:val="center"/>
        </w:trPr>
        <w:tc>
          <w:tcPr>
            <w:tcW w:w="4661" w:type="dxa"/>
            <w:noWrap/>
            <w:vAlign w:val="center"/>
          </w:tcPr>
          <w:p w14:paraId="64941E26"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ŠR</w:t>
            </w:r>
          </w:p>
        </w:tc>
        <w:tc>
          <w:tcPr>
            <w:tcW w:w="1267" w:type="dxa"/>
            <w:noWrap/>
            <w:vAlign w:val="center"/>
          </w:tcPr>
          <w:p w14:paraId="21558F2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6A6225A8"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24B9158"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813CBB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658D82EE" w14:textId="77777777" w:rsidTr="002703BE">
        <w:trPr>
          <w:trHeight w:val="70"/>
          <w:jc w:val="center"/>
        </w:trPr>
        <w:tc>
          <w:tcPr>
            <w:tcW w:w="4661" w:type="dxa"/>
            <w:noWrap/>
            <w:vAlign w:val="center"/>
          </w:tcPr>
          <w:p w14:paraId="09744FE6" w14:textId="77777777" w:rsidR="005438A3" w:rsidRPr="00735561" w:rsidRDefault="005438A3" w:rsidP="005438A3">
            <w:pPr>
              <w:spacing w:after="0" w:line="240" w:lineRule="auto"/>
              <w:ind w:left="259"/>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E29EE3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9A48EA5"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79012189"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B707D8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1B956B8" w14:textId="77777777" w:rsidTr="002703BE">
        <w:trPr>
          <w:trHeight w:val="70"/>
          <w:jc w:val="center"/>
        </w:trPr>
        <w:tc>
          <w:tcPr>
            <w:tcW w:w="4661" w:type="dxa"/>
            <w:noWrap/>
            <w:vAlign w:val="center"/>
          </w:tcPr>
          <w:p w14:paraId="00E4D635" w14:textId="77777777" w:rsidR="005438A3" w:rsidRPr="00735561" w:rsidRDefault="005438A3" w:rsidP="005438A3">
            <w:pPr>
              <w:spacing w:after="0" w:line="240" w:lineRule="auto"/>
              <w:rPr>
                <w:rFonts w:ascii="Times New Roman" w:eastAsia="Times New Roman" w:hAnsi="Times New Roman" w:cs="Times New Roman"/>
                <w:bCs/>
                <w:i/>
                <w:iCs/>
                <w:sz w:val="24"/>
                <w:szCs w:val="24"/>
                <w:lang w:eastAsia="sk-SK"/>
              </w:rPr>
            </w:pPr>
            <w:r w:rsidRPr="00735561">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65FA5863"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501DC374"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20E01741"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4FE8D17C"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r>
      <w:tr w:rsidR="005438A3" w:rsidRPr="00735561" w14:paraId="043310A7" w14:textId="77777777" w:rsidTr="002703BE">
        <w:trPr>
          <w:trHeight w:val="70"/>
          <w:jc w:val="center"/>
        </w:trPr>
        <w:tc>
          <w:tcPr>
            <w:tcW w:w="4661" w:type="dxa"/>
            <w:noWrap/>
            <w:vAlign w:val="center"/>
          </w:tcPr>
          <w:p w14:paraId="2E408E10" w14:textId="77777777" w:rsidR="005438A3" w:rsidRPr="00735561" w:rsidRDefault="005438A3" w:rsidP="005438A3">
            <w:pPr>
              <w:spacing w:after="0" w:line="240" w:lineRule="auto"/>
              <w:rPr>
                <w:rFonts w:ascii="Times New Roman" w:eastAsia="Times New Roman" w:hAnsi="Times New Roman" w:cs="Times New Roman"/>
                <w:bCs/>
                <w:i/>
                <w:iCs/>
                <w:sz w:val="24"/>
                <w:szCs w:val="24"/>
                <w:lang w:eastAsia="sk-SK"/>
              </w:rPr>
            </w:pPr>
            <w:r w:rsidRPr="00735561">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7D96BEA5"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B1CC10C"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39269BA3"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c>
          <w:tcPr>
            <w:tcW w:w="1267" w:type="dxa"/>
            <w:noWrap/>
            <w:vAlign w:val="center"/>
          </w:tcPr>
          <w:p w14:paraId="192D917C" w14:textId="77777777" w:rsidR="005438A3" w:rsidRPr="00735561" w:rsidRDefault="005438A3" w:rsidP="005438A3">
            <w:pPr>
              <w:spacing w:after="0" w:line="240" w:lineRule="auto"/>
              <w:jc w:val="right"/>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0</w:t>
            </w:r>
          </w:p>
        </w:tc>
      </w:tr>
      <w:tr w:rsidR="00FE4447" w:rsidRPr="00735561" w14:paraId="3ACC6E2D" w14:textId="77777777" w:rsidTr="0076489B">
        <w:trPr>
          <w:trHeight w:val="125"/>
          <w:jc w:val="center"/>
        </w:trPr>
        <w:tc>
          <w:tcPr>
            <w:tcW w:w="4661" w:type="dxa"/>
            <w:noWrap/>
            <w:vAlign w:val="center"/>
          </w:tcPr>
          <w:p w14:paraId="36127889" w14:textId="77777777" w:rsidR="00FE4447" w:rsidRPr="00735561" w:rsidRDefault="00FE4447" w:rsidP="00FE4447">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Environmentálny fond</w:t>
            </w:r>
          </w:p>
        </w:tc>
        <w:tc>
          <w:tcPr>
            <w:tcW w:w="1267" w:type="dxa"/>
            <w:noWrap/>
          </w:tcPr>
          <w:p w14:paraId="7DA6FD80" w14:textId="678CC3B3" w:rsidR="00FE4447" w:rsidRPr="0061270F" w:rsidRDefault="00775DEE" w:rsidP="00FE4447">
            <w:pPr>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0"/>
                <w:szCs w:val="20"/>
                <w:lang w:eastAsia="sk-SK"/>
              </w:rPr>
              <w:t>0</w:t>
            </w:r>
          </w:p>
        </w:tc>
        <w:tc>
          <w:tcPr>
            <w:tcW w:w="1267" w:type="dxa"/>
            <w:noWrap/>
          </w:tcPr>
          <w:p w14:paraId="0A58209F" w14:textId="2D53549D" w:rsidR="00FE4447" w:rsidRPr="00FE4447" w:rsidRDefault="00775DEE" w:rsidP="00FE4447">
            <w:pPr>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0</w:t>
            </w:r>
          </w:p>
        </w:tc>
        <w:tc>
          <w:tcPr>
            <w:tcW w:w="1267" w:type="dxa"/>
            <w:noWrap/>
          </w:tcPr>
          <w:p w14:paraId="71E836D2" w14:textId="0D9B79EF" w:rsidR="00FE4447" w:rsidRPr="00FE4447" w:rsidRDefault="00775DEE" w:rsidP="00FE4447">
            <w:pPr>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0</w:t>
            </w:r>
          </w:p>
        </w:tc>
        <w:tc>
          <w:tcPr>
            <w:tcW w:w="1267" w:type="dxa"/>
            <w:noWrap/>
          </w:tcPr>
          <w:p w14:paraId="748C05EE" w14:textId="1E085A86" w:rsidR="00FE4447" w:rsidRPr="00FE4447" w:rsidRDefault="00775DEE" w:rsidP="00FE4447">
            <w:pPr>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0</w:t>
            </w:r>
          </w:p>
        </w:tc>
      </w:tr>
      <w:tr w:rsidR="005438A3" w:rsidRPr="00735561" w14:paraId="03666308" w14:textId="77777777" w:rsidTr="002703BE">
        <w:trPr>
          <w:trHeight w:val="125"/>
          <w:jc w:val="center"/>
        </w:trPr>
        <w:tc>
          <w:tcPr>
            <w:tcW w:w="4661" w:type="dxa"/>
            <w:noWrap/>
            <w:vAlign w:val="center"/>
          </w:tcPr>
          <w:p w14:paraId="4FAB91C8"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obce</w:t>
            </w:r>
          </w:p>
        </w:tc>
        <w:tc>
          <w:tcPr>
            <w:tcW w:w="1267" w:type="dxa"/>
            <w:noWrap/>
            <w:vAlign w:val="center"/>
          </w:tcPr>
          <w:p w14:paraId="040492E8"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E847B50"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7B7B8C4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DC11599" w14:textId="77777777" w:rsidR="005438A3" w:rsidRPr="00735561" w:rsidRDefault="005438A3" w:rsidP="005438A3">
            <w:pPr>
              <w:spacing w:after="0" w:line="240" w:lineRule="auto"/>
              <w:jc w:val="right"/>
              <w:rPr>
                <w:rFonts w:ascii="Times New Roman" w:eastAsia="Times New Roman" w:hAnsi="Times New Roman" w:cs="Times New Roman"/>
                <w:lang w:eastAsia="sk-SK"/>
              </w:rPr>
            </w:pPr>
            <w:r w:rsidRPr="00735561">
              <w:rPr>
                <w:rFonts w:ascii="Times New Roman" w:eastAsia="Times New Roman" w:hAnsi="Times New Roman" w:cs="Times New Roman"/>
                <w:b/>
                <w:bCs/>
                <w:iCs/>
                <w:sz w:val="24"/>
                <w:szCs w:val="24"/>
                <w:lang w:eastAsia="sk-SK"/>
              </w:rPr>
              <w:t>0</w:t>
            </w:r>
          </w:p>
        </w:tc>
      </w:tr>
      <w:tr w:rsidR="005438A3" w:rsidRPr="00735561" w14:paraId="67F0EFAB" w14:textId="77777777" w:rsidTr="002703BE">
        <w:trPr>
          <w:trHeight w:val="125"/>
          <w:jc w:val="center"/>
        </w:trPr>
        <w:tc>
          <w:tcPr>
            <w:tcW w:w="4661" w:type="dxa"/>
            <w:noWrap/>
            <w:vAlign w:val="center"/>
          </w:tcPr>
          <w:p w14:paraId="09F1D239"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D1A7D8C"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1C4F171D"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136704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07F1FBA"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3EE3075" w14:textId="77777777" w:rsidTr="002703BE">
        <w:trPr>
          <w:trHeight w:val="70"/>
          <w:jc w:val="center"/>
        </w:trPr>
        <w:tc>
          <w:tcPr>
            <w:tcW w:w="4661" w:type="dxa"/>
            <w:noWrap/>
            <w:vAlign w:val="center"/>
          </w:tcPr>
          <w:p w14:paraId="21276FCE" w14:textId="77777777" w:rsidR="005438A3" w:rsidRPr="00735561" w:rsidRDefault="005438A3" w:rsidP="005438A3">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0F8EEE8"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68F1EF2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4719AB2"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5485B95"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51EF22AB" w14:textId="77777777" w:rsidTr="00735561">
        <w:trPr>
          <w:trHeight w:val="70"/>
          <w:jc w:val="center"/>
        </w:trPr>
        <w:tc>
          <w:tcPr>
            <w:tcW w:w="4661" w:type="dxa"/>
            <w:shd w:val="clear" w:color="auto" w:fill="BFBFBF"/>
            <w:noWrap/>
            <w:vAlign w:val="center"/>
          </w:tcPr>
          <w:p w14:paraId="53C5BD5D" w14:textId="77777777" w:rsidR="005438A3" w:rsidRPr="00735561" w:rsidRDefault="005438A3" w:rsidP="005438A3">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noWrap/>
            <w:vAlign w:val="center"/>
          </w:tcPr>
          <w:p w14:paraId="63FE6FDA"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3315DA95"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686F5E8B"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138AE13A"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r>
      <w:tr w:rsidR="005438A3" w:rsidRPr="00735561" w14:paraId="19A8BB21" w14:textId="77777777" w:rsidTr="002703BE">
        <w:trPr>
          <w:trHeight w:val="70"/>
          <w:jc w:val="center"/>
        </w:trPr>
        <w:tc>
          <w:tcPr>
            <w:tcW w:w="4661" w:type="dxa"/>
            <w:noWrap/>
            <w:vAlign w:val="center"/>
          </w:tcPr>
          <w:p w14:paraId="5E11E797"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ŠR</w:t>
            </w:r>
          </w:p>
        </w:tc>
        <w:tc>
          <w:tcPr>
            <w:tcW w:w="1267" w:type="dxa"/>
            <w:noWrap/>
            <w:vAlign w:val="center"/>
          </w:tcPr>
          <w:p w14:paraId="6FEE742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9EAF661"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5FAA49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6B899F1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1E1C39BD" w14:textId="77777777" w:rsidTr="002703BE">
        <w:trPr>
          <w:trHeight w:val="70"/>
          <w:jc w:val="center"/>
        </w:trPr>
        <w:tc>
          <w:tcPr>
            <w:tcW w:w="4661" w:type="dxa"/>
            <w:noWrap/>
            <w:vAlign w:val="center"/>
          </w:tcPr>
          <w:p w14:paraId="791F9403"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obce</w:t>
            </w:r>
          </w:p>
        </w:tc>
        <w:tc>
          <w:tcPr>
            <w:tcW w:w="1267" w:type="dxa"/>
            <w:noWrap/>
            <w:vAlign w:val="center"/>
          </w:tcPr>
          <w:p w14:paraId="4B7E2BA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25E7DF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E1338B5"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27358A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4A378BED" w14:textId="77777777" w:rsidTr="002703BE">
        <w:trPr>
          <w:trHeight w:val="70"/>
          <w:jc w:val="center"/>
        </w:trPr>
        <w:tc>
          <w:tcPr>
            <w:tcW w:w="4661" w:type="dxa"/>
            <w:noWrap/>
            <w:vAlign w:val="center"/>
          </w:tcPr>
          <w:p w14:paraId="3BDFB6F1"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07A1DA3"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7CFA0C6"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357AC5D"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57C3CDC"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08743B88" w14:textId="77777777" w:rsidTr="002703BE">
        <w:trPr>
          <w:trHeight w:val="70"/>
          <w:jc w:val="center"/>
        </w:trPr>
        <w:tc>
          <w:tcPr>
            <w:tcW w:w="4661" w:type="dxa"/>
            <w:noWrap/>
            <w:vAlign w:val="center"/>
          </w:tcPr>
          <w:p w14:paraId="4FFFF24A"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8FEF001"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74A1826"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08D5613"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92C02CC"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3E3A9AA" w14:textId="77777777" w:rsidTr="00735561">
        <w:trPr>
          <w:trHeight w:val="70"/>
          <w:jc w:val="center"/>
        </w:trPr>
        <w:tc>
          <w:tcPr>
            <w:tcW w:w="4661" w:type="dxa"/>
            <w:shd w:val="clear" w:color="auto" w:fill="BFBFBF"/>
            <w:noWrap/>
            <w:vAlign w:val="center"/>
          </w:tcPr>
          <w:p w14:paraId="6E1C87B3" w14:textId="77777777" w:rsidR="005438A3" w:rsidRPr="00735561" w:rsidRDefault="005438A3" w:rsidP="005438A3">
            <w:pPr>
              <w:spacing w:after="0" w:line="240" w:lineRule="auto"/>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Vplyv na mzdové výdavky</w:t>
            </w:r>
          </w:p>
        </w:tc>
        <w:tc>
          <w:tcPr>
            <w:tcW w:w="1267" w:type="dxa"/>
            <w:shd w:val="clear" w:color="auto" w:fill="BFBFBF"/>
            <w:noWrap/>
            <w:vAlign w:val="center"/>
          </w:tcPr>
          <w:p w14:paraId="578EE02D" w14:textId="77777777" w:rsidR="005438A3" w:rsidRPr="00735561" w:rsidRDefault="005438A3" w:rsidP="005438A3">
            <w:pPr>
              <w:spacing w:after="0" w:line="240" w:lineRule="auto"/>
              <w:jc w:val="right"/>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1F3B0BD2" w14:textId="77777777" w:rsidR="005438A3" w:rsidRPr="00735561" w:rsidRDefault="005438A3" w:rsidP="005438A3">
            <w:pPr>
              <w:spacing w:after="0" w:line="240" w:lineRule="auto"/>
              <w:jc w:val="right"/>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3741393A" w14:textId="77777777" w:rsidR="005438A3" w:rsidRPr="00735561" w:rsidRDefault="005438A3" w:rsidP="005438A3">
            <w:pPr>
              <w:spacing w:after="0" w:line="240" w:lineRule="auto"/>
              <w:jc w:val="right"/>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5C3D39EA" w14:textId="77777777" w:rsidR="005438A3" w:rsidRPr="00735561" w:rsidRDefault="005438A3" w:rsidP="005438A3">
            <w:pPr>
              <w:spacing w:after="0" w:line="240" w:lineRule="auto"/>
              <w:jc w:val="right"/>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0</w:t>
            </w:r>
          </w:p>
        </w:tc>
      </w:tr>
      <w:tr w:rsidR="005438A3" w:rsidRPr="00735561" w14:paraId="224948AC" w14:textId="77777777" w:rsidTr="002703BE">
        <w:trPr>
          <w:trHeight w:val="70"/>
          <w:jc w:val="center"/>
        </w:trPr>
        <w:tc>
          <w:tcPr>
            <w:tcW w:w="4661" w:type="dxa"/>
            <w:noWrap/>
            <w:vAlign w:val="center"/>
          </w:tcPr>
          <w:p w14:paraId="3FF0A890"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ŠR</w:t>
            </w:r>
          </w:p>
        </w:tc>
        <w:tc>
          <w:tcPr>
            <w:tcW w:w="1267" w:type="dxa"/>
            <w:noWrap/>
            <w:vAlign w:val="center"/>
          </w:tcPr>
          <w:p w14:paraId="0E7F72EF"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A68ED6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6685333"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B4C89A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378DCDE" w14:textId="77777777" w:rsidTr="002703BE">
        <w:trPr>
          <w:trHeight w:val="70"/>
          <w:jc w:val="center"/>
        </w:trPr>
        <w:tc>
          <w:tcPr>
            <w:tcW w:w="4661" w:type="dxa"/>
            <w:noWrap/>
            <w:vAlign w:val="center"/>
          </w:tcPr>
          <w:p w14:paraId="7075BE21"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obce</w:t>
            </w:r>
          </w:p>
        </w:tc>
        <w:tc>
          <w:tcPr>
            <w:tcW w:w="1267" w:type="dxa"/>
            <w:noWrap/>
            <w:vAlign w:val="center"/>
          </w:tcPr>
          <w:p w14:paraId="700BFB69"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16B8DC10"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CDF2176"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271388EE"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07EF0BF3" w14:textId="77777777" w:rsidTr="002703BE">
        <w:trPr>
          <w:trHeight w:val="70"/>
          <w:jc w:val="center"/>
        </w:trPr>
        <w:tc>
          <w:tcPr>
            <w:tcW w:w="4661" w:type="dxa"/>
            <w:noWrap/>
            <w:vAlign w:val="center"/>
          </w:tcPr>
          <w:p w14:paraId="3EBDF249" w14:textId="77777777" w:rsidR="005438A3" w:rsidRPr="00735561" w:rsidRDefault="005438A3" w:rsidP="005438A3">
            <w:pPr>
              <w:spacing w:after="0" w:line="240" w:lineRule="auto"/>
              <w:rPr>
                <w:rFonts w:ascii="Times New Roman" w:eastAsia="Times New Roman" w:hAnsi="Times New Roman" w:cs="Times New Roman"/>
                <w:b/>
                <w:bCs/>
                <w:i/>
                <w:iCs/>
                <w:sz w:val="24"/>
                <w:szCs w:val="24"/>
                <w:lang w:eastAsia="sk-SK"/>
              </w:rPr>
            </w:pPr>
            <w:r w:rsidRPr="00735561">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804B8DB"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834775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5FD2E68C"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38E36D90"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5438A3" w:rsidRPr="00735561" w14:paraId="3BB9C525" w14:textId="77777777" w:rsidTr="002703BE">
        <w:trPr>
          <w:trHeight w:val="70"/>
          <w:jc w:val="center"/>
        </w:trPr>
        <w:tc>
          <w:tcPr>
            <w:tcW w:w="4661" w:type="dxa"/>
            <w:noWrap/>
            <w:vAlign w:val="center"/>
          </w:tcPr>
          <w:p w14:paraId="78AA2C8F" w14:textId="77777777" w:rsidR="005438A3" w:rsidRPr="00735561" w:rsidRDefault="005438A3" w:rsidP="005438A3">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37C6E80"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47A7E46A"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EF28E07"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c>
          <w:tcPr>
            <w:tcW w:w="1267" w:type="dxa"/>
            <w:noWrap/>
            <w:vAlign w:val="center"/>
          </w:tcPr>
          <w:p w14:paraId="0A3F5C04" w14:textId="77777777" w:rsidR="005438A3" w:rsidRPr="00735561" w:rsidRDefault="005438A3" w:rsidP="005438A3">
            <w:pPr>
              <w:spacing w:after="0" w:line="240" w:lineRule="auto"/>
              <w:jc w:val="right"/>
              <w:rPr>
                <w:rFonts w:ascii="Times New Roman" w:eastAsia="Times New Roman" w:hAnsi="Times New Roman" w:cs="Times New Roman"/>
                <w:b/>
                <w:bCs/>
                <w:iCs/>
                <w:sz w:val="24"/>
                <w:szCs w:val="24"/>
                <w:lang w:eastAsia="sk-SK"/>
              </w:rPr>
            </w:pPr>
            <w:r w:rsidRPr="00735561">
              <w:rPr>
                <w:rFonts w:ascii="Times New Roman" w:eastAsia="Times New Roman" w:hAnsi="Times New Roman" w:cs="Times New Roman"/>
                <w:b/>
                <w:bCs/>
                <w:iCs/>
                <w:sz w:val="24"/>
                <w:szCs w:val="24"/>
                <w:lang w:eastAsia="sk-SK"/>
              </w:rPr>
              <w:t>0</w:t>
            </w:r>
          </w:p>
        </w:tc>
      </w:tr>
      <w:tr w:rsidR="00FE4447" w:rsidRPr="00735561" w14:paraId="0113D0AB" w14:textId="77777777" w:rsidTr="0076489B">
        <w:trPr>
          <w:trHeight w:val="70"/>
          <w:jc w:val="center"/>
        </w:trPr>
        <w:tc>
          <w:tcPr>
            <w:tcW w:w="4661" w:type="dxa"/>
            <w:shd w:val="clear" w:color="auto" w:fill="C0C0C0"/>
            <w:noWrap/>
            <w:vAlign w:val="center"/>
          </w:tcPr>
          <w:p w14:paraId="60CCDF0D" w14:textId="77777777" w:rsidR="00FE4447" w:rsidRPr="00735561" w:rsidRDefault="00FE4447" w:rsidP="00FE4447">
            <w:pPr>
              <w:spacing w:after="0" w:line="240" w:lineRule="auto"/>
              <w:rPr>
                <w:rFonts w:ascii="Times New Roman" w:eastAsia="Times New Roman" w:hAnsi="Times New Roman" w:cs="Times New Roman"/>
                <w:b/>
                <w:bCs/>
                <w:sz w:val="24"/>
                <w:szCs w:val="24"/>
                <w:lang w:eastAsia="sk-SK"/>
              </w:rPr>
            </w:pPr>
            <w:r w:rsidRPr="00FE4447">
              <w:rPr>
                <w:rFonts w:ascii="Times New Roman" w:eastAsia="Times New Roman" w:hAnsi="Times New Roman" w:cs="Times New Roman"/>
                <w:b/>
                <w:sz w:val="24"/>
                <w:szCs w:val="24"/>
                <w:lang w:eastAsia="sk-SK"/>
              </w:rPr>
              <w:t>Financovanie zabezpečené v rozpočte</w:t>
            </w:r>
          </w:p>
        </w:tc>
        <w:tc>
          <w:tcPr>
            <w:tcW w:w="1267" w:type="dxa"/>
            <w:shd w:val="clear" w:color="auto" w:fill="C0C0C0"/>
            <w:noWrap/>
          </w:tcPr>
          <w:p w14:paraId="2E95E1EC" w14:textId="4C5B0E55" w:rsidR="00FE4447" w:rsidRPr="00110CF4" w:rsidRDefault="00110CF4" w:rsidP="00110CF4">
            <w:pPr>
              <w:spacing w:after="0" w:line="240" w:lineRule="auto"/>
              <w:jc w:val="right"/>
              <w:rPr>
                <w:rFonts w:ascii="Times New Roman" w:eastAsia="Times New Roman" w:hAnsi="Times New Roman" w:cs="Times New Roman"/>
                <w:b/>
                <w:bCs/>
                <w:sz w:val="24"/>
                <w:szCs w:val="24"/>
                <w:lang w:eastAsia="sk-SK"/>
              </w:rPr>
            </w:pPr>
            <w:r w:rsidRPr="00110CF4">
              <w:rPr>
                <w:rFonts w:ascii="Times New Roman" w:eastAsia="Times New Roman" w:hAnsi="Times New Roman" w:cs="Times New Roman"/>
                <w:b/>
                <w:bCs/>
                <w:sz w:val="24"/>
                <w:szCs w:val="24"/>
                <w:lang w:eastAsia="sk-SK"/>
              </w:rPr>
              <w:t>0</w:t>
            </w:r>
          </w:p>
        </w:tc>
        <w:tc>
          <w:tcPr>
            <w:tcW w:w="1267" w:type="dxa"/>
            <w:shd w:val="clear" w:color="auto" w:fill="C0C0C0"/>
            <w:noWrap/>
          </w:tcPr>
          <w:p w14:paraId="4708D94D" w14:textId="43EFC9F1" w:rsidR="00FE4447" w:rsidRPr="00110CF4" w:rsidRDefault="00110CF4" w:rsidP="00110CF4">
            <w:pPr>
              <w:spacing w:after="0" w:line="240" w:lineRule="auto"/>
              <w:jc w:val="right"/>
              <w:rPr>
                <w:rFonts w:ascii="Times New Roman" w:eastAsia="Times New Roman" w:hAnsi="Times New Roman" w:cs="Times New Roman"/>
                <w:b/>
                <w:bCs/>
                <w:sz w:val="24"/>
                <w:szCs w:val="24"/>
                <w:lang w:eastAsia="sk-SK"/>
              </w:rPr>
            </w:pPr>
            <w:r w:rsidRPr="00110CF4">
              <w:rPr>
                <w:rFonts w:ascii="Times New Roman" w:eastAsia="Times New Roman" w:hAnsi="Times New Roman" w:cs="Times New Roman"/>
                <w:b/>
                <w:bCs/>
                <w:sz w:val="24"/>
                <w:szCs w:val="24"/>
                <w:lang w:eastAsia="sk-SK"/>
              </w:rPr>
              <w:t>0</w:t>
            </w:r>
          </w:p>
        </w:tc>
        <w:tc>
          <w:tcPr>
            <w:tcW w:w="1267" w:type="dxa"/>
            <w:shd w:val="clear" w:color="auto" w:fill="C0C0C0"/>
            <w:noWrap/>
          </w:tcPr>
          <w:p w14:paraId="39852C26" w14:textId="77C0F958" w:rsidR="00FE4447" w:rsidRPr="00110CF4" w:rsidRDefault="00110CF4" w:rsidP="00110CF4">
            <w:pPr>
              <w:spacing w:after="0" w:line="240" w:lineRule="auto"/>
              <w:jc w:val="right"/>
              <w:rPr>
                <w:rFonts w:ascii="Times New Roman" w:eastAsia="Times New Roman" w:hAnsi="Times New Roman" w:cs="Times New Roman"/>
                <w:b/>
                <w:bCs/>
                <w:sz w:val="24"/>
                <w:szCs w:val="24"/>
                <w:lang w:eastAsia="sk-SK"/>
              </w:rPr>
            </w:pPr>
            <w:r w:rsidRPr="00110CF4">
              <w:rPr>
                <w:rFonts w:ascii="Times New Roman" w:eastAsia="Times New Roman" w:hAnsi="Times New Roman" w:cs="Times New Roman"/>
                <w:b/>
                <w:bCs/>
                <w:sz w:val="24"/>
                <w:szCs w:val="24"/>
                <w:lang w:eastAsia="sk-SK"/>
              </w:rPr>
              <w:t>0</w:t>
            </w:r>
          </w:p>
        </w:tc>
        <w:tc>
          <w:tcPr>
            <w:tcW w:w="1267" w:type="dxa"/>
            <w:shd w:val="clear" w:color="auto" w:fill="C0C0C0"/>
            <w:noWrap/>
          </w:tcPr>
          <w:p w14:paraId="44FB8B17" w14:textId="6074B6C0" w:rsidR="00FE4447" w:rsidRPr="00110CF4" w:rsidRDefault="00110CF4" w:rsidP="00110CF4">
            <w:pPr>
              <w:spacing w:after="0" w:line="240" w:lineRule="auto"/>
              <w:jc w:val="right"/>
              <w:rPr>
                <w:rFonts w:ascii="Times New Roman" w:eastAsia="Times New Roman" w:hAnsi="Times New Roman" w:cs="Times New Roman"/>
                <w:b/>
                <w:bCs/>
                <w:sz w:val="24"/>
                <w:szCs w:val="24"/>
                <w:lang w:eastAsia="sk-SK"/>
              </w:rPr>
            </w:pPr>
            <w:r w:rsidRPr="00110CF4">
              <w:rPr>
                <w:rFonts w:ascii="Times New Roman" w:eastAsia="Times New Roman" w:hAnsi="Times New Roman" w:cs="Times New Roman"/>
                <w:b/>
                <w:bCs/>
                <w:sz w:val="24"/>
                <w:szCs w:val="24"/>
                <w:lang w:eastAsia="sk-SK"/>
              </w:rPr>
              <w:t>0</w:t>
            </w:r>
          </w:p>
        </w:tc>
      </w:tr>
      <w:tr w:rsidR="00FE4447" w:rsidRPr="00735561" w14:paraId="59A78AA1" w14:textId="77777777" w:rsidTr="0076489B">
        <w:trPr>
          <w:trHeight w:val="70"/>
          <w:jc w:val="center"/>
        </w:trPr>
        <w:tc>
          <w:tcPr>
            <w:tcW w:w="4661" w:type="dxa"/>
            <w:noWrap/>
            <w:vAlign w:val="center"/>
          </w:tcPr>
          <w:p w14:paraId="7038E564" w14:textId="52281F40" w:rsidR="00FE4447" w:rsidRPr="00735561" w:rsidRDefault="00110CF4" w:rsidP="00FE4447">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tom:</w:t>
            </w:r>
          </w:p>
        </w:tc>
        <w:tc>
          <w:tcPr>
            <w:tcW w:w="1267" w:type="dxa"/>
            <w:noWrap/>
          </w:tcPr>
          <w:p w14:paraId="51C53327" w14:textId="6CF8E768" w:rsidR="00FE4447" w:rsidRPr="0061270F" w:rsidRDefault="00FE4447" w:rsidP="00711DAD">
            <w:pPr>
              <w:jc w:val="right"/>
              <w:rPr>
                <w:rFonts w:ascii="Times New Roman" w:eastAsia="Times New Roman" w:hAnsi="Times New Roman" w:cs="Times New Roman"/>
                <w:bCs/>
                <w:sz w:val="24"/>
                <w:szCs w:val="24"/>
                <w:lang w:eastAsia="sk-SK"/>
              </w:rPr>
            </w:pPr>
          </w:p>
        </w:tc>
        <w:tc>
          <w:tcPr>
            <w:tcW w:w="1267" w:type="dxa"/>
            <w:noWrap/>
          </w:tcPr>
          <w:p w14:paraId="15482DEC" w14:textId="2BB57FE9" w:rsidR="00FE4447" w:rsidRPr="00FE4447" w:rsidRDefault="00FE4447" w:rsidP="00FE4447">
            <w:pPr>
              <w:spacing w:after="0" w:line="240" w:lineRule="auto"/>
              <w:jc w:val="right"/>
              <w:rPr>
                <w:rFonts w:ascii="Times New Roman" w:eastAsia="Times New Roman" w:hAnsi="Times New Roman" w:cs="Times New Roman"/>
                <w:bCs/>
                <w:sz w:val="20"/>
                <w:szCs w:val="20"/>
                <w:lang w:eastAsia="sk-SK"/>
              </w:rPr>
            </w:pPr>
          </w:p>
        </w:tc>
        <w:tc>
          <w:tcPr>
            <w:tcW w:w="1267" w:type="dxa"/>
            <w:noWrap/>
          </w:tcPr>
          <w:p w14:paraId="0D16668B" w14:textId="2A481E0C" w:rsidR="00FE4447" w:rsidRPr="00FE4447" w:rsidRDefault="00FE4447" w:rsidP="00FE4447">
            <w:pPr>
              <w:spacing w:after="0" w:line="240" w:lineRule="auto"/>
              <w:jc w:val="right"/>
              <w:rPr>
                <w:rFonts w:ascii="Times New Roman" w:eastAsia="Times New Roman" w:hAnsi="Times New Roman" w:cs="Times New Roman"/>
                <w:bCs/>
                <w:sz w:val="20"/>
                <w:szCs w:val="20"/>
                <w:lang w:eastAsia="sk-SK"/>
              </w:rPr>
            </w:pPr>
          </w:p>
        </w:tc>
        <w:tc>
          <w:tcPr>
            <w:tcW w:w="1267" w:type="dxa"/>
            <w:noWrap/>
          </w:tcPr>
          <w:p w14:paraId="2F6891A1" w14:textId="512C4461" w:rsidR="00FE4447" w:rsidRPr="00FE4447" w:rsidRDefault="00FE4447" w:rsidP="00FE4447">
            <w:pPr>
              <w:spacing w:after="0" w:line="240" w:lineRule="auto"/>
              <w:jc w:val="right"/>
              <w:rPr>
                <w:rFonts w:ascii="Times New Roman" w:eastAsia="Times New Roman" w:hAnsi="Times New Roman" w:cs="Times New Roman"/>
                <w:bCs/>
                <w:sz w:val="20"/>
                <w:szCs w:val="20"/>
                <w:lang w:eastAsia="sk-SK"/>
              </w:rPr>
            </w:pPr>
          </w:p>
        </w:tc>
      </w:tr>
      <w:tr w:rsidR="005438A3" w:rsidRPr="00735561" w14:paraId="6179D060" w14:textId="77777777" w:rsidTr="00735561">
        <w:trPr>
          <w:trHeight w:val="70"/>
          <w:jc w:val="center"/>
        </w:trPr>
        <w:tc>
          <w:tcPr>
            <w:tcW w:w="4661" w:type="dxa"/>
            <w:shd w:val="clear" w:color="auto" w:fill="BFBFBF"/>
            <w:noWrap/>
            <w:vAlign w:val="center"/>
          </w:tcPr>
          <w:p w14:paraId="0B7E24B9" w14:textId="77777777" w:rsidR="005438A3" w:rsidRPr="00735561" w:rsidRDefault="005438A3" w:rsidP="005438A3">
            <w:pPr>
              <w:spacing w:after="0" w:line="240" w:lineRule="auto"/>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Iné ako rozpočtové zdroje</w:t>
            </w:r>
          </w:p>
        </w:tc>
        <w:tc>
          <w:tcPr>
            <w:tcW w:w="1267" w:type="dxa"/>
            <w:shd w:val="clear" w:color="auto" w:fill="BFBFBF"/>
            <w:noWrap/>
            <w:vAlign w:val="center"/>
          </w:tcPr>
          <w:p w14:paraId="015385B5"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7C3D2294"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50647FF3"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3A8D8025" w14:textId="77777777" w:rsidR="005438A3" w:rsidRPr="00735561" w:rsidRDefault="005438A3" w:rsidP="005438A3">
            <w:pPr>
              <w:spacing w:after="0" w:line="240" w:lineRule="auto"/>
              <w:jc w:val="right"/>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r>
      <w:tr w:rsidR="00110CF4" w:rsidRPr="00735561" w14:paraId="15CF8130" w14:textId="77777777" w:rsidTr="00BF4AE6">
        <w:trPr>
          <w:trHeight w:val="70"/>
          <w:jc w:val="center"/>
        </w:trPr>
        <w:tc>
          <w:tcPr>
            <w:tcW w:w="4661" w:type="dxa"/>
            <w:shd w:val="clear" w:color="auto" w:fill="A6A6A6"/>
            <w:noWrap/>
            <w:vAlign w:val="center"/>
          </w:tcPr>
          <w:p w14:paraId="193BD0EA" w14:textId="77777777" w:rsidR="00110CF4" w:rsidRPr="00735561" w:rsidRDefault="00110CF4" w:rsidP="00110CF4">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Rozpočtovo nekrytý vplyv / úspora</w:t>
            </w:r>
          </w:p>
        </w:tc>
        <w:tc>
          <w:tcPr>
            <w:tcW w:w="1267" w:type="dxa"/>
            <w:shd w:val="clear" w:color="auto" w:fill="A6A6A6"/>
            <w:noWrap/>
          </w:tcPr>
          <w:p w14:paraId="26CA52E9" w14:textId="0013BA70" w:rsidR="00110CF4" w:rsidRPr="00735561" w:rsidRDefault="00775DEE" w:rsidP="00110CF4">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267" w:type="dxa"/>
            <w:shd w:val="clear" w:color="auto" w:fill="A6A6A6"/>
            <w:noWrap/>
          </w:tcPr>
          <w:p w14:paraId="3ADB8D6F" w14:textId="3DA5BE04" w:rsidR="00110CF4" w:rsidRPr="00735561" w:rsidRDefault="00775DEE" w:rsidP="00110CF4">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267" w:type="dxa"/>
            <w:shd w:val="clear" w:color="auto" w:fill="A6A6A6"/>
            <w:noWrap/>
          </w:tcPr>
          <w:p w14:paraId="13CDBE88" w14:textId="1E201B32" w:rsidR="00110CF4" w:rsidRPr="00735561" w:rsidRDefault="00775DEE" w:rsidP="00110CF4">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267" w:type="dxa"/>
            <w:shd w:val="clear" w:color="auto" w:fill="A6A6A6"/>
            <w:noWrap/>
          </w:tcPr>
          <w:p w14:paraId="57132DC3" w14:textId="13AE8B57" w:rsidR="00110CF4" w:rsidRPr="00735561" w:rsidRDefault="00775DEE" w:rsidP="00110CF4">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r>
      <w:bookmarkEnd w:id="0"/>
    </w:tbl>
    <w:p w14:paraId="549BBEC4"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p>
    <w:p w14:paraId="75F2451C" w14:textId="77777777" w:rsidR="00735561" w:rsidRPr="00735561" w:rsidRDefault="00735561" w:rsidP="00735561">
      <w:pPr>
        <w:spacing w:after="200" w:line="276"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br w:type="page"/>
      </w:r>
    </w:p>
    <w:p w14:paraId="6A523031" w14:textId="77777777" w:rsidR="00735561" w:rsidRPr="00735561" w:rsidRDefault="00735561" w:rsidP="00735561">
      <w:pPr>
        <w:spacing w:after="0" w:line="240" w:lineRule="auto"/>
        <w:jc w:val="both"/>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E0FACBA" w14:textId="77777777" w:rsidR="00735561" w:rsidRPr="00735561" w:rsidRDefault="00735561" w:rsidP="00735561">
      <w:pPr>
        <w:spacing w:after="0" w:line="240" w:lineRule="auto"/>
        <w:jc w:val="both"/>
        <w:rPr>
          <w:rFonts w:ascii="Times New Roman" w:eastAsia="Times New Roman" w:hAnsi="Times New Roman" w:cs="Times New Roman"/>
          <w:b/>
          <w:bCs/>
          <w:sz w:val="12"/>
          <w:szCs w:val="24"/>
          <w:lang w:eastAsia="sk-SK"/>
        </w:rPr>
      </w:pPr>
    </w:p>
    <w:p w14:paraId="5881C29B" w14:textId="77777777" w:rsidR="0057470C" w:rsidRPr="00735561" w:rsidRDefault="0057470C" w:rsidP="0073556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513A18F"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2.2. Popis a charakteristika návrhu</w:t>
      </w:r>
    </w:p>
    <w:p w14:paraId="5D2997FB"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1FB85865" w14:textId="77777777" w:rsidR="00735561" w:rsidRPr="00735561" w:rsidRDefault="00735561" w:rsidP="00735561">
      <w:pPr>
        <w:spacing w:after="0" w:line="240" w:lineRule="auto"/>
        <w:jc w:val="both"/>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2.2.1. Popis návrhu:</w:t>
      </w:r>
    </w:p>
    <w:p w14:paraId="7E23D6DB" w14:textId="77777777" w:rsidR="00735561" w:rsidRPr="00735561" w:rsidRDefault="00735561" w:rsidP="00735561">
      <w:pPr>
        <w:spacing w:after="0" w:line="240" w:lineRule="auto"/>
        <w:jc w:val="both"/>
        <w:rPr>
          <w:rFonts w:ascii="Times New Roman" w:eastAsia="Times New Roman" w:hAnsi="Times New Roman" w:cs="Times New Roman"/>
          <w:b/>
          <w:bCs/>
          <w:sz w:val="24"/>
          <w:szCs w:val="24"/>
          <w:lang w:eastAsia="sk-SK"/>
        </w:rPr>
      </w:pPr>
    </w:p>
    <w:p w14:paraId="3FF68A4B" w14:textId="77777777" w:rsidR="00735561" w:rsidRPr="00735561" w:rsidRDefault="00735561" w:rsidP="00735561">
      <w:pPr>
        <w:spacing w:after="0" w:line="240" w:lineRule="auto"/>
        <w:ind w:firstLine="708"/>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Akú problematiku návrh rieši? Kto bude návrh implementovať? Kde sa budú služby poskytovať?</w:t>
      </w:r>
    </w:p>
    <w:p w14:paraId="7024271A" w14:textId="77777777" w:rsidR="00735561" w:rsidRPr="00735561" w:rsidRDefault="00115DD2" w:rsidP="0073556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nepredpokladá v</w:t>
      </w:r>
      <w:r w:rsidRPr="00115DD2">
        <w:rPr>
          <w:rFonts w:ascii="Times New Roman" w:eastAsia="Times New Roman" w:hAnsi="Times New Roman" w:cs="Times New Roman"/>
          <w:sz w:val="24"/>
          <w:szCs w:val="24"/>
          <w:lang w:eastAsia="sk-SK"/>
        </w:rPr>
        <w:t>plyvy na služby v</w:t>
      </w:r>
      <w:r>
        <w:rPr>
          <w:rFonts w:ascii="Times New Roman" w:eastAsia="Times New Roman" w:hAnsi="Times New Roman" w:cs="Times New Roman"/>
          <w:sz w:val="24"/>
          <w:szCs w:val="24"/>
          <w:lang w:eastAsia="sk-SK"/>
        </w:rPr>
        <w:t>erejnej správy pre občana.</w:t>
      </w:r>
    </w:p>
    <w:p w14:paraId="35FCF1B4"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w:t>
      </w:r>
    </w:p>
    <w:p w14:paraId="43D1578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5118181B"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2.2.2. Charakteristika návrhu:</w:t>
      </w:r>
    </w:p>
    <w:p w14:paraId="2461AEE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527EDD3B"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zmena sadzby</w:t>
      </w:r>
    </w:p>
    <w:p w14:paraId="67FA050F"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xml:space="preserve">  zmena v nároku</w:t>
      </w:r>
    </w:p>
    <w:p w14:paraId="7DA10E7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xml:space="preserve">  nová služba alebo nariadenie (alebo ich zrušenie)</w:t>
      </w:r>
    </w:p>
    <w:p w14:paraId="26B54C18"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xml:space="preserve">  kombinovaný návrh</w:t>
      </w:r>
    </w:p>
    <w:p w14:paraId="1434EC3E"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xml:space="preserve">  iné </w:t>
      </w:r>
    </w:p>
    <w:p w14:paraId="4D57D0D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3CF41C3A" w14:textId="77777777" w:rsidR="00735561" w:rsidRPr="00735561" w:rsidRDefault="00735561" w:rsidP="0073556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14:paraId="7BEBBF86"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bCs/>
          <w:sz w:val="24"/>
          <w:szCs w:val="24"/>
          <w:lang w:eastAsia="sk-SK"/>
        </w:rPr>
        <w:t>2.2.3. Predpoklady vývoja objemu aktivít:</w:t>
      </w:r>
    </w:p>
    <w:p w14:paraId="1E1F6B7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3669C051" w14:textId="77777777" w:rsidR="00735561" w:rsidRPr="00735561" w:rsidRDefault="00735561" w:rsidP="00735561">
      <w:pPr>
        <w:spacing w:after="0" w:line="240" w:lineRule="auto"/>
        <w:ind w:firstLine="708"/>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1203BD58" w14:textId="77777777" w:rsidR="00735561" w:rsidRPr="00735561" w:rsidRDefault="00735561" w:rsidP="00735561">
      <w:pPr>
        <w:spacing w:after="0" w:line="240" w:lineRule="auto"/>
        <w:jc w:val="right"/>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35561" w:rsidRPr="00735561" w14:paraId="4E755E21" w14:textId="77777777" w:rsidTr="00735561">
        <w:trPr>
          <w:cantSplit/>
          <w:trHeight w:val="70"/>
        </w:trPr>
        <w:tc>
          <w:tcPr>
            <w:tcW w:w="4530" w:type="dxa"/>
            <w:vMerge w:val="restart"/>
            <w:shd w:val="clear" w:color="auto" w:fill="BFBFBF"/>
            <w:vAlign w:val="center"/>
          </w:tcPr>
          <w:p w14:paraId="34838B3F"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Objem aktivít</w:t>
            </w:r>
          </w:p>
        </w:tc>
        <w:tc>
          <w:tcPr>
            <w:tcW w:w="1134" w:type="dxa"/>
            <w:gridSpan w:val="4"/>
            <w:shd w:val="clear" w:color="auto" w:fill="BFBFBF"/>
            <w:vAlign w:val="center"/>
          </w:tcPr>
          <w:p w14:paraId="3581C528"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Odhadované objemy</w:t>
            </w:r>
          </w:p>
        </w:tc>
      </w:tr>
      <w:tr w:rsidR="00735561" w:rsidRPr="00735561" w14:paraId="6BA99F01" w14:textId="77777777" w:rsidTr="00735561">
        <w:trPr>
          <w:cantSplit/>
          <w:trHeight w:val="70"/>
        </w:trPr>
        <w:tc>
          <w:tcPr>
            <w:tcW w:w="4530" w:type="dxa"/>
            <w:vMerge/>
            <w:shd w:val="clear" w:color="auto" w:fill="BFBFBF"/>
          </w:tcPr>
          <w:p w14:paraId="07A90696"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vAlign w:val="center"/>
          </w:tcPr>
          <w:p w14:paraId="7A6E5FDC"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w:t>
            </w:r>
          </w:p>
        </w:tc>
        <w:tc>
          <w:tcPr>
            <w:tcW w:w="1134" w:type="dxa"/>
            <w:shd w:val="clear" w:color="auto" w:fill="BFBFBF"/>
            <w:vAlign w:val="center"/>
          </w:tcPr>
          <w:p w14:paraId="7760840A"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+ 1</w:t>
            </w:r>
          </w:p>
        </w:tc>
        <w:tc>
          <w:tcPr>
            <w:tcW w:w="1134" w:type="dxa"/>
            <w:shd w:val="clear" w:color="auto" w:fill="BFBFBF"/>
            <w:vAlign w:val="center"/>
          </w:tcPr>
          <w:p w14:paraId="4CB65D0E"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+ 2</w:t>
            </w:r>
          </w:p>
        </w:tc>
        <w:tc>
          <w:tcPr>
            <w:tcW w:w="1134" w:type="dxa"/>
            <w:shd w:val="clear" w:color="auto" w:fill="BFBFBF"/>
            <w:vAlign w:val="center"/>
          </w:tcPr>
          <w:p w14:paraId="0B1CD1CF" w14:textId="77777777" w:rsidR="00735561" w:rsidRPr="00735561" w:rsidRDefault="00735561" w:rsidP="0073556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+ 3</w:t>
            </w:r>
          </w:p>
        </w:tc>
      </w:tr>
      <w:tr w:rsidR="00735561" w:rsidRPr="00735561" w14:paraId="314EAFA2" w14:textId="77777777" w:rsidTr="002703BE">
        <w:trPr>
          <w:trHeight w:val="70"/>
        </w:trPr>
        <w:tc>
          <w:tcPr>
            <w:tcW w:w="4530" w:type="dxa"/>
          </w:tcPr>
          <w:p w14:paraId="6545DB07" w14:textId="77777777" w:rsidR="00735561" w:rsidRPr="00735561" w:rsidRDefault="00735561" w:rsidP="0073556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35561">
              <w:rPr>
                <w:rFonts w:ascii="Times New Roman" w:eastAsia="Times New Roman" w:hAnsi="Times New Roman" w:cs="Times New Roman"/>
                <w:color w:val="000000"/>
                <w:sz w:val="24"/>
                <w:szCs w:val="24"/>
                <w:lang w:eastAsia="sk-SK"/>
              </w:rPr>
              <w:t>Indikátor ABC</w:t>
            </w:r>
          </w:p>
        </w:tc>
        <w:tc>
          <w:tcPr>
            <w:tcW w:w="1134" w:type="dxa"/>
          </w:tcPr>
          <w:p w14:paraId="43F08A83"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DFE9DCD"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BF8B5FD"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F6A6FC4"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35561" w:rsidRPr="00735561" w14:paraId="444BB480" w14:textId="77777777" w:rsidTr="002703BE">
        <w:trPr>
          <w:trHeight w:val="70"/>
        </w:trPr>
        <w:tc>
          <w:tcPr>
            <w:tcW w:w="4530" w:type="dxa"/>
          </w:tcPr>
          <w:p w14:paraId="32B4B664" w14:textId="77777777" w:rsidR="00735561" w:rsidRPr="00735561" w:rsidRDefault="00735561" w:rsidP="0073556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35561">
              <w:rPr>
                <w:rFonts w:ascii="Times New Roman" w:eastAsia="Times New Roman" w:hAnsi="Times New Roman" w:cs="Times New Roman"/>
                <w:color w:val="000000"/>
                <w:sz w:val="24"/>
                <w:szCs w:val="24"/>
                <w:lang w:eastAsia="sk-SK"/>
              </w:rPr>
              <w:t>Indikátor KLM</w:t>
            </w:r>
          </w:p>
        </w:tc>
        <w:tc>
          <w:tcPr>
            <w:tcW w:w="1134" w:type="dxa"/>
          </w:tcPr>
          <w:p w14:paraId="59C5DA51"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65533EA"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DB54D5B"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F65827D"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35561" w:rsidRPr="00735561" w14:paraId="77EE4E5A" w14:textId="77777777" w:rsidTr="002703BE">
        <w:trPr>
          <w:trHeight w:val="70"/>
        </w:trPr>
        <w:tc>
          <w:tcPr>
            <w:tcW w:w="4530" w:type="dxa"/>
          </w:tcPr>
          <w:p w14:paraId="27586A18" w14:textId="77777777" w:rsidR="00735561" w:rsidRPr="00735561" w:rsidRDefault="00735561" w:rsidP="0073556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35561">
              <w:rPr>
                <w:rFonts w:ascii="Times New Roman" w:eastAsia="Times New Roman" w:hAnsi="Times New Roman" w:cs="Times New Roman"/>
                <w:color w:val="000000"/>
                <w:sz w:val="24"/>
                <w:szCs w:val="24"/>
                <w:lang w:eastAsia="sk-SK"/>
              </w:rPr>
              <w:t>Indikátor XYZ</w:t>
            </w:r>
          </w:p>
        </w:tc>
        <w:tc>
          <w:tcPr>
            <w:tcW w:w="1134" w:type="dxa"/>
          </w:tcPr>
          <w:p w14:paraId="05EADB29"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DE66F77"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C4EEB38"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AA285A7" w14:textId="77777777" w:rsidR="00735561" w:rsidRPr="00735561" w:rsidRDefault="00735561" w:rsidP="0073556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0C40C81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2C49A5E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206F4114"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2.2.4. Výpočty vplyvov na verejné financie</w:t>
      </w:r>
    </w:p>
    <w:p w14:paraId="672056C8"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p w14:paraId="5EAE3189" w14:textId="77777777" w:rsidR="00735561" w:rsidRPr="00735561" w:rsidRDefault="00735561" w:rsidP="00735561">
      <w:pPr>
        <w:spacing w:after="0" w:line="240" w:lineRule="auto"/>
        <w:ind w:firstLine="708"/>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5BAF50C6" w14:textId="77777777" w:rsidR="00735561" w:rsidRPr="00735561" w:rsidRDefault="00735561" w:rsidP="00735561">
      <w:pPr>
        <w:spacing w:after="0" w:line="240" w:lineRule="auto"/>
        <w:jc w:val="both"/>
        <w:rPr>
          <w:rFonts w:ascii="Times New Roman" w:eastAsia="Times New Roman" w:hAnsi="Times New Roman" w:cs="Times New Roman"/>
          <w:sz w:val="24"/>
          <w:szCs w:val="24"/>
          <w:lang w:eastAsia="sk-SK"/>
        </w:rPr>
      </w:pPr>
    </w:p>
    <w:p w14:paraId="6FBAAD5E"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4"/>
          <w:lang w:eastAsia="sk-SK"/>
        </w:rPr>
      </w:pPr>
    </w:p>
    <w:p w14:paraId="6799EF80"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4"/>
          <w:lang w:eastAsia="sk-SK"/>
        </w:rPr>
      </w:pPr>
    </w:p>
    <w:p w14:paraId="1785E130"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4"/>
          <w:lang w:eastAsia="sk-SK"/>
        </w:rPr>
      </w:pPr>
    </w:p>
    <w:p w14:paraId="061CA032"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p w14:paraId="133A42A8"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p w14:paraId="3D1BEC1E"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p w14:paraId="733E0081"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sectPr w:rsidR="00735561" w:rsidRPr="00735561" w:rsidSect="002703BE">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14:paraId="2CA64B40" w14:textId="77777777" w:rsidR="0076489B" w:rsidRDefault="0076489B" w:rsidP="00735561">
      <w:pPr>
        <w:tabs>
          <w:tab w:val="num" w:pos="1080"/>
        </w:tabs>
        <w:spacing w:after="0" w:line="240" w:lineRule="auto"/>
        <w:jc w:val="right"/>
        <w:rPr>
          <w:rFonts w:ascii="Times New Roman" w:eastAsia="Times New Roman" w:hAnsi="Times New Roman" w:cs="Times New Roman"/>
          <w:bCs/>
          <w:sz w:val="24"/>
          <w:szCs w:val="24"/>
          <w:lang w:eastAsia="sk-SK"/>
        </w:rPr>
      </w:pPr>
    </w:p>
    <w:p w14:paraId="02A1AFCB" w14:textId="77777777" w:rsidR="00735561" w:rsidRPr="00735561" w:rsidRDefault="00735561" w:rsidP="00735561">
      <w:pPr>
        <w:tabs>
          <w:tab w:val="num" w:pos="1080"/>
        </w:tabs>
        <w:spacing w:after="0" w:line="240" w:lineRule="auto"/>
        <w:jc w:val="right"/>
        <w:rPr>
          <w:rFonts w:ascii="Times New Roman" w:eastAsia="Times New Roman" w:hAnsi="Times New Roman" w:cs="Times New Roman"/>
          <w:bCs/>
          <w:sz w:val="24"/>
          <w:szCs w:val="24"/>
          <w:lang w:eastAsia="sk-SK"/>
        </w:rPr>
      </w:pPr>
      <w:r w:rsidRPr="00735561">
        <w:rPr>
          <w:rFonts w:ascii="Times New Roman" w:eastAsia="Times New Roman" w:hAnsi="Times New Roman" w:cs="Times New Roman"/>
          <w:bCs/>
          <w:sz w:val="24"/>
          <w:szCs w:val="24"/>
          <w:lang w:eastAsia="sk-SK"/>
        </w:rPr>
        <w:t xml:space="preserve">Tabuľka č. 3 </w:t>
      </w:r>
    </w:p>
    <w:p w14:paraId="0FE1B48C"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35561" w:rsidRPr="00735561" w14:paraId="24D41833" w14:textId="77777777" w:rsidTr="0073556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0D8225F"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5EAB7A3D" w14:textId="77777777" w:rsidR="00735561" w:rsidRDefault="00735561" w:rsidP="00735561">
            <w:pPr>
              <w:spacing w:after="0" w:line="240" w:lineRule="auto"/>
              <w:jc w:val="center"/>
              <w:rPr>
                <w:rFonts w:ascii="Times New Roman" w:eastAsia="Times New Roman" w:hAnsi="Times New Roman" w:cs="Times New Roman"/>
                <w:b/>
                <w:bCs/>
                <w:sz w:val="24"/>
                <w:szCs w:val="24"/>
                <w:lang w:eastAsia="sk-SK"/>
              </w:rPr>
            </w:pPr>
          </w:p>
          <w:p w14:paraId="737D6D4B" w14:textId="77777777" w:rsidR="0076489B" w:rsidRPr="00735561" w:rsidRDefault="0076489B" w:rsidP="00735561">
            <w:pPr>
              <w:spacing w:after="0" w:line="240" w:lineRule="auto"/>
              <w:jc w:val="center"/>
              <w:rPr>
                <w:rFonts w:ascii="Times New Roman" w:eastAsia="Times New Roman" w:hAnsi="Times New Roman" w:cs="Times New Roman"/>
                <w:b/>
                <w:bCs/>
                <w:sz w:val="24"/>
                <w:szCs w:val="24"/>
                <w:lang w:eastAsia="sk-SK"/>
              </w:rPr>
            </w:pP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DD6CF1B"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poznámka</w:t>
            </w:r>
          </w:p>
        </w:tc>
      </w:tr>
      <w:tr w:rsidR="00735561" w:rsidRPr="00735561" w14:paraId="003436DC" w14:textId="77777777" w:rsidTr="0073556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7B12AC0" w14:textId="77777777" w:rsidR="00735561" w:rsidRPr="00735561" w:rsidRDefault="00735561" w:rsidP="00735561">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14:paraId="62C1F9DD"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cPr>
          <w:p w14:paraId="469B85B3"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cPr>
          <w:p w14:paraId="57650BE0"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cPr>
          <w:p w14:paraId="5A858723"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4F9E1FBB" w14:textId="77777777" w:rsidR="00735561" w:rsidRPr="00735561" w:rsidRDefault="00735561" w:rsidP="00735561">
            <w:pPr>
              <w:spacing w:after="0" w:line="240" w:lineRule="auto"/>
              <w:rPr>
                <w:rFonts w:ascii="Times New Roman" w:eastAsia="Times New Roman" w:hAnsi="Times New Roman" w:cs="Times New Roman"/>
                <w:b/>
                <w:bCs/>
                <w:color w:val="FFFFFF"/>
                <w:sz w:val="24"/>
                <w:szCs w:val="24"/>
                <w:lang w:eastAsia="sk-SK"/>
              </w:rPr>
            </w:pPr>
          </w:p>
        </w:tc>
      </w:tr>
      <w:tr w:rsidR="00735561" w:rsidRPr="00735561" w14:paraId="219D9E43" w14:textId="77777777" w:rsidTr="002703BE">
        <w:trPr>
          <w:trHeight w:val="255"/>
        </w:trPr>
        <w:tc>
          <w:tcPr>
            <w:tcW w:w="4950" w:type="dxa"/>
            <w:tcBorders>
              <w:top w:val="nil"/>
              <w:left w:val="single" w:sz="4" w:space="0" w:color="auto"/>
              <w:bottom w:val="single" w:sz="4" w:space="0" w:color="auto"/>
              <w:right w:val="single" w:sz="4" w:space="0" w:color="auto"/>
            </w:tcBorders>
          </w:tcPr>
          <w:p w14:paraId="6E2934F1" w14:textId="77777777" w:rsidR="00735561" w:rsidRPr="00735561" w:rsidRDefault="00735561" w:rsidP="00735561">
            <w:pPr>
              <w:spacing w:after="0" w:line="240" w:lineRule="auto"/>
              <w:rPr>
                <w:rFonts w:ascii="Times New Roman" w:eastAsia="Times New Roman" w:hAnsi="Times New Roman" w:cs="Times New Roman"/>
                <w:b/>
                <w:bCs/>
                <w:sz w:val="24"/>
                <w:szCs w:val="24"/>
                <w:vertAlign w:val="superscript"/>
                <w:lang w:eastAsia="sk-SK"/>
              </w:rPr>
            </w:pPr>
            <w:r w:rsidRPr="00735561">
              <w:rPr>
                <w:rFonts w:ascii="Times New Roman" w:eastAsia="Times New Roman" w:hAnsi="Times New Roman" w:cs="Times New Roman"/>
                <w:b/>
                <w:bCs/>
                <w:sz w:val="24"/>
                <w:szCs w:val="24"/>
                <w:lang w:eastAsia="sk-SK"/>
              </w:rPr>
              <w:t>Daňové príjmy (100)</w:t>
            </w:r>
            <w:r w:rsidRPr="007355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DE0E309"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7729E44"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32E9A4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DE16E23"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C4AEE1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40DCBCDD" w14:textId="77777777" w:rsidTr="002703BE">
        <w:trPr>
          <w:trHeight w:val="255"/>
        </w:trPr>
        <w:tc>
          <w:tcPr>
            <w:tcW w:w="4950" w:type="dxa"/>
            <w:tcBorders>
              <w:top w:val="nil"/>
              <w:left w:val="single" w:sz="4" w:space="0" w:color="auto"/>
              <w:bottom w:val="single" w:sz="4" w:space="0" w:color="auto"/>
              <w:right w:val="single" w:sz="4" w:space="0" w:color="auto"/>
            </w:tcBorders>
          </w:tcPr>
          <w:p w14:paraId="36CD2E02"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Nedaňové príjmy (200)</w:t>
            </w:r>
            <w:r w:rsidRPr="007355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86AC902"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3AE3A1A"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DF7D255"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74CED61"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D3B8EA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1D639B25" w14:textId="77777777" w:rsidTr="002703BE">
        <w:trPr>
          <w:trHeight w:val="255"/>
        </w:trPr>
        <w:tc>
          <w:tcPr>
            <w:tcW w:w="4950" w:type="dxa"/>
            <w:tcBorders>
              <w:top w:val="nil"/>
              <w:left w:val="single" w:sz="4" w:space="0" w:color="auto"/>
              <w:bottom w:val="single" w:sz="4" w:space="0" w:color="auto"/>
              <w:right w:val="single" w:sz="4" w:space="0" w:color="auto"/>
            </w:tcBorders>
          </w:tcPr>
          <w:p w14:paraId="6F465175"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Granty a transfery (300)</w:t>
            </w:r>
            <w:r w:rsidRPr="007355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7AFFA46"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5214A8A"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9355464"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DF36C5F"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E9175DE"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4346A832" w14:textId="77777777" w:rsidTr="002703BE">
        <w:trPr>
          <w:trHeight w:val="255"/>
        </w:trPr>
        <w:tc>
          <w:tcPr>
            <w:tcW w:w="4950" w:type="dxa"/>
            <w:tcBorders>
              <w:top w:val="nil"/>
              <w:left w:val="single" w:sz="4" w:space="0" w:color="auto"/>
              <w:bottom w:val="single" w:sz="4" w:space="0" w:color="auto"/>
              <w:right w:val="single" w:sz="4" w:space="0" w:color="auto"/>
            </w:tcBorders>
          </w:tcPr>
          <w:p w14:paraId="11439796"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691B115C"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E75D54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9840359"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8813F2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160A27F"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51956B37" w14:textId="77777777" w:rsidTr="002703BE">
        <w:trPr>
          <w:trHeight w:val="255"/>
        </w:trPr>
        <w:tc>
          <w:tcPr>
            <w:tcW w:w="4950" w:type="dxa"/>
            <w:tcBorders>
              <w:top w:val="nil"/>
              <w:left w:val="single" w:sz="4" w:space="0" w:color="auto"/>
              <w:bottom w:val="single" w:sz="4" w:space="0" w:color="auto"/>
              <w:right w:val="single" w:sz="4" w:space="0" w:color="auto"/>
            </w:tcBorders>
          </w:tcPr>
          <w:p w14:paraId="08AF59A3"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4A0E830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9C581F4"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9174263"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C5A942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9F25AE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1E3C3B8A" w14:textId="77777777" w:rsidTr="00735561">
        <w:trPr>
          <w:trHeight w:val="255"/>
        </w:trPr>
        <w:tc>
          <w:tcPr>
            <w:tcW w:w="4950" w:type="dxa"/>
            <w:tcBorders>
              <w:top w:val="nil"/>
              <w:left w:val="single" w:sz="4" w:space="0" w:color="auto"/>
              <w:bottom w:val="single" w:sz="4" w:space="0" w:color="auto"/>
              <w:right w:val="single" w:sz="4" w:space="0" w:color="auto"/>
            </w:tcBorders>
            <w:shd w:val="clear" w:color="auto" w:fill="BFBFBF"/>
          </w:tcPr>
          <w:p w14:paraId="6C3EF206"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45D7B03D"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7E90E8E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1843D07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7CA14A75"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52B2538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bl>
    <w:p w14:paraId="07C4E584"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0"/>
          <w:szCs w:val="20"/>
          <w:lang w:eastAsia="sk-SK"/>
        </w:rPr>
      </w:pPr>
      <w:r w:rsidRPr="00735561">
        <w:rPr>
          <w:rFonts w:ascii="Times New Roman" w:eastAsia="Times New Roman" w:hAnsi="Times New Roman" w:cs="Times New Roman"/>
          <w:bCs/>
          <w:sz w:val="20"/>
          <w:szCs w:val="20"/>
          <w:lang w:eastAsia="sk-SK"/>
        </w:rPr>
        <w:t>1 –  príjmy rozpísať až do položiek platnej ekonomickej klasifikácie</w:t>
      </w:r>
    </w:p>
    <w:p w14:paraId="27A5BE43"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p w14:paraId="1C80EADB"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
          <w:bCs/>
          <w:sz w:val="24"/>
          <w:szCs w:val="20"/>
          <w:lang w:eastAsia="sk-SK"/>
        </w:rPr>
      </w:pPr>
      <w:r w:rsidRPr="00735561">
        <w:rPr>
          <w:rFonts w:ascii="Times New Roman" w:eastAsia="Times New Roman" w:hAnsi="Times New Roman" w:cs="Times New Roman"/>
          <w:b/>
          <w:bCs/>
          <w:sz w:val="24"/>
          <w:szCs w:val="20"/>
          <w:lang w:eastAsia="sk-SK"/>
        </w:rPr>
        <w:t>Poznámka:</w:t>
      </w:r>
    </w:p>
    <w:p w14:paraId="18BE9739"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r w:rsidRPr="00735561">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2BC1A01"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53E9052"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C339293"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18AE3BF"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8500820"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154A97E"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7F6EF88"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502D6A"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9EB22D6"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CA431BB"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2147913"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67592D6" w14:textId="77777777" w:rsidR="00735561" w:rsidRPr="00735561" w:rsidRDefault="00735561" w:rsidP="0073556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78EF9C7" w14:textId="77777777" w:rsidR="00735561" w:rsidRPr="00735561" w:rsidRDefault="00735561" w:rsidP="00735561">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35561">
        <w:rPr>
          <w:rFonts w:ascii="Times New Roman" w:eastAsia="Times New Roman" w:hAnsi="Times New Roman" w:cs="Times New Roman"/>
          <w:bCs/>
          <w:sz w:val="24"/>
          <w:szCs w:val="24"/>
          <w:lang w:eastAsia="sk-SK"/>
        </w:rPr>
        <w:t xml:space="preserve">Tabuľka č. 4 </w:t>
      </w:r>
    </w:p>
    <w:p w14:paraId="23111F90" w14:textId="77777777" w:rsidR="0076489B" w:rsidRPr="00735561" w:rsidRDefault="0076489B" w:rsidP="00735561">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35561" w:rsidRPr="00735561" w14:paraId="1F451C73" w14:textId="77777777" w:rsidTr="0073556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2F489BD" w14:textId="77777777" w:rsidR="00735561" w:rsidRDefault="00735561" w:rsidP="0073556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Výdavky (v eurách)</w:t>
            </w:r>
          </w:p>
          <w:p w14:paraId="5A54FADD" w14:textId="77777777" w:rsidR="0076489B" w:rsidRPr="00735561" w:rsidRDefault="0076489B" w:rsidP="00735561">
            <w:pPr>
              <w:spacing w:after="0" w:line="240" w:lineRule="auto"/>
              <w:jc w:val="center"/>
              <w:rPr>
                <w:rFonts w:ascii="Times New Roman" w:eastAsia="Times New Roman" w:hAnsi="Times New Roman" w:cs="Times New Roman"/>
                <w:b/>
                <w:bCs/>
                <w:sz w:val="20"/>
                <w:szCs w:val="20"/>
                <w:lang w:eastAsia="sk-SK"/>
              </w:rPr>
            </w:pPr>
          </w:p>
        </w:tc>
        <w:tc>
          <w:tcPr>
            <w:tcW w:w="6160" w:type="dxa"/>
            <w:gridSpan w:val="4"/>
            <w:tcBorders>
              <w:top w:val="single" w:sz="4" w:space="0" w:color="auto"/>
              <w:left w:val="nil"/>
              <w:bottom w:val="single" w:sz="4" w:space="0" w:color="auto"/>
              <w:right w:val="single" w:sz="4" w:space="0" w:color="auto"/>
            </w:tcBorders>
            <w:shd w:val="clear" w:color="auto" w:fill="BFBFBF"/>
          </w:tcPr>
          <w:p w14:paraId="0928DD03" w14:textId="77777777" w:rsidR="00735561" w:rsidRPr="00735561" w:rsidRDefault="00735561" w:rsidP="0073556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FB35EB4"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poznámka</w:t>
            </w:r>
          </w:p>
        </w:tc>
      </w:tr>
      <w:tr w:rsidR="005438A3" w:rsidRPr="00735561" w14:paraId="0F95DA7A" w14:textId="77777777" w:rsidTr="005438A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9612166" w14:textId="77777777" w:rsidR="005438A3" w:rsidRPr="00735561" w:rsidRDefault="005438A3" w:rsidP="005438A3">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vAlign w:val="center"/>
          </w:tcPr>
          <w:p w14:paraId="5E4B13AE"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2022</w:t>
            </w:r>
          </w:p>
        </w:tc>
        <w:tc>
          <w:tcPr>
            <w:tcW w:w="1540" w:type="dxa"/>
            <w:tcBorders>
              <w:top w:val="nil"/>
              <w:left w:val="nil"/>
              <w:bottom w:val="single" w:sz="4" w:space="0" w:color="auto"/>
              <w:right w:val="single" w:sz="4" w:space="0" w:color="auto"/>
            </w:tcBorders>
            <w:shd w:val="clear" w:color="auto" w:fill="BFBFBF"/>
            <w:vAlign w:val="center"/>
          </w:tcPr>
          <w:p w14:paraId="013EDAF3"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2023</w:t>
            </w:r>
          </w:p>
        </w:tc>
        <w:tc>
          <w:tcPr>
            <w:tcW w:w="1540" w:type="dxa"/>
            <w:tcBorders>
              <w:top w:val="nil"/>
              <w:left w:val="nil"/>
              <w:bottom w:val="single" w:sz="4" w:space="0" w:color="auto"/>
              <w:right w:val="single" w:sz="4" w:space="0" w:color="auto"/>
            </w:tcBorders>
            <w:shd w:val="clear" w:color="auto" w:fill="BFBFBF"/>
            <w:vAlign w:val="center"/>
          </w:tcPr>
          <w:p w14:paraId="63623C7F"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vAlign w:val="center"/>
          </w:tcPr>
          <w:p w14:paraId="4AB7B206" w14:textId="77777777" w:rsidR="005438A3" w:rsidRPr="00735561" w:rsidRDefault="005438A3" w:rsidP="00543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14:paraId="043565FA" w14:textId="77777777" w:rsidR="005438A3" w:rsidRPr="00735561" w:rsidRDefault="005438A3" w:rsidP="005438A3">
            <w:pPr>
              <w:spacing w:after="0" w:line="240" w:lineRule="auto"/>
              <w:rPr>
                <w:rFonts w:ascii="Times New Roman" w:eastAsia="Times New Roman" w:hAnsi="Times New Roman" w:cs="Times New Roman"/>
                <w:b/>
                <w:bCs/>
                <w:color w:val="FFFFFF"/>
                <w:sz w:val="24"/>
                <w:szCs w:val="24"/>
                <w:lang w:eastAsia="sk-SK"/>
              </w:rPr>
            </w:pPr>
          </w:p>
        </w:tc>
      </w:tr>
      <w:tr w:rsidR="00B50A97" w:rsidRPr="00735561" w14:paraId="6CBF5EBC" w14:textId="77777777" w:rsidTr="0076489B">
        <w:trPr>
          <w:trHeight w:val="255"/>
        </w:trPr>
        <w:tc>
          <w:tcPr>
            <w:tcW w:w="7070" w:type="dxa"/>
            <w:tcBorders>
              <w:top w:val="nil"/>
              <w:left w:val="single" w:sz="4" w:space="0" w:color="auto"/>
              <w:bottom w:val="single" w:sz="4" w:space="0" w:color="auto"/>
              <w:right w:val="single" w:sz="4" w:space="0" w:color="auto"/>
            </w:tcBorders>
          </w:tcPr>
          <w:p w14:paraId="02EB25B5" w14:textId="77777777" w:rsidR="00B50A97" w:rsidRPr="00735561" w:rsidRDefault="00B50A97" w:rsidP="00B50A97">
            <w:pPr>
              <w:spacing w:after="0" w:line="240" w:lineRule="auto"/>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bottom"/>
          </w:tcPr>
          <w:p w14:paraId="12124AC0" w14:textId="0AC2ABEB" w:rsidR="00B50A97" w:rsidRPr="00B50A97" w:rsidRDefault="00B50A97" w:rsidP="00B50A97">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vAlign w:val="bottom"/>
          </w:tcPr>
          <w:p w14:paraId="62CA71DB" w14:textId="60B13235"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bottom"/>
          </w:tcPr>
          <w:p w14:paraId="0B7EC1B1" w14:textId="5B8748E8"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bottom"/>
          </w:tcPr>
          <w:p w14:paraId="18D962B1" w14:textId="4005E8CD"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2220" w:type="dxa"/>
            <w:tcBorders>
              <w:top w:val="nil"/>
              <w:left w:val="nil"/>
              <w:bottom w:val="single" w:sz="4" w:space="0" w:color="auto"/>
              <w:right w:val="single" w:sz="4" w:space="0" w:color="auto"/>
            </w:tcBorders>
            <w:noWrap/>
            <w:vAlign w:val="bottom"/>
          </w:tcPr>
          <w:p w14:paraId="66ABED66" w14:textId="77777777" w:rsidR="00B50A97" w:rsidRPr="00735561" w:rsidRDefault="00B50A97" w:rsidP="00B50A97">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76C1883A" w14:textId="77777777" w:rsidTr="002703BE">
        <w:trPr>
          <w:trHeight w:val="255"/>
        </w:trPr>
        <w:tc>
          <w:tcPr>
            <w:tcW w:w="7070" w:type="dxa"/>
            <w:tcBorders>
              <w:top w:val="nil"/>
              <w:left w:val="single" w:sz="4" w:space="0" w:color="auto"/>
              <w:bottom w:val="single" w:sz="4" w:space="0" w:color="auto"/>
              <w:right w:val="single" w:sz="4" w:space="0" w:color="auto"/>
            </w:tcBorders>
          </w:tcPr>
          <w:p w14:paraId="04A235BB" w14:textId="77777777" w:rsidR="00735561" w:rsidRPr="00735561" w:rsidRDefault="00735561" w:rsidP="00735561">
            <w:pPr>
              <w:spacing w:after="0" w:line="240" w:lineRule="auto"/>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5DF3FBE8"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413DD3A"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91AF421"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146BC8"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C77B0AB"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34AB21B2" w14:textId="77777777" w:rsidTr="002703BE">
        <w:trPr>
          <w:trHeight w:val="255"/>
        </w:trPr>
        <w:tc>
          <w:tcPr>
            <w:tcW w:w="7070" w:type="dxa"/>
            <w:tcBorders>
              <w:top w:val="nil"/>
              <w:left w:val="single" w:sz="4" w:space="0" w:color="auto"/>
              <w:bottom w:val="single" w:sz="4" w:space="0" w:color="auto"/>
              <w:right w:val="single" w:sz="4" w:space="0" w:color="auto"/>
            </w:tcBorders>
          </w:tcPr>
          <w:p w14:paraId="79941FCA" w14:textId="77777777" w:rsidR="00735561" w:rsidRPr="00735561" w:rsidRDefault="00735561" w:rsidP="00735561">
            <w:pPr>
              <w:spacing w:after="0" w:line="240" w:lineRule="auto"/>
              <w:rPr>
                <w:rFonts w:ascii="Times New Roman" w:eastAsia="Times New Roman" w:hAnsi="Times New Roman" w:cs="Times New Roman"/>
                <w:sz w:val="20"/>
                <w:szCs w:val="20"/>
                <w:vertAlign w:val="superscript"/>
                <w:lang w:eastAsia="sk-SK"/>
              </w:rPr>
            </w:pPr>
            <w:r w:rsidRPr="00735561">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42947900"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4F2CF23"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015F44"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9B05640"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4CE97E9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2A36246A" w14:textId="77777777" w:rsidTr="002703BE">
        <w:trPr>
          <w:trHeight w:val="255"/>
        </w:trPr>
        <w:tc>
          <w:tcPr>
            <w:tcW w:w="7070" w:type="dxa"/>
            <w:tcBorders>
              <w:top w:val="nil"/>
              <w:left w:val="single" w:sz="4" w:space="0" w:color="auto"/>
              <w:bottom w:val="single" w:sz="4" w:space="0" w:color="auto"/>
              <w:right w:val="single" w:sz="4" w:space="0" w:color="auto"/>
            </w:tcBorders>
          </w:tcPr>
          <w:p w14:paraId="24387DF6" w14:textId="77777777" w:rsidR="00735561" w:rsidRPr="00735561" w:rsidRDefault="00735561" w:rsidP="00735561">
            <w:pPr>
              <w:spacing w:after="0" w:line="240" w:lineRule="auto"/>
              <w:rPr>
                <w:rFonts w:ascii="Times New Roman" w:eastAsia="Times New Roman" w:hAnsi="Times New Roman" w:cs="Times New Roman"/>
                <w:sz w:val="20"/>
                <w:szCs w:val="20"/>
                <w:vertAlign w:val="superscript"/>
                <w:lang w:eastAsia="sk-SK"/>
              </w:rPr>
            </w:pPr>
            <w:r w:rsidRPr="00735561">
              <w:rPr>
                <w:rFonts w:ascii="Times New Roman" w:eastAsia="Times New Roman" w:hAnsi="Times New Roman" w:cs="Times New Roman"/>
                <w:sz w:val="20"/>
                <w:szCs w:val="20"/>
                <w:lang w:eastAsia="sk-SK"/>
              </w:rPr>
              <w:t xml:space="preserve">  Tovary a služby (630)</w:t>
            </w:r>
            <w:r w:rsidRPr="00735561">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645071B"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12E6E40"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D48661E"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D8250B5"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1B5F185B"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B50A97" w:rsidRPr="00735561" w14:paraId="58DDBA8F" w14:textId="77777777" w:rsidTr="0076489B">
        <w:trPr>
          <w:trHeight w:val="255"/>
        </w:trPr>
        <w:tc>
          <w:tcPr>
            <w:tcW w:w="7070" w:type="dxa"/>
            <w:tcBorders>
              <w:top w:val="nil"/>
              <w:left w:val="single" w:sz="4" w:space="0" w:color="auto"/>
              <w:bottom w:val="single" w:sz="4" w:space="0" w:color="auto"/>
              <w:right w:val="single" w:sz="4" w:space="0" w:color="auto"/>
            </w:tcBorders>
          </w:tcPr>
          <w:p w14:paraId="7A1FC9AD" w14:textId="77777777" w:rsidR="00B50A97" w:rsidRPr="00735561" w:rsidRDefault="00B50A97" w:rsidP="00B50A97">
            <w:pPr>
              <w:spacing w:after="0" w:line="240" w:lineRule="auto"/>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  Bežné transfery (640)</w:t>
            </w:r>
            <w:r w:rsidRPr="00735561">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bottom"/>
          </w:tcPr>
          <w:p w14:paraId="3088E384" w14:textId="319975BE" w:rsidR="00B50A97" w:rsidRPr="00B50A97"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0E8D0790" w14:textId="149EF7EA" w:rsidR="00B50A97" w:rsidRPr="004102CC"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5367D329" w14:textId="5E2D8D9F" w:rsidR="00B50A97" w:rsidRPr="004102CC"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511CC068" w14:textId="07FBB3CE" w:rsidR="00B50A97" w:rsidRPr="004102CC"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2220" w:type="dxa"/>
            <w:tcBorders>
              <w:top w:val="nil"/>
              <w:left w:val="nil"/>
              <w:bottom w:val="single" w:sz="4" w:space="0" w:color="auto"/>
              <w:right w:val="single" w:sz="4" w:space="0" w:color="auto"/>
            </w:tcBorders>
            <w:noWrap/>
            <w:vAlign w:val="bottom"/>
          </w:tcPr>
          <w:p w14:paraId="570E40ED" w14:textId="77777777" w:rsidR="00B50A97" w:rsidRPr="00735561" w:rsidRDefault="00B50A97" w:rsidP="00B50A97">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713F3AB7" w14:textId="77777777" w:rsidTr="002703BE">
        <w:trPr>
          <w:trHeight w:val="255"/>
        </w:trPr>
        <w:tc>
          <w:tcPr>
            <w:tcW w:w="7070" w:type="dxa"/>
            <w:tcBorders>
              <w:top w:val="nil"/>
              <w:left w:val="single" w:sz="4" w:space="0" w:color="auto"/>
              <w:bottom w:val="single" w:sz="4" w:space="0" w:color="auto"/>
              <w:right w:val="single" w:sz="4" w:space="0" w:color="auto"/>
            </w:tcBorders>
            <w:vAlign w:val="center"/>
          </w:tcPr>
          <w:p w14:paraId="4D4AE075" w14:textId="77777777" w:rsidR="00735561" w:rsidRPr="00735561" w:rsidRDefault="00735561" w:rsidP="00735561">
            <w:pPr>
              <w:spacing w:after="0" w:line="240" w:lineRule="auto"/>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  Splácanie úrokov a ostatné platby súvisiace s úverom, pôžičkou, návratnou finančnou výpomocou a finančným prenájmom (650)</w:t>
            </w:r>
            <w:r w:rsidRPr="00735561">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C91C08B"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E947EBF"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1CF2E97"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43B4274"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60712FAF"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r w:rsidR="00B50A97" w:rsidRPr="00735561" w14:paraId="0FAF2763" w14:textId="77777777" w:rsidTr="0076489B">
        <w:trPr>
          <w:trHeight w:val="255"/>
        </w:trPr>
        <w:tc>
          <w:tcPr>
            <w:tcW w:w="7070" w:type="dxa"/>
            <w:tcBorders>
              <w:top w:val="nil"/>
              <w:left w:val="single" w:sz="4" w:space="0" w:color="auto"/>
              <w:bottom w:val="single" w:sz="4" w:space="0" w:color="auto"/>
              <w:right w:val="single" w:sz="4" w:space="0" w:color="auto"/>
            </w:tcBorders>
          </w:tcPr>
          <w:p w14:paraId="21BC7F22" w14:textId="77777777" w:rsidR="00B50A97" w:rsidRPr="00735561" w:rsidRDefault="00B50A97" w:rsidP="00B50A97">
            <w:pPr>
              <w:spacing w:after="0" w:line="240" w:lineRule="auto"/>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bottom"/>
          </w:tcPr>
          <w:p w14:paraId="5766108B" w14:textId="50C2E8F6"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bottom"/>
          </w:tcPr>
          <w:p w14:paraId="0195927F" w14:textId="7038DEA9"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bottom"/>
          </w:tcPr>
          <w:p w14:paraId="6221B820" w14:textId="243A6B73" w:rsidR="00B50A97" w:rsidRPr="00B50A97" w:rsidRDefault="00B50A97" w:rsidP="00B50A97">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bottom"/>
          </w:tcPr>
          <w:p w14:paraId="42A180FD" w14:textId="6746DA87" w:rsidR="00B50A97" w:rsidRPr="00B50A97" w:rsidRDefault="00B50A97" w:rsidP="00526C9C">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48DE354A" w14:textId="77777777" w:rsidR="00B50A97" w:rsidRPr="00735561" w:rsidRDefault="00B50A97" w:rsidP="00B50A97">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3AB42132" w14:textId="77777777" w:rsidTr="002703BE">
        <w:trPr>
          <w:trHeight w:val="255"/>
        </w:trPr>
        <w:tc>
          <w:tcPr>
            <w:tcW w:w="7070" w:type="dxa"/>
            <w:tcBorders>
              <w:top w:val="nil"/>
              <w:left w:val="single" w:sz="4" w:space="0" w:color="auto"/>
              <w:bottom w:val="single" w:sz="4" w:space="0" w:color="auto"/>
              <w:right w:val="single" w:sz="4" w:space="0" w:color="auto"/>
            </w:tcBorders>
          </w:tcPr>
          <w:p w14:paraId="4D86A9BA" w14:textId="77777777" w:rsidR="00735561" w:rsidRPr="00735561" w:rsidRDefault="00735561" w:rsidP="00735561">
            <w:pPr>
              <w:spacing w:after="0" w:line="240" w:lineRule="auto"/>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  Obstarávanie kapitálových aktív (710)</w:t>
            </w:r>
            <w:r w:rsidRPr="00735561">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22A1737"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3C9803B"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4493CD0" w14:textId="77777777" w:rsidR="00735561" w:rsidRPr="00735561" w:rsidRDefault="00735561" w:rsidP="0073556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8AEC82F"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74429DFE"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B50A97" w:rsidRPr="00735561" w14:paraId="2F0AFDF4" w14:textId="77777777" w:rsidTr="0076489B">
        <w:trPr>
          <w:trHeight w:val="255"/>
        </w:trPr>
        <w:tc>
          <w:tcPr>
            <w:tcW w:w="7070" w:type="dxa"/>
            <w:tcBorders>
              <w:top w:val="nil"/>
              <w:left w:val="single" w:sz="4" w:space="0" w:color="auto"/>
              <w:bottom w:val="single" w:sz="4" w:space="0" w:color="auto"/>
              <w:right w:val="single" w:sz="4" w:space="0" w:color="auto"/>
            </w:tcBorders>
          </w:tcPr>
          <w:p w14:paraId="2B6A41D3" w14:textId="77777777" w:rsidR="00B50A97" w:rsidRPr="00735561" w:rsidRDefault="00B50A97" w:rsidP="00B50A97">
            <w:pPr>
              <w:spacing w:after="0" w:line="240" w:lineRule="auto"/>
              <w:rPr>
                <w:rFonts w:ascii="Times New Roman" w:eastAsia="Times New Roman" w:hAnsi="Times New Roman" w:cs="Times New Roman"/>
                <w:sz w:val="20"/>
                <w:szCs w:val="20"/>
                <w:lang w:eastAsia="sk-SK"/>
              </w:rPr>
            </w:pPr>
            <w:r w:rsidRPr="00735561">
              <w:rPr>
                <w:rFonts w:ascii="Times New Roman" w:eastAsia="Times New Roman" w:hAnsi="Times New Roman" w:cs="Times New Roman"/>
                <w:sz w:val="20"/>
                <w:szCs w:val="20"/>
                <w:lang w:eastAsia="sk-SK"/>
              </w:rPr>
              <w:t xml:space="preserve">  Kapitálové transfery (720)</w:t>
            </w:r>
            <w:r w:rsidRPr="00735561">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bottom"/>
          </w:tcPr>
          <w:p w14:paraId="266BFA25" w14:textId="1D602FE5" w:rsidR="00B50A97" w:rsidRPr="00B50A97" w:rsidRDefault="00B50A97" w:rsidP="008B13A6">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176823A7" w14:textId="342F8077" w:rsidR="00B50A97" w:rsidRPr="00B50A97"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112C78B7" w14:textId="464A8725" w:rsidR="00B50A97" w:rsidRPr="004B1BB5"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bottom"/>
          </w:tcPr>
          <w:p w14:paraId="721FBD0C" w14:textId="6070110A" w:rsidR="00B50A97" w:rsidRPr="004B1BB5" w:rsidRDefault="00B50A97" w:rsidP="00B50A97">
            <w:pPr>
              <w:spacing w:after="0" w:line="240" w:lineRule="auto"/>
              <w:jc w:val="center"/>
              <w:rPr>
                <w:rFonts w:ascii="Times New Roman" w:eastAsia="Times New Roman" w:hAnsi="Times New Roman" w:cs="Times New Roman"/>
                <w:bCs/>
                <w:sz w:val="20"/>
                <w:szCs w:val="20"/>
                <w:lang w:eastAsia="sk-SK"/>
              </w:rPr>
            </w:pPr>
          </w:p>
        </w:tc>
        <w:tc>
          <w:tcPr>
            <w:tcW w:w="2220" w:type="dxa"/>
            <w:tcBorders>
              <w:top w:val="nil"/>
              <w:left w:val="nil"/>
              <w:bottom w:val="single" w:sz="4" w:space="0" w:color="auto"/>
              <w:right w:val="single" w:sz="4" w:space="0" w:color="auto"/>
            </w:tcBorders>
            <w:noWrap/>
            <w:vAlign w:val="bottom"/>
          </w:tcPr>
          <w:p w14:paraId="46A47AE2" w14:textId="77777777" w:rsidR="00B50A97" w:rsidRPr="00735561" w:rsidRDefault="00B50A97" w:rsidP="00B50A97">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459D497B" w14:textId="77777777" w:rsidTr="002703BE">
        <w:trPr>
          <w:trHeight w:val="255"/>
        </w:trPr>
        <w:tc>
          <w:tcPr>
            <w:tcW w:w="7070" w:type="dxa"/>
            <w:tcBorders>
              <w:top w:val="nil"/>
              <w:left w:val="single" w:sz="4" w:space="0" w:color="auto"/>
              <w:bottom w:val="single" w:sz="4" w:space="0" w:color="auto"/>
              <w:right w:val="single" w:sz="4" w:space="0" w:color="auto"/>
            </w:tcBorders>
          </w:tcPr>
          <w:p w14:paraId="53BD48EA" w14:textId="77777777" w:rsidR="00735561" w:rsidRPr="00735561" w:rsidRDefault="00735561" w:rsidP="00735561">
            <w:pPr>
              <w:spacing w:after="0" w:line="240" w:lineRule="auto"/>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1FA31998" w14:textId="77777777" w:rsidR="00735561" w:rsidRPr="00735561" w:rsidRDefault="00735561" w:rsidP="0073556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F1994DD" w14:textId="77777777" w:rsidR="00735561" w:rsidRPr="00735561" w:rsidRDefault="00735561" w:rsidP="0073556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370C86A" w14:textId="77777777" w:rsidR="00735561" w:rsidRPr="00735561" w:rsidRDefault="00735561" w:rsidP="0073556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38C5541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14:paraId="0537B81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840481" w:rsidRPr="00735561" w14:paraId="1857D8F9" w14:textId="77777777" w:rsidTr="0073556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3E18BD57" w14:textId="77777777" w:rsidR="00840481" w:rsidRPr="00735561" w:rsidRDefault="00840481" w:rsidP="00840481">
            <w:pPr>
              <w:spacing w:after="0" w:line="240" w:lineRule="auto"/>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14:paraId="56247B49" w14:textId="61ABE2E2" w:rsidR="00840481" w:rsidRPr="0061270F" w:rsidRDefault="00840481" w:rsidP="0084048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509A80B3" w14:textId="1A2BF3D0" w:rsidR="00840481" w:rsidRPr="0061270F" w:rsidRDefault="00840481" w:rsidP="0084048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5248436B" w14:textId="233521C5" w:rsidR="00840481" w:rsidRPr="0061270F" w:rsidRDefault="00840481" w:rsidP="0084048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394F4B65" w14:textId="485D46AD" w:rsidR="00840481" w:rsidRPr="0061270F" w:rsidRDefault="00840481" w:rsidP="00840481">
            <w:pPr>
              <w:spacing w:after="0" w:line="240" w:lineRule="auto"/>
              <w:jc w:val="center"/>
              <w:rPr>
                <w:rFonts w:ascii="Times New Roman" w:eastAsia="Times New Roman" w:hAnsi="Times New Roman" w:cs="Times New Roman"/>
                <w:b/>
                <w:bCs/>
                <w:sz w:val="20"/>
                <w:szCs w:val="20"/>
                <w:lang w:eastAsia="sk-SK"/>
              </w:rPr>
            </w:pPr>
            <w:r w:rsidRPr="00735561">
              <w:rPr>
                <w:rFonts w:ascii="Times New Roman" w:eastAsia="Times New Roman" w:hAnsi="Times New Roman" w:cs="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320C2E45" w14:textId="77777777" w:rsidR="00840481" w:rsidRPr="00735561" w:rsidRDefault="00840481" w:rsidP="0084048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bl>
    <w:p w14:paraId="7D2B7C01"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35561">
        <w:rPr>
          <w:rFonts w:ascii="Times New Roman" w:eastAsia="Times New Roman" w:hAnsi="Times New Roman" w:cs="Times New Roman"/>
          <w:bCs/>
          <w:sz w:val="20"/>
          <w:szCs w:val="20"/>
          <w:lang w:eastAsia="sk-SK"/>
        </w:rPr>
        <w:t>2 –  výdavky rozpísať až do položiek platnej ekonomickej klasifikácie</w:t>
      </w:r>
    </w:p>
    <w:p w14:paraId="12A4EA1D" w14:textId="77777777" w:rsidR="00735561" w:rsidRPr="00735561" w:rsidRDefault="00735561" w:rsidP="00565CC6">
      <w:pPr>
        <w:spacing w:after="0" w:line="240" w:lineRule="auto"/>
        <w:jc w:val="center"/>
        <w:rPr>
          <w:rFonts w:ascii="Times New Roman" w:eastAsia="Times New Roman" w:hAnsi="Times New Roman" w:cs="Times New Roman"/>
          <w:bCs/>
          <w:sz w:val="20"/>
          <w:szCs w:val="20"/>
          <w:lang w:eastAsia="sk-SK"/>
        </w:rPr>
      </w:pPr>
    </w:p>
    <w:p w14:paraId="5BB608D7" w14:textId="6626A41C" w:rsidR="00735561" w:rsidRDefault="00735561" w:rsidP="00735561">
      <w:pPr>
        <w:tabs>
          <w:tab w:val="num" w:pos="1080"/>
        </w:tabs>
        <w:spacing w:after="0" w:line="240" w:lineRule="auto"/>
        <w:ind w:left="-900"/>
        <w:jc w:val="both"/>
        <w:rPr>
          <w:noProof/>
          <w:lang w:eastAsia="sk-SK"/>
        </w:rPr>
      </w:pPr>
    </w:p>
    <w:p w14:paraId="7372ACBF" w14:textId="0EBFD724" w:rsidR="002A0622" w:rsidRDefault="002A0622" w:rsidP="00735561">
      <w:pPr>
        <w:tabs>
          <w:tab w:val="num" w:pos="1080"/>
        </w:tabs>
        <w:spacing w:after="0" w:line="240" w:lineRule="auto"/>
        <w:ind w:left="-900"/>
        <w:jc w:val="both"/>
        <w:rPr>
          <w:noProof/>
          <w:lang w:eastAsia="sk-SK"/>
        </w:rPr>
      </w:pPr>
    </w:p>
    <w:p w14:paraId="70AD39D8" w14:textId="77777777" w:rsidR="002A0622" w:rsidRPr="00735561" w:rsidRDefault="002A0622"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bookmarkStart w:id="1" w:name="_GoBack"/>
      <w:bookmarkEnd w:id="1"/>
    </w:p>
    <w:p w14:paraId="717E03AF"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A6039C7"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F78B358" w14:textId="61DEFA85" w:rsidR="00735561" w:rsidRDefault="00711DAD" w:rsidP="00735561">
      <w:pPr>
        <w:tabs>
          <w:tab w:val="num" w:pos="1080"/>
        </w:tabs>
        <w:spacing w:after="0" w:line="240" w:lineRule="auto"/>
        <w:ind w:left="-900"/>
        <w:jc w:val="both"/>
        <w:rPr>
          <w:rFonts w:ascii="Times New Roman" w:eastAsia="Times New Roman" w:hAnsi="Times New Roman" w:cs="Times New Roman"/>
          <w:bCs/>
          <w:sz w:val="24"/>
          <w:szCs w:val="20"/>
          <w:lang w:eastAsia="sk-SK"/>
        </w:rPr>
      </w:pPr>
      <w:r w:rsidRPr="00735561">
        <w:rPr>
          <w:rFonts w:ascii="Times New Roman" w:eastAsia="Times New Roman" w:hAnsi="Times New Roman" w:cs="Times New Roman"/>
          <w:b/>
          <w:bCs/>
          <w:sz w:val="24"/>
          <w:szCs w:val="20"/>
          <w:lang w:eastAsia="sk-SK"/>
        </w:rPr>
        <w:t>Poznámka:</w:t>
      </w:r>
      <w:r>
        <w:rPr>
          <w:rFonts w:ascii="Times New Roman" w:eastAsia="Times New Roman" w:hAnsi="Times New Roman" w:cs="Times New Roman"/>
          <w:b/>
          <w:bCs/>
          <w:sz w:val="24"/>
          <w:szCs w:val="20"/>
          <w:lang w:eastAsia="sk-SK"/>
        </w:rPr>
        <w:t xml:space="preserve"> </w:t>
      </w:r>
      <w:r w:rsidRPr="00735561">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23DAA57" w14:textId="28D9C0D0" w:rsidR="00A733F4" w:rsidRDefault="00A733F4"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4C6A362" w14:textId="69DC7CD7" w:rsidR="00A733F4" w:rsidRDefault="00A733F4"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AAE29DC" w14:textId="77777777" w:rsidR="00A733F4" w:rsidRPr="00735561" w:rsidRDefault="00A733F4"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485136E"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0474258"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8C90C93"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3F43EBD"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C17C29D"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691AE5F"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DDB21DE" w14:textId="77777777" w:rsidR="00735561" w:rsidRPr="00735561" w:rsidRDefault="00735561" w:rsidP="00735561">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AF13B1" w14:textId="77777777" w:rsidR="00735561" w:rsidRPr="00735561" w:rsidRDefault="00735561" w:rsidP="00735561">
      <w:pPr>
        <w:tabs>
          <w:tab w:val="num" w:pos="1080"/>
        </w:tabs>
        <w:spacing w:after="0" w:line="240" w:lineRule="auto"/>
        <w:jc w:val="right"/>
        <w:rPr>
          <w:rFonts w:ascii="Times New Roman" w:eastAsia="Times New Roman" w:hAnsi="Times New Roman" w:cs="Times New Roman"/>
          <w:bCs/>
          <w:sz w:val="24"/>
          <w:szCs w:val="24"/>
          <w:lang w:eastAsia="sk-SK"/>
        </w:rPr>
      </w:pPr>
      <w:r w:rsidRPr="00735561">
        <w:rPr>
          <w:rFonts w:ascii="Times New Roman" w:eastAsia="Times New Roman" w:hAnsi="Times New Roman" w:cs="Times New Roman"/>
          <w:bCs/>
          <w:sz w:val="24"/>
          <w:szCs w:val="24"/>
          <w:lang w:eastAsia="sk-SK"/>
        </w:rPr>
        <w:t xml:space="preserve">                 Tabuľka č. 5 </w:t>
      </w:r>
    </w:p>
    <w:p w14:paraId="29936989"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35561" w:rsidRPr="00735561" w14:paraId="12ABA5DE" w14:textId="77777777" w:rsidTr="0073556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744668B"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361E97B2"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EAE6027"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poznámka</w:t>
            </w:r>
          </w:p>
        </w:tc>
      </w:tr>
      <w:tr w:rsidR="00735561" w:rsidRPr="00735561" w14:paraId="5A4BC631" w14:textId="77777777" w:rsidTr="0073556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E06E620"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49B7477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cPr>
          <w:p w14:paraId="173DAB60"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cPr>
          <w:p w14:paraId="33E4411E"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cPr>
          <w:p w14:paraId="56A2DB10"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40BAD35F" w14:textId="77777777" w:rsidR="00735561" w:rsidRPr="00735561" w:rsidRDefault="00735561" w:rsidP="00735561">
            <w:pPr>
              <w:spacing w:after="0" w:line="240" w:lineRule="auto"/>
              <w:rPr>
                <w:rFonts w:ascii="Times New Roman" w:eastAsia="Times New Roman" w:hAnsi="Times New Roman" w:cs="Times New Roman"/>
                <w:b/>
                <w:bCs/>
                <w:color w:val="FFFFFF"/>
                <w:sz w:val="24"/>
                <w:szCs w:val="24"/>
                <w:lang w:eastAsia="sk-SK"/>
              </w:rPr>
            </w:pPr>
          </w:p>
        </w:tc>
      </w:tr>
      <w:tr w:rsidR="00735561" w:rsidRPr="00735561" w14:paraId="10402D27" w14:textId="77777777" w:rsidTr="002703BE">
        <w:trPr>
          <w:trHeight w:val="255"/>
        </w:trPr>
        <w:tc>
          <w:tcPr>
            <w:tcW w:w="6188" w:type="dxa"/>
            <w:tcBorders>
              <w:top w:val="nil"/>
              <w:left w:val="single" w:sz="4" w:space="0" w:color="auto"/>
              <w:bottom w:val="single" w:sz="4" w:space="0" w:color="auto"/>
              <w:right w:val="single" w:sz="4" w:space="0" w:color="auto"/>
            </w:tcBorders>
          </w:tcPr>
          <w:p w14:paraId="27FF281C"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2B279A4"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13F1364A"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27BC60B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00D7474B"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5DD6B08E"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2C210387" w14:textId="77777777" w:rsidTr="002703BE">
        <w:trPr>
          <w:trHeight w:val="255"/>
        </w:trPr>
        <w:tc>
          <w:tcPr>
            <w:tcW w:w="6188" w:type="dxa"/>
            <w:tcBorders>
              <w:top w:val="nil"/>
              <w:left w:val="single" w:sz="4" w:space="0" w:color="auto"/>
              <w:bottom w:val="single" w:sz="4" w:space="0" w:color="auto"/>
              <w:right w:val="single" w:sz="4" w:space="0" w:color="auto"/>
            </w:tcBorders>
          </w:tcPr>
          <w:p w14:paraId="0910EFE3"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9CF8C36"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5A42EF06"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54D8993D"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147B8DC2"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2FA01B9"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r w:rsidR="00735561" w:rsidRPr="00735561" w14:paraId="50A33265" w14:textId="77777777" w:rsidTr="002703BE">
        <w:trPr>
          <w:trHeight w:val="255"/>
        </w:trPr>
        <w:tc>
          <w:tcPr>
            <w:tcW w:w="6188" w:type="dxa"/>
            <w:tcBorders>
              <w:top w:val="nil"/>
              <w:left w:val="single" w:sz="4" w:space="0" w:color="auto"/>
              <w:bottom w:val="single" w:sz="4" w:space="0" w:color="auto"/>
              <w:right w:val="single" w:sz="4" w:space="0" w:color="auto"/>
            </w:tcBorders>
          </w:tcPr>
          <w:p w14:paraId="09912C69"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1616DDF"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1C0C08E"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4AA7D86F"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2426F3CA"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05636195"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3A1F7ECF" w14:textId="77777777" w:rsidTr="002703BE">
        <w:trPr>
          <w:trHeight w:val="255"/>
        </w:trPr>
        <w:tc>
          <w:tcPr>
            <w:tcW w:w="6188" w:type="dxa"/>
            <w:tcBorders>
              <w:top w:val="nil"/>
              <w:left w:val="single" w:sz="4" w:space="0" w:color="auto"/>
              <w:bottom w:val="single" w:sz="4" w:space="0" w:color="auto"/>
              <w:right w:val="single" w:sz="4" w:space="0" w:color="auto"/>
            </w:tcBorders>
          </w:tcPr>
          <w:p w14:paraId="1FD13F69"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97A5625"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2547895B"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14:paraId="446D3F93"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14:paraId="2E2CCA3D"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14:paraId="075745D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6E58DD0E" w14:textId="77777777" w:rsidTr="00735561">
        <w:trPr>
          <w:trHeight w:val="255"/>
        </w:trPr>
        <w:tc>
          <w:tcPr>
            <w:tcW w:w="6188" w:type="dxa"/>
            <w:tcBorders>
              <w:top w:val="nil"/>
              <w:left w:val="single" w:sz="4" w:space="0" w:color="auto"/>
              <w:bottom w:val="single" w:sz="4" w:space="0" w:color="auto"/>
              <w:right w:val="single" w:sz="4" w:space="0" w:color="auto"/>
            </w:tcBorders>
            <w:shd w:val="clear" w:color="auto" w:fill="BFBFBF"/>
          </w:tcPr>
          <w:p w14:paraId="65509108"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5ED8C4D5"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3D0412EB"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14:paraId="60569EA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14:paraId="76117256"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165C4F3F"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r>
      <w:tr w:rsidR="00735561" w:rsidRPr="00735561" w14:paraId="3EA36701" w14:textId="77777777" w:rsidTr="002703BE">
        <w:trPr>
          <w:trHeight w:val="255"/>
        </w:trPr>
        <w:tc>
          <w:tcPr>
            <w:tcW w:w="6188" w:type="dxa"/>
            <w:tcBorders>
              <w:top w:val="nil"/>
              <w:left w:val="single" w:sz="4" w:space="0" w:color="auto"/>
              <w:bottom w:val="single" w:sz="4" w:space="0" w:color="auto"/>
              <w:right w:val="single" w:sz="4" w:space="0" w:color="auto"/>
            </w:tcBorders>
          </w:tcPr>
          <w:p w14:paraId="622552A0"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CDFBDBC"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E7EA792"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1BEF5073"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46EE1F66"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38375ACE"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r>
      <w:tr w:rsidR="00A733F4" w:rsidRPr="00735561" w14:paraId="346BEFEB" w14:textId="77777777" w:rsidTr="002703BE">
        <w:trPr>
          <w:trHeight w:val="255"/>
        </w:trPr>
        <w:tc>
          <w:tcPr>
            <w:tcW w:w="6188" w:type="dxa"/>
            <w:tcBorders>
              <w:top w:val="nil"/>
              <w:left w:val="single" w:sz="4" w:space="0" w:color="auto"/>
              <w:bottom w:val="single" w:sz="4" w:space="0" w:color="auto"/>
              <w:right w:val="single" w:sz="4" w:space="0" w:color="auto"/>
            </w:tcBorders>
          </w:tcPr>
          <w:p w14:paraId="7894FC1F" w14:textId="77777777" w:rsidR="00A733F4" w:rsidRPr="00735561" w:rsidRDefault="00A733F4" w:rsidP="00735561">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tcPr>
          <w:p w14:paraId="0699312B" w14:textId="77777777" w:rsidR="00A733F4" w:rsidRPr="00735561" w:rsidRDefault="00A733F4"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DFFF47F" w14:textId="77777777" w:rsidR="00A733F4" w:rsidRPr="00735561" w:rsidRDefault="00A733F4"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1F53769E" w14:textId="77777777" w:rsidR="00A733F4" w:rsidRPr="00735561" w:rsidRDefault="00A733F4"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5FFA5401" w14:textId="77777777" w:rsidR="00A733F4" w:rsidRPr="00735561" w:rsidRDefault="00A733F4"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1758494" w14:textId="77777777" w:rsidR="00A733F4" w:rsidRPr="00735561" w:rsidRDefault="00A733F4" w:rsidP="00735561">
            <w:pPr>
              <w:spacing w:after="0" w:line="240" w:lineRule="auto"/>
              <w:rPr>
                <w:rFonts w:ascii="Times New Roman" w:eastAsia="Times New Roman" w:hAnsi="Times New Roman" w:cs="Times New Roman"/>
                <w:b/>
                <w:bCs/>
                <w:sz w:val="24"/>
                <w:szCs w:val="24"/>
                <w:lang w:eastAsia="sk-SK"/>
              </w:rPr>
            </w:pPr>
          </w:p>
        </w:tc>
      </w:tr>
      <w:tr w:rsidR="00735561" w:rsidRPr="00735561" w14:paraId="18C3375E" w14:textId="77777777" w:rsidTr="002703BE">
        <w:trPr>
          <w:trHeight w:val="255"/>
        </w:trPr>
        <w:tc>
          <w:tcPr>
            <w:tcW w:w="6188" w:type="dxa"/>
            <w:tcBorders>
              <w:top w:val="nil"/>
              <w:left w:val="single" w:sz="4" w:space="0" w:color="auto"/>
              <w:bottom w:val="single" w:sz="4" w:space="0" w:color="auto"/>
              <w:right w:val="single" w:sz="4" w:space="0" w:color="auto"/>
            </w:tcBorders>
          </w:tcPr>
          <w:p w14:paraId="1DB366DC"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67DC311"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21B11F0C"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2300C7DB"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6FFFF4BF"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495D3B9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5C64A205" w14:textId="77777777" w:rsidTr="002703BE">
        <w:trPr>
          <w:trHeight w:val="255"/>
        </w:trPr>
        <w:tc>
          <w:tcPr>
            <w:tcW w:w="6188" w:type="dxa"/>
            <w:tcBorders>
              <w:top w:val="nil"/>
              <w:left w:val="single" w:sz="4" w:space="0" w:color="auto"/>
              <w:bottom w:val="single" w:sz="4" w:space="0" w:color="auto"/>
              <w:right w:val="single" w:sz="4" w:space="0" w:color="auto"/>
            </w:tcBorders>
          </w:tcPr>
          <w:p w14:paraId="142FD722"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0A5CFFDB"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2CD0397E"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4B3A74CF"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1CA00178" w14:textId="77777777" w:rsidR="00735561" w:rsidRPr="00735561" w:rsidRDefault="00735561" w:rsidP="00735561">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41650B05"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 </w:t>
            </w:r>
          </w:p>
        </w:tc>
      </w:tr>
      <w:tr w:rsidR="00735561" w:rsidRPr="00735561" w14:paraId="5BF6DA72" w14:textId="77777777" w:rsidTr="002703BE">
        <w:trPr>
          <w:trHeight w:val="255"/>
        </w:trPr>
        <w:tc>
          <w:tcPr>
            <w:tcW w:w="6188" w:type="dxa"/>
            <w:tcBorders>
              <w:top w:val="nil"/>
              <w:left w:val="single" w:sz="4" w:space="0" w:color="auto"/>
              <w:bottom w:val="single" w:sz="4" w:space="0" w:color="auto"/>
              <w:right w:val="single" w:sz="4" w:space="0" w:color="auto"/>
            </w:tcBorders>
          </w:tcPr>
          <w:p w14:paraId="1BA8868A"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B3E251D"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0A22A03B"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6D69B0FA"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0AB753D8"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36184409"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w:t>
            </w:r>
          </w:p>
        </w:tc>
      </w:tr>
      <w:tr w:rsidR="00735561" w:rsidRPr="00735561" w14:paraId="32638CDA" w14:textId="77777777" w:rsidTr="002703BE">
        <w:trPr>
          <w:trHeight w:val="255"/>
        </w:trPr>
        <w:tc>
          <w:tcPr>
            <w:tcW w:w="6188" w:type="dxa"/>
            <w:tcBorders>
              <w:top w:val="nil"/>
              <w:left w:val="nil"/>
              <w:bottom w:val="nil"/>
              <w:right w:val="nil"/>
            </w:tcBorders>
            <w:noWrap/>
            <w:vAlign w:val="bottom"/>
          </w:tcPr>
          <w:p w14:paraId="282724B4"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00B7C657"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2540ACE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3D351333"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382E5A3E"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6548BC10"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r w:rsidR="00735561" w:rsidRPr="00735561" w14:paraId="77ADF9F2" w14:textId="77777777" w:rsidTr="002703BE">
        <w:trPr>
          <w:trHeight w:val="255"/>
        </w:trPr>
        <w:tc>
          <w:tcPr>
            <w:tcW w:w="6188" w:type="dxa"/>
            <w:tcBorders>
              <w:top w:val="nil"/>
              <w:left w:val="nil"/>
              <w:bottom w:val="nil"/>
              <w:right w:val="nil"/>
            </w:tcBorders>
          </w:tcPr>
          <w:p w14:paraId="301F5546" w14:textId="77777777" w:rsidR="00735561" w:rsidRPr="00735561" w:rsidRDefault="00735561" w:rsidP="00735561">
            <w:pPr>
              <w:spacing w:after="0" w:line="240" w:lineRule="auto"/>
              <w:rPr>
                <w:rFonts w:ascii="Times New Roman" w:eastAsia="Times New Roman" w:hAnsi="Times New Roman" w:cs="Times New Roman"/>
                <w:b/>
                <w:bCs/>
                <w:sz w:val="24"/>
                <w:szCs w:val="24"/>
                <w:lang w:eastAsia="sk-SK"/>
              </w:rPr>
            </w:pPr>
            <w:r w:rsidRPr="00735561">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3D171C3F"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3AA3711B"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2B36F8F1"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76F9111C"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4C125E06"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r w:rsidR="00735561" w:rsidRPr="00735561" w14:paraId="6B18E415" w14:textId="77777777" w:rsidTr="002703BE">
        <w:trPr>
          <w:trHeight w:val="255"/>
        </w:trPr>
        <w:tc>
          <w:tcPr>
            <w:tcW w:w="13814" w:type="dxa"/>
            <w:gridSpan w:val="6"/>
            <w:tcBorders>
              <w:top w:val="nil"/>
              <w:left w:val="nil"/>
              <w:bottom w:val="nil"/>
              <w:right w:val="nil"/>
            </w:tcBorders>
            <w:noWrap/>
          </w:tcPr>
          <w:p w14:paraId="685ABD16" w14:textId="77777777" w:rsidR="00735561" w:rsidRPr="00735561" w:rsidRDefault="00735561" w:rsidP="00735561">
            <w:pPr>
              <w:tabs>
                <w:tab w:val="num" w:pos="1080"/>
              </w:tabs>
              <w:spacing w:after="0" w:line="240" w:lineRule="auto"/>
              <w:jc w:val="both"/>
              <w:rPr>
                <w:rFonts w:ascii="Times New Roman" w:eastAsia="Times New Roman" w:hAnsi="Times New Roman" w:cs="Times New Roman"/>
                <w:bCs/>
                <w:sz w:val="24"/>
                <w:szCs w:val="20"/>
                <w:lang w:eastAsia="sk-SK"/>
              </w:rPr>
            </w:pPr>
            <w:r w:rsidRPr="00735561">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C14DEB6"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47B0F7A2"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r w:rsidR="00735561" w:rsidRPr="00735561" w14:paraId="3B5939CC" w14:textId="77777777" w:rsidTr="002703BE">
        <w:trPr>
          <w:trHeight w:val="255"/>
        </w:trPr>
        <w:tc>
          <w:tcPr>
            <w:tcW w:w="10394" w:type="dxa"/>
            <w:gridSpan w:val="4"/>
            <w:tcBorders>
              <w:top w:val="nil"/>
              <w:left w:val="nil"/>
              <w:bottom w:val="nil"/>
              <w:right w:val="nil"/>
            </w:tcBorders>
            <w:noWrap/>
            <w:vAlign w:val="bottom"/>
          </w:tcPr>
          <w:p w14:paraId="34F2D87D"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63680BC0"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2997A483"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398EEE50" w14:textId="77777777" w:rsidR="00735561" w:rsidRPr="00735561" w:rsidRDefault="00735561" w:rsidP="00735561">
            <w:pPr>
              <w:spacing w:after="0" w:line="240" w:lineRule="auto"/>
              <w:rPr>
                <w:rFonts w:ascii="Times New Roman" w:eastAsia="Times New Roman" w:hAnsi="Times New Roman" w:cs="Times New Roman"/>
                <w:sz w:val="24"/>
                <w:szCs w:val="24"/>
                <w:lang w:eastAsia="sk-SK"/>
              </w:rPr>
            </w:pPr>
          </w:p>
        </w:tc>
      </w:tr>
    </w:tbl>
    <w:p w14:paraId="690B0C91" w14:textId="77777777" w:rsidR="004F522D" w:rsidRDefault="004F522D"/>
    <w:p w14:paraId="67EDFF20" w14:textId="77777777" w:rsidR="00735561" w:rsidRDefault="00735561">
      <w:pPr>
        <w:sectPr w:rsidR="00735561" w:rsidSect="00735561">
          <w:footerReference w:type="default" r:id="rId15"/>
          <w:pgSz w:w="16838" w:h="11906" w:orient="landscape"/>
          <w:pgMar w:top="1418" w:right="1418" w:bottom="1418"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35561" w:rsidRPr="00735561" w14:paraId="20568132" w14:textId="77777777" w:rsidTr="002703BE">
        <w:trPr>
          <w:trHeight w:val="566"/>
        </w:trPr>
        <w:tc>
          <w:tcPr>
            <w:tcW w:w="9212" w:type="dxa"/>
            <w:shd w:val="clear" w:color="auto" w:fill="D9D9D9"/>
            <w:vAlign w:val="center"/>
            <w:hideMark/>
          </w:tcPr>
          <w:p w14:paraId="30615068" w14:textId="77777777" w:rsidR="00735561" w:rsidRPr="00735561" w:rsidRDefault="00735561" w:rsidP="00735561">
            <w:pPr>
              <w:spacing w:after="0" w:line="240" w:lineRule="auto"/>
              <w:jc w:val="center"/>
              <w:rPr>
                <w:rFonts w:ascii="Times New Roman" w:eastAsia="Times New Roman" w:hAnsi="Times New Roman" w:cs="Times New Roman"/>
                <w:sz w:val="24"/>
                <w:szCs w:val="24"/>
                <w:lang w:eastAsia="sk-SK"/>
              </w:rPr>
            </w:pPr>
            <w:r w:rsidRPr="00735561">
              <w:rPr>
                <w:rFonts w:ascii="Times New Roman" w:eastAsia="Times New Roman" w:hAnsi="Times New Roman" w:cs="Times New Roman"/>
                <w:b/>
                <w:sz w:val="28"/>
                <w:szCs w:val="24"/>
                <w:lang w:eastAsia="sk-SK"/>
              </w:rPr>
              <w:t>Analýza vplyvov na životné prostredie</w:t>
            </w:r>
          </w:p>
        </w:tc>
      </w:tr>
      <w:tr w:rsidR="00735561" w:rsidRPr="00735561" w14:paraId="745ED36A" w14:textId="77777777" w:rsidTr="002703BE">
        <w:trPr>
          <w:trHeight w:val="688"/>
        </w:trPr>
        <w:tc>
          <w:tcPr>
            <w:tcW w:w="9212" w:type="dxa"/>
            <w:shd w:val="clear" w:color="auto" w:fill="D9D9D9"/>
            <w:vAlign w:val="center"/>
            <w:hideMark/>
          </w:tcPr>
          <w:p w14:paraId="31A725B8" w14:textId="77777777" w:rsidR="00735561" w:rsidRPr="00735561" w:rsidRDefault="00735561" w:rsidP="00735561">
            <w:pPr>
              <w:spacing w:after="0" w:line="240" w:lineRule="auto"/>
              <w:rPr>
                <w:rFonts w:ascii="Times New Roman" w:eastAsia="Times New Roman" w:hAnsi="Times New Roman" w:cs="Times New Roman"/>
                <w:i/>
                <w:sz w:val="24"/>
                <w:szCs w:val="24"/>
                <w:lang w:eastAsia="sk-SK"/>
              </w:rPr>
            </w:pPr>
            <w:r w:rsidRPr="00735561">
              <w:rPr>
                <w:rFonts w:ascii="Times New Roman" w:eastAsia="Times New Roman" w:hAnsi="Times New Roman" w:cs="Times New Roman"/>
                <w:b/>
                <w:sz w:val="24"/>
                <w:szCs w:val="24"/>
                <w:lang w:eastAsia="sk-SK"/>
              </w:rPr>
              <w:t>5.1 Ktoré zložky životného prostredia (najmä ovzdušie, voda, horniny, pôda, organizmy) budú predkladaným materiálom ovplyvnené a aký bude ich vplyv ?</w:t>
            </w:r>
          </w:p>
        </w:tc>
      </w:tr>
      <w:tr w:rsidR="00735561" w:rsidRPr="00735561" w14:paraId="60A13C2F" w14:textId="77777777" w:rsidTr="002703BE">
        <w:trPr>
          <w:trHeight w:val="995"/>
        </w:trPr>
        <w:tc>
          <w:tcPr>
            <w:tcW w:w="9212" w:type="dxa"/>
          </w:tcPr>
          <w:p w14:paraId="55F1B4D0" w14:textId="19586842" w:rsidR="000D6C15" w:rsidRDefault="00735561" w:rsidP="000D6C15">
            <w:pPr>
              <w:spacing w:after="0" w:line="240" w:lineRule="auto"/>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Návrh zákona predpokladá</w:t>
            </w:r>
            <w:r w:rsidR="00D63CC1">
              <w:rPr>
                <w:rFonts w:ascii="Times New Roman" w:eastAsia="Times New Roman" w:hAnsi="Times New Roman" w:cs="Times New Roman"/>
                <w:sz w:val="24"/>
                <w:szCs w:val="24"/>
                <w:lang w:eastAsia="sk-SK"/>
              </w:rPr>
              <w:t>, že bude pokračovať doterajší</w:t>
            </w:r>
            <w:r w:rsidRPr="00735561">
              <w:rPr>
                <w:rFonts w:ascii="Times New Roman" w:eastAsia="Times New Roman" w:hAnsi="Times New Roman" w:cs="Times New Roman"/>
                <w:sz w:val="24"/>
                <w:szCs w:val="24"/>
                <w:lang w:eastAsia="sk-SK"/>
              </w:rPr>
              <w:t xml:space="preserve"> pozitívny vplyv na životné prostredie prostredníctvom opatrení na dosahovanie úspor emisií skleníkových plynov, zvyšovania energetickej účinnosti, znižovania spotreby primárnych zdrojov energie, náhrady fosílnych palív obnoviteľnými zdrojmi energie, zavádzania najlepšie dostupných technológií</w:t>
            </w:r>
            <w:r w:rsidR="000D6C15">
              <w:rPr>
                <w:rFonts w:ascii="Times New Roman" w:eastAsia="Times New Roman" w:hAnsi="Times New Roman" w:cs="Times New Roman"/>
                <w:sz w:val="24"/>
                <w:szCs w:val="24"/>
                <w:lang w:eastAsia="sk-SK"/>
              </w:rPr>
              <w:t xml:space="preserve">, ktoré budú </w:t>
            </w:r>
            <w:r w:rsidRPr="00735561">
              <w:rPr>
                <w:rFonts w:ascii="Times New Roman" w:eastAsia="Times New Roman" w:hAnsi="Times New Roman" w:cs="Times New Roman"/>
                <w:sz w:val="24"/>
                <w:szCs w:val="24"/>
                <w:lang w:eastAsia="sk-SK"/>
              </w:rPr>
              <w:t>financovan</w:t>
            </w:r>
            <w:r w:rsidR="000D6C15">
              <w:rPr>
                <w:rFonts w:ascii="Times New Roman" w:eastAsia="Times New Roman" w:hAnsi="Times New Roman" w:cs="Times New Roman"/>
                <w:sz w:val="24"/>
                <w:szCs w:val="24"/>
                <w:lang w:eastAsia="sk-SK"/>
              </w:rPr>
              <w:t>é z dostupných finančných zdrojov.</w:t>
            </w:r>
          </w:p>
          <w:p w14:paraId="0ADD2355" w14:textId="1DE7854E" w:rsidR="00735561" w:rsidRPr="00735561" w:rsidRDefault="000D6C15" w:rsidP="000D6C15">
            <w:pPr>
              <w:spacing w:after="0" w:line="240" w:lineRule="auto"/>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 xml:space="preserve"> </w:t>
            </w:r>
          </w:p>
        </w:tc>
      </w:tr>
      <w:tr w:rsidR="00735561" w:rsidRPr="00735561" w14:paraId="12C69FEE" w14:textId="77777777" w:rsidTr="002703BE">
        <w:trPr>
          <w:trHeight w:val="404"/>
        </w:trPr>
        <w:tc>
          <w:tcPr>
            <w:tcW w:w="9212" w:type="dxa"/>
            <w:shd w:val="clear" w:color="auto" w:fill="D9D9D9"/>
            <w:vAlign w:val="center"/>
            <w:hideMark/>
          </w:tcPr>
          <w:p w14:paraId="248EBBC8" w14:textId="77777777" w:rsidR="00735561" w:rsidRPr="00735561" w:rsidRDefault="00735561" w:rsidP="00735561">
            <w:pPr>
              <w:spacing w:after="0" w:line="240" w:lineRule="auto"/>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 xml:space="preserve">5.2 Bude mať predkladaný materiál vplyv na chránené územia a ak áno, aký? </w:t>
            </w:r>
          </w:p>
        </w:tc>
      </w:tr>
      <w:tr w:rsidR="00735561" w:rsidRPr="00735561" w14:paraId="2E44ED93" w14:textId="77777777" w:rsidTr="002703BE">
        <w:trPr>
          <w:trHeight w:val="987"/>
        </w:trPr>
        <w:tc>
          <w:tcPr>
            <w:tcW w:w="9212" w:type="dxa"/>
          </w:tcPr>
          <w:p w14:paraId="68F230BF" w14:textId="77777777" w:rsidR="00735561" w:rsidRPr="00735561" w:rsidRDefault="00735561" w:rsidP="00735561">
            <w:pPr>
              <w:spacing w:after="0" w:line="240" w:lineRule="auto"/>
              <w:jc w:val="both"/>
              <w:rPr>
                <w:rFonts w:ascii="Times New Roman" w:eastAsia="Times New Roman" w:hAnsi="Times New Roman" w:cs="Times New Roman"/>
                <w:i/>
                <w:sz w:val="24"/>
                <w:szCs w:val="24"/>
                <w:lang w:eastAsia="sk-SK"/>
              </w:rPr>
            </w:pPr>
            <w:r w:rsidRPr="00735561">
              <w:rPr>
                <w:rFonts w:ascii="Times New Roman" w:eastAsia="Times New Roman" w:hAnsi="Times New Roman" w:cs="Times New Roman"/>
                <w:sz w:val="24"/>
                <w:szCs w:val="24"/>
                <w:lang w:eastAsia="sk-SK"/>
              </w:rPr>
              <w:t>Nie.</w:t>
            </w:r>
          </w:p>
        </w:tc>
      </w:tr>
      <w:tr w:rsidR="00735561" w:rsidRPr="00735561" w14:paraId="2A597B13" w14:textId="77777777" w:rsidTr="002703BE">
        <w:trPr>
          <w:trHeight w:val="698"/>
        </w:trPr>
        <w:tc>
          <w:tcPr>
            <w:tcW w:w="9212" w:type="dxa"/>
            <w:shd w:val="clear" w:color="auto" w:fill="D9D9D9"/>
            <w:vAlign w:val="center"/>
          </w:tcPr>
          <w:p w14:paraId="255AE03E" w14:textId="77777777" w:rsidR="00735561" w:rsidRPr="00735561" w:rsidRDefault="00735561" w:rsidP="00735561">
            <w:pPr>
              <w:spacing w:after="0" w:line="240" w:lineRule="auto"/>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5.3 Bude mať predkladaný materiál vplyvy na životné prostredie presahujúce štátne hranice? (ktoré zložky a ako budú najviac ovplyvnené)?</w:t>
            </w:r>
          </w:p>
        </w:tc>
      </w:tr>
      <w:tr w:rsidR="00735561" w:rsidRPr="00735561" w14:paraId="551DD873" w14:textId="77777777" w:rsidTr="002703BE">
        <w:trPr>
          <w:trHeight w:val="969"/>
        </w:trPr>
        <w:tc>
          <w:tcPr>
            <w:tcW w:w="9212" w:type="dxa"/>
          </w:tcPr>
          <w:p w14:paraId="45D3457E" w14:textId="77777777" w:rsidR="00735561" w:rsidRPr="00735561" w:rsidRDefault="00735561" w:rsidP="00735561">
            <w:pPr>
              <w:spacing w:after="0" w:line="240" w:lineRule="auto"/>
              <w:jc w:val="both"/>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sz w:val="24"/>
                <w:szCs w:val="24"/>
                <w:lang w:eastAsia="sk-SK"/>
              </w:rPr>
              <w:t>Nie.</w:t>
            </w:r>
          </w:p>
        </w:tc>
      </w:tr>
      <w:tr w:rsidR="00735561" w:rsidRPr="00735561" w14:paraId="73E277DE" w14:textId="77777777" w:rsidTr="002703BE">
        <w:trPr>
          <w:trHeight w:val="713"/>
        </w:trPr>
        <w:tc>
          <w:tcPr>
            <w:tcW w:w="9212" w:type="dxa"/>
            <w:shd w:val="clear" w:color="auto" w:fill="D9D9D9"/>
            <w:vAlign w:val="center"/>
          </w:tcPr>
          <w:p w14:paraId="7505A045" w14:textId="77777777" w:rsidR="00735561" w:rsidRPr="00735561" w:rsidRDefault="00735561" w:rsidP="00735561">
            <w:pPr>
              <w:spacing w:after="0" w:line="240" w:lineRule="auto"/>
              <w:rPr>
                <w:rFonts w:ascii="Times New Roman" w:eastAsia="Times New Roman" w:hAnsi="Times New Roman" w:cs="Times New Roman"/>
                <w:b/>
                <w:sz w:val="24"/>
                <w:szCs w:val="24"/>
                <w:lang w:eastAsia="sk-SK"/>
              </w:rPr>
            </w:pPr>
            <w:r w:rsidRPr="00735561">
              <w:rPr>
                <w:rFonts w:ascii="Times New Roman" w:eastAsia="Times New Roman" w:hAnsi="Times New Roman" w:cs="Times New Roman"/>
                <w:b/>
                <w:sz w:val="24"/>
                <w:szCs w:val="24"/>
                <w:lang w:eastAsia="sk-SK"/>
              </w:rPr>
              <w:t>5.4 Aké opatrenia budú prijaté na zmiernenie negatívneho vplyvu na životné prostredie?</w:t>
            </w:r>
          </w:p>
        </w:tc>
      </w:tr>
      <w:tr w:rsidR="00735561" w:rsidRPr="00735561" w14:paraId="4C63521F" w14:textId="77777777" w:rsidTr="002703BE">
        <w:trPr>
          <w:trHeight w:val="979"/>
        </w:trPr>
        <w:tc>
          <w:tcPr>
            <w:tcW w:w="9212" w:type="dxa"/>
            <w:shd w:val="clear" w:color="auto" w:fill="FFFFFF"/>
          </w:tcPr>
          <w:p w14:paraId="521D62C7" w14:textId="77777777" w:rsidR="00735561" w:rsidRPr="00735561" w:rsidRDefault="00735561" w:rsidP="00735561">
            <w:pPr>
              <w:spacing w:after="0" w:line="240" w:lineRule="auto"/>
              <w:jc w:val="both"/>
              <w:rPr>
                <w:rFonts w:ascii="Times New Roman" w:eastAsia="Times New Roman" w:hAnsi="Times New Roman" w:cs="Times New Roman"/>
                <w:sz w:val="24"/>
                <w:szCs w:val="24"/>
                <w:lang w:eastAsia="sk-SK"/>
              </w:rPr>
            </w:pPr>
            <w:r w:rsidRPr="00735561">
              <w:rPr>
                <w:rFonts w:ascii="Times New Roman" w:eastAsia="Times New Roman" w:hAnsi="Times New Roman" w:cs="Times New Roman"/>
                <w:sz w:val="24"/>
                <w:szCs w:val="24"/>
                <w:lang w:eastAsia="sk-SK"/>
              </w:rPr>
              <w:t>Neočakáva sa negatívny vplyv na životné prostredie.</w:t>
            </w:r>
          </w:p>
        </w:tc>
      </w:tr>
    </w:tbl>
    <w:p w14:paraId="19524355" w14:textId="77777777" w:rsidR="00735561" w:rsidRDefault="00735561"/>
    <w:p w14:paraId="03EDE614" w14:textId="77777777" w:rsidR="00735561" w:rsidRDefault="00735561"/>
    <w:p w14:paraId="58A04AB5" w14:textId="77777777" w:rsidR="00735561" w:rsidRDefault="00735561"/>
    <w:p w14:paraId="185ED97F" w14:textId="77777777" w:rsidR="00735561" w:rsidRDefault="00735561"/>
    <w:p w14:paraId="09CAAB84" w14:textId="77777777" w:rsidR="00735561" w:rsidRDefault="00735561"/>
    <w:sectPr w:rsidR="00735561" w:rsidSect="0073556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D5D51" w14:textId="77777777" w:rsidR="00775DEE" w:rsidRDefault="00775DEE" w:rsidP="00735561">
      <w:pPr>
        <w:spacing w:after="0" w:line="240" w:lineRule="auto"/>
      </w:pPr>
      <w:r>
        <w:separator/>
      </w:r>
    </w:p>
  </w:endnote>
  <w:endnote w:type="continuationSeparator" w:id="0">
    <w:p w14:paraId="01F29A56" w14:textId="77777777" w:rsidR="00775DEE" w:rsidRDefault="00775DEE" w:rsidP="0073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18F0" w14:textId="77777777" w:rsidR="00775DEE" w:rsidRDefault="00775DE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27F89A0" w14:textId="77777777" w:rsidR="00775DEE" w:rsidRDefault="00775D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9DA5" w14:textId="40D9C401" w:rsidR="00775DEE" w:rsidRDefault="00775DEE">
    <w:pPr>
      <w:pStyle w:val="Pta"/>
      <w:jc w:val="right"/>
    </w:pPr>
    <w:r>
      <w:rPr>
        <w:noProof/>
      </w:rPr>
      <w:fldChar w:fldCharType="begin"/>
    </w:r>
    <w:r>
      <w:rPr>
        <w:noProof/>
      </w:rPr>
      <w:instrText>PAGE   \* MERGEFORMAT</w:instrText>
    </w:r>
    <w:r>
      <w:rPr>
        <w:noProof/>
      </w:rPr>
      <w:fldChar w:fldCharType="separate"/>
    </w:r>
    <w:r w:rsidR="00840481">
      <w:rPr>
        <w:noProof/>
      </w:rPr>
      <w:t>8</w:t>
    </w:r>
    <w:r>
      <w:rPr>
        <w:noProof/>
      </w:rPr>
      <w:fldChar w:fldCharType="end"/>
    </w:r>
  </w:p>
  <w:p w14:paraId="14E5A21A" w14:textId="77777777" w:rsidR="00775DEE" w:rsidRDefault="00775DE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812E" w14:textId="77777777" w:rsidR="00775DEE" w:rsidRDefault="00775DEE">
    <w:pPr>
      <w:pStyle w:val="Pta"/>
      <w:jc w:val="right"/>
    </w:pPr>
    <w:r>
      <w:rPr>
        <w:noProof/>
      </w:rPr>
      <w:fldChar w:fldCharType="begin"/>
    </w:r>
    <w:r>
      <w:rPr>
        <w:noProof/>
      </w:rPr>
      <w:instrText>PAGE   \* MERGEFORMAT</w:instrText>
    </w:r>
    <w:r>
      <w:rPr>
        <w:noProof/>
      </w:rPr>
      <w:fldChar w:fldCharType="separate"/>
    </w:r>
    <w:r>
      <w:rPr>
        <w:noProof/>
      </w:rPr>
      <w:t>0</w:t>
    </w:r>
    <w:r>
      <w:rPr>
        <w:noProof/>
      </w:rPr>
      <w:fldChar w:fldCharType="end"/>
    </w:r>
  </w:p>
  <w:p w14:paraId="415D8885" w14:textId="77777777" w:rsidR="00775DEE" w:rsidRDefault="00775DE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2980B75B" w14:textId="57D38E0A" w:rsidR="00775DEE" w:rsidRPr="006045CB" w:rsidRDefault="00775DEE" w:rsidP="002703BE">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840481">
          <w:rPr>
            <w:rFonts w:ascii="Times New Roman" w:hAnsi="Times New Roman" w:cs="Times New Roman"/>
            <w:noProof/>
            <w:sz w:val="24"/>
            <w:szCs w:val="24"/>
          </w:rPr>
          <w:t>12</w:t>
        </w:r>
        <w:r w:rsidRPr="006045CB">
          <w:rPr>
            <w:rFonts w:ascii="Times New Roman" w:hAnsi="Times New Roman" w:cs="Times New Roman"/>
            <w:sz w:val="24"/>
            <w:szCs w:val="24"/>
          </w:rPr>
          <w:fldChar w:fldCharType="end"/>
        </w:r>
      </w:p>
    </w:sdtContent>
  </w:sdt>
  <w:p w14:paraId="4A06D9DA" w14:textId="77777777" w:rsidR="00775DEE" w:rsidRDefault="00775DEE">
    <w:pPr>
      <w:pStyle w:val="Pta"/>
    </w:pPr>
  </w:p>
  <w:p w14:paraId="03E05817" w14:textId="77777777" w:rsidR="00775DEE" w:rsidRDefault="00775D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E5C7C" w14:textId="77777777" w:rsidR="00775DEE" w:rsidRDefault="00775DEE" w:rsidP="00735561">
      <w:pPr>
        <w:spacing w:after="0" w:line="240" w:lineRule="auto"/>
      </w:pPr>
      <w:r>
        <w:separator/>
      </w:r>
    </w:p>
  </w:footnote>
  <w:footnote w:type="continuationSeparator" w:id="0">
    <w:p w14:paraId="6E97DA80" w14:textId="77777777" w:rsidR="00775DEE" w:rsidRDefault="00775DEE" w:rsidP="0073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2253" w14:textId="77777777" w:rsidR="00775DEE" w:rsidRDefault="00775DEE" w:rsidP="002703BE">
    <w:pPr>
      <w:pStyle w:val="Hlavika"/>
      <w:jc w:val="right"/>
      <w:rPr>
        <w:sz w:val="24"/>
        <w:szCs w:val="24"/>
      </w:rPr>
    </w:pPr>
    <w:r>
      <w:rPr>
        <w:sz w:val="24"/>
        <w:szCs w:val="24"/>
      </w:rPr>
      <w:t>Príloha č. 2</w:t>
    </w:r>
  </w:p>
  <w:p w14:paraId="0D117863" w14:textId="77777777" w:rsidR="00775DEE" w:rsidRPr="00EB59C8" w:rsidRDefault="00775DEE" w:rsidP="002703BE">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AC25" w14:textId="77777777" w:rsidR="00775DEE" w:rsidRPr="000A15AE" w:rsidRDefault="00775DEE" w:rsidP="002703B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5DFD"/>
    <w:multiLevelType w:val="hybridMultilevel"/>
    <w:tmpl w:val="FB00DF4A"/>
    <w:lvl w:ilvl="0" w:tplc="D1BA86C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49"/>
    <w:rsid w:val="00011938"/>
    <w:rsid w:val="0008199D"/>
    <w:rsid w:val="000B1911"/>
    <w:rsid w:val="000C3C23"/>
    <w:rsid w:val="000D6C15"/>
    <w:rsid w:val="00110CF4"/>
    <w:rsid w:val="00115DD2"/>
    <w:rsid w:val="00137049"/>
    <w:rsid w:val="00195FA9"/>
    <w:rsid w:val="001A41C4"/>
    <w:rsid w:val="00220343"/>
    <w:rsid w:val="002207E4"/>
    <w:rsid w:val="00245B01"/>
    <w:rsid w:val="002703BE"/>
    <w:rsid w:val="002A0622"/>
    <w:rsid w:val="002A621A"/>
    <w:rsid w:val="002C6FC9"/>
    <w:rsid w:val="002F1F11"/>
    <w:rsid w:val="00330FC0"/>
    <w:rsid w:val="003A0AE5"/>
    <w:rsid w:val="003B56EB"/>
    <w:rsid w:val="004072D3"/>
    <w:rsid w:val="004102CC"/>
    <w:rsid w:val="0043713E"/>
    <w:rsid w:val="00466F51"/>
    <w:rsid w:val="004A7E5A"/>
    <w:rsid w:val="004B1BB5"/>
    <w:rsid w:val="004B69BC"/>
    <w:rsid w:val="004F522D"/>
    <w:rsid w:val="00526C9C"/>
    <w:rsid w:val="005330B3"/>
    <w:rsid w:val="005438A3"/>
    <w:rsid w:val="00565CC6"/>
    <w:rsid w:val="0057470C"/>
    <w:rsid w:val="005A151D"/>
    <w:rsid w:val="005B36DF"/>
    <w:rsid w:val="005F2A46"/>
    <w:rsid w:val="00603810"/>
    <w:rsid w:val="0061270F"/>
    <w:rsid w:val="0063709A"/>
    <w:rsid w:val="006D47E3"/>
    <w:rsid w:val="006F73D5"/>
    <w:rsid w:val="00702420"/>
    <w:rsid w:val="00711DAD"/>
    <w:rsid w:val="0071713C"/>
    <w:rsid w:val="00735561"/>
    <w:rsid w:val="0074361E"/>
    <w:rsid w:val="00746241"/>
    <w:rsid w:val="0076489B"/>
    <w:rsid w:val="00775DEE"/>
    <w:rsid w:val="007B41DC"/>
    <w:rsid w:val="00801B54"/>
    <w:rsid w:val="00807675"/>
    <w:rsid w:val="00833E78"/>
    <w:rsid w:val="00840481"/>
    <w:rsid w:val="00886895"/>
    <w:rsid w:val="008B13A6"/>
    <w:rsid w:val="008D45A8"/>
    <w:rsid w:val="00913855"/>
    <w:rsid w:val="00925602"/>
    <w:rsid w:val="00996E3B"/>
    <w:rsid w:val="009C7598"/>
    <w:rsid w:val="009D0A35"/>
    <w:rsid w:val="009D1652"/>
    <w:rsid w:val="009D7685"/>
    <w:rsid w:val="00A24E1F"/>
    <w:rsid w:val="00A733F4"/>
    <w:rsid w:val="00A93120"/>
    <w:rsid w:val="00AA7B92"/>
    <w:rsid w:val="00B50A97"/>
    <w:rsid w:val="00BA6958"/>
    <w:rsid w:val="00BF4AE6"/>
    <w:rsid w:val="00C121D5"/>
    <w:rsid w:val="00C562C1"/>
    <w:rsid w:val="00C95048"/>
    <w:rsid w:val="00CA0246"/>
    <w:rsid w:val="00CC036B"/>
    <w:rsid w:val="00CD5099"/>
    <w:rsid w:val="00CD6085"/>
    <w:rsid w:val="00CE3955"/>
    <w:rsid w:val="00CF7E77"/>
    <w:rsid w:val="00D2567C"/>
    <w:rsid w:val="00D373F5"/>
    <w:rsid w:val="00D63CC1"/>
    <w:rsid w:val="00D816E4"/>
    <w:rsid w:val="00DA0502"/>
    <w:rsid w:val="00E543E2"/>
    <w:rsid w:val="00E71E22"/>
    <w:rsid w:val="00E95B84"/>
    <w:rsid w:val="00F32E69"/>
    <w:rsid w:val="00F357BD"/>
    <w:rsid w:val="00F37B48"/>
    <w:rsid w:val="00F47CFF"/>
    <w:rsid w:val="00F93061"/>
    <w:rsid w:val="00FB56C1"/>
    <w:rsid w:val="00FE444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8F75"/>
  <w15:docId w15:val="{2D02B156-16F3-4161-B348-2E1B917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556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73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355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5561"/>
  </w:style>
  <w:style w:type="paragraph" w:styleId="Pta">
    <w:name w:val="footer"/>
    <w:basedOn w:val="Normlny"/>
    <w:link w:val="PtaChar"/>
    <w:uiPriority w:val="99"/>
    <w:unhideWhenUsed/>
    <w:rsid w:val="00735561"/>
    <w:pPr>
      <w:tabs>
        <w:tab w:val="center" w:pos="4536"/>
        <w:tab w:val="right" w:pos="9072"/>
      </w:tabs>
      <w:spacing w:after="0" w:line="240" w:lineRule="auto"/>
    </w:pPr>
  </w:style>
  <w:style w:type="character" w:customStyle="1" w:styleId="PtaChar">
    <w:name w:val="Päta Char"/>
    <w:basedOn w:val="Predvolenpsmoodseku"/>
    <w:link w:val="Pta"/>
    <w:uiPriority w:val="99"/>
    <w:rsid w:val="00735561"/>
  </w:style>
  <w:style w:type="character" w:styleId="Hypertextovprepojenie">
    <w:name w:val="Hyperlink"/>
    <w:basedOn w:val="Predvolenpsmoodseku"/>
    <w:uiPriority w:val="99"/>
    <w:unhideWhenUsed/>
    <w:rsid w:val="00735561"/>
    <w:rPr>
      <w:color w:val="0563C1" w:themeColor="hyperlink"/>
      <w:u w:val="single"/>
    </w:rPr>
  </w:style>
  <w:style w:type="paragraph" w:styleId="Odsekzoznamu">
    <w:name w:val="List Paragraph"/>
    <w:basedOn w:val="Normlny"/>
    <w:uiPriority w:val="34"/>
    <w:qFormat/>
    <w:rsid w:val="00735561"/>
    <w:pPr>
      <w:spacing w:after="200" w:line="276" w:lineRule="auto"/>
      <w:ind w:left="720"/>
      <w:contextualSpacing/>
    </w:pPr>
  </w:style>
  <w:style w:type="table" w:styleId="Mriekatabuky">
    <w:name w:val="Table Grid"/>
    <w:basedOn w:val="Normlnatabuka"/>
    <w:uiPriority w:val="39"/>
    <w:rsid w:val="0073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735561"/>
    <w:rPr>
      <w:rFonts w:cs="Times New Roman"/>
    </w:rPr>
  </w:style>
  <w:style w:type="character" w:styleId="Odkaznakomentr">
    <w:name w:val="annotation reference"/>
    <w:basedOn w:val="Predvolenpsmoodseku"/>
    <w:uiPriority w:val="99"/>
    <w:semiHidden/>
    <w:unhideWhenUsed/>
    <w:rsid w:val="00220343"/>
    <w:rPr>
      <w:sz w:val="16"/>
      <w:szCs w:val="16"/>
    </w:rPr>
  </w:style>
  <w:style w:type="paragraph" w:styleId="Textkomentra">
    <w:name w:val="annotation text"/>
    <w:basedOn w:val="Normlny"/>
    <w:link w:val="TextkomentraChar"/>
    <w:uiPriority w:val="99"/>
    <w:semiHidden/>
    <w:unhideWhenUsed/>
    <w:rsid w:val="00220343"/>
    <w:pPr>
      <w:spacing w:line="240" w:lineRule="auto"/>
    </w:pPr>
    <w:rPr>
      <w:sz w:val="20"/>
      <w:szCs w:val="20"/>
    </w:rPr>
  </w:style>
  <w:style w:type="character" w:customStyle="1" w:styleId="TextkomentraChar">
    <w:name w:val="Text komentára Char"/>
    <w:basedOn w:val="Predvolenpsmoodseku"/>
    <w:link w:val="Textkomentra"/>
    <w:uiPriority w:val="99"/>
    <w:semiHidden/>
    <w:rsid w:val="00220343"/>
    <w:rPr>
      <w:sz w:val="20"/>
      <w:szCs w:val="20"/>
    </w:rPr>
  </w:style>
  <w:style w:type="paragraph" w:styleId="Predmetkomentra">
    <w:name w:val="annotation subject"/>
    <w:basedOn w:val="Textkomentra"/>
    <w:next w:val="Textkomentra"/>
    <w:link w:val="PredmetkomentraChar"/>
    <w:uiPriority w:val="99"/>
    <w:semiHidden/>
    <w:unhideWhenUsed/>
    <w:rsid w:val="00220343"/>
    <w:rPr>
      <w:b/>
      <w:bCs/>
    </w:rPr>
  </w:style>
  <w:style w:type="character" w:customStyle="1" w:styleId="PredmetkomentraChar">
    <w:name w:val="Predmet komentára Char"/>
    <w:basedOn w:val="TextkomentraChar"/>
    <w:link w:val="Predmetkomentra"/>
    <w:uiPriority w:val="99"/>
    <w:semiHidden/>
    <w:rsid w:val="00220343"/>
    <w:rPr>
      <w:b/>
      <w:bCs/>
      <w:sz w:val="20"/>
      <w:szCs w:val="20"/>
    </w:rPr>
  </w:style>
  <w:style w:type="paragraph" w:styleId="Textbubliny">
    <w:name w:val="Balloon Text"/>
    <w:basedOn w:val="Normlny"/>
    <w:link w:val="TextbublinyChar"/>
    <w:uiPriority w:val="99"/>
    <w:semiHidden/>
    <w:unhideWhenUsed/>
    <w:rsid w:val="0022034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0343"/>
    <w:rPr>
      <w:rFonts w:ascii="Segoe UI" w:hAnsi="Segoe UI" w:cs="Segoe UI"/>
      <w:sz w:val="18"/>
      <w:szCs w:val="18"/>
    </w:rPr>
  </w:style>
  <w:style w:type="paragraph" w:customStyle="1" w:styleId="norm00e1lny">
    <w:name w:val="norm_00e1lny"/>
    <w:basedOn w:val="Normlny"/>
    <w:rsid w:val="0076489B"/>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9602">
      <w:bodyDiv w:val="1"/>
      <w:marLeft w:val="0"/>
      <w:marRight w:val="0"/>
      <w:marTop w:val="0"/>
      <w:marBottom w:val="0"/>
      <w:divBdr>
        <w:top w:val="none" w:sz="0" w:space="0" w:color="auto"/>
        <w:left w:val="none" w:sz="0" w:space="0" w:color="auto"/>
        <w:bottom w:val="none" w:sz="0" w:space="0" w:color="auto"/>
        <w:right w:val="none" w:sz="0" w:space="0" w:color="auto"/>
      </w:divBdr>
    </w:div>
    <w:div w:id="1196845104">
      <w:bodyDiv w:val="1"/>
      <w:marLeft w:val="0"/>
      <w:marRight w:val="0"/>
      <w:marTop w:val="0"/>
      <w:marBottom w:val="0"/>
      <w:divBdr>
        <w:top w:val="none" w:sz="0" w:space="0" w:color="auto"/>
        <w:left w:val="none" w:sz="0" w:space="0" w:color="auto"/>
        <w:bottom w:val="none" w:sz="0" w:space="0" w:color="auto"/>
        <w:right w:val="none" w:sz="0" w:space="0" w:color="auto"/>
      </w:divBdr>
    </w:div>
    <w:div w:id="1235701465">
      <w:bodyDiv w:val="1"/>
      <w:marLeft w:val="0"/>
      <w:marRight w:val="0"/>
      <w:marTop w:val="0"/>
      <w:marBottom w:val="0"/>
      <w:divBdr>
        <w:top w:val="none" w:sz="0" w:space="0" w:color="auto"/>
        <w:left w:val="none" w:sz="0" w:space="0" w:color="auto"/>
        <w:bottom w:val="none" w:sz="0" w:space="0" w:color="auto"/>
        <w:right w:val="none" w:sz="0" w:space="0" w:color="auto"/>
      </w:divBdr>
    </w:div>
    <w:div w:id="1257248568">
      <w:bodyDiv w:val="1"/>
      <w:marLeft w:val="0"/>
      <w:marRight w:val="0"/>
      <w:marTop w:val="0"/>
      <w:marBottom w:val="0"/>
      <w:divBdr>
        <w:top w:val="none" w:sz="0" w:space="0" w:color="auto"/>
        <w:left w:val="none" w:sz="0" w:space="0" w:color="auto"/>
        <w:bottom w:val="none" w:sz="0" w:space="0" w:color="auto"/>
        <w:right w:val="none" w:sz="0" w:space="0" w:color="auto"/>
      </w:divBdr>
    </w:div>
    <w:div w:id="1420784780">
      <w:bodyDiv w:val="1"/>
      <w:marLeft w:val="0"/>
      <w:marRight w:val="0"/>
      <w:marTop w:val="0"/>
      <w:marBottom w:val="0"/>
      <w:divBdr>
        <w:top w:val="none" w:sz="0" w:space="0" w:color="auto"/>
        <w:left w:val="none" w:sz="0" w:space="0" w:color="auto"/>
        <w:bottom w:val="none" w:sz="0" w:space="0" w:color="auto"/>
        <w:right w:val="none" w:sz="0" w:space="0" w:color="auto"/>
      </w:divBdr>
    </w:div>
    <w:div w:id="1440099474">
      <w:bodyDiv w:val="1"/>
      <w:marLeft w:val="0"/>
      <w:marRight w:val="0"/>
      <w:marTop w:val="0"/>
      <w:marBottom w:val="0"/>
      <w:divBdr>
        <w:top w:val="none" w:sz="0" w:space="0" w:color="auto"/>
        <w:left w:val="none" w:sz="0" w:space="0" w:color="auto"/>
        <w:bottom w:val="none" w:sz="0" w:space="0" w:color="auto"/>
        <w:right w:val="none" w:sz="0" w:space="0" w:color="auto"/>
      </w:divBdr>
      <w:divsChild>
        <w:div w:id="1887132801">
          <w:marLeft w:val="0"/>
          <w:marRight w:val="0"/>
          <w:marTop w:val="0"/>
          <w:marBottom w:val="0"/>
          <w:divBdr>
            <w:top w:val="none" w:sz="0" w:space="0" w:color="auto"/>
            <w:left w:val="none" w:sz="0" w:space="0" w:color="auto"/>
            <w:bottom w:val="none" w:sz="0" w:space="0" w:color="auto"/>
            <w:right w:val="none" w:sz="0" w:space="0" w:color="auto"/>
          </w:divBdr>
        </w:div>
      </w:divsChild>
    </w:div>
    <w:div w:id="1542981762">
      <w:bodyDiv w:val="1"/>
      <w:marLeft w:val="0"/>
      <w:marRight w:val="0"/>
      <w:marTop w:val="0"/>
      <w:marBottom w:val="0"/>
      <w:divBdr>
        <w:top w:val="none" w:sz="0" w:space="0" w:color="auto"/>
        <w:left w:val="none" w:sz="0" w:space="0" w:color="auto"/>
        <w:bottom w:val="none" w:sz="0" w:space="0" w:color="auto"/>
        <w:right w:val="none" w:sz="0" w:space="0" w:color="auto"/>
      </w:divBdr>
    </w:div>
    <w:div w:id="1656303597">
      <w:bodyDiv w:val="1"/>
      <w:marLeft w:val="0"/>
      <w:marRight w:val="0"/>
      <w:marTop w:val="0"/>
      <w:marBottom w:val="0"/>
      <w:divBdr>
        <w:top w:val="none" w:sz="0" w:space="0" w:color="auto"/>
        <w:left w:val="none" w:sz="0" w:space="0" w:color="auto"/>
        <w:bottom w:val="none" w:sz="0" w:space="0" w:color="auto"/>
        <w:right w:val="none" w:sz="0" w:space="0" w:color="auto"/>
      </w:divBdr>
    </w:div>
    <w:div w:id="1724522894">
      <w:bodyDiv w:val="1"/>
      <w:marLeft w:val="0"/>
      <w:marRight w:val="0"/>
      <w:marTop w:val="0"/>
      <w:marBottom w:val="0"/>
      <w:divBdr>
        <w:top w:val="none" w:sz="0" w:space="0" w:color="auto"/>
        <w:left w:val="none" w:sz="0" w:space="0" w:color="auto"/>
        <w:bottom w:val="none" w:sz="0" w:space="0" w:color="auto"/>
        <w:right w:val="none" w:sz="0" w:space="0" w:color="auto"/>
      </w:divBdr>
    </w:div>
    <w:div w:id="1755593104">
      <w:bodyDiv w:val="1"/>
      <w:marLeft w:val="0"/>
      <w:marRight w:val="0"/>
      <w:marTop w:val="0"/>
      <w:marBottom w:val="0"/>
      <w:divBdr>
        <w:top w:val="none" w:sz="0" w:space="0" w:color="auto"/>
        <w:left w:val="none" w:sz="0" w:space="0" w:color="auto"/>
        <w:bottom w:val="none" w:sz="0" w:space="0" w:color="auto"/>
        <w:right w:val="none" w:sz="0" w:space="0" w:color="auto"/>
      </w:divBdr>
    </w:div>
    <w:div w:id="1897930687">
      <w:bodyDiv w:val="1"/>
      <w:marLeft w:val="0"/>
      <w:marRight w:val="0"/>
      <w:marTop w:val="0"/>
      <w:marBottom w:val="0"/>
      <w:divBdr>
        <w:top w:val="none" w:sz="0" w:space="0" w:color="auto"/>
        <w:left w:val="none" w:sz="0" w:space="0" w:color="auto"/>
        <w:bottom w:val="none" w:sz="0" w:space="0" w:color="auto"/>
        <w:right w:val="none" w:sz="0" w:space="0" w:color="auto"/>
      </w:divBdr>
    </w:div>
    <w:div w:id="2094811386">
      <w:bodyDiv w:val="1"/>
      <w:marLeft w:val="0"/>
      <w:marRight w:val="0"/>
      <w:marTop w:val="0"/>
      <w:marBottom w:val="0"/>
      <w:divBdr>
        <w:top w:val="none" w:sz="0" w:space="0" w:color="auto"/>
        <w:left w:val="none" w:sz="0" w:space="0" w:color="auto"/>
        <w:bottom w:val="none" w:sz="0" w:space="0" w:color="auto"/>
        <w:right w:val="none" w:sz="0" w:space="0" w:color="auto"/>
      </w:divBdr>
    </w:div>
    <w:div w:id="21359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sturdikova@enviro.gov.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natalia.broosova@enviro.gov.s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in2out@mhsr.sk"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3101</Words>
  <Characters>17680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Šturdíková Zuzana</cp:lastModifiedBy>
  <cp:revision>7</cp:revision>
  <dcterms:created xsi:type="dcterms:W3CDTF">2022-09-30T05:38:00Z</dcterms:created>
  <dcterms:modified xsi:type="dcterms:W3CDTF">2022-09-30T06:32:00Z</dcterms:modified>
</cp:coreProperties>
</file>